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1D2E73">
        <w:trPr>
          <w:trHeight w:hRule="exact" w:val="851"/>
        </w:trPr>
        <w:tc>
          <w:tcPr>
            <w:tcW w:w="1280" w:type="dxa"/>
            <w:tcBorders>
              <w:bottom w:val="single" w:sz="4" w:space="0" w:color="auto"/>
            </w:tcBorders>
          </w:tcPr>
          <w:p w:rsidR="001D2E73" w:rsidRDefault="001D2E73"/>
        </w:tc>
        <w:tc>
          <w:tcPr>
            <w:tcW w:w="2273" w:type="dxa"/>
            <w:tcBorders>
              <w:bottom w:val="single" w:sz="4" w:space="0" w:color="auto"/>
            </w:tcBorders>
            <w:vAlign w:val="bottom"/>
          </w:tcPr>
          <w:p w:rsidR="001D2E73" w:rsidRDefault="001D2E73">
            <w:pPr>
              <w:spacing w:after="80" w:line="300" w:lineRule="exact"/>
              <w:rPr>
                <w:sz w:val="28"/>
              </w:rPr>
            </w:pPr>
            <w:r>
              <w:rPr>
                <w:sz w:val="28"/>
              </w:rPr>
              <w:t>Naciones Unidas</w:t>
            </w:r>
          </w:p>
        </w:tc>
        <w:tc>
          <w:tcPr>
            <w:tcW w:w="6086" w:type="dxa"/>
            <w:gridSpan w:val="2"/>
            <w:tcBorders>
              <w:bottom w:val="single" w:sz="4" w:space="0" w:color="auto"/>
            </w:tcBorders>
            <w:vAlign w:val="bottom"/>
          </w:tcPr>
          <w:p w:rsidR="001D2E73" w:rsidRDefault="001D2E73">
            <w:pPr>
              <w:jc w:val="right"/>
            </w:pPr>
            <w:r>
              <w:rPr>
                <w:sz w:val="40"/>
              </w:rPr>
              <w:t>E</w:t>
            </w:r>
            <w:r>
              <w:t>/C.12/AZE/3</w:t>
            </w:r>
          </w:p>
        </w:tc>
      </w:tr>
      <w:tr w:rsidR="001D2E73">
        <w:trPr>
          <w:trHeight w:hRule="exact" w:val="2835"/>
        </w:trPr>
        <w:tc>
          <w:tcPr>
            <w:tcW w:w="1280" w:type="dxa"/>
            <w:tcBorders>
              <w:top w:val="single" w:sz="4" w:space="0" w:color="auto"/>
              <w:bottom w:val="single" w:sz="12" w:space="0" w:color="auto"/>
            </w:tcBorders>
          </w:tcPr>
          <w:p w:rsidR="001D2E73" w:rsidRDefault="001D2E7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D2E73" w:rsidRDefault="001D2E73">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1D2E73" w:rsidRDefault="001D2E73">
            <w:pPr>
              <w:spacing w:before="240" w:line="240" w:lineRule="exact"/>
            </w:pPr>
            <w:r>
              <w:t>Distr. general</w:t>
            </w:r>
          </w:p>
          <w:p w:rsidR="001D2E73" w:rsidRDefault="001D2E73">
            <w:pPr>
              <w:spacing w:line="240" w:lineRule="exact"/>
            </w:pPr>
            <w:r>
              <w:t>16 de mayo de 2011</w:t>
            </w:r>
          </w:p>
          <w:p w:rsidR="001D2E73" w:rsidRDefault="001D2E73">
            <w:pPr>
              <w:spacing w:line="240" w:lineRule="exact"/>
            </w:pPr>
            <w:r>
              <w:t>Español</w:t>
            </w:r>
          </w:p>
          <w:p w:rsidR="001D2E73" w:rsidRDefault="001D2E73">
            <w:pPr>
              <w:spacing w:line="240" w:lineRule="exact"/>
            </w:pPr>
            <w:r>
              <w:t>Original: ruso</w:t>
            </w:r>
          </w:p>
        </w:tc>
      </w:tr>
    </w:tbl>
    <w:p w:rsidR="001D2E73" w:rsidRDefault="001D2E73">
      <w:pPr>
        <w:spacing w:before="120"/>
        <w:rPr>
          <w:b/>
          <w:sz w:val="24"/>
          <w:szCs w:val="24"/>
        </w:rPr>
      </w:pPr>
      <w:r>
        <w:rPr>
          <w:b/>
          <w:sz w:val="24"/>
          <w:szCs w:val="24"/>
        </w:rPr>
        <w:t>Comité de Derechos Económicos, Sociales y Culturales</w:t>
      </w:r>
    </w:p>
    <w:p w:rsidR="001D2E73" w:rsidRDefault="001D2E73">
      <w:pPr>
        <w:pStyle w:val="HMG"/>
        <w:rPr>
          <w:lang w:val="es-ES"/>
        </w:rPr>
      </w:pPr>
      <w:r>
        <w:rPr>
          <w:lang w:val="es-ES"/>
        </w:rPr>
        <w:tab/>
      </w:r>
      <w:r>
        <w:rPr>
          <w:lang w:val="es-ES"/>
        </w:rPr>
        <w:tab/>
        <w:t>Aplicación del Pacto Internacional de Derechos Económicos, Sociales y Culturales</w:t>
      </w:r>
    </w:p>
    <w:p w:rsidR="001D2E73" w:rsidRDefault="001D2E73">
      <w:pPr>
        <w:pStyle w:val="HChG"/>
        <w:rPr>
          <w:lang w:val="es-ES"/>
        </w:rPr>
      </w:pPr>
      <w:r>
        <w:rPr>
          <w:lang w:val="es-ES"/>
        </w:rPr>
        <w:tab/>
      </w:r>
      <w:r>
        <w:rPr>
          <w:lang w:val="es-ES"/>
        </w:rPr>
        <w:tab/>
        <w:t>Tercer informe periódico presentado por los Estados partes de conformidad con los artículos 16 y 17 del Pacto</w:t>
      </w:r>
    </w:p>
    <w:p w:rsidR="001D2E73" w:rsidRDefault="001D2E73">
      <w:pPr>
        <w:pStyle w:val="HMGR"/>
        <w:rPr>
          <w:sz w:val="20"/>
          <w:lang w:val="es-ES"/>
        </w:rPr>
      </w:pPr>
      <w:r>
        <w:rPr>
          <w:lang w:val="es-ES"/>
        </w:rPr>
        <w:tab/>
      </w:r>
      <w:r>
        <w:rPr>
          <w:lang w:val="es-ES"/>
        </w:rPr>
        <w:tab/>
      </w:r>
      <w:r>
        <w:rPr>
          <w:rStyle w:val="HMGCar"/>
          <w:lang w:val="es-ES"/>
        </w:rPr>
        <w:t>Аzerbaiyán</w:t>
      </w:r>
      <w:r>
        <w:rPr>
          <w:rStyle w:val="FootnoteReference"/>
          <w:b w:val="0"/>
          <w:sz w:val="20"/>
          <w:vertAlign w:val="baseline"/>
          <w:lang w:val="es-ES"/>
        </w:rPr>
        <w:footnoteReference w:customMarkFollows="1" w:id="1"/>
        <w:t>*</w:t>
      </w:r>
    </w:p>
    <w:p w:rsidR="001D2E73" w:rsidRDefault="001D2E73">
      <w:pPr>
        <w:pStyle w:val="SingleTxtGR"/>
        <w:jc w:val="right"/>
        <w:rPr>
          <w:lang w:val="es-ES"/>
        </w:rPr>
      </w:pPr>
      <w:r>
        <w:rPr>
          <w:lang w:val="es-ES"/>
        </w:rPr>
        <w:t>[29 de septiembre de 2009]</w:t>
      </w:r>
    </w:p>
    <w:p w:rsidR="001D2E73" w:rsidRDefault="001D2E73">
      <w:pPr>
        <w:tabs>
          <w:tab w:val="right" w:pos="8929"/>
          <w:tab w:val="right" w:pos="9638"/>
        </w:tabs>
        <w:suppressAutoHyphens/>
        <w:spacing w:after="120"/>
        <w:ind w:left="1134" w:right="1134"/>
      </w:pPr>
      <w:r>
        <w:br w:type="page"/>
      </w:r>
    </w:p>
    <w:p w:rsidR="001D2E73" w:rsidRDefault="001D2E73">
      <w:pPr>
        <w:tabs>
          <w:tab w:val="right" w:pos="8929"/>
          <w:tab w:val="right" w:pos="9638"/>
        </w:tabs>
        <w:suppressAutoHyphens/>
        <w:spacing w:after="120"/>
        <w:ind w:left="1134" w:right="1134"/>
      </w:pPr>
    </w:p>
    <w:p w:rsidR="001D2E73" w:rsidRDefault="001D2E73">
      <w:pPr>
        <w:tabs>
          <w:tab w:val="right" w:pos="8929"/>
          <w:tab w:val="right" w:pos="9638"/>
        </w:tabs>
        <w:suppressAutoHyphens/>
        <w:spacing w:after="120"/>
        <w:ind w:left="1134" w:right="1134"/>
      </w:pPr>
    </w:p>
    <w:p w:rsidR="001D2E73" w:rsidRDefault="001D2E73">
      <w:pPr>
        <w:tabs>
          <w:tab w:val="right" w:pos="8929"/>
          <w:tab w:val="right" w:pos="9638"/>
        </w:tabs>
        <w:suppressAutoHyphens/>
        <w:spacing w:after="120"/>
        <w:ind w:left="1134" w:right="1134"/>
      </w:pPr>
      <w:r>
        <w:rPr>
          <w:rStyle w:val="HMGCar"/>
          <w:lang w:val="es-ES"/>
        </w:rPr>
        <w:t xml:space="preserve">Tercer informe periódico presentado por el Gobierno de la República de Azerbaiyán de conformidad con los artículos 16 y 17 del </w:t>
      </w:r>
      <w:r>
        <w:rPr>
          <w:rStyle w:val="HMGCar"/>
          <w:lang w:val="es-ES"/>
        </w:rPr>
        <w:br/>
        <w:t>Pacto Internacional de Derechos Económicos, Sociales y Culturales</w:t>
      </w:r>
      <w:r>
        <w:t xml:space="preserve"> </w:t>
      </w:r>
    </w:p>
    <w:p w:rsidR="001D2E73" w:rsidRDefault="001D2E73">
      <w:pPr>
        <w:tabs>
          <w:tab w:val="right" w:pos="8929"/>
          <w:tab w:val="right" w:pos="9638"/>
        </w:tabs>
        <w:suppressAutoHyphens/>
        <w:spacing w:after="120"/>
        <w:ind w:right="1134"/>
        <w:rPr>
          <w:bCs/>
          <w:sz w:val="28"/>
        </w:rPr>
      </w:pPr>
      <w:r>
        <w:br w:type="page"/>
      </w:r>
      <w:r>
        <w:rPr>
          <w:bCs/>
          <w:sz w:val="28"/>
        </w:rPr>
        <w:t>Índice</w:t>
      </w:r>
    </w:p>
    <w:p w:rsidR="001D2E73" w:rsidRDefault="001D2E73">
      <w:pPr>
        <w:tabs>
          <w:tab w:val="right" w:pos="8929"/>
          <w:tab w:val="right" w:pos="9638"/>
        </w:tabs>
        <w:suppressAutoHyphens/>
        <w:spacing w:after="120"/>
        <w:ind w:left="283"/>
        <w:rPr>
          <w:bCs/>
        </w:rPr>
      </w:pPr>
      <w:r>
        <w:rPr>
          <w:bCs/>
          <w:i/>
          <w:sz w:val="18"/>
        </w:rPr>
        <w:tab/>
        <w:t>Párrafos</w:t>
      </w:r>
      <w:r>
        <w:rPr>
          <w:bCs/>
          <w:i/>
          <w:sz w:val="18"/>
        </w:rPr>
        <w:tab/>
        <w:t>Página</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t>I.</w:t>
      </w:r>
      <w:r>
        <w:rPr>
          <w:rFonts w:eastAsia="SimSun"/>
          <w:lang w:eastAsia="zh-CN"/>
        </w:rPr>
        <w:tab/>
        <w:t xml:space="preserve">Introducción </w:t>
      </w:r>
      <w:r>
        <w:rPr>
          <w:rFonts w:eastAsia="SimSun"/>
          <w:lang w:eastAsia="zh-CN"/>
        </w:rPr>
        <w:tab/>
      </w:r>
      <w:r>
        <w:rPr>
          <w:rFonts w:eastAsia="SimSun"/>
          <w:lang w:eastAsia="zh-CN"/>
        </w:rPr>
        <w:tab/>
        <w:t>1−27</w:t>
      </w:r>
      <w:r>
        <w:rPr>
          <w:rFonts w:eastAsia="SimSun"/>
          <w:lang w:eastAsia="zh-CN"/>
        </w:rPr>
        <w:tab/>
        <w:t>4</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t>II.</w:t>
      </w:r>
      <w:r>
        <w:rPr>
          <w:rFonts w:eastAsia="SimSun"/>
          <w:lang w:eastAsia="zh-CN"/>
        </w:rPr>
        <w:tab/>
        <w:t xml:space="preserve">Información sobre cada artículo del Pacto </w:t>
      </w:r>
      <w:r>
        <w:rPr>
          <w:rFonts w:eastAsia="SimSun"/>
          <w:lang w:eastAsia="zh-CN"/>
        </w:rPr>
        <w:tab/>
      </w:r>
      <w:r>
        <w:rPr>
          <w:rFonts w:eastAsia="SimSun"/>
          <w:lang w:eastAsia="zh-CN"/>
        </w:rPr>
        <w:tab/>
        <w:t>28−608</w:t>
      </w:r>
      <w:r>
        <w:rPr>
          <w:rFonts w:eastAsia="SimSun"/>
          <w:lang w:eastAsia="zh-CN"/>
        </w:rPr>
        <w:tab/>
        <w:t>8</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Artículo 1</w:t>
      </w:r>
      <w:r>
        <w:rPr>
          <w:rFonts w:eastAsia="SimSun"/>
          <w:lang w:eastAsia="zh-CN"/>
        </w:rPr>
        <w:tab/>
      </w:r>
      <w:r>
        <w:rPr>
          <w:rFonts w:eastAsia="SimSun"/>
          <w:lang w:eastAsia="zh-CN"/>
        </w:rPr>
        <w:tab/>
      </w:r>
      <w:r>
        <w:rPr>
          <w:rFonts w:eastAsia="SimSun"/>
          <w:lang w:eastAsia="zh-CN"/>
        </w:rPr>
        <w:tab/>
        <w:t>28−34</w:t>
      </w:r>
      <w:r>
        <w:rPr>
          <w:rFonts w:eastAsia="SimSun"/>
          <w:lang w:eastAsia="zh-CN"/>
        </w:rPr>
        <w:tab/>
        <w:t>8</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Artículo 2</w:t>
      </w:r>
      <w:r>
        <w:rPr>
          <w:rFonts w:eastAsia="SimSun"/>
          <w:lang w:eastAsia="zh-CN"/>
        </w:rPr>
        <w:tab/>
      </w:r>
      <w:r>
        <w:rPr>
          <w:rFonts w:eastAsia="SimSun"/>
          <w:lang w:eastAsia="zh-CN"/>
        </w:rPr>
        <w:tab/>
      </w:r>
      <w:r>
        <w:rPr>
          <w:rFonts w:eastAsia="SimSun"/>
          <w:lang w:eastAsia="zh-CN"/>
        </w:rPr>
        <w:tab/>
        <w:t>35−71</w:t>
      </w:r>
      <w:r>
        <w:rPr>
          <w:rFonts w:eastAsia="SimSun"/>
          <w:lang w:eastAsia="zh-CN"/>
        </w:rPr>
        <w:tab/>
        <w:t>9</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Artículo 3</w:t>
      </w:r>
      <w:r>
        <w:rPr>
          <w:rFonts w:eastAsia="SimSun"/>
          <w:lang w:eastAsia="zh-CN"/>
        </w:rPr>
        <w:tab/>
      </w:r>
      <w:r>
        <w:rPr>
          <w:rFonts w:eastAsia="SimSun"/>
          <w:lang w:eastAsia="zh-CN"/>
        </w:rPr>
        <w:tab/>
      </w:r>
      <w:r>
        <w:rPr>
          <w:rFonts w:eastAsia="SimSun"/>
          <w:lang w:eastAsia="zh-CN"/>
        </w:rPr>
        <w:tab/>
        <w:t>72−93</w:t>
      </w:r>
      <w:r>
        <w:rPr>
          <w:rFonts w:eastAsia="SimSun"/>
          <w:lang w:eastAsia="zh-CN"/>
        </w:rPr>
        <w:tab/>
        <w:t>14</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Artículo 4−5</w:t>
      </w:r>
      <w:r>
        <w:rPr>
          <w:rFonts w:eastAsia="SimSun"/>
          <w:lang w:eastAsia="zh-CN"/>
        </w:rPr>
        <w:tab/>
      </w:r>
      <w:r>
        <w:rPr>
          <w:rFonts w:eastAsia="SimSun"/>
          <w:lang w:eastAsia="zh-CN"/>
        </w:rPr>
        <w:tab/>
        <w:t>94</w:t>
      </w:r>
      <w:r>
        <w:rPr>
          <w:rFonts w:eastAsia="SimSun"/>
          <w:lang w:eastAsia="zh-CN"/>
        </w:rPr>
        <w:tab/>
        <w:t>19</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Artículo 6 </w:t>
      </w:r>
      <w:r>
        <w:rPr>
          <w:rFonts w:eastAsia="SimSun"/>
          <w:lang w:eastAsia="zh-CN"/>
        </w:rPr>
        <w:tab/>
      </w:r>
      <w:r>
        <w:rPr>
          <w:rFonts w:eastAsia="SimSun"/>
          <w:lang w:eastAsia="zh-CN"/>
        </w:rPr>
        <w:tab/>
        <w:t>95−142</w:t>
      </w:r>
      <w:r>
        <w:rPr>
          <w:rFonts w:eastAsia="SimSun"/>
          <w:lang w:eastAsia="zh-CN"/>
        </w:rPr>
        <w:tab/>
        <w:t>19</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Artículo 7 </w:t>
      </w:r>
      <w:r>
        <w:rPr>
          <w:rFonts w:eastAsia="SimSun"/>
          <w:lang w:eastAsia="zh-CN"/>
        </w:rPr>
        <w:tab/>
      </w:r>
      <w:r>
        <w:rPr>
          <w:rFonts w:eastAsia="SimSun"/>
          <w:lang w:eastAsia="zh-CN"/>
        </w:rPr>
        <w:tab/>
        <w:t>143−209</w:t>
      </w:r>
      <w:r>
        <w:rPr>
          <w:rFonts w:eastAsia="SimSun"/>
          <w:lang w:eastAsia="zh-CN"/>
        </w:rPr>
        <w:tab/>
        <w:t>26</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Artículo 8 </w:t>
      </w:r>
      <w:r>
        <w:rPr>
          <w:rFonts w:eastAsia="SimSun"/>
          <w:lang w:eastAsia="zh-CN"/>
        </w:rPr>
        <w:tab/>
      </w:r>
      <w:r>
        <w:rPr>
          <w:rFonts w:eastAsia="SimSun"/>
          <w:lang w:eastAsia="zh-CN"/>
        </w:rPr>
        <w:tab/>
        <w:t>210−236</w:t>
      </w:r>
      <w:r>
        <w:rPr>
          <w:rFonts w:eastAsia="SimSun"/>
          <w:lang w:eastAsia="zh-CN"/>
        </w:rPr>
        <w:tab/>
        <w:t>37</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Artículo 9 </w:t>
      </w:r>
      <w:r>
        <w:rPr>
          <w:rFonts w:eastAsia="SimSun"/>
          <w:lang w:eastAsia="zh-CN"/>
        </w:rPr>
        <w:tab/>
      </w:r>
      <w:r>
        <w:rPr>
          <w:rFonts w:eastAsia="SimSun"/>
          <w:lang w:eastAsia="zh-CN"/>
        </w:rPr>
        <w:tab/>
        <w:t>237−282</w:t>
      </w:r>
      <w:r>
        <w:rPr>
          <w:rFonts w:eastAsia="SimSun"/>
          <w:lang w:eastAsia="zh-CN"/>
        </w:rPr>
        <w:tab/>
        <w:t>40</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Artículo 10 </w:t>
      </w:r>
      <w:r>
        <w:rPr>
          <w:rFonts w:eastAsia="SimSun"/>
          <w:lang w:eastAsia="zh-CN"/>
        </w:rPr>
        <w:tab/>
      </w:r>
      <w:r>
        <w:rPr>
          <w:rFonts w:eastAsia="SimSun"/>
          <w:lang w:eastAsia="zh-CN"/>
        </w:rPr>
        <w:tab/>
        <w:t>283−370</w:t>
      </w:r>
      <w:r>
        <w:rPr>
          <w:rFonts w:eastAsia="SimSun"/>
          <w:lang w:eastAsia="zh-CN"/>
        </w:rPr>
        <w:tab/>
        <w:t>47</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Artículo 11 </w:t>
      </w:r>
      <w:r>
        <w:rPr>
          <w:rFonts w:eastAsia="SimSun"/>
          <w:lang w:eastAsia="zh-CN"/>
        </w:rPr>
        <w:tab/>
      </w:r>
      <w:r>
        <w:rPr>
          <w:rFonts w:eastAsia="SimSun"/>
          <w:lang w:eastAsia="zh-CN"/>
        </w:rPr>
        <w:tab/>
        <w:t>371−431</w:t>
      </w:r>
      <w:r>
        <w:rPr>
          <w:rFonts w:eastAsia="SimSun"/>
          <w:lang w:eastAsia="zh-CN"/>
        </w:rPr>
        <w:tab/>
        <w:t>57</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Artículo 12 </w:t>
      </w:r>
      <w:r>
        <w:rPr>
          <w:rFonts w:eastAsia="SimSun"/>
          <w:lang w:eastAsia="zh-CN"/>
        </w:rPr>
        <w:tab/>
      </w:r>
      <w:r>
        <w:rPr>
          <w:rFonts w:eastAsia="SimSun"/>
          <w:lang w:eastAsia="zh-CN"/>
        </w:rPr>
        <w:tab/>
        <w:t>432−481</w:t>
      </w:r>
      <w:r>
        <w:rPr>
          <w:rFonts w:eastAsia="SimSun"/>
          <w:lang w:eastAsia="zh-CN"/>
        </w:rPr>
        <w:tab/>
        <w:t>63</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Artículo 13 </w:t>
      </w:r>
      <w:r>
        <w:rPr>
          <w:rFonts w:eastAsia="SimSun"/>
          <w:lang w:eastAsia="zh-CN"/>
        </w:rPr>
        <w:tab/>
      </w:r>
      <w:r>
        <w:rPr>
          <w:rFonts w:eastAsia="SimSun"/>
          <w:lang w:eastAsia="zh-CN"/>
        </w:rPr>
        <w:tab/>
        <w:t>482−517</w:t>
      </w:r>
      <w:r>
        <w:rPr>
          <w:rFonts w:eastAsia="SimSun"/>
          <w:lang w:eastAsia="zh-CN"/>
        </w:rPr>
        <w:tab/>
        <w:t>71</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Artículo 15 </w:t>
      </w:r>
      <w:r>
        <w:rPr>
          <w:rFonts w:eastAsia="SimSun"/>
          <w:lang w:eastAsia="zh-CN"/>
        </w:rPr>
        <w:tab/>
      </w:r>
      <w:r>
        <w:rPr>
          <w:rFonts w:eastAsia="SimSun"/>
          <w:lang w:eastAsia="zh-CN"/>
        </w:rPr>
        <w:tab/>
        <w:t>518−608</w:t>
      </w:r>
      <w:r>
        <w:rPr>
          <w:rFonts w:eastAsia="SimSun"/>
          <w:lang w:eastAsia="zh-CN"/>
        </w:rPr>
        <w:tab/>
        <w:t>79</w:t>
      </w:r>
    </w:p>
    <w:p w:rsidR="001D2E73" w:rsidRDefault="001D2E73">
      <w:pPr>
        <w:tabs>
          <w:tab w:val="right" w:pos="850"/>
          <w:tab w:val="left" w:pos="1134"/>
          <w:tab w:val="left" w:pos="1559"/>
          <w:tab w:val="left" w:pos="1984"/>
          <w:tab w:val="left" w:leader="dot" w:pos="7654"/>
          <w:tab w:val="right" w:pos="8929"/>
          <w:tab w:val="right" w:pos="9638"/>
        </w:tabs>
        <w:suppressAutoHyphens/>
        <w:rPr>
          <w:rFonts w:eastAsia="SimSun"/>
          <w:lang w:eastAsia="zh-CN"/>
        </w:rPr>
      </w:pPr>
      <w:r>
        <w:rPr>
          <w:rFonts w:eastAsia="SimSun"/>
          <w:lang w:eastAsia="zh-CN"/>
        </w:rPr>
        <w:tab/>
        <w:t>III.</w:t>
      </w:r>
      <w:r>
        <w:rPr>
          <w:rFonts w:eastAsia="SimSun"/>
          <w:lang w:eastAsia="zh-CN"/>
        </w:rPr>
        <w:tab/>
        <w:t>Información sobre las distintas propuestas y recomendaciones formuladas</w:t>
      </w:r>
      <w:r>
        <w:rPr>
          <w:rFonts w:eastAsia="SimSun"/>
          <w:lang w:eastAsia="zh-CN"/>
        </w:rPr>
        <w:br/>
      </w:r>
      <w:r>
        <w:rPr>
          <w:rFonts w:eastAsia="SimSun"/>
          <w:lang w:eastAsia="zh-CN"/>
        </w:rPr>
        <w:tab/>
      </w:r>
      <w:r>
        <w:rPr>
          <w:rFonts w:eastAsia="SimSun"/>
          <w:lang w:eastAsia="zh-CN"/>
        </w:rPr>
        <w:tab/>
        <w:t>en las Observaciones finales del Comité en relación con el segundo informe</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r>
        <w:rPr>
          <w:rFonts w:eastAsia="SimSun"/>
          <w:lang w:eastAsia="zh-CN"/>
        </w:rPr>
        <w:tab/>
      </w:r>
      <w:r>
        <w:rPr>
          <w:rFonts w:eastAsia="SimSun"/>
          <w:lang w:eastAsia="zh-CN"/>
        </w:rPr>
        <w:tab/>
        <w:t xml:space="preserve">periódico </w:t>
      </w:r>
      <w:r>
        <w:rPr>
          <w:rFonts w:eastAsia="SimSun"/>
          <w:lang w:eastAsia="zh-CN"/>
        </w:rPr>
        <w:tab/>
      </w:r>
      <w:r>
        <w:rPr>
          <w:rFonts w:eastAsia="SimSun"/>
          <w:lang w:eastAsia="zh-CN"/>
        </w:rPr>
        <w:tab/>
      </w:r>
      <w:r>
        <w:rPr>
          <w:rFonts w:eastAsia="SimSun"/>
          <w:lang w:eastAsia="zh-CN"/>
        </w:rPr>
        <w:tab/>
        <w:t>609−801</w:t>
      </w:r>
      <w:r>
        <w:rPr>
          <w:rFonts w:eastAsia="SimSun"/>
          <w:lang w:eastAsia="zh-CN"/>
        </w:rPr>
        <w:tab/>
        <w:t xml:space="preserve"> 95</w:t>
      </w: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p>
    <w:p w:rsidR="001D2E73" w:rsidRDefault="001D2E73">
      <w:pPr>
        <w:tabs>
          <w:tab w:val="right" w:pos="850"/>
          <w:tab w:val="left" w:pos="1134"/>
          <w:tab w:val="left" w:pos="1559"/>
          <w:tab w:val="left" w:pos="1984"/>
          <w:tab w:val="left" w:leader="dot" w:pos="7654"/>
          <w:tab w:val="right" w:pos="8929"/>
          <w:tab w:val="right" w:pos="9638"/>
        </w:tabs>
        <w:suppressAutoHyphens/>
        <w:spacing w:after="120"/>
        <w:rPr>
          <w:rFonts w:eastAsia="SimSun"/>
          <w:lang w:eastAsia="zh-CN"/>
        </w:rPr>
      </w:pPr>
    </w:p>
    <w:p w:rsidR="001D2E73" w:rsidRDefault="001D2E73">
      <w:pPr>
        <w:pStyle w:val="HChGR"/>
        <w:ind w:hanging="567"/>
        <w:rPr>
          <w:lang w:val="es-ES"/>
        </w:rPr>
      </w:pPr>
      <w:r>
        <w:rPr>
          <w:lang w:val="es-ES"/>
        </w:rPr>
        <w:br w:type="page"/>
        <w:t>I.</w:t>
      </w:r>
      <w:r>
        <w:rPr>
          <w:lang w:val="es-ES"/>
        </w:rPr>
        <w:tab/>
      </w:r>
      <w:r>
        <w:rPr>
          <w:lang w:val="es-ES"/>
        </w:rPr>
        <w:tab/>
        <w:t>Introducción</w:t>
      </w:r>
    </w:p>
    <w:p w:rsidR="001D2E73" w:rsidRDefault="001D2E73">
      <w:pPr>
        <w:pStyle w:val="SingleTxtG"/>
        <w:rPr>
          <w:lang w:val="es-ES"/>
        </w:rPr>
      </w:pPr>
      <w:r>
        <w:rPr>
          <w:lang w:val="es-ES"/>
        </w:rPr>
        <w:t>1.</w:t>
      </w:r>
      <w:r>
        <w:rPr>
          <w:lang w:val="es-ES"/>
        </w:rPr>
        <w:tab/>
        <w:t xml:space="preserve">Este es el tercer informe que presenta la República de Azerbaiyán de conformidad con los artículos 16 y 17 del Pacto Internacional de Derechos Económicos, Sociales y Culturales sobre las medidas adoptadas por el Gobierno para llevar a la práctica los derechos consagrados en el Pacto y sobre los progresos logrados en el ejercicio de esos derechos. </w:t>
      </w:r>
    </w:p>
    <w:p w:rsidR="001D2E73" w:rsidRDefault="001D2E73">
      <w:pPr>
        <w:pStyle w:val="SingleTxtG"/>
        <w:rPr>
          <w:lang w:val="es-ES"/>
        </w:rPr>
      </w:pPr>
      <w:r>
        <w:rPr>
          <w:lang w:val="es-ES"/>
        </w:rPr>
        <w:t>2.</w:t>
      </w:r>
      <w:r>
        <w:rPr>
          <w:lang w:val="es-ES"/>
        </w:rPr>
        <w:tab/>
        <w:t xml:space="preserve">Por resolución Nº 157 del Presidente de la República de Azerbaiyán, de 13 de febrero de 2009, se estableció un Grupo de trabajo encargado de preparar el tercer informe periódico de Azerbaiyán de conformidad con el Pacto Internacional de Derechos Económicos, Sociales y Culturales, integrado por representantes de los ministerios de relaciones exteriores, interior, finanzas, justicia, desarrollo económico, juventud y deportes, trabajo y protección social de la población, salud, ecología y recursos naturales, y educación, del Comité Estatal de Problemas de la Familia, la Mujer y la Infancia, el Comité Estatal de Estadísticas, el Comité Estatal de Asuntos de los Refugiados y los Desplazados Forzosos, el Comité Estatal de Catastro y Cartografía, del Fondo Estatal de Protección Social, de </w:t>
      </w:r>
      <w:smartTag w:uri="urn:schemas-microsoft-com:office:smarttags" w:element="PersonName">
        <w:smartTagPr>
          <w:attr w:name="ProductID" w:val="la Confederaci￳n Sindical"/>
        </w:smartTagPr>
        <w:r>
          <w:rPr>
            <w:lang w:val="es-ES"/>
          </w:rPr>
          <w:t>la Confederación Sindical</w:t>
        </w:r>
      </w:smartTag>
      <w:r>
        <w:rPr>
          <w:lang w:val="es-ES"/>
        </w:rPr>
        <w:t xml:space="preserve">, del Organismo de Derechos de Autor y de la Oficina del Ombudsman. Además de los expertos de las instituciones estatales, participaron también en la preparación del informe expertos de organizaciones no gubernamentales. </w:t>
      </w:r>
    </w:p>
    <w:p w:rsidR="001D2E73" w:rsidRDefault="001D2E73">
      <w:pPr>
        <w:pStyle w:val="SingleTxtG"/>
        <w:rPr>
          <w:lang w:val="es-ES"/>
        </w:rPr>
      </w:pPr>
      <w:r>
        <w:rPr>
          <w:lang w:val="es-ES"/>
        </w:rPr>
        <w:t>3.</w:t>
      </w:r>
      <w:r>
        <w:rPr>
          <w:lang w:val="es-ES"/>
        </w:rPr>
        <w:tab/>
        <w:t xml:space="preserve">El 18 de marzo de 2009 la República de Azerbaiyán celebró un referendo sobre adiciones y enmiendas a la Constitución de </w:t>
      </w:r>
      <w:smartTag w:uri="urn:schemas-microsoft-com:office:smarttags" w:element="PersonName">
        <w:smartTagPr>
          <w:attr w:name="ProductID" w:val="la Rep￺blica. Los"/>
        </w:smartTagPr>
        <w:r>
          <w:rPr>
            <w:lang w:val="es-ES"/>
          </w:rPr>
          <w:t>la República. Los</w:t>
        </w:r>
      </w:smartTag>
      <w:r>
        <w:rPr>
          <w:lang w:val="es-ES"/>
        </w:rPr>
        <w:t xml:space="preserve"> resultados del referendo permitieron introducir algunas enmiendas y adiciones a la Constitución, que entraron en vigor el 31 de marzo de 2009. </w:t>
      </w:r>
    </w:p>
    <w:p w:rsidR="001D2E73" w:rsidRDefault="001D2E73">
      <w:pPr>
        <w:pStyle w:val="SingleTxtG"/>
        <w:rPr>
          <w:lang w:val="es-ES"/>
        </w:rPr>
      </w:pPr>
      <w:r>
        <w:rPr>
          <w:lang w:val="es-ES"/>
        </w:rPr>
        <w:t>4.</w:t>
      </w:r>
      <w:r>
        <w:rPr>
          <w:lang w:val="es-ES"/>
        </w:rPr>
        <w:tab/>
        <w:t>De conformidad con las enmiendas introducidas en el artículo 12 de la Constitución (Objetivo supremo del Estado), el objetivo supremo del Estado es garantizar los derechos civiles y las libertades públicas y un nivel de vida digno para todos los ciudadanos de la República de Azerbaiyán.</w:t>
      </w:r>
    </w:p>
    <w:p w:rsidR="001D2E73" w:rsidRDefault="001D2E73">
      <w:pPr>
        <w:pStyle w:val="SingleTxtG"/>
        <w:rPr>
          <w:lang w:val="es-ES"/>
        </w:rPr>
      </w:pPr>
      <w:r>
        <w:rPr>
          <w:lang w:val="es-ES"/>
        </w:rPr>
        <w:t>5.</w:t>
      </w:r>
      <w:r>
        <w:rPr>
          <w:lang w:val="es-ES"/>
        </w:rPr>
        <w:tab/>
        <w:t>Con arreglo a las enmiendas introducidas en el artículo 15 de la Constitución (El desarrollo económico y el Estado), y sobre la base de las relaciones mercantiles, Azerbaiyán creará las condiciones para el desarrollo económico orientado a la sociedad.</w:t>
      </w:r>
    </w:p>
    <w:p w:rsidR="001D2E73" w:rsidRDefault="001D2E73">
      <w:pPr>
        <w:pStyle w:val="SingleTxtG"/>
        <w:rPr>
          <w:lang w:val="es-ES"/>
        </w:rPr>
      </w:pPr>
      <w:r>
        <w:rPr>
          <w:lang w:val="es-ES"/>
        </w:rPr>
        <w:t>6.</w:t>
      </w:r>
      <w:r>
        <w:rPr>
          <w:lang w:val="es-ES"/>
        </w:rPr>
        <w:tab/>
        <w:t>De conformidad con la Constitución, los derechos civiles y las libertades están plenamente garantizados en consonancia con los convenios internacionales.</w:t>
      </w:r>
    </w:p>
    <w:p w:rsidR="001D2E73" w:rsidRDefault="001D2E73">
      <w:pPr>
        <w:pStyle w:val="SingleTxtG"/>
        <w:rPr>
          <w:lang w:val="es-ES"/>
        </w:rPr>
      </w:pPr>
      <w:r>
        <w:rPr>
          <w:lang w:val="es-ES"/>
        </w:rPr>
        <w:t>7.</w:t>
      </w:r>
      <w:r>
        <w:rPr>
          <w:lang w:val="es-ES"/>
        </w:rPr>
        <w:tab/>
        <w:t>Con arreglo al párrafo 2 del artículo 148 de la Constitución, "los tratados internacionales en que es parte Azerbaiyán son parte integrante de su ordenamiento jurídico".</w:t>
      </w:r>
    </w:p>
    <w:p w:rsidR="001D2E73" w:rsidRDefault="001D2E73">
      <w:pPr>
        <w:pStyle w:val="SingleTxtG"/>
        <w:rPr>
          <w:lang w:val="es-ES"/>
        </w:rPr>
      </w:pPr>
      <w:r>
        <w:rPr>
          <w:lang w:val="es-ES"/>
        </w:rPr>
        <w:t>8.</w:t>
      </w:r>
      <w:r>
        <w:rPr>
          <w:lang w:val="es-ES"/>
        </w:rPr>
        <w:tab/>
        <w:t>El artículo 151 de la Constitución dispone que "en caso de contradicción entre las disposiciones jurídicas que forman parte del derecho de Azerbaiyán (salvo la Constitución y los instrumentos aprobados por referendo) y los tratados internacionales en que el país sea parte, se aplicarán los tratados internacionales".</w:t>
      </w:r>
    </w:p>
    <w:p w:rsidR="001D2E73" w:rsidRDefault="001D2E73">
      <w:pPr>
        <w:pStyle w:val="SingleTxtG"/>
        <w:rPr>
          <w:lang w:val="es-ES"/>
        </w:rPr>
      </w:pPr>
      <w:r>
        <w:rPr>
          <w:lang w:val="es-ES"/>
        </w:rPr>
        <w:t>9.</w:t>
      </w:r>
      <w:r>
        <w:rPr>
          <w:lang w:val="es-ES"/>
        </w:rPr>
        <w:tab/>
        <w:t>Por esa razón, la Constitución de la República de Azerbaiyán sea un instrumento jurídico de efecto directo, mientras que los derechos y las libertades, consagrados en la Constitución, se ejercen directamente.</w:t>
      </w:r>
    </w:p>
    <w:p w:rsidR="001D2E73" w:rsidRDefault="001D2E73">
      <w:pPr>
        <w:pStyle w:val="SingleTxtG"/>
        <w:rPr>
          <w:lang w:val="es-ES"/>
        </w:rPr>
      </w:pPr>
      <w:r>
        <w:rPr>
          <w:lang w:val="es-ES"/>
        </w:rPr>
        <w:t>10.</w:t>
      </w:r>
      <w:r>
        <w:rPr>
          <w:lang w:val="es-ES"/>
        </w:rPr>
        <w:tab/>
        <w:t xml:space="preserve">Importantes instrumentos que garantizan los derechos humanos y las libertades ha son el Decreto presidencial sobre medidas para garantizar los derechos humanos y las libertades, el Programa estatal de protección de los derechos humanos y el Plan de acción nacional para la protección de los derechos humanos en la República de Azerbaiyán. </w:t>
      </w:r>
    </w:p>
    <w:p w:rsidR="001D2E73" w:rsidRDefault="001D2E73">
      <w:pPr>
        <w:pStyle w:val="SingleTxtG"/>
        <w:rPr>
          <w:lang w:val="es-ES"/>
        </w:rPr>
      </w:pPr>
      <w:r>
        <w:rPr>
          <w:lang w:val="es-ES"/>
        </w:rPr>
        <w:t>11.</w:t>
      </w:r>
      <w:r>
        <w:rPr>
          <w:lang w:val="es-ES"/>
        </w:rPr>
        <w:tab/>
        <w:t xml:space="preserve">Para coordinar la ejecución del Plan de acción nacional se estableció un grupo de trabajo presidido por </w:t>
      </w:r>
      <w:smartTag w:uri="urn:schemas-microsoft-com:office:smarttags" w:element="PersonName">
        <w:smartTagPr>
          <w:attr w:name="ProductID" w:val="la Defensora P￺blica"/>
        </w:smartTagPr>
        <w:r>
          <w:rPr>
            <w:lang w:val="es-ES"/>
          </w:rPr>
          <w:t>la Defensora Pública</w:t>
        </w:r>
      </w:smartTag>
      <w:r>
        <w:rPr>
          <w:lang w:val="es-ES"/>
        </w:rPr>
        <w:t xml:space="preserve"> del país. En la labor de este grupo de trabajo, además de los organismos estatales, participan activamente representantes de las organizaciones no gubernamentales. </w:t>
      </w:r>
    </w:p>
    <w:p w:rsidR="001D2E73" w:rsidRDefault="001D2E73">
      <w:pPr>
        <w:pStyle w:val="SingleTxtG"/>
        <w:rPr>
          <w:lang w:val="es-ES"/>
        </w:rPr>
      </w:pPr>
      <w:r>
        <w:rPr>
          <w:lang w:val="es-ES"/>
        </w:rPr>
        <w:t>12.</w:t>
      </w:r>
      <w:r>
        <w:rPr>
          <w:lang w:val="es-ES"/>
        </w:rPr>
        <w:tab/>
        <w:t xml:space="preserve">La República de Azerbaiyán es parte en la mayoría de los instrumentos jurídicos internacionales y regionales sobre derechos humanos, incluidos los siete tratados internacionales fundamentales. </w:t>
      </w:r>
    </w:p>
    <w:p w:rsidR="001D2E73" w:rsidRDefault="001D2E73">
      <w:pPr>
        <w:pStyle w:val="SingleTxtG"/>
        <w:rPr>
          <w:lang w:val="es-ES"/>
        </w:rPr>
      </w:pPr>
      <w:r>
        <w:rPr>
          <w:lang w:val="es-ES"/>
        </w:rPr>
        <w:t>13.</w:t>
      </w:r>
      <w:r>
        <w:rPr>
          <w:lang w:val="es-ES"/>
        </w:rPr>
        <w:tab/>
        <w:t xml:space="preserve">El 11 de junio de 2009 el Consejo de Derechos Humanos aprobó el informe nacional de la República de Azerbaiyán (A/HRC/WG.6/4/AZE/1) en el marco del Examen Periódico Universal. </w:t>
      </w:r>
    </w:p>
    <w:p w:rsidR="001D2E73" w:rsidRDefault="001D2E73">
      <w:pPr>
        <w:pStyle w:val="SingleTxtG"/>
        <w:rPr>
          <w:lang w:val="es-ES"/>
        </w:rPr>
      </w:pPr>
      <w:r>
        <w:rPr>
          <w:lang w:val="es-ES"/>
        </w:rPr>
        <w:t>14.</w:t>
      </w:r>
      <w:r>
        <w:rPr>
          <w:lang w:val="es-ES"/>
        </w:rPr>
        <w:tab/>
        <w:t xml:space="preserve">Cabe señalar que, en el marco de ese Examen, se hizo una alta valoración de las medidas adoptadas por la República de Azerbaiyán en la esfera de la protección de los derechos humanos y las libertades fundamentales del ciudadano, incluidas las reformas socioeconómicas. </w:t>
      </w:r>
    </w:p>
    <w:p w:rsidR="001D2E73" w:rsidRDefault="001D2E73">
      <w:pPr>
        <w:pStyle w:val="SingleTxtG"/>
        <w:rPr>
          <w:lang w:val="es-ES"/>
        </w:rPr>
      </w:pPr>
      <w:r>
        <w:rPr>
          <w:lang w:val="es-ES"/>
        </w:rPr>
        <w:t>15.</w:t>
      </w:r>
      <w:r>
        <w:rPr>
          <w:lang w:val="es-ES"/>
        </w:rPr>
        <w:tab/>
        <w:t>En los cuadros 1 y 3 se muestran los indicadores macroeconómicos fundamentales de la República de Azerbaiyán y los gastos del presupuesto estatal en medidas de carácter social.</w:t>
      </w:r>
    </w:p>
    <w:p w:rsidR="001D2E73" w:rsidRDefault="001D2E73">
      <w:pPr>
        <w:spacing w:before="240"/>
        <w:rPr>
          <w:rStyle w:val="SingleTxtGChar"/>
          <w:b/>
          <w:lang w:val="es-ES"/>
        </w:rPr>
      </w:pPr>
      <w:r>
        <w:tab/>
      </w:r>
      <w:r>
        <w:tab/>
        <w:t>Cuadro 1</w:t>
      </w:r>
      <w:r>
        <w:br/>
      </w:r>
      <w:r>
        <w:tab/>
      </w:r>
      <w:r>
        <w:tab/>
      </w:r>
      <w:r>
        <w:rPr>
          <w:rStyle w:val="SingleTxtGChar"/>
          <w:b/>
          <w:lang w:val="es-ES"/>
        </w:rPr>
        <w:t>Indicadores macroeconómicos de la República de Azerbaiyán</w:t>
      </w:r>
    </w:p>
    <w:p w:rsidR="001D2E73" w:rsidRDefault="001D2E73">
      <w:pPr>
        <w:spacing w:after="120"/>
        <w:rPr>
          <w:sz w:val="16"/>
          <w:szCs w:val="16"/>
        </w:rPr>
      </w:pPr>
      <w:r>
        <w:rPr>
          <w:b/>
          <w:sz w:val="18"/>
          <w:szCs w:val="18"/>
        </w:rPr>
        <w:tab/>
      </w:r>
      <w:r>
        <w:rPr>
          <w:b/>
          <w:sz w:val="18"/>
          <w:szCs w:val="18"/>
        </w:rPr>
        <w:tab/>
      </w:r>
      <w:r>
        <w:rPr>
          <w:sz w:val="16"/>
          <w:szCs w:val="16"/>
        </w:rPr>
        <w:t>(en porcentaje respecto del año anterior)</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038"/>
        <w:gridCol w:w="722"/>
        <w:gridCol w:w="722"/>
        <w:gridCol w:w="722"/>
        <w:gridCol w:w="722"/>
        <w:gridCol w:w="722"/>
        <w:gridCol w:w="722"/>
      </w:tblGrid>
      <w:tr w:rsidR="001D2E73">
        <w:trPr>
          <w:trHeight w:val="218"/>
        </w:trPr>
        <w:tc>
          <w:tcPr>
            <w:tcW w:w="3038" w:type="dxa"/>
            <w:tcBorders>
              <w:top w:val="single" w:sz="4" w:space="0" w:color="auto"/>
              <w:bottom w:val="nil"/>
            </w:tcBorders>
            <w:shd w:val="clear" w:color="auto" w:fill="auto"/>
          </w:tcPr>
          <w:p w:rsidR="001D2E73" w:rsidRDefault="001D2E73">
            <w:pPr>
              <w:spacing w:before="80" w:after="80" w:line="200" w:lineRule="exact"/>
              <w:rPr>
                <w:i/>
                <w:sz w:val="16"/>
              </w:rPr>
            </w:pPr>
            <w:r>
              <w:rPr>
                <w:i/>
                <w:sz w:val="16"/>
              </w:rPr>
              <w:t> </w:t>
            </w:r>
          </w:p>
        </w:tc>
        <w:tc>
          <w:tcPr>
            <w:tcW w:w="722" w:type="dxa"/>
            <w:tcBorders>
              <w:top w:val="single" w:sz="4" w:space="0" w:color="auto"/>
              <w:bottom w:val="nil"/>
            </w:tcBorders>
            <w:shd w:val="clear" w:color="auto" w:fill="auto"/>
          </w:tcPr>
          <w:p w:rsidR="001D2E73" w:rsidRDefault="001D2E73">
            <w:pPr>
              <w:spacing w:before="80" w:after="80" w:line="200" w:lineRule="exact"/>
              <w:jc w:val="right"/>
              <w:rPr>
                <w:i/>
                <w:sz w:val="16"/>
              </w:rPr>
            </w:pPr>
            <w:r>
              <w:rPr>
                <w:i/>
                <w:sz w:val="16"/>
              </w:rPr>
              <w:t>2003</w:t>
            </w:r>
          </w:p>
        </w:tc>
        <w:tc>
          <w:tcPr>
            <w:tcW w:w="722" w:type="dxa"/>
            <w:tcBorders>
              <w:top w:val="single" w:sz="4" w:space="0" w:color="auto"/>
              <w:bottom w:val="nil"/>
            </w:tcBorders>
            <w:shd w:val="clear" w:color="auto" w:fill="auto"/>
          </w:tcPr>
          <w:p w:rsidR="001D2E73" w:rsidRDefault="001D2E73">
            <w:pPr>
              <w:spacing w:before="80" w:after="80" w:line="200" w:lineRule="exact"/>
              <w:jc w:val="right"/>
              <w:rPr>
                <w:i/>
                <w:sz w:val="16"/>
              </w:rPr>
            </w:pPr>
            <w:r>
              <w:rPr>
                <w:i/>
                <w:sz w:val="16"/>
              </w:rPr>
              <w:t>2004</w:t>
            </w:r>
          </w:p>
        </w:tc>
        <w:tc>
          <w:tcPr>
            <w:tcW w:w="722" w:type="dxa"/>
            <w:tcBorders>
              <w:top w:val="single" w:sz="4" w:space="0" w:color="auto"/>
              <w:bottom w:val="nil"/>
            </w:tcBorders>
            <w:shd w:val="clear" w:color="auto" w:fill="auto"/>
          </w:tcPr>
          <w:p w:rsidR="001D2E73" w:rsidRDefault="001D2E73">
            <w:pPr>
              <w:spacing w:before="80" w:after="80" w:line="200" w:lineRule="exact"/>
              <w:jc w:val="right"/>
              <w:rPr>
                <w:i/>
                <w:sz w:val="16"/>
              </w:rPr>
            </w:pPr>
            <w:r>
              <w:rPr>
                <w:i/>
                <w:sz w:val="16"/>
              </w:rPr>
              <w:t>2005</w:t>
            </w:r>
          </w:p>
        </w:tc>
        <w:tc>
          <w:tcPr>
            <w:tcW w:w="722" w:type="dxa"/>
            <w:tcBorders>
              <w:top w:val="single" w:sz="4" w:space="0" w:color="auto"/>
              <w:bottom w:val="nil"/>
            </w:tcBorders>
            <w:shd w:val="clear" w:color="auto" w:fill="auto"/>
          </w:tcPr>
          <w:p w:rsidR="001D2E73" w:rsidRDefault="001D2E73">
            <w:pPr>
              <w:spacing w:before="80" w:after="80" w:line="200" w:lineRule="exact"/>
              <w:jc w:val="right"/>
              <w:rPr>
                <w:i/>
                <w:sz w:val="16"/>
              </w:rPr>
            </w:pPr>
            <w:r>
              <w:rPr>
                <w:i/>
                <w:sz w:val="16"/>
              </w:rPr>
              <w:t>2006</w:t>
            </w:r>
          </w:p>
        </w:tc>
        <w:tc>
          <w:tcPr>
            <w:tcW w:w="722" w:type="dxa"/>
            <w:tcBorders>
              <w:top w:val="single" w:sz="4" w:space="0" w:color="auto"/>
              <w:bottom w:val="nil"/>
            </w:tcBorders>
            <w:shd w:val="clear" w:color="auto" w:fill="auto"/>
          </w:tcPr>
          <w:p w:rsidR="001D2E73" w:rsidRDefault="001D2E73">
            <w:pPr>
              <w:spacing w:before="80" w:after="80" w:line="200" w:lineRule="exact"/>
              <w:jc w:val="right"/>
              <w:rPr>
                <w:i/>
                <w:sz w:val="16"/>
              </w:rPr>
            </w:pPr>
            <w:r>
              <w:rPr>
                <w:i/>
                <w:sz w:val="16"/>
              </w:rPr>
              <w:t>2007</w:t>
            </w:r>
          </w:p>
        </w:tc>
        <w:tc>
          <w:tcPr>
            <w:tcW w:w="722" w:type="dxa"/>
            <w:tcBorders>
              <w:top w:val="single" w:sz="4" w:space="0" w:color="auto"/>
              <w:left w:val="nil"/>
              <w:bottom w:val="nil"/>
              <w:right w:val="nil"/>
              <w:tl2br w:val="nil"/>
              <w:tr2bl w:val="nil"/>
            </w:tcBorders>
            <w:shd w:val="clear" w:color="auto" w:fill="auto"/>
          </w:tcPr>
          <w:p w:rsidR="001D2E73" w:rsidRDefault="001D2E73">
            <w:pPr>
              <w:spacing w:before="80" w:after="80" w:line="200" w:lineRule="exact"/>
              <w:jc w:val="right"/>
              <w:rPr>
                <w:i/>
                <w:sz w:val="16"/>
              </w:rPr>
            </w:pPr>
            <w:r>
              <w:rPr>
                <w:i/>
                <w:sz w:val="16"/>
              </w:rPr>
              <w:t>2008</w:t>
            </w:r>
          </w:p>
        </w:tc>
      </w:tr>
      <w:tr w:rsidR="001D2E73">
        <w:trPr>
          <w:trHeight w:val="252"/>
        </w:trPr>
        <w:tc>
          <w:tcPr>
            <w:tcW w:w="3038" w:type="dxa"/>
            <w:tcBorders>
              <w:top w:val="single" w:sz="12" w:space="0" w:color="auto"/>
            </w:tcBorders>
          </w:tcPr>
          <w:p w:rsidR="001D2E73" w:rsidRDefault="001D2E73">
            <w:pPr>
              <w:spacing w:before="40" w:after="40" w:line="220" w:lineRule="exact"/>
              <w:rPr>
                <w:sz w:val="18"/>
                <w:szCs w:val="18"/>
              </w:rPr>
            </w:pPr>
            <w:r>
              <w:rPr>
                <w:sz w:val="18"/>
                <w:szCs w:val="18"/>
              </w:rPr>
              <w:t>Producto interno bruto</w:t>
            </w:r>
          </w:p>
        </w:tc>
        <w:tc>
          <w:tcPr>
            <w:tcW w:w="72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111,2</w:t>
            </w:r>
          </w:p>
        </w:tc>
        <w:tc>
          <w:tcPr>
            <w:tcW w:w="72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110,2</w:t>
            </w:r>
          </w:p>
        </w:tc>
        <w:tc>
          <w:tcPr>
            <w:tcW w:w="72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126,4</w:t>
            </w:r>
          </w:p>
        </w:tc>
        <w:tc>
          <w:tcPr>
            <w:tcW w:w="72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134,5</w:t>
            </w:r>
          </w:p>
        </w:tc>
        <w:tc>
          <w:tcPr>
            <w:tcW w:w="72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125,0</w:t>
            </w:r>
          </w:p>
        </w:tc>
        <w:tc>
          <w:tcPr>
            <w:tcW w:w="722" w:type="dxa"/>
            <w:tcBorders>
              <w:top w:val="single" w:sz="12" w:space="0" w:color="auto"/>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110,8</w:t>
            </w:r>
          </w:p>
        </w:tc>
      </w:tr>
      <w:tr w:rsidR="001D2E73">
        <w:trPr>
          <w:trHeight w:val="252"/>
        </w:trPr>
        <w:tc>
          <w:tcPr>
            <w:tcW w:w="3038" w:type="dxa"/>
          </w:tcPr>
          <w:p w:rsidR="001D2E73" w:rsidRDefault="001D2E73">
            <w:pPr>
              <w:spacing w:before="40" w:after="40" w:line="220" w:lineRule="exact"/>
              <w:rPr>
                <w:sz w:val="18"/>
                <w:szCs w:val="18"/>
              </w:rPr>
            </w:pPr>
            <w:r>
              <w:rPr>
                <w:sz w:val="18"/>
                <w:szCs w:val="18"/>
              </w:rPr>
              <w:t>Producción industrial</w:t>
            </w:r>
          </w:p>
        </w:tc>
        <w:tc>
          <w:tcPr>
            <w:tcW w:w="722" w:type="dxa"/>
            <w:vAlign w:val="bottom"/>
          </w:tcPr>
          <w:p w:rsidR="001D2E73" w:rsidRDefault="001D2E73">
            <w:pPr>
              <w:spacing w:before="40" w:after="40" w:line="220" w:lineRule="exact"/>
              <w:jc w:val="right"/>
              <w:rPr>
                <w:sz w:val="18"/>
                <w:szCs w:val="18"/>
              </w:rPr>
            </w:pPr>
            <w:r>
              <w:rPr>
                <w:sz w:val="18"/>
                <w:szCs w:val="18"/>
              </w:rPr>
              <w:t>106,1</w:t>
            </w:r>
          </w:p>
        </w:tc>
        <w:tc>
          <w:tcPr>
            <w:tcW w:w="722" w:type="dxa"/>
            <w:vAlign w:val="bottom"/>
          </w:tcPr>
          <w:p w:rsidR="001D2E73" w:rsidRDefault="001D2E73">
            <w:pPr>
              <w:spacing w:before="40" w:after="40" w:line="220" w:lineRule="exact"/>
              <w:jc w:val="right"/>
              <w:rPr>
                <w:sz w:val="18"/>
                <w:szCs w:val="18"/>
              </w:rPr>
            </w:pPr>
            <w:r>
              <w:rPr>
                <w:sz w:val="18"/>
                <w:szCs w:val="18"/>
              </w:rPr>
              <w:t>105,7</w:t>
            </w:r>
          </w:p>
        </w:tc>
        <w:tc>
          <w:tcPr>
            <w:tcW w:w="722" w:type="dxa"/>
            <w:vAlign w:val="bottom"/>
          </w:tcPr>
          <w:p w:rsidR="001D2E73" w:rsidRDefault="001D2E73">
            <w:pPr>
              <w:spacing w:before="40" w:after="40" w:line="220" w:lineRule="exact"/>
              <w:jc w:val="right"/>
              <w:rPr>
                <w:sz w:val="18"/>
                <w:szCs w:val="18"/>
              </w:rPr>
            </w:pPr>
            <w:r>
              <w:rPr>
                <w:sz w:val="18"/>
                <w:szCs w:val="18"/>
              </w:rPr>
              <w:t>133,5</w:t>
            </w:r>
          </w:p>
        </w:tc>
        <w:tc>
          <w:tcPr>
            <w:tcW w:w="722" w:type="dxa"/>
            <w:vAlign w:val="bottom"/>
          </w:tcPr>
          <w:p w:rsidR="001D2E73" w:rsidRDefault="001D2E73">
            <w:pPr>
              <w:spacing w:before="40" w:after="40" w:line="220" w:lineRule="exact"/>
              <w:jc w:val="right"/>
              <w:rPr>
                <w:sz w:val="18"/>
                <w:szCs w:val="18"/>
              </w:rPr>
            </w:pPr>
            <w:r>
              <w:rPr>
                <w:sz w:val="18"/>
                <w:szCs w:val="18"/>
              </w:rPr>
              <w:t>136,6</w:t>
            </w:r>
          </w:p>
        </w:tc>
        <w:tc>
          <w:tcPr>
            <w:tcW w:w="722" w:type="dxa"/>
            <w:vAlign w:val="bottom"/>
          </w:tcPr>
          <w:p w:rsidR="001D2E73" w:rsidRDefault="001D2E73">
            <w:pPr>
              <w:spacing w:before="40" w:after="40" w:line="220" w:lineRule="exact"/>
              <w:jc w:val="right"/>
              <w:rPr>
                <w:sz w:val="18"/>
                <w:szCs w:val="18"/>
              </w:rPr>
            </w:pPr>
            <w:r>
              <w:rPr>
                <w:sz w:val="18"/>
                <w:szCs w:val="18"/>
              </w:rPr>
              <w:t>124,0</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106,0</w:t>
            </w:r>
          </w:p>
        </w:tc>
      </w:tr>
      <w:tr w:rsidR="001D2E73">
        <w:trPr>
          <w:trHeight w:val="252"/>
        </w:trPr>
        <w:tc>
          <w:tcPr>
            <w:tcW w:w="3038" w:type="dxa"/>
          </w:tcPr>
          <w:p w:rsidR="001D2E73" w:rsidRDefault="001D2E73">
            <w:pPr>
              <w:spacing w:before="40" w:after="40" w:line="220" w:lineRule="exact"/>
              <w:rPr>
                <w:sz w:val="18"/>
                <w:szCs w:val="18"/>
              </w:rPr>
            </w:pPr>
            <w:r>
              <w:rPr>
                <w:sz w:val="18"/>
                <w:szCs w:val="18"/>
              </w:rPr>
              <w:t>Inversiones fundamentales de capital</w:t>
            </w:r>
          </w:p>
        </w:tc>
        <w:tc>
          <w:tcPr>
            <w:tcW w:w="722" w:type="dxa"/>
            <w:vAlign w:val="bottom"/>
          </w:tcPr>
          <w:p w:rsidR="001D2E73" w:rsidRDefault="001D2E73">
            <w:pPr>
              <w:spacing w:before="40" w:after="40" w:line="220" w:lineRule="exact"/>
              <w:jc w:val="right"/>
              <w:rPr>
                <w:sz w:val="18"/>
                <w:szCs w:val="18"/>
              </w:rPr>
            </w:pPr>
            <w:r>
              <w:rPr>
                <w:sz w:val="18"/>
                <w:szCs w:val="18"/>
              </w:rPr>
              <w:t>173,8</w:t>
            </w:r>
          </w:p>
        </w:tc>
        <w:tc>
          <w:tcPr>
            <w:tcW w:w="722" w:type="dxa"/>
            <w:vAlign w:val="bottom"/>
          </w:tcPr>
          <w:p w:rsidR="001D2E73" w:rsidRDefault="001D2E73">
            <w:pPr>
              <w:spacing w:before="40" w:after="40" w:line="220" w:lineRule="exact"/>
              <w:jc w:val="right"/>
              <w:rPr>
                <w:sz w:val="18"/>
                <w:szCs w:val="18"/>
              </w:rPr>
            </w:pPr>
            <w:r>
              <w:rPr>
                <w:sz w:val="18"/>
                <w:szCs w:val="18"/>
              </w:rPr>
              <w:t>135,4</w:t>
            </w:r>
          </w:p>
        </w:tc>
        <w:tc>
          <w:tcPr>
            <w:tcW w:w="722" w:type="dxa"/>
            <w:vAlign w:val="bottom"/>
          </w:tcPr>
          <w:p w:rsidR="001D2E73" w:rsidRDefault="001D2E73">
            <w:pPr>
              <w:spacing w:before="40" w:after="40" w:line="220" w:lineRule="exact"/>
              <w:jc w:val="right"/>
              <w:rPr>
                <w:sz w:val="18"/>
                <w:szCs w:val="18"/>
              </w:rPr>
            </w:pPr>
            <w:r>
              <w:rPr>
                <w:sz w:val="18"/>
                <w:szCs w:val="18"/>
              </w:rPr>
              <w:t>116,6</w:t>
            </w:r>
          </w:p>
        </w:tc>
        <w:tc>
          <w:tcPr>
            <w:tcW w:w="722" w:type="dxa"/>
            <w:vAlign w:val="bottom"/>
          </w:tcPr>
          <w:p w:rsidR="001D2E73" w:rsidRDefault="001D2E73">
            <w:pPr>
              <w:spacing w:before="40" w:after="40" w:line="220" w:lineRule="exact"/>
              <w:jc w:val="right"/>
              <w:rPr>
                <w:sz w:val="18"/>
                <w:szCs w:val="18"/>
              </w:rPr>
            </w:pPr>
            <w:r>
              <w:rPr>
                <w:sz w:val="18"/>
                <w:szCs w:val="18"/>
              </w:rPr>
              <w:t>115,2</w:t>
            </w:r>
          </w:p>
        </w:tc>
        <w:tc>
          <w:tcPr>
            <w:tcW w:w="722" w:type="dxa"/>
            <w:vAlign w:val="bottom"/>
          </w:tcPr>
          <w:p w:rsidR="001D2E73" w:rsidRDefault="001D2E73">
            <w:pPr>
              <w:spacing w:before="40" w:after="40" w:line="220" w:lineRule="exact"/>
              <w:jc w:val="right"/>
              <w:rPr>
                <w:sz w:val="18"/>
                <w:szCs w:val="18"/>
              </w:rPr>
            </w:pPr>
            <w:r>
              <w:rPr>
                <w:sz w:val="18"/>
                <w:szCs w:val="18"/>
              </w:rPr>
              <w:t>123,8</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134,3</w:t>
            </w:r>
          </w:p>
        </w:tc>
      </w:tr>
      <w:tr w:rsidR="001D2E73">
        <w:trPr>
          <w:trHeight w:val="252"/>
        </w:trPr>
        <w:tc>
          <w:tcPr>
            <w:tcW w:w="3038" w:type="dxa"/>
          </w:tcPr>
          <w:p w:rsidR="001D2E73" w:rsidRDefault="001D2E73">
            <w:pPr>
              <w:spacing w:before="40" w:after="40" w:line="220" w:lineRule="exact"/>
              <w:rPr>
                <w:sz w:val="18"/>
                <w:szCs w:val="18"/>
              </w:rPr>
            </w:pPr>
            <w:r>
              <w:rPr>
                <w:sz w:val="18"/>
                <w:szCs w:val="18"/>
              </w:rPr>
              <w:t>Producción agrícola</w:t>
            </w:r>
          </w:p>
        </w:tc>
        <w:tc>
          <w:tcPr>
            <w:tcW w:w="722" w:type="dxa"/>
            <w:vAlign w:val="bottom"/>
          </w:tcPr>
          <w:p w:rsidR="001D2E73" w:rsidRDefault="001D2E73">
            <w:pPr>
              <w:spacing w:before="40" w:after="40" w:line="220" w:lineRule="exact"/>
              <w:jc w:val="right"/>
              <w:rPr>
                <w:sz w:val="18"/>
                <w:szCs w:val="18"/>
              </w:rPr>
            </w:pPr>
            <w:r>
              <w:rPr>
                <w:sz w:val="18"/>
                <w:szCs w:val="18"/>
              </w:rPr>
              <w:t>105,6</w:t>
            </w:r>
          </w:p>
        </w:tc>
        <w:tc>
          <w:tcPr>
            <w:tcW w:w="722" w:type="dxa"/>
            <w:vAlign w:val="bottom"/>
          </w:tcPr>
          <w:p w:rsidR="001D2E73" w:rsidRDefault="001D2E73">
            <w:pPr>
              <w:spacing w:before="40" w:after="40" w:line="220" w:lineRule="exact"/>
              <w:jc w:val="right"/>
              <w:rPr>
                <w:sz w:val="18"/>
                <w:szCs w:val="18"/>
              </w:rPr>
            </w:pPr>
            <w:r>
              <w:rPr>
                <w:sz w:val="18"/>
                <w:szCs w:val="18"/>
              </w:rPr>
              <w:t>104,6</w:t>
            </w:r>
          </w:p>
        </w:tc>
        <w:tc>
          <w:tcPr>
            <w:tcW w:w="722" w:type="dxa"/>
            <w:vAlign w:val="bottom"/>
          </w:tcPr>
          <w:p w:rsidR="001D2E73" w:rsidRDefault="001D2E73">
            <w:pPr>
              <w:spacing w:before="40" w:after="40" w:line="220" w:lineRule="exact"/>
              <w:jc w:val="right"/>
              <w:rPr>
                <w:sz w:val="18"/>
                <w:szCs w:val="18"/>
              </w:rPr>
            </w:pPr>
            <w:r>
              <w:rPr>
                <w:sz w:val="18"/>
                <w:szCs w:val="18"/>
              </w:rPr>
              <w:t>107,5</w:t>
            </w:r>
          </w:p>
        </w:tc>
        <w:tc>
          <w:tcPr>
            <w:tcW w:w="722" w:type="dxa"/>
            <w:vAlign w:val="bottom"/>
          </w:tcPr>
          <w:p w:rsidR="001D2E73" w:rsidRDefault="001D2E73">
            <w:pPr>
              <w:spacing w:before="40" w:after="40" w:line="220" w:lineRule="exact"/>
              <w:jc w:val="right"/>
              <w:rPr>
                <w:sz w:val="18"/>
                <w:szCs w:val="18"/>
              </w:rPr>
            </w:pPr>
            <w:r>
              <w:rPr>
                <w:sz w:val="18"/>
                <w:szCs w:val="18"/>
              </w:rPr>
              <w:t>100,9</w:t>
            </w:r>
          </w:p>
        </w:tc>
        <w:tc>
          <w:tcPr>
            <w:tcW w:w="722" w:type="dxa"/>
            <w:vAlign w:val="bottom"/>
          </w:tcPr>
          <w:p w:rsidR="001D2E73" w:rsidRDefault="001D2E73">
            <w:pPr>
              <w:spacing w:before="40" w:after="40" w:line="220" w:lineRule="exact"/>
              <w:jc w:val="right"/>
              <w:rPr>
                <w:sz w:val="18"/>
                <w:szCs w:val="18"/>
              </w:rPr>
            </w:pPr>
            <w:r>
              <w:rPr>
                <w:sz w:val="18"/>
                <w:szCs w:val="18"/>
              </w:rPr>
              <w:t>104,0</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106,1</w:t>
            </w:r>
          </w:p>
        </w:tc>
      </w:tr>
      <w:tr w:rsidR="001D2E73">
        <w:trPr>
          <w:trHeight w:val="470"/>
        </w:trPr>
        <w:tc>
          <w:tcPr>
            <w:tcW w:w="3038" w:type="dxa"/>
          </w:tcPr>
          <w:p w:rsidR="001D2E73" w:rsidRDefault="001D2E73">
            <w:pPr>
              <w:spacing w:before="40" w:after="40" w:line="220" w:lineRule="exact"/>
              <w:rPr>
                <w:sz w:val="18"/>
                <w:szCs w:val="18"/>
              </w:rPr>
            </w:pPr>
            <w:r>
              <w:rPr>
                <w:sz w:val="18"/>
                <w:szCs w:val="18"/>
              </w:rPr>
              <w:t>Transporte de carga en vehículos de uso común</w:t>
            </w:r>
          </w:p>
        </w:tc>
        <w:tc>
          <w:tcPr>
            <w:tcW w:w="722" w:type="dxa"/>
            <w:vAlign w:val="bottom"/>
          </w:tcPr>
          <w:p w:rsidR="001D2E73" w:rsidRDefault="001D2E73">
            <w:pPr>
              <w:spacing w:before="40" w:after="40" w:line="220" w:lineRule="exact"/>
              <w:jc w:val="right"/>
              <w:rPr>
                <w:sz w:val="18"/>
                <w:szCs w:val="18"/>
              </w:rPr>
            </w:pPr>
            <w:r>
              <w:rPr>
                <w:sz w:val="18"/>
                <w:szCs w:val="18"/>
              </w:rPr>
              <w:t>111,7</w:t>
            </w:r>
          </w:p>
        </w:tc>
        <w:tc>
          <w:tcPr>
            <w:tcW w:w="722" w:type="dxa"/>
            <w:vAlign w:val="bottom"/>
          </w:tcPr>
          <w:p w:rsidR="001D2E73" w:rsidRDefault="001D2E73">
            <w:pPr>
              <w:spacing w:before="40" w:after="40" w:line="220" w:lineRule="exact"/>
              <w:jc w:val="right"/>
              <w:rPr>
                <w:sz w:val="18"/>
                <w:szCs w:val="18"/>
              </w:rPr>
            </w:pPr>
            <w:r>
              <w:rPr>
                <w:sz w:val="18"/>
                <w:szCs w:val="18"/>
              </w:rPr>
              <w:t>106,6</w:t>
            </w:r>
          </w:p>
        </w:tc>
        <w:tc>
          <w:tcPr>
            <w:tcW w:w="722" w:type="dxa"/>
            <w:vAlign w:val="bottom"/>
          </w:tcPr>
          <w:p w:rsidR="001D2E73" w:rsidRDefault="001D2E73">
            <w:pPr>
              <w:spacing w:before="40" w:after="40" w:line="220" w:lineRule="exact"/>
              <w:jc w:val="right"/>
              <w:rPr>
                <w:sz w:val="18"/>
                <w:szCs w:val="18"/>
              </w:rPr>
            </w:pPr>
            <w:r>
              <w:rPr>
                <w:sz w:val="18"/>
                <w:szCs w:val="18"/>
              </w:rPr>
              <w:t>109,4</w:t>
            </w:r>
          </w:p>
        </w:tc>
        <w:tc>
          <w:tcPr>
            <w:tcW w:w="722" w:type="dxa"/>
            <w:vAlign w:val="bottom"/>
          </w:tcPr>
          <w:p w:rsidR="001D2E73" w:rsidRDefault="001D2E73">
            <w:pPr>
              <w:spacing w:before="40" w:after="40" w:line="220" w:lineRule="exact"/>
              <w:jc w:val="right"/>
              <w:rPr>
                <w:sz w:val="18"/>
                <w:szCs w:val="18"/>
              </w:rPr>
            </w:pPr>
            <w:r>
              <w:rPr>
                <w:sz w:val="18"/>
                <w:szCs w:val="18"/>
              </w:rPr>
              <w:t>113,5</w:t>
            </w:r>
          </w:p>
        </w:tc>
        <w:tc>
          <w:tcPr>
            <w:tcW w:w="722" w:type="dxa"/>
            <w:vAlign w:val="bottom"/>
          </w:tcPr>
          <w:p w:rsidR="001D2E73" w:rsidRDefault="001D2E73">
            <w:pPr>
              <w:spacing w:before="40" w:after="40" w:line="220" w:lineRule="exact"/>
              <w:jc w:val="right"/>
              <w:rPr>
                <w:sz w:val="18"/>
                <w:szCs w:val="18"/>
              </w:rPr>
            </w:pPr>
            <w:r>
              <w:rPr>
                <w:sz w:val="18"/>
                <w:szCs w:val="18"/>
              </w:rPr>
              <w:t>115,1</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109,2</w:t>
            </w:r>
          </w:p>
        </w:tc>
      </w:tr>
      <w:tr w:rsidR="001D2E73">
        <w:trPr>
          <w:trHeight w:val="252"/>
        </w:trPr>
        <w:tc>
          <w:tcPr>
            <w:tcW w:w="3038" w:type="dxa"/>
          </w:tcPr>
          <w:p w:rsidR="001D2E73" w:rsidRDefault="001D2E73">
            <w:pPr>
              <w:spacing w:before="40" w:after="40" w:line="220" w:lineRule="exact"/>
              <w:rPr>
                <w:sz w:val="18"/>
                <w:szCs w:val="18"/>
              </w:rPr>
            </w:pPr>
            <w:r>
              <w:rPr>
                <w:sz w:val="18"/>
                <w:szCs w:val="18"/>
              </w:rPr>
              <w:t>Volumen de servicios de telecomun</w:t>
            </w:r>
            <w:r>
              <w:rPr>
                <w:sz w:val="18"/>
                <w:szCs w:val="18"/>
              </w:rPr>
              <w:t>i</w:t>
            </w:r>
            <w:r>
              <w:rPr>
                <w:sz w:val="18"/>
                <w:szCs w:val="18"/>
              </w:rPr>
              <w:t>caciones</w:t>
            </w:r>
          </w:p>
        </w:tc>
        <w:tc>
          <w:tcPr>
            <w:tcW w:w="722" w:type="dxa"/>
            <w:vAlign w:val="bottom"/>
          </w:tcPr>
          <w:p w:rsidR="001D2E73" w:rsidRDefault="001D2E73">
            <w:pPr>
              <w:spacing w:before="40" w:after="40" w:line="220" w:lineRule="exact"/>
              <w:jc w:val="right"/>
              <w:rPr>
                <w:sz w:val="18"/>
                <w:szCs w:val="18"/>
              </w:rPr>
            </w:pPr>
            <w:r>
              <w:rPr>
                <w:sz w:val="18"/>
                <w:szCs w:val="18"/>
              </w:rPr>
              <w:t>123,0</w:t>
            </w:r>
          </w:p>
        </w:tc>
        <w:tc>
          <w:tcPr>
            <w:tcW w:w="722" w:type="dxa"/>
            <w:vAlign w:val="bottom"/>
          </w:tcPr>
          <w:p w:rsidR="001D2E73" w:rsidRDefault="001D2E73">
            <w:pPr>
              <w:spacing w:before="40" w:after="40" w:line="220" w:lineRule="exact"/>
              <w:jc w:val="right"/>
              <w:rPr>
                <w:sz w:val="18"/>
                <w:szCs w:val="18"/>
              </w:rPr>
            </w:pPr>
            <w:r>
              <w:rPr>
                <w:sz w:val="18"/>
                <w:szCs w:val="18"/>
              </w:rPr>
              <w:t>131,4</w:t>
            </w:r>
          </w:p>
        </w:tc>
        <w:tc>
          <w:tcPr>
            <w:tcW w:w="722" w:type="dxa"/>
            <w:vAlign w:val="bottom"/>
          </w:tcPr>
          <w:p w:rsidR="001D2E73" w:rsidRDefault="001D2E73">
            <w:pPr>
              <w:spacing w:before="40" w:after="40" w:line="220" w:lineRule="exact"/>
              <w:jc w:val="right"/>
              <w:rPr>
                <w:sz w:val="18"/>
                <w:szCs w:val="18"/>
              </w:rPr>
            </w:pPr>
            <w:r>
              <w:rPr>
                <w:sz w:val="18"/>
                <w:szCs w:val="18"/>
              </w:rPr>
              <w:t>138,1</w:t>
            </w:r>
          </w:p>
        </w:tc>
        <w:tc>
          <w:tcPr>
            <w:tcW w:w="722" w:type="dxa"/>
            <w:vAlign w:val="bottom"/>
          </w:tcPr>
          <w:p w:rsidR="001D2E73" w:rsidRDefault="001D2E73">
            <w:pPr>
              <w:spacing w:before="40" w:after="40" w:line="220" w:lineRule="exact"/>
              <w:jc w:val="right"/>
              <w:rPr>
                <w:sz w:val="18"/>
                <w:szCs w:val="18"/>
              </w:rPr>
            </w:pPr>
            <w:r>
              <w:rPr>
                <w:sz w:val="18"/>
                <w:szCs w:val="18"/>
              </w:rPr>
              <w:t>123,0</w:t>
            </w:r>
          </w:p>
        </w:tc>
        <w:tc>
          <w:tcPr>
            <w:tcW w:w="722" w:type="dxa"/>
            <w:vAlign w:val="bottom"/>
          </w:tcPr>
          <w:p w:rsidR="001D2E73" w:rsidRDefault="001D2E73">
            <w:pPr>
              <w:spacing w:before="40" w:after="40" w:line="220" w:lineRule="exact"/>
              <w:jc w:val="right"/>
              <w:rPr>
                <w:sz w:val="18"/>
                <w:szCs w:val="18"/>
              </w:rPr>
            </w:pPr>
            <w:r>
              <w:rPr>
                <w:sz w:val="18"/>
                <w:szCs w:val="18"/>
              </w:rPr>
              <w:t>127,3</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128,2</w:t>
            </w:r>
          </w:p>
        </w:tc>
      </w:tr>
      <w:tr w:rsidR="001D2E73">
        <w:trPr>
          <w:trHeight w:val="252"/>
        </w:trPr>
        <w:tc>
          <w:tcPr>
            <w:tcW w:w="3038" w:type="dxa"/>
          </w:tcPr>
          <w:p w:rsidR="001D2E73" w:rsidRDefault="001D2E73">
            <w:pPr>
              <w:spacing w:before="40" w:after="40" w:line="220" w:lineRule="exact"/>
              <w:rPr>
                <w:sz w:val="18"/>
                <w:szCs w:val="18"/>
              </w:rPr>
            </w:pPr>
            <w:r>
              <w:rPr>
                <w:sz w:val="18"/>
                <w:szCs w:val="18"/>
              </w:rPr>
              <w:t>Comercio minorista</w:t>
            </w:r>
          </w:p>
        </w:tc>
        <w:tc>
          <w:tcPr>
            <w:tcW w:w="722" w:type="dxa"/>
            <w:vAlign w:val="bottom"/>
          </w:tcPr>
          <w:p w:rsidR="001D2E73" w:rsidRDefault="001D2E73">
            <w:pPr>
              <w:spacing w:before="40" w:after="40" w:line="220" w:lineRule="exact"/>
              <w:jc w:val="right"/>
              <w:rPr>
                <w:sz w:val="18"/>
                <w:szCs w:val="18"/>
              </w:rPr>
            </w:pPr>
            <w:r>
              <w:rPr>
                <w:sz w:val="18"/>
                <w:szCs w:val="18"/>
              </w:rPr>
              <w:t>110,9</w:t>
            </w:r>
          </w:p>
        </w:tc>
        <w:tc>
          <w:tcPr>
            <w:tcW w:w="722" w:type="dxa"/>
            <w:vAlign w:val="bottom"/>
          </w:tcPr>
          <w:p w:rsidR="001D2E73" w:rsidRDefault="001D2E73">
            <w:pPr>
              <w:spacing w:before="40" w:after="40" w:line="220" w:lineRule="exact"/>
              <w:jc w:val="right"/>
              <w:rPr>
                <w:sz w:val="18"/>
                <w:szCs w:val="18"/>
              </w:rPr>
            </w:pPr>
            <w:r>
              <w:rPr>
                <w:sz w:val="18"/>
                <w:szCs w:val="18"/>
              </w:rPr>
              <w:t>113,0</w:t>
            </w:r>
          </w:p>
        </w:tc>
        <w:tc>
          <w:tcPr>
            <w:tcW w:w="722" w:type="dxa"/>
            <w:vAlign w:val="bottom"/>
          </w:tcPr>
          <w:p w:rsidR="001D2E73" w:rsidRDefault="001D2E73">
            <w:pPr>
              <w:spacing w:before="40" w:after="40" w:line="220" w:lineRule="exact"/>
              <w:jc w:val="right"/>
              <w:rPr>
                <w:sz w:val="18"/>
                <w:szCs w:val="18"/>
              </w:rPr>
            </w:pPr>
            <w:r>
              <w:rPr>
                <w:sz w:val="18"/>
                <w:szCs w:val="18"/>
              </w:rPr>
              <w:t>113,2</w:t>
            </w:r>
          </w:p>
        </w:tc>
        <w:tc>
          <w:tcPr>
            <w:tcW w:w="722" w:type="dxa"/>
            <w:vAlign w:val="bottom"/>
          </w:tcPr>
          <w:p w:rsidR="001D2E73" w:rsidRDefault="001D2E73">
            <w:pPr>
              <w:spacing w:before="40" w:after="40" w:line="220" w:lineRule="exact"/>
              <w:jc w:val="right"/>
              <w:rPr>
                <w:sz w:val="18"/>
                <w:szCs w:val="18"/>
              </w:rPr>
            </w:pPr>
            <w:r>
              <w:rPr>
                <w:sz w:val="18"/>
                <w:szCs w:val="18"/>
              </w:rPr>
              <w:t>113,5</w:t>
            </w:r>
          </w:p>
        </w:tc>
        <w:tc>
          <w:tcPr>
            <w:tcW w:w="722" w:type="dxa"/>
            <w:vAlign w:val="bottom"/>
          </w:tcPr>
          <w:p w:rsidR="001D2E73" w:rsidRDefault="001D2E73">
            <w:pPr>
              <w:spacing w:before="40" w:after="40" w:line="220" w:lineRule="exact"/>
              <w:jc w:val="right"/>
              <w:rPr>
                <w:sz w:val="18"/>
                <w:szCs w:val="18"/>
              </w:rPr>
            </w:pPr>
            <w:r>
              <w:rPr>
                <w:sz w:val="18"/>
                <w:szCs w:val="18"/>
              </w:rPr>
              <w:t>115,3</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116,1</w:t>
            </w:r>
          </w:p>
        </w:tc>
      </w:tr>
      <w:tr w:rsidR="001D2E73">
        <w:trPr>
          <w:trHeight w:val="252"/>
        </w:trPr>
        <w:tc>
          <w:tcPr>
            <w:tcW w:w="3038" w:type="dxa"/>
          </w:tcPr>
          <w:p w:rsidR="001D2E73" w:rsidRDefault="001D2E73">
            <w:pPr>
              <w:spacing w:before="40" w:after="40" w:line="220" w:lineRule="exact"/>
              <w:rPr>
                <w:sz w:val="18"/>
                <w:szCs w:val="18"/>
              </w:rPr>
            </w:pPr>
            <w:r>
              <w:rPr>
                <w:sz w:val="18"/>
                <w:szCs w:val="18"/>
              </w:rPr>
              <w:t>Servicios a la población</w:t>
            </w:r>
          </w:p>
        </w:tc>
        <w:tc>
          <w:tcPr>
            <w:tcW w:w="722" w:type="dxa"/>
            <w:vAlign w:val="bottom"/>
          </w:tcPr>
          <w:p w:rsidR="001D2E73" w:rsidRDefault="001D2E73">
            <w:pPr>
              <w:spacing w:before="40" w:after="40" w:line="220" w:lineRule="exact"/>
              <w:jc w:val="right"/>
              <w:rPr>
                <w:sz w:val="18"/>
                <w:szCs w:val="18"/>
              </w:rPr>
            </w:pPr>
            <w:r>
              <w:rPr>
                <w:sz w:val="18"/>
                <w:szCs w:val="18"/>
              </w:rPr>
              <w:t>111,7</w:t>
            </w:r>
          </w:p>
        </w:tc>
        <w:tc>
          <w:tcPr>
            <w:tcW w:w="722" w:type="dxa"/>
            <w:vAlign w:val="bottom"/>
          </w:tcPr>
          <w:p w:rsidR="001D2E73" w:rsidRDefault="001D2E73">
            <w:pPr>
              <w:spacing w:before="40" w:after="40" w:line="220" w:lineRule="exact"/>
              <w:jc w:val="right"/>
              <w:rPr>
                <w:sz w:val="18"/>
                <w:szCs w:val="18"/>
              </w:rPr>
            </w:pPr>
            <w:r>
              <w:rPr>
                <w:sz w:val="18"/>
                <w:szCs w:val="18"/>
              </w:rPr>
              <w:t>116,4</w:t>
            </w:r>
          </w:p>
        </w:tc>
        <w:tc>
          <w:tcPr>
            <w:tcW w:w="722" w:type="dxa"/>
            <w:vAlign w:val="bottom"/>
          </w:tcPr>
          <w:p w:rsidR="001D2E73" w:rsidRDefault="001D2E73">
            <w:pPr>
              <w:spacing w:before="40" w:after="40" w:line="220" w:lineRule="exact"/>
              <w:jc w:val="right"/>
              <w:rPr>
                <w:sz w:val="18"/>
                <w:szCs w:val="18"/>
              </w:rPr>
            </w:pPr>
            <w:r>
              <w:rPr>
                <w:sz w:val="18"/>
                <w:szCs w:val="18"/>
              </w:rPr>
              <w:t>126,1</w:t>
            </w:r>
          </w:p>
        </w:tc>
        <w:tc>
          <w:tcPr>
            <w:tcW w:w="722" w:type="dxa"/>
            <w:vAlign w:val="bottom"/>
          </w:tcPr>
          <w:p w:rsidR="001D2E73" w:rsidRDefault="001D2E73">
            <w:pPr>
              <w:spacing w:before="40" w:after="40" w:line="220" w:lineRule="exact"/>
              <w:jc w:val="right"/>
              <w:rPr>
                <w:sz w:val="18"/>
                <w:szCs w:val="18"/>
              </w:rPr>
            </w:pPr>
            <w:r>
              <w:rPr>
                <w:sz w:val="18"/>
                <w:szCs w:val="18"/>
              </w:rPr>
              <w:t>142,1</w:t>
            </w:r>
          </w:p>
        </w:tc>
        <w:tc>
          <w:tcPr>
            <w:tcW w:w="722" w:type="dxa"/>
            <w:vAlign w:val="bottom"/>
          </w:tcPr>
          <w:p w:rsidR="001D2E73" w:rsidRDefault="001D2E73">
            <w:pPr>
              <w:spacing w:before="40" w:after="40" w:line="220" w:lineRule="exact"/>
              <w:jc w:val="right"/>
              <w:rPr>
                <w:sz w:val="18"/>
                <w:szCs w:val="18"/>
              </w:rPr>
            </w:pPr>
            <w:r>
              <w:rPr>
                <w:sz w:val="18"/>
                <w:szCs w:val="18"/>
              </w:rPr>
              <w:t>133,8</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129,7</w:t>
            </w:r>
          </w:p>
        </w:tc>
      </w:tr>
      <w:tr w:rsidR="001D2E73">
        <w:trPr>
          <w:trHeight w:val="252"/>
        </w:trPr>
        <w:tc>
          <w:tcPr>
            <w:tcW w:w="3038" w:type="dxa"/>
          </w:tcPr>
          <w:p w:rsidR="001D2E73" w:rsidRDefault="001D2E73">
            <w:pPr>
              <w:spacing w:before="40" w:after="40" w:line="220" w:lineRule="exact"/>
              <w:rPr>
                <w:sz w:val="18"/>
                <w:szCs w:val="18"/>
              </w:rPr>
            </w:pPr>
            <w:r>
              <w:rPr>
                <w:sz w:val="18"/>
                <w:szCs w:val="18"/>
              </w:rPr>
              <w:t>Comercio exterior, en particular:</w:t>
            </w:r>
          </w:p>
        </w:tc>
        <w:tc>
          <w:tcPr>
            <w:tcW w:w="722" w:type="dxa"/>
            <w:vAlign w:val="bottom"/>
          </w:tcPr>
          <w:p w:rsidR="001D2E73" w:rsidRDefault="001D2E73">
            <w:pPr>
              <w:spacing w:before="40" w:after="40" w:line="220" w:lineRule="exact"/>
              <w:jc w:val="right"/>
              <w:rPr>
                <w:sz w:val="18"/>
                <w:szCs w:val="18"/>
              </w:rPr>
            </w:pPr>
            <w:r>
              <w:rPr>
                <w:sz w:val="18"/>
                <w:szCs w:val="18"/>
              </w:rPr>
              <w:t>136,1</w:t>
            </w:r>
          </w:p>
        </w:tc>
        <w:tc>
          <w:tcPr>
            <w:tcW w:w="722" w:type="dxa"/>
            <w:vAlign w:val="bottom"/>
          </w:tcPr>
          <w:p w:rsidR="001D2E73" w:rsidRDefault="001D2E73">
            <w:pPr>
              <w:spacing w:before="40" w:after="40" w:line="220" w:lineRule="exact"/>
              <w:jc w:val="right"/>
              <w:rPr>
                <w:sz w:val="18"/>
                <w:szCs w:val="18"/>
              </w:rPr>
            </w:pPr>
            <w:r>
              <w:rPr>
                <w:sz w:val="18"/>
                <w:szCs w:val="18"/>
              </w:rPr>
              <w:t>136,7</w:t>
            </w:r>
          </w:p>
        </w:tc>
        <w:tc>
          <w:tcPr>
            <w:tcW w:w="722" w:type="dxa"/>
            <w:vAlign w:val="bottom"/>
          </w:tcPr>
          <w:p w:rsidR="001D2E73" w:rsidRDefault="001D2E73">
            <w:pPr>
              <w:spacing w:before="40" w:after="40" w:line="220" w:lineRule="exact"/>
              <w:jc w:val="right"/>
              <w:rPr>
                <w:sz w:val="18"/>
                <w:szCs w:val="18"/>
              </w:rPr>
            </w:pPr>
            <w:r>
              <w:rPr>
                <w:sz w:val="18"/>
                <w:szCs w:val="18"/>
              </w:rPr>
              <w:t>120,0</w:t>
            </w:r>
          </w:p>
        </w:tc>
        <w:tc>
          <w:tcPr>
            <w:tcW w:w="722" w:type="dxa"/>
            <w:vAlign w:val="bottom"/>
          </w:tcPr>
          <w:p w:rsidR="001D2E73" w:rsidRDefault="001D2E73">
            <w:pPr>
              <w:spacing w:before="40" w:after="40" w:line="220" w:lineRule="exact"/>
              <w:jc w:val="right"/>
              <w:rPr>
                <w:sz w:val="18"/>
                <w:szCs w:val="18"/>
              </w:rPr>
            </w:pPr>
            <w:r>
              <w:rPr>
                <w:sz w:val="18"/>
                <w:szCs w:val="18"/>
              </w:rPr>
              <w:t>136,0</w:t>
            </w:r>
          </w:p>
        </w:tc>
        <w:tc>
          <w:tcPr>
            <w:tcW w:w="722" w:type="dxa"/>
            <w:vAlign w:val="bottom"/>
          </w:tcPr>
          <w:p w:rsidR="001D2E73" w:rsidRDefault="001D2E73">
            <w:pPr>
              <w:spacing w:before="40" w:after="40" w:line="220" w:lineRule="exact"/>
              <w:jc w:val="right"/>
              <w:rPr>
                <w:sz w:val="18"/>
                <w:szCs w:val="18"/>
              </w:rPr>
            </w:pPr>
            <w:r>
              <w:rPr>
                <w:sz w:val="18"/>
                <w:szCs w:val="18"/>
              </w:rPr>
              <w:t>101,1</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466,5</w:t>
            </w:r>
          </w:p>
        </w:tc>
      </w:tr>
      <w:tr w:rsidR="001D2E73">
        <w:trPr>
          <w:trHeight w:val="252"/>
        </w:trPr>
        <w:tc>
          <w:tcPr>
            <w:tcW w:w="3038" w:type="dxa"/>
          </w:tcPr>
          <w:p w:rsidR="001D2E73" w:rsidRDefault="001D2E73">
            <w:pPr>
              <w:tabs>
                <w:tab w:val="left" w:pos="165"/>
              </w:tabs>
              <w:spacing w:before="40" w:after="40" w:line="220" w:lineRule="exact"/>
              <w:rPr>
                <w:sz w:val="18"/>
                <w:szCs w:val="18"/>
              </w:rPr>
            </w:pPr>
            <w:r>
              <w:rPr>
                <w:sz w:val="18"/>
                <w:szCs w:val="18"/>
              </w:rPr>
              <w:tab/>
              <w:t>volumen de exportación</w:t>
            </w:r>
          </w:p>
        </w:tc>
        <w:tc>
          <w:tcPr>
            <w:tcW w:w="722" w:type="dxa"/>
            <w:vAlign w:val="bottom"/>
          </w:tcPr>
          <w:p w:rsidR="001D2E73" w:rsidRDefault="001D2E73">
            <w:pPr>
              <w:spacing w:before="40" w:after="40" w:line="220" w:lineRule="exact"/>
              <w:jc w:val="right"/>
              <w:rPr>
                <w:sz w:val="18"/>
                <w:szCs w:val="18"/>
              </w:rPr>
            </w:pPr>
            <w:r>
              <w:rPr>
                <w:sz w:val="18"/>
                <w:szCs w:val="18"/>
              </w:rPr>
              <w:t>119,5</w:t>
            </w:r>
          </w:p>
        </w:tc>
        <w:tc>
          <w:tcPr>
            <w:tcW w:w="722" w:type="dxa"/>
            <w:vAlign w:val="bottom"/>
          </w:tcPr>
          <w:p w:rsidR="001D2E73" w:rsidRDefault="001D2E73">
            <w:pPr>
              <w:spacing w:before="40" w:after="40" w:line="220" w:lineRule="exact"/>
              <w:jc w:val="right"/>
              <w:rPr>
                <w:sz w:val="18"/>
                <w:szCs w:val="18"/>
              </w:rPr>
            </w:pPr>
            <w:r>
              <w:rPr>
                <w:sz w:val="18"/>
                <w:szCs w:val="18"/>
              </w:rPr>
              <w:t>139,6</w:t>
            </w:r>
          </w:p>
        </w:tc>
        <w:tc>
          <w:tcPr>
            <w:tcW w:w="722" w:type="dxa"/>
            <w:vAlign w:val="bottom"/>
          </w:tcPr>
          <w:p w:rsidR="001D2E73" w:rsidRDefault="001D2E73">
            <w:pPr>
              <w:spacing w:before="40" w:after="40" w:line="220" w:lineRule="exact"/>
              <w:jc w:val="right"/>
              <w:rPr>
                <w:sz w:val="18"/>
                <w:szCs w:val="18"/>
              </w:rPr>
            </w:pPr>
            <w:r>
              <w:rPr>
                <w:sz w:val="18"/>
                <w:szCs w:val="18"/>
              </w:rPr>
              <w:t>120,2</w:t>
            </w:r>
          </w:p>
        </w:tc>
        <w:tc>
          <w:tcPr>
            <w:tcW w:w="722" w:type="dxa"/>
            <w:vAlign w:val="bottom"/>
          </w:tcPr>
          <w:p w:rsidR="001D2E73" w:rsidRDefault="001D2E73">
            <w:pPr>
              <w:spacing w:before="40" w:after="40" w:line="220" w:lineRule="exact"/>
              <w:jc w:val="right"/>
              <w:rPr>
                <w:sz w:val="18"/>
                <w:szCs w:val="18"/>
              </w:rPr>
            </w:pPr>
            <w:r>
              <w:rPr>
                <w:sz w:val="18"/>
                <w:szCs w:val="18"/>
              </w:rPr>
              <w:t>146,6</w:t>
            </w:r>
          </w:p>
        </w:tc>
        <w:tc>
          <w:tcPr>
            <w:tcW w:w="722" w:type="dxa"/>
            <w:vAlign w:val="bottom"/>
          </w:tcPr>
          <w:p w:rsidR="001D2E73" w:rsidRDefault="001D2E73">
            <w:pPr>
              <w:spacing w:before="40" w:after="40" w:line="220" w:lineRule="exact"/>
              <w:jc w:val="right"/>
              <w:rPr>
                <w:sz w:val="18"/>
                <w:szCs w:val="18"/>
              </w:rPr>
            </w:pPr>
            <w:r>
              <w:rPr>
                <w:sz w:val="18"/>
                <w:szCs w:val="18"/>
              </w:rPr>
              <w:t>95,1</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788,3</w:t>
            </w:r>
          </w:p>
        </w:tc>
      </w:tr>
      <w:tr w:rsidR="001D2E73">
        <w:trPr>
          <w:trHeight w:val="252"/>
        </w:trPr>
        <w:tc>
          <w:tcPr>
            <w:tcW w:w="3038" w:type="dxa"/>
          </w:tcPr>
          <w:p w:rsidR="001D2E73" w:rsidRDefault="001D2E73">
            <w:pPr>
              <w:tabs>
                <w:tab w:val="left" w:pos="165"/>
              </w:tabs>
              <w:spacing w:before="40" w:after="40" w:line="220" w:lineRule="exact"/>
              <w:rPr>
                <w:sz w:val="18"/>
                <w:szCs w:val="18"/>
              </w:rPr>
            </w:pPr>
            <w:r>
              <w:rPr>
                <w:sz w:val="18"/>
                <w:szCs w:val="18"/>
              </w:rPr>
              <w:tab/>
              <w:t>volumen de importación</w:t>
            </w:r>
          </w:p>
        </w:tc>
        <w:tc>
          <w:tcPr>
            <w:tcW w:w="722" w:type="dxa"/>
            <w:vAlign w:val="bottom"/>
          </w:tcPr>
          <w:p w:rsidR="001D2E73" w:rsidRDefault="001D2E73">
            <w:pPr>
              <w:spacing w:before="40" w:after="40" w:line="220" w:lineRule="exact"/>
              <w:jc w:val="right"/>
              <w:rPr>
                <w:sz w:val="18"/>
                <w:szCs w:val="18"/>
              </w:rPr>
            </w:pPr>
            <w:r>
              <w:rPr>
                <w:sz w:val="18"/>
                <w:szCs w:val="18"/>
              </w:rPr>
              <w:t>157,7</w:t>
            </w:r>
          </w:p>
        </w:tc>
        <w:tc>
          <w:tcPr>
            <w:tcW w:w="722" w:type="dxa"/>
            <w:vAlign w:val="bottom"/>
          </w:tcPr>
          <w:p w:rsidR="001D2E73" w:rsidRDefault="001D2E73">
            <w:pPr>
              <w:spacing w:before="40" w:after="40" w:line="220" w:lineRule="exact"/>
              <w:jc w:val="right"/>
              <w:rPr>
                <w:sz w:val="18"/>
                <w:szCs w:val="18"/>
              </w:rPr>
            </w:pPr>
            <w:r>
              <w:rPr>
                <w:sz w:val="18"/>
                <w:szCs w:val="18"/>
              </w:rPr>
              <w:t>133,9</w:t>
            </w:r>
          </w:p>
        </w:tc>
        <w:tc>
          <w:tcPr>
            <w:tcW w:w="722" w:type="dxa"/>
            <w:vAlign w:val="bottom"/>
          </w:tcPr>
          <w:p w:rsidR="001D2E73" w:rsidRDefault="001D2E73">
            <w:pPr>
              <w:spacing w:before="40" w:after="40" w:line="220" w:lineRule="exact"/>
              <w:jc w:val="right"/>
              <w:rPr>
                <w:sz w:val="18"/>
                <w:szCs w:val="18"/>
              </w:rPr>
            </w:pPr>
            <w:r>
              <w:rPr>
                <w:sz w:val="18"/>
                <w:szCs w:val="18"/>
              </w:rPr>
              <w:t>119,8</w:t>
            </w:r>
          </w:p>
        </w:tc>
        <w:tc>
          <w:tcPr>
            <w:tcW w:w="722" w:type="dxa"/>
            <w:vAlign w:val="bottom"/>
          </w:tcPr>
          <w:p w:rsidR="001D2E73" w:rsidRDefault="001D2E73">
            <w:pPr>
              <w:spacing w:before="40" w:after="40" w:line="220" w:lineRule="exact"/>
              <w:jc w:val="right"/>
              <w:rPr>
                <w:sz w:val="18"/>
                <w:szCs w:val="18"/>
              </w:rPr>
            </w:pPr>
            <w:r>
              <w:rPr>
                <w:sz w:val="18"/>
                <w:szCs w:val="18"/>
              </w:rPr>
              <w:t>125,1</w:t>
            </w:r>
          </w:p>
        </w:tc>
        <w:tc>
          <w:tcPr>
            <w:tcW w:w="722" w:type="dxa"/>
            <w:vAlign w:val="bottom"/>
          </w:tcPr>
          <w:p w:rsidR="001D2E73" w:rsidRDefault="001D2E73">
            <w:pPr>
              <w:spacing w:before="40" w:after="40" w:line="220" w:lineRule="exact"/>
              <w:jc w:val="right"/>
              <w:rPr>
                <w:sz w:val="18"/>
                <w:szCs w:val="18"/>
              </w:rPr>
            </w:pPr>
            <w:r>
              <w:rPr>
                <w:sz w:val="18"/>
                <w:szCs w:val="18"/>
              </w:rPr>
              <w:t>108,5</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125,4</w:t>
            </w:r>
          </w:p>
        </w:tc>
      </w:tr>
      <w:tr w:rsidR="001D2E73">
        <w:trPr>
          <w:trHeight w:val="252"/>
        </w:trPr>
        <w:tc>
          <w:tcPr>
            <w:tcW w:w="3038" w:type="dxa"/>
          </w:tcPr>
          <w:p w:rsidR="001D2E73" w:rsidRDefault="001D2E73">
            <w:pPr>
              <w:spacing w:before="40" w:after="40" w:line="220" w:lineRule="exact"/>
              <w:rPr>
                <w:sz w:val="18"/>
                <w:szCs w:val="18"/>
              </w:rPr>
            </w:pPr>
            <w:r>
              <w:rPr>
                <w:sz w:val="18"/>
                <w:szCs w:val="18"/>
              </w:rPr>
              <w:t xml:space="preserve">Ingresos de la población </w:t>
            </w:r>
          </w:p>
        </w:tc>
        <w:tc>
          <w:tcPr>
            <w:tcW w:w="722" w:type="dxa"/>
            <w:vAlign w:val="bottom"/>
          </w:tcPr>
          <w:p w:rsidR="001D2E73" w:rsidRDefault="001D2E73">
            <w:pPr>
              <w:spacing w:before="40" w:after="40" w:line="220" w:lineRule="exact"/>
              <w:jc w:val="right"/>
              <w:rPr>
                <w:sz w:val="18"/>
                <w:szCs w:val="18"/>
              </w:rPr>
            </w:pPr>
            <w:r>
              <w:rPr>
                <w:sz w:val="18"/>
                <w:szCs w:val="18"/>
              </w:rPr>
              <w:t>114,3</w:t>
            </w:r>
          </w:p>
        </w:tc>
        <w:tc>
          <w:tcPr>
            <w:tcW w:w="722" w:type="dxa"/>
            <w:vAlign w:val="bottom"/>
          </w:tcPr>
          <w:p w:rsidR="001D2E73" w:rsidRDefault="001D2E73">
            <w:pPr>
              <w:spacing w:before="40" w:after="40" w:line="220" w:lineRule="exact"/>
              <w:jc w:val="right"/>
              <w:rPr>
                <w:sz w:val="18"/>
                <w:szCs w:val="18"/>
              </w:rPr>
            </w:pPr>
            <w:r>
              <w:rPr>
                <w:sz w:val="18"/>
                <w:szCs w:val="18"/>
              </w:rPr>
              <w:t>114,9</w:t>
            </w:r>
          </w:p>
        </w:tc>
        <w:tc>
          <w:tcPr>
            <w:tcW w:w="722" w:type="dxa"/>
            <w:vAlign w:val="bottom"/>
          </w:tcPr>
          <w:p w:rsidR="001D2E73" w:rsidRDefault="001D2E73">
            <w:pPr>
              <w:spacing w:before="40" w:after="40" w:line="220" w:lineRule="exact"/>
              <w:jc w:val="right"/>
              <w:rPr>
                <w:sz w:val="18"/>
                <w:szCs w:val="18"/>
              </w:rPr>
            </w:pPr>
            <w:r>
              <w:rPr>
                <w:sz w:val="18"/>
                <w:szCs w:val="18"/>
              </w:rPr>
              <w:t>122,3</w:t>
            </w:r>
          </w:p>
        </w:tc>
        <w:tc>
          <w:tcPr>
            <w:tcW w:w="722" w:type="dxa"/>
            <w:vAlign w:val="bottom"/>
          </w:tcPr>
          <w:p w:rsidR="001D2E73" w:rsidRDefault="001D2E73">
            <w:pPr>
              <w:spacing w:before="40" w:after="40" w:line="220" w:lineRule="exact"/>
              <w:jc w:val="right"/>
              <w:rPr>
                <w:sz w:val="18"/>
                <w:szCs w:val="18"/>
              </w:rPr>
            </w:pPr>
            <w:r>
              <w:rPr>
                <w:sz w:val="18"/>
                <w:szCs w:val="18"/>
              </w:rPr>
              <w:t>126,5</w:t>
            </w:r>
          </w:p>
        </w:tc>
        <w:tc>
          <w:tcPr>
            <w:tcW w:w="722" w:type="dxa"/>
            <w:vAlign w:val="bottom"/>
          </w:tcPr>
          <w:p w:rsidR="001D2E73" w:rsidRDefault="001D2E73">
            <w:pPr>
              <w:spacing w:before="40" w:after="40" w:line="220" w:lineRule="exact"/>
              <w:jc w:val="right"/>
              <w:rPr>
                <w:sz w:val="18"/>
                <w:szCs w:val="18"/>
              </w:rPr>
            </w:pPr>
            <w:r>
              <w:rPr>
                <w:sz w:val="18"/>
                <w:szCs w:val="18"/>
              </w:rPr>
              <w:t>142,7</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137,8</w:t>
            </w:r>
          </w:p>
        </w:tc>
      </w:tr>
      <w:tr w:rsidR="001D2E73">
        <w:trPr>
          <w:trHeight w:val="252"/>
        </w:trPr>
        <w:tc>
          <w:tcPr>
            <w:tcW w:w="3038" w:type="dxa"/>
          </w:tcPr>
          <w:p w:rsidR="001D2E73" w:rsidRDefault="001D2E73">
            <w:pPr>
              <w:spacing w:before="40" w:after="40" w:line="220" w:lineRule="exact"/>
              <w:rPr>
                <w:sz w:val="18"/>
                <w:szCs w:val="18"/>
              </w:rPr>
            </w:pPr>
            <w:r>
              <w:rPr>
                <w:sz w:val="18"/>
                <w:szCs w:val="18"/>
              </w:rPr>
              <w:t>Ingresos per cápita</w:t>
            </w:r>
          </w:p>
        </w:tc>
        <w:tc>
          <w:tcPr>
            <w:tcW w:w="722" w:type="dxa"/>
            <w:vAlign w:val="bottom"/>
          </w:tcPr>
          <w:p w:rsidR="001D2E73" w:rsidRDefault="001D2E73">
            <w:pPr>
              <w:spacing w:before="40" w:after="40" w:line="220" w:lineRule="exact"/>
              <w:jc w:val="right"/>
              <w:rPr>
                <w:sz w:val="18"/>
                <w:szCs w:val="18"/>
              </w:rPr>
            </w:pPr>
            <w:r>
              <w:rPr>
                <w:sz w:val="18"/>
                <w:szCs w:val="18"/>
              </w:rPr>
              <w:t>113,5</w:t>
            </w:r>
          </w:p>
        </w:tc>
        <w:tc>
          <w:tcPr>
            <w:tcW w:w="722" w:type="dxa"/>
            <w:vAlign w:val="bottom"/>
          </w:tcPr>
          <w:p w:rsidR="001D2E73" w:rsidRDefault="001D2E73">
            <w:pPr>
              <w:spacing w:before="40" w:after="40" w:line="220" w:lineRule="exact"/>
              <w:jc w:val="right"/>
              <w:rPr>
                <w:sz w:val="18"/>
                <w:szCs w:val="18"/>
              </w:rPr>
            </w:pPr>
            <w:r>
              <w:rPr>
                <w:sz w:val="18"/>
                <w:szCs w:val="18"/>
              </w:rPr>
              <w:t>113,9</w:t>
            </w:r>
          </w:p>
        </w:tc>
        <w:tc>
          <w:tcPr>
            <w:tcW w:w="722" w:type="dxa"/>
            <w:vAlign w:val="bottom"/>
          </w:tcPr>
          <w:p w:rsidR="001D2E73" w:rsidRDefault="001D2E73">
            <w:pPr>
              <w:spacing w:before="40" w:after="40" w:line="220" w:lineRule="exact"/>
              <w:jc w:val="right"/>
              <w:rPr>
                <w:sz w:val="18"/>
                <w:szCs w:val="18"/>
              </w:rPr>
            </w:pPr>
            <w:r>
              <w:rPr>
                <w:sz w:val="18"/>
                <w:szCs w:val="18"/>
              </w:rPr>
              <w:t>121,0</w:t>
            </w:r>
          </w:p>
        </w:tc>
        <w:tc>
          <w:tcPr>
            <w:tcW w:w="722" w:type="dxa"/>
            <w:vAlign w:val="bottom"/>
          </w:tcPr>
          <w:p w:rsidR="001D2E73" w:rsidRDefault="001D2E73">
            <w:pPr>
              <w:spacing w:before="40" w:after="40" w:line="220" w:lineRule="exact"/>
              <w:jc w:val="right"/>
              <w:rPr>
                <w:sz w:val="18"/>
                <w:szCs w:val="18"/>
              </w:rPr>
            </w:pPr>
            <w:r>
              <w:rPr>
                <w:sz w:val="18"/>
                <w:szCs w:val="18"/>
              </w:rPr>
              <w:t>125,1</w:t>
            </w:r>
          </w:p>
        </w:tc>
        <w:tc>
          <w:tcPr>
            <w:tcW w:w="722" w:type="dxa"/>
            <w:vAlign w:val="bottom"/>
          </w:tcPr>
          <w:p w:rsidR="001D2E73" w:rsidRDefault="001D2E73">
            <w:pPr>
              <w:spacing w:before="40" w:after="40" w:line="220" w:lineRule="exact"/>
              <w:jc w:val="right"/>
              <w:rPr>
                <w:sz w:val="18"/>
                <w:szCs w:val="18"/>
              </w:rPr>
            </w:pPr>
            <w:r>
              <w:rPr>
                <w:sz w:val="18"/>
                <w:szCs w:val="18"/>
              </w:rPr>
              <w:t>141,1</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136,2</w:t>
            </w:r>
          </w:p>
        </w:tc>
      </w:tr>
      <w:tr w:rsidR="001D2E73">
        <w:trPr>
          <w:trHeight w:val="481"/>
        </w:trPr>
        <w:tc>
          <w:tcPr>
            <w:tcW w:w="3038" w:type="dxa"/>
            <w:tcBorders>
              <w:bottom w:val="nil"/>
            </w:tcBorders>
          </w:tcPr>
          <w:p w:rsidR="001D2E73" w:rsidRDefault="001D2E73">
            <w:pPr>
              <w:spacing w:before="40" w:after="40" w:line="220" w:lineRule="exact"/>
              <w:rPr>
                <w:sz w:val="18"/>
                <w:szCs w:val="18"/>
              </w:rPr>
            </w:pPr>
            <w:r>
              <w:rPr>
                <w:sz w:val="18"/>
                <w:szCs w:val="18"/>
              </w:rPr>
              <w:t>Salario medio mensual nominal de los trabajadores</w:t>
            </w:r>
          </w:p>
        </w:tc>
        <w:tc>
          <w:tcPr>
            <w:tcW w:w="722" w:type="dxa"/>
            <w:tcBorders>
              <w:bottom w:val="nil"/>
            </w:tcBorders>
            <w:vAlign w:val="bottom"/>
          </w:tcPr>
          <w:p w:rsidR="001D2E73" w:rsidRDefault="001D2E73">
            <w:pPr>
              <w:spacing w:before="40" w:after="40" w:line="220" w:lineRule="exact"/>
              <w:jc w:val="right"/>
              <w:rPr>
                <w:sz w:val="18"/>
                <w:szCs w:val="18"/>
              </w:rPr>
            </w:pPr>
            <w:r>
              <w:rPr>
                <w:sz w:val="18"/>
                <w:szCs w:val="18"/>
              </w:rPr>
              <w:t>122,7</w:t>
            </w:r>
          </w:p>
        </w:tc>
        <w:tc>
          <w:tcPr>
            <w:tcW w:w="722" w:type="dxa"/>
            <w:tcBorders>
              <w:bottom w:val="nil"/>
            </w:tcBorders>
            <w:vAlign w:val="bottom"/>
          </w:tcPr>
          <w:p w:rsidR="001D2E73" w:rsidRDefault="001D2E73">
            <w:pPr>
              <w:spacing w:before="40" w:after="40" w:line="220" w:lineRule="exact"/>
              <w:jc w:val="right"/>
              <w:rPr>
                <w:sz w:val="18"/>
                <w:szCs w:val="18"/>
              </w:rPr>
            </w:pPr>
            <w:r>
              <w:rPr>
                <w:sz w:val="18"/>
                <w:szCs w:val="18"/>
              </w:rPr>
              <w:t>128,5</w:t>
            </w:r>
          </w:p>
        </w:tc>
        <w:tc>
          <w:tcPr>
            <w:tcW w:w="722" w:type="dxa"/>
            <w:tcBorders>
              <w:bottom w:val="nil"/>
            </w:tcBorders>
            <w:vAlign w:val="bottom"/>
          </w:tcPr>
          <w:p w:rsidR="001D2E73" w:rsidRDefault="001D2E73">
            <w:pPr>
              <w:spacing w:before="40" w:after="40" w:line="220" w:lineRule="exact"/>
              <w:jc w:val="right"/>
              <w:rPr>
                <w:sz w:val="18"/>
                <w:szCs w:val="18"/>
              </w:rPr>
            </w:pPr>
            <w:r>
              <w:rPr>
                <w:sz w:val="18"/>
                <w:szCs w:val="18"/>
              </w:rPr>
              <w:t>124,3</w:t>
            </w:r>
          </w:p>
        </w:tc>
        <w:tc>
          <w:tcPr>
            <w:tcW w:w="722" w:type="dxa"/>
            <w:tcBorders>
              <w:bottom w:val="nil"/>
            </w:tcBorders>
            <w:vAlign w:val="bottom"/>
          </w:tcPr>
          <w:p w:rsidR="001D2E73" w:rsidRDefault="001D2E73">
            <w:pPr>
              <w:spacing w:before="40" w:after="40" w:line="220" w:lineRule="exact"/>
              <w:jc w:val="right"/>
              <w:rPr>
                <w:sz w:val="18"/>
                <w:szCs w:val="18"/>
              </w:rPr>
            </w:pPr>
            <w:r>
              <w:rPr>
                <w:sz w:val="18"/>
                <w:szCs w:val="18"/>
              </w:rPr>
              <w:t>120,6</w:t>
            </w:r>
          </w:p>
        </w:tc>
        <w:tc>
          <w:tcPr>
            <w:tcW w:w="722" w:type="dxa"/>
            <w:tcBorders>
              <w:bottom w:val="nil"/>
            </w:tcBorders>
            <w:vAlign w:val="bottom"/>
          </w:tcPr>
          <w:p w:rsidR="001D2E73" w:rsidRDefault="001D2E73">
            <w:pPr>
              <w:spacing w:before="40" w:after="40" w:line="220" w:lineRule="exact"/>
              <w:jc w:val="right"/>
              <w:rPr>
                <w:sz w:val="18"/>
                <w:szCs w:val="18"/>
              </w:rPr>
            </w:pPr>
            <w:r>
              <w:rPr>
                <w:sz w:val="18"/>
                <w:szCs w:val="18"/>
              </w:rPr>
              <w:t>144,8</w:t>
            </w:r>
          </w:p>
        </w:tc>
        <w:tc>
          <w:tcPr>
            <w:tcW w:w="72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124,2</w:t>
            </w:r>
          </w:p>
        </w:tc>
      </w:tr>
      <w:tr w:rsidR="001D2E73">
        <w:trPr>
          <w:trHeight w:val="249"/>
        </w:trPr>
        <w:tc>
          <w:tcPr>
            <w:tcW w:w="3038" w:type="dxa"/>
            <w:tcBorders>
              <w:top w:val="nil"/>
              <w:bottom w:val="nil"/>
            </w:tcBorders>
            <w:vAlign w:val="bottom"/>
          </w:tcPr>
          <w:p w:rsidR="001D2E73" w:rsidRDefault="001D2E73">
            <w:pPr>
              <w:spacing w:before="40" w:after="40" w:line="220" w:lineRule="exact"/>
              <w:rPr>
                <w:sz w:val="18"/>
                <w:szCs w:val="18"/>
              </w:rPr>
            </w:pPr>
            <w:r>
              <w:rPr>
                <w:sz w:val="18"/>
                <w:szCs w:val="18"/>
              </w:rPr>
              <w:t>Número de desempleados registrados</w:t>
            </w:r>
          </w:p>
        </w:tc>
        <w:tc>
          <w:tcPr>
            <w:tcW w:w="722" w:type="dxa"/>
            <w:tcBorders>
              <w:top w:val="nil"/>
              <w:bottom w:val="nil"/>
            </w:tcBorders>
            <w:vAlign w:val="bottom"/>
          </w:tcPr>
          <w:p w:rsidR="001D2E73" w:rsidRDefault="001D2E73">
            <w:pPr>
              <w:spacing w:before="40" w:after="40" w:line="220" w:lineRule="exact"/>
              <w:jc w:val="right"/>
              <w:rPr>
                <w:sz w:val="18"/>
                <w:szCs w:val="18"/>
              </w:rPr>
            </w:pPr>
            <w:r>
              <w:rPr>
                <w:sz w:val="18"/>
                <w:szCs w:val="18"/>
              </w:rPr>
              <w:t>106,7</w:t>
            </w:r>
          </w:p>
        </w:tc>
        <w:tc>
          <w:tcPr>
            <w:tcW w:w="722" w:type="dxa"/>
            <w:tcBorders>
              <w:top w:val="nil"/>
              <w:bottom w:val="nil"/>
            </w:tcBorders>
            <w:vAlign w:val="bottom"/>
          </w:tcPr>
          <w:p w:rsidR="001D2E73" w:rsidRDefault="001D2E73">
            <w:pPr>
              <w:spacing w:before="40" w:after="40" w:line="220" w:lineRule="exact"/>
              <w:jc w:val="right"/>
              <w:rPr>
                <w:sz w:val="18"/>
                <w:szCs w:val="18"/>
              </w:rPr>
            </w:pPr>
            <w:r>
              <w:rPr>
                <w:sz w:val="18"/>
                <w:szCs w:val="18"/>
              </w:rPr>
              <w:t>102,9</w:t>
            </w:r>
          </w:p>
        </w:tc>
        <w:tc>
          <w:tcPr>
            <w:tcW w:w="722" w:type="dxa"/>
            <w:tcBorders>
              <w:top w:val="nil"/>
              <w:bottom w:val="nil"/>
            </w:tcBorders>
            <w:vAlign w:val="bottom"/>
          </w:tcPr>
          <w:p w:rsidR="001D2E73" w:rsidRDefault="001D2E73">
            <w:pPr>
              <w:spacing w:before="40" w:after="40" w:line="220" w:lineRule="exact"/>
              <w:jc w:val="right"/>
              <w:rPr>
                <w:sz w:val="18"/>
                <w:szCs w:val="18"/>
              </w:rPr>
            </w:pPr>
            <w:r>
              <w:rPr>
                <w:sz w:val="18"/>
                <w:szCs w:val="18"/>
              </w:rPr>
              <w:t>100,7</w:t>
            </w:r>
          </w:p>
        </w:tc>
        <w:tc>
          <w:tcPr>
            <w:tcW w:w="722" w:type="dxa"/>
            <w:tcBorders>
              <w:top w:val="nil"/>
              <w:bottom w:val="nil"/>
            </w:tcBorders>
            <w:vAlign w:val="bottom"/>
          </w:tcPr>
          <w:p w:rsidR="001D2E73" w:rsidRDefault="001D2E73">
            <w:pPr>
              <w:spacing w:before="40" w:after="40" w:line="220" w:lineRule="exact"/>
              <w:jc w:val="right"/>
              <w:rPr>
                <w:sz w:val="18"/>
                <w:szCs w:val="18"/>
              </w:rPr>
            </w:pPr>
            <w:r>
              <w:rPr>
                <w:sz w:val="18"/>
                <w:szCs w:val="18"/>
              </w:rPr>
              <w:t>95,6</w:t>
            </w:r>
          </w:p>
        </w:tc>
        <w:tc>
          <w:tcPr>
            <w:tcW w:w="722" w:type="dxa"/>
            <w:tcBorders>
              <w:top w:val="nil"/>
              <w:bottom w:val="nil"/>
            </w:tcBorders>
            <w:vAlign w:val="bottom"/>
          </w:tcPr>
          <w:p w:rsidR="001D2E73" w:rsidRDefault="001D2E73">
            <w:pPr>
              <w:spacing w:before="40" w:after="40" w:line="220" w:lineRule="exact"/>
              <w:jc w:val="right"/>
              <w:rPr>
                <w:sz w:val="18"/>
                <w:szCs w:val="18"/>
              </w:rPr>
            </w:pPr>
            <w:r>
              <w:rPr>
                <w:sz w:val="18"/>
                <w:szCs w:val="18"/>
              </w:rPr>
              <w:t>94,0</w:t>
            </w:r>
          </w:p>
        </w:tc>
        <w:tc>
          <w:tcPr>
            <w:tcW w:w="722" w:type="dxa"/>
            <w:tcBorders>
              <w:top w:val="nil"/>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87,8</w:t>
            </w:r>
          </w:p>
        </w:tc>
      </w:tr>
      <w:tr w:rsidR="001D2E73">
        <w:trPr>
          <w:trHeight w:val="252"/>
        </w:trPr>
        <w:tc>
          <w:tcPr>
            <w:tcW w:w="3038" w:type="dxa"/>
            <w:tcBorders>
              <w:top w:val="nil"/>
            </w:tcBorders>
          </w:tcPr>
          <w:p w:rsidR="001D2E73" w:rsidRDefault="001D2E73">
            <w:pPr>
              <w:spacing w:before="40" w:after="40" w:line="220" w:lineRule="exact"/>
              <w:rPr>
                <w:sz w:val="18"/>
                <w:szCs w:val="18"/>
              </w:rPr>
            </w:pPr>
            <w:r>
              <w:rPr>
                <w:sz w:val="18"/>
                <w:szCs w:val="18"/>
              </w:rPr>
              <w:t xml:space="preserve">Índice de precios al consumidor </w:t>
            </w:r>
          </w:p>
        </w:tc>
        <w:tc>
          <w:tcPr>
            <w:tcW w:w="722" w:type="dxa"/>
            <w:tcBorders>
              <w:top w:val="nil"/>
            </w:tcBorders>
            <w:vAlign w:val="bottom"/>
          </w:tcPr>
          <w:p w:rsidR="001D2E73" w:rsidRDefault="001D2E73">
            <w:pPr>
              <w:spacing w:before="40" w:after="40" w:line="220" w:lineRule="exact"/>
              <w:jc w:val="right"/>
              <w:rPr>
                <w:sz w:val="18"/>
                <w:szCs w:val="18"/>
              </w:rPr>
            </w:pPr>
            <w:r>
              <w:rPr>
                <w:sz w:val="18"/>
                <w:szCs w:val="18"/>
              </w:rPr>
              <w:t>102,2</w:t>
            </w:r>
          </w:p>
        </w:tc>
        <w:tc>
          <w:tcPr>
            <w:tcW w:w="722" w:type="dxa"/>
            <w:tcBorders>
              <w:top w:val="nil"/>
            </w:tcBorders>
            <w:vAlign w:val="bottom"/>
          </w:tcPr>
          <w:p w:rsidR="001D2E73" w:rsidRDefault="001D2E73">
            <w:pPr>
              <w:spacing w:before="40" w:after="40" w:line="220" w:lineRule="exact"/>
              <w:jc w:val="right"/>
              <w:rPr>
                <w:sz w:val="18"/>
                <w:szCs w:val="18"/>
              </w:rPr>
            </w:pPr>
            <w:r>
              <w:rPr>
                <w:sz w:val="18"/>
                <w:szCs w:val="18"/>
              </w:rPr>
              <w:t>106,7</w:t>
            </w:r>
          </w:p>
        </w:tc>
        <w:tc>
          <w:tcPr>
            <w:tcW w:w="722" w:type="dxa"/>
            <w:tcBorders>
              <w:top w:val="nil"/>
            </w:tcBorders>
            <w:vAlign w:val="bottom"/>
          </w:tcPr>
          <w:p w:rsidR="001D2E73" w:rsidRDefault="001D2E73">
            <w:pPr>
              <w:spacing w:before="40" w:after="40" w:line="220" w:lineRule="exact"/>
              <w:jc w:val="right"/>
              <w:rPr>
                <w:sz w:val="18"/>
                <w:szCs w:val="18"/>
              </w:rPr>
            </w:pPr>
            <w:r>
              <w:rPr>
                <w:sz w:val="18"/>
                <w:szCs w:val="18"/>
              </w:rPr>
              <w:t>109,6</w:t>
            </w:r>
          </w:p>
        </w:tc>
        <w:tc>
          <w:tcPr>
            <w:tcW w:w="722" w:type="dxa"/>
            <w:tcBorders>
              <w:top w:val="nil"/>
            </w:tcBorders>
            <w:vAlign w:val="bottom"/>
          </w:tcPr>
          <w:p w:rsidR="001D2E73" w:rsidRDefault="001D2E73">
            <w:pPr>
              <w:spacing w:before="40" w:after="40" w:line="220" w:lineRule="exact"/>
              <w:jc w:val="right"/>
              <w:rPr>
                <w:sz w:val="18"/>
                <w:szCs w:val="18"/>
              </w:rPr>
            </w:pPr>
            <w:r>
              <w:rPr>
                <w:sz w:val="18"/>
                <w:szCs w:val="18"/>
              </w:rPr>
              <w:t>108,3</w:t>
            </w:r>
          </w:p>
        </w:tc>
        <w:tc>
          <w:tcPr>
            <w:tcW w:w="722" w:type="dxa"/>
            <w:tcBorders>
              <w:top w:val="nil"/>
            </w:tcBorders>
            <w:vAlign w:val="bottom"/>
          </w:tcPr>
          <w:p w:rsidR="001D2E73" w:rsidRDefault="001D2E73">
            <w:pPr>
              <w:spacing w:before="40" w:after="40" w:line="220" w:lineRule="exact"/>
              <w:jc w:val="right"/>
              <w:rPr>
                <w:sz w:val="18"/>
                <w:szCs w:val="18"/>
              </w:rPr>
            </w:pPr>
            <w:r>
              <w:rPr>
                <w:sz w:val="18"/>
                <w:szCs w:val="18"/>
              </w:rPr>
              <w:t>116,7</w:t>
            </w:r>
          </w:p>
        </w:tc>
        <w:tc>
          <w:tcPr>
            <w:tcW w:w="722" w:type="dxa"/>
            <w:tcBorders>
              <w:top w:val="nil"/>
              <w:left w:val="nil"/>
              <w:bottom w:val="single" w:sz="12" w:space="0" w:color="auto"/>
              <w:right w:val="nil"/>
              <w:tl2br w:val="nil"/>
              <w:tr2bl w:val="nil"/>
            </w:tcBorders>
            <w:vAlign w:val="bottom"/>
          </w:tcPr>
          <w:p w:rsidR="001D2E73" w:rsidRDefault="001D2E73">
            <w:pPr>
              <w:spacing w:before="40" w:after="40" w:line="220" w:lineRule="exact"/>
              <w:jc w:val="right"/>
              <w:rPr>
                <w:sz w:val="18"/>
                <w:szCs w:val="18"/>
              </w:rPr>
            </w:pPr>
            <w:r>
              <w:rPr>
                <w:sz w:val="18"/>
                <w:szCs w:val="18"/>
              </w:rPr>
              <w:t>120,8</w:t>
            </w:r>
          </w:p>
        </w:tc>
      </w:tr>
    </w:tbl>
    <w:p w:rsidR="001D2E73" w:rsidRDefault="001D2E73">
      <w:pPr>
        <w:spacing w:after="120"/>
        <w:rPr>
          <w:sz w:val="16"/>
          <w:szCs w:val="16"/>
        </w:rPr>
      </w:pPr>
    </w:p>
    <w:p w:rsidR="001D2E73" w:rsidRDefault="001D2E73">
      <w:pPr>
        <w:spacing w:after="120"/>
        <w:rPr>
          <w:sz w:val="16"/>
          <w:szCs w:val="16"/>
        </w:rPr>
      </w:pPr>
    </w:p>
    <w:p w:rsidR="001D2E73" w:rsidRDefault="001D2E73">
      <w:pPr>
        <w:spacing w:after="120"/>
        <w:rPr>
          <w:sz w:val="16"/>
          <w:szCs w:val="16"/>
        </w:rPr>
      </w:pPr>
    </w:p>
    <w:p w:rsidR="001D2E73" w:rsidRDefault="001D2E73">
      <w:pPr>
        <w:spacing w:before="240" w:after="120"/>
        <w:ind w:left="567" w:firstLine="567"/>
        <w:rPr>
          <w:sz w:val="16"/>
          <w:szCs w:val="16"/>
        </w:rPr>
      </w:pPr>
      <w:r>
        <w:t>Cuadro 2</w:t>
      </w:r>
      <w:r>
        <w:br/>
      </w:r>
      <w:r>
        <w:tab/>
      </w:r>
      <w:r>
        <w:rPr>
          <w:b/>
          <w:bCs/>
        </w:rPr>
        <w:t>Gastos en actividades sociales previstos en el presupuesto estatal</w:t>
      </w:r>
      <w:r>
        <w:rPr>
          <w:b/>
          <w:bCs/>
        </w:rPr>
        <w:br/>
      </w:r>
      <w:r>
        <w:rPr>
          <w:b/>
          <w:bCs/>
          <w:sz w:val="16"/>
          <w:szCs w:val="16"/>
        </w:rPr>
        <w:tab/>
      </w:r>
      <w:r>
        <w:rPr>
          <w:iCs/>
          <w:sz w:val="16"/>
          <w:szCs w:val="16"/>
        </w:rPr>
        <w:t>(millones de manat) (1 AZN (manat) = 1,25 dólar Estados Unidos)</w:t>
      </w:r>
    </w:p>
    <w:tbl>
      <w:tblPr>
        <w:tblW w:w="8518"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594"/>
        <w:gridCol w:w="1100"/>
        <w:gridCol w:w="700"/>
        <w:gridCol w:w="1100"/>
        <w:gridCol w:w="853"/>
        <w:gridCol w:w="1120"/>
        <w:gridCol w:w="966"/>
        <w:gridCol w:w="1085"/>
      </w:tblGrid>
      <w:tr w:rsidR="001D2E73">
        <w:trPr>
          <w:trHeight w:val="20"/>
          <w:tblHeader/>
        </w:trPr>
        <w:tc>
          <w:tcPr>
            <w:tcW w:w="1594" w:type="dxa"/>
            <w:vMerge w:val="restart"/>
            <w:tcBorders>
              <w:top w:val="single" w:sz="4" w:space="0" w:color="auto"/>
              <w:bottom w:val="nil"/>
            </w:tcBorders>
            <w:shd w:val="clear" w:color="auto" w:fill="auto"/>
            <w:noWrap/>
          </w:tcPr>
          <w:p w:rsidR="001D2E73" w:rsidRDefault="001D2E73">
            <w:pPr>
              <w:tabs>
                <w:tab w:val="left" w:pos="284"/>
              </w:tabs>
              <w:spacing w:before="80" w:after="80" w:line="200" w:lineRule="exact"/>
              <w:rPr>
                <w:i/>
                <w:sz w:val="16"/>
                <w:szCs w:val="16"/>
              </w:rPr>
            </w:pPr>
            <w:r>
              <w:rPr>
                <w:i/>
                <w:sz w:val="16"/>
                <w:szCs w:val="16"/>
              </w:rPr>
              <w:t> </w:t>
            </w:r>
          </w:p>
        </w:tc>
        <w:tc>
          <w:tcPr>
            <w:tcW w:w="1100" w:type="dxa"/>
            <w:vMerge w:val="restart"/>
            <w:tcBorders>
              <w:top w:val="single" w:sz="4" w:space="0" w:color="auto"/>
              <w:bottom w:val="nil"/>
            </w:tcBorders>
            <w:shd w:val="clear" w:color="auto" w:fill="auto"/>
            <w:vAlign w:val="bottom"/>
          </w:tcPr>
          <w:p w:rsidR="001D2E73" w:rsidRDefault="001D2E73">
            <w:pPr>
              <w:spacing w:before="80" w:after="80" w:line="200" w:lineRule="exact"/>
              <w:jc w:val="right"/>
              <w:rPr>
                <w:i/>
                <w:sz w:val="16"/>
                <w:szCs w:val="16"/>
              </w:rPr>
            </w:pPr>
            <w:r>
              <w:rPr>
                <w:i/>
                <w:sz w:val="16"/>
                <w:szCs w:val="16"/>
              </w:rPr>
              <w:t>Gastos en actividades socioculturales</w:t>
            </w:r>
          </w:p>
        </w:tc>
        <w:tc>
          <w:tcPr>
            <w:tcW w:w="5824" w:type="dxa"/>
            <w:gridSpan w:val="6"/>
            <w:tcBorders>
              <w:top w:val="single" w:sz="4" w:space="0" w:color="auto"/>
              <w:left w:val="nil"/>
              <w:bottom w:val="single" w:sz="4" w:space="0" w:color="auto"/>
              <w:right w:val="nil"/>
              <w:tl2br w:val="nil"/>
              <w:tr2bl w:val="nil"/>
            </w:tcBorders>
            <w:shd w:val="clear" w:color="auto" w:fill="auto"/>
            <w:noWrap/>
            <w:vAlign w:val="center"/>
          </w:tcPr>
          <w:p w:rsidR="001D2E73" w:rsidRDefault="001D2E73">
            <w:pPr>
              <w:spacing w:before="80" w:after="80" w:line="200" w:lineRule="exact"/>
              <w:jc w:val="center"/>
              <w:rPr>
                <w:i/>
                <w:sz w:val="16"/>
                <w:szCs w:val="16"/>
              </w:rPr>
            </w:pPr>
            <w:r>
              <w:rPr>
                <w:i/>
                <w:sz w:val="16"/>
                <w:szCs w:val="16"/>
              </w:rPr>
              <w:t>Desglose</w:t>
            </w:r>
          </w:p>
        </w:tc>
      </w:tr>
      <w:tr w:rsidR="001D2E73">
        <w:trPr>
          <w:trHeight w:val="20"/>
          <w:tblHeader/>
        </w:trPr>
        <w:tc>
          <w:tcPr>
            <w:tcW w:w="1594" w:type="dxa"/>
            <w:vMerge/>
            <w:tcBorders>
              <w:top w:val="nil"/>
              <w:bottom w:val="single" w:sz="12" w:space="0" w:color="auto"/>
            </w:tcBorders>
            <w:shd w:val="clear" w:color="auto" w:fill="auto"/>
          </w:tcPr>
          <w:p w:rsidR="001D2E73" w:rsidRDefault="001D2E73">
            <w:pPr>
              <w:tabs>
                <w:tab w:val="left" w:pos="284"/>
              </w:tabs>
              <w:spacing w:before="80" w:after="80" w:line="200" w:lineRule="exact"/>
              <w:rPr>
                <w:i/>
                <w:sz w:val="16"/>
                <w:szCs w:val="16"/>
              </w:rPr>
            </w:pPr>
          </w:p>
        </w:tc>
        <w:tc>
          <w:tcPr>
            <w:tcW w:w="1100" w:type="dxa"/>
            <w:vMerge/>
            <w:tcBorders>
              <w:top w:val="nil"/>
              <w:bottom w:val="single" w:sz="12" w:space="0" w:color="auto"/>
            </w:tcBorders>
            <w:shd w:val="clear" w:color="auto" w:fill="auto"/>
            <w:vAlign w:val="center"/>
          </w:tcPr>
          <w:p w:rsidR="001D2E73" w:rsidRDefault="001D2E73">
            <w:pPr>
              <w:spacing w:before="80" w:after="80" w:line="200" w:lineRule="exact"/>
              <w:jc w:val="right"/>
              <w:rPr>
                <w:i/>
                <w:sz w:val="16"/>
                <w:szCs w:val="16"/>
              </w:rPr>
            </w:pPr>
          </w:p>
        </w:tc>
        <w:tc>
          <w:tcPr>
            <w:tcW w:w="700"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szCs w:val="16"/>
              </w:rPr>
            </w:pPr>
            <w:r>
              <w:rPr>
                <w:i/>
                <w:sz w:val="16"/>
                <w:szCs w:val="16"/>
              </w:rPr>
              <w:t xml:space="preserve">Salud </w:t>
            </w:r>
          </w:p>
        </w:tc>
        <w:tc>
          <w:tcPr>
            <w:tcW w:w="1100"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szCs w:val="16"/>
              </w:rPr>
            </w:pPr>
            <w:r>
              <w:rPr>
                <w:i/>
                <w:sz w:val="16"/>
                <w:szCs w:val="16"/>
              </w:rPr>
              <w:t>Porcentaje de las activid</w:t>
            </w:r>
            <w:r>
              <w:rPr>
                <w:i/>
                <w:sz w:val="16"/>
                <w:szCs w:val="16"/>
              </w:rPr>
              <w:t>a</w:t>
            </w:r>
            <w:r>
              <w:rPr>
                <w:i/>
                <w:sz w:val="16"/>
                <w:szCs w:val="16"/>
              </w:rPr>
              <w:t>des sociocu</w:t>
            </w:r>
            <w:r>
              <w:rPr>
                <w:i/>
                <w:sz w:val="16"/>
                <w:szCs w:val="16"/>
              </w:rPr>
              <w:t>l</w:t>
            </w:r>
            <w:r>
              <w:rPr>
                <w:i/>
                <w:sz w:val="16"/>
                <w:szCs w:val="16"/>
              </w:rPr>
              <w:t>turales</w:t>
            </w:r>
          </w:p>
        </w:tc>
        <w:tc>
          <w:tcPr>
            <w:tcW w:w="853"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szCs w:val="16"/>
              </w:rPr>
            </w:pPr>
            <w:r>
              <w:rPr>
                <w:i/>
                <w:sz w:val="16"/>
                <w:szCs w:val="16"/>
              </w:rPr>
              <w:t>Protección social</w:t>
            </w:r>
          </w:p>
        </w:tc>
        <w:tc>
          <w:tcPr>
            <w:tcW w:w="1120"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szCs w:val="16"/>
              </w:rPr>
            </w:pPr>
            <w:r>
              <w:rPr>
                <w:i/>
                <w:sz w:val="16"/>
                <w:szCs w:val="16"/>
              </w:rPr>
              <w:t>Porcentaje de las activid</w:t>
            </w:r>
            <w:r>
              <w:rPr>
                <w:i/>
                <w:sz w:val="16"/>
                <w:szCs w:val="16"/>
              </w:rPr>
              <w:t>a</w:t>
            </w:r>
            <w:r>
              <w:rPr>
                <w:i/>
                <w:sz w:val="16"/>
                <w:szCs w:val="16"/>
              </w:rPr>
              <w:t>des sociocu</w:t>
            </w:r>
            <w:r>
              <w:rPr>
                <w:i/>
                <w:sz w:val="16"/>
                <w:szCs w:val="16"/>
              </w:rPr>
              <w:t>l</w:t>
            </w:r>
            <w:r>
              <w:rPr>
                <w:i/>
                <w:sz w:val="16"/>
                <w:szCs w:val="16"/>
              </w:rPr>
              <w:t>turales</w:t>
            </w:r>
          </w:p>
        </w:tc>
        <w:tc>
          <w:tcPr>
            <w:tcW w:w="966"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szCs w:val="16"/>
              </w:rPr>
            </w:pPr>
            <w:r>
              <w:rPr>
                <w:i/>
                <w:sz w:val="16"/>
                <w:szCs w:val="16"/>
              </w:rPr>
              <w:t>Bienestar social</w:t>
            </w:r>
          </w:p>
        </w:tc>
        <w:tc>
          <w:tcPr>
            <w:tcW w:w="1085" w:type="dxa"/>
            <w:tcBorders>
              <w:top w:val="single" w:sz="4" w:space="0" w:color="auto"/>
              <w:left w:val="nil"/>
              <w:bottom w:val="single" w:sz="12" w:space="0" w:color="auto"/>
              <w:right w:val="nil"/>
              <w:tl2br w:val="nil"/>
              <w:tr2bl w:val="nil"/>
            </w:tcBorders>
            <w:shd w:val="clear" w:color="auto" w:fill="auto"/>
            <w:vAlign w:val="bottom"/>
          </w:tcPr>
          <w:p w:rsidR="001D2E73" w:rsidRDefault="001D2E73">
            <w:pPr>
              <w:spacing w:before="80" w:after="80" w:line="200" w:lineRule="exact"/>
              <w:jc w:val="right"/>
              <w:rPr>
                <w:i/>
                <w:sz w:val="16"/>
                <w:szCs w:val="16"/>
              </w:rPr>
            </w:pPr>
            <w:r>
              <w:rPr>
                <w:i/>
                <w:sz w:val="16"/>
                <w:szCs w:val="16"/>
              </w:rPr>
              <w:t>Porcentaje de las activid</w:t>
            </w:r>
            <w:r>
              <w:rPr>
                <w:i/>
                <w:sz w:val="16"/>
                <w:szCs w:val="16"/>
              </w:rPr>
              <w:t>a</w:t>
            </w:r>
            <w:r>
              <w:rPr>
                <w:i/>
                <w:sz w:val="16"/>
                <w:szCs w:val="16"/>
              </w:rPr>
              <w:t>des sociocu</w:t>
            </w:r>
            <w:r>
              <w:rPr>
                <w:i/>
                <w:sz w:val="16"/>
                <w:szCs w:val="16"/>
              </w:rPr>
              <w:t>l</w:t>
            </w:r>
            <w:r>
              <w:rPr>
                <w:i/>
                <w:sz w:val="16"/>
                <w:szCs w:val="16"/>
              </w:rPr>
              <w:t>turales</w:t>
            </w:r>
          </w:p>
        </w:tc>
      </w:tr>
      <w:tr w:rsidR="001D2E73">
        <w:trPr>
          <w:trHeight w:val="20"/>
        </w:trPr>
        <w:tc>
          <w:tcPr>
            <w:tcW w:w="1594" w:type="dxa"/>
            <w:tcBorders>
              <w:bottom w:val="single" w:sz="4" w:space="0" w:color="auto"/>
            </w:tcBorders>
            <w:noWrap/>
          </w:tcPr>
          <w:p w:rsidR="001D2E73" w:rsidRDefault="001D2E73">
            <w:pPr>
              <w:tabs>
                <w:tab w:val="left" w:pos="284"/>
              </w:tabs>
              <w:spacing w:before="40" w:after="40" w:line="220" w:lineRule="exact"/>
              <w:rPr>
                <w:sz w:val="18"/>
                <w:szCs w:val="18"/>
              </w:rPr>
            </w:pPr>
            <w:r>
              <w:rPr>
                <w:sz w:val="18"/>
                <w:szCs w:val="18"/>
              </w:rPr>
              <w:t>2003</w:t>
            </w:r>
          </w:p>
        </w:tc>
        <w:tc>
          <w:tcPr>
            <w:tcW w:w="1100" w:type="dxa"/>
            <w:tcBorders>
              <w:bottom w:val="single" w:sz="4" w:space="0" w:color="auto"/>
            </w:tcBorders>
            <w:noWrap/>
          </w:tcPr>
          <w:p w:rsidR="001D2E73" w:rsidRDefault="001D2E73">
            <w:pPr>
              <w:spacing w:before="40"/>
              <w:rPr>
                <w:sz w:val="18"/>
                <w:szCs w:val="18"/>
              </w:rPr>
            </w:pPr>
          </w:p>
        </w:tc>
        <w:tc>
          <w:tcPr>
            <w:tcW w:w="700" w:type="dxa"/>
            <w:tcBorders>
              <w:bottom w:val="single" w:sz="4" w:space="0" w:color="auto"/>
            </w:tcBorders>
            <w:noWrap/>
          </w:tcPr>
          <w:p w:rsidR="001D2E73" w:rsidRDefault="001D2E73">
            <w:pPr>
              <w:spacing w:before="40"/>
              <w:rPr>
                <w:sz w:val="18"/>
                <w:szCs w:val="18"/>
              </w:rPr>
            </w:pPr>
          </w:p>
        </w:tc>
        <w:tc>
          <w:tcPr>
            <w:tcW w:w="1100" w:type="dxa"/>
            <w:tcBorders>
              <w:bottom w:val="single" w:sz="4" w:space="0" w:color="auto"/>
            </w:tcBorders>
            <w:noWrap/>
          </w:tcPr>
          <w:p w:rsidR="001D2E73" w:rsidRDefault="001D2E73">
            <w:pPr>
              <w:spacing w:before="40"/>
              <w:rPr>
                <w:sz w:val="18"/>
                <w:szCs w:val="18"/>
              </w:rPr>
            </w:pPr>
          </w:p>
        </w:tc>
        <w:tc>
          <w:tcPr>
            <w:tcW w:w="853" w:type="dxa"/>
            <w:tcBorders>
              <w:bottom w:val="single" w:sz="4" w:space="0" w:color="auto"/>
            </w:tcBorders>
            <w:noWrap/>
          </w:tcPr>
          <w:p w:rsidR="001D2E73" w:rsidRDefault="001D2E73">
            <w:pPr>
              <w:spacing w:before="40"/>
              <w:rPr>
                <w:sz w:val="18"/>
                <w:szCs w:val="18"/>
              </w:rPr>
            </w:pPr>
          </w:p>
        </w:tc>
        <w:tc>
          <w:tcPr>
            <w:tcW w:w="1120" w:type="dxa"/>
            <w:tcBorders>
              <w:bottom w:val="single" w:sz="4" w:space="0" w:color="auto"/>
            </w:tcBorders>
            <w:noWrap/>
          </w:tcPr>
          <w:p w:rsidR="001D2E73" w:rsidRDefault="001D2E73">
            <w:pPr>
              <w:spacing w:before="40"/>
              <w:rPr>
                <w:sz w:val="18"/>
                <w:szCs w:val="18"/>
              </w:rPr>
            </w:pPr>
          </w:p>
        </w:tc>
        <w:tc>
          <w:tcPr>
            <w:tcW w:w="966" w:type="dxa"/>
            <w:tcBorders>
              <w:bottom w:val="single" w:sz="4" w:space="0" w:color="auto"/>
            </w:tcBorders>
            <w:noWrap/>
          </w:tcPr>
          <w:p w:rsidR="001D2E73" w:rsidRDefault="001D2E73">
            <w:pPr>
              <w:spacing w:before="40"/>
              <w:rPr>
                <w:sz w:val="18"/>
                <w:szCs w:val="18"/>
              </w:rPr>
            </w:pPr>
          </w:p>
        </w:tc>
        <w:tc>
          <w:tcPr>
            <w:tcW w:w="1085" w:type="dxa"/>
            <w:tcBorders>
              <w:left w:val="nil"/>
              <w:bottom w:val="single" w:sz="4" w:space="0" w:color="auto"/>
              <w:right w:val="nil"/>
              <w:tl2br w:val="nil"/>
              <w:tr2bl w:val="nil"/>
            </w:tcBorders>
            <w:noWrap/>
          </w:tcPr>
          <w:p w:rsidR="001D2E73" w:rsidRDefault="001D2E73">
            <w:pPr>
              <w:spacing w:before="40"/>
              <w:rPr>
                <w:sz w:val="18"/>
                <w:szCs w:val="18"/>
              </w:rPr>
            </w:pPr>
          </w:p>
        </w:tc>
      </w:tr>
      <w:tr w:rsidR="001D2E73">
        <w:trPr>
          <w:trHeight w:val="20"/>
        </w:trPr>
        <w:tc>
          <w:tcPr>
            <w:tcW w:w="1594" w:type="dxa"/>
            <w:tcBorders>
              <w:top w:val="single" w:sz="4" w:space="0" w:color="auto"/>
              <w:bottom w:val="single" w:sz="4" w:space="0" w:color="auto"/>
            </w:tcBorders>
          </w:tcPr>
          <w:p w:rsidR="001D2E73" w:rsidRDefault="001D2E73">
            <w:pPr>
              <w:tabs>
                <w:tab w:val="left" w:pos="284"/>
              </w:tabs>
              <w:spacing w:before="80" w:after="80" w:line="220" w:lineRule="exact"/>
              <w:rPr>
                <w:b/>
                <w:sz w:val="18"/>
                <w:szCs w:val="18"/>
              </w:rPr>
            </w:pPr>
            <w:r>
              <w:rPr>
                <w:b/>
                <w:sz w:val="18"/>
                <w:szCs w:val="18"/>
              </w:rPr>
              <w:tab/>
              <w:t>Total</w:t>
            </w:r>
          </w:p>
        </w:tc>
        <w:tc>
          <w:tcPr>
            <w:tcW w:w="1100" w:type="dxa"/>
            <w:tcBorders>
              <w:top w:val="single" w:sz="4" w:space="0" w:color="auto"/>
              <w:bottom w:val="single" w:sz="4" w:space="0" w:color="auto"/>
            </w:tcBorders>
            <w:noWrap/>
          </w:tcPr>
          <w:p w:rsidR="001D2E73" w:rsidRDefault="001D2E73">
            <w:pPr>
              <w:spacing w:before="80" w:after="80" w:line="220" w:lineRule="exact"/>
              <w:jc w:val="right"/>
              <w:rPr>
                <w:b/>
                <w:sz w:val="18"/>
                <w:szCs w:val="18"/>
              </w:rPr>
            </w:pPr>
            <w:r>
              <w:rPr>
                <w:b/>
                <w:sz w:val="18"/>
                <w:szCs w:val="18"/>
              </w:rPr>
              <w:t>535,2</w:t>
            </w:r>
          </w:p>
        </w:tc>
        <w:tc>
          <w:tcPr>
            <w:tcW w:w="700" w:type="dxa"/>
            <w:tcBorders>
              <w:top w:val="single" w:sz="4" w:space="0" w:color="auto"/>
              <w:bottom w:val="single" w:sz="4" w:space="0" w:color="auto"/>
            </w:tcBorders>
            <w:noWrap/>
          </w:tcPr>
          <w:p w:rsidR="001D2E73" w:rsidRDefault="001D2E73">
            <w:pPr>
              <w:spacing w:before="80" w:after="80" w:line="220" w:lineRule="exact"/>
              <w:jc w:val="right"/>
              <w:rPr>
                <w:b/>
                <w:sz w:val="18"/>
                <w:szCs w:val="18"/>
              </w:rPr>
            </w:pPr>
            <w:r>
              <w:rPr>
                <w:b/>
                <w:sz w:val="18"/>
                <w:szCs w:val="18"/>
              </w:rPr>
              <w:t>55,3</w:t>
            </w:r>
          </w:p>
        </w:tc>
        <w:tc>
          <w:tcPr>
            <w:tcW w:w="1100" w:type="dxa"/>
            <w:tcBorders>
              <w:top w:val="single" w:sz="4" w:space="0" w:color="auto"/>
              <w:bottom w:val="single" w:sz="4" w:space="0" w:color="auto"/>
            </w:tcBorders>
            <w:noWrap/>
          </w:tcPr>
          <w:p w:rsidR="001D2E73" w:rsidRDefault="001D2E73">
            <w:pPr>
              <w:spacing w:before="80" w:after="80" w:line="220" w:lineRule="exact"/>
              <w:jc w:val="right"/>
              <w:rPr>
                <w:b/>
                <w:sz w:val="18"/>
                <w:szCs w:val="18"/>
              </w:rPr>
            </w:pPr>
            <w:r>
              <w:rPr>
                <w:b/>
                <w:sz w:val="18"/>
                <w:szCs w:val="18"/>
              </w:rPr>
              <w:t>10,3</w:t>
            </w:r>
          </w:p>
        </w:tc>
        <w:tc>
          <w:tcPr>
            <w:tcW w:w="853" w:type="dxa"/>
            <w:tcBorders>
              <w:top w:val="single" w:sz="4" w:space="0" w:color="auto"/>
              <w:bottom w:val="single" w:sz="4" w:space="0" w:color="auto"/>
            </w:tcBorders>
            <w:noWrap/>
          </w:tcPr>
          <w:p w:rsidR="001D2E73" w:rsidRDefault="001D2E73">
            <w:pPr>
              <w:spacing w:before="80" w:after="80" w:line="220" w:lineRule="exact"/>
              <w:jc w:val="right"/>
              <w:rPr>
                <w:b/>
                <w:sz w:val="18"/>
                <w:szCs w:val="18"/>
              </w:rPr>
            </w:pPr>
            <w:r>
              <w:rPr>
                <w:b/>
                <w:sz w:val="18"/>
                <w:szCs w:val="18"/>
              </w:rPr>
              <w:t>153,6</w:t>
            </w:r>
          </w:p>
        </w:tc>
        <w:tc>
          <w:tcPr>
            <w:tcW w:w="1120" w:type="dxa"/>
            <w:tcBorders>
              <w:top w:val="single" w:sz="4" w:space="0" w:color="auto"/>
              <w:bottom w:val="single" w:sz="4" w:space="0" w:color="auto"/>
            </w:tcBorders>
            <w:noWrap/>
          </w:tcPr>
          <w:p w:rsidR="001D2E73" w:rsidRDefault="001D2E73">
            <w:pPr>
              <w:spacing w:before="80" w:after="80" w:line="220" w:lineRule="exact"/>
              <w:jc w:val="right"/>
              <w:rPr>
                <w:b/>
                <w:sz w:val="18"/>
                <w:szCs w:val="18"/>
              </w:rPr>
            </w:pPr>
            <w:r>
              <w:rPr>
                <w:b/>
                <w:sz w:val="18"/>
                <w:szCs w:val="18"/>
              </w:rPr>
              <w:t>28,7</w:t>
            </w:r>
          </w:p>
        </w:tc>
        <w:tc>
          <w:tcPr>
            <w:tcW w:w="966" w:type="dxa"/>
            <w:tcBorders>
              <w:top w:val="single" w:sz="4" w:space="0" w:color="auto"/>
              <w:bottom w:val="single" w:sz="4" w:space="0" w:color="auto"/>
            </w:tcBorders>
            <w:noWrap/>
          </w:tcPr>
          <w:p w:rsidR="001D2E73" w:rsidRDefault="001D2E73">
            <w:pPr>
              <w:spacing w:before="80" w:after="80" w:line="220" w:lineRule="exact"/>
              <w:jc w:val="right"/>
              <w:rPr>
                <w:b/>
                <w:sz w:val="18"/>
                <w:szCs w:val="18"/>
              </w:rPr>
            </w:pPr>
            <w:r>
              <w:rPr>
                <w:b/>
                <w:sz w:val="18"/>
                <w:szCs w:val="18"/>
              </w:rPr>
              <w:t>60,4</w:t>
            </w:r>
          </w:p>
        </w:tc>
        <w:tc>
          <w:tcPr>
            <w:tcW w:w="1085" w:type="dxa"/>
            <w:tcBorders>
              <w:top w:val="single" w:sz="4" w:space="0" w:color="auto"/>
              <w:left w:val="nil"/>
              <w:bottom w:val="single" w:sz="4" w:space="0" w:color="auto"/>
              <w:right w:val="nil"/>
              <w:tl2br w:val="nil"/>
              <w:tr2bl w:val="nil"/>
            </w:tcBorders>
            <w:noWrap/>
          </w:tcPr>
          <w:p w:rsidR="001D2E73" w:rsidRDefault="001D2E73">
            <w:pPr>
              <w:spacing w:before="80" w:after="80" w:line="220" w:lineRule="exact"/>
              <w:jc w:val="right"/>
              <w:rPr>
                <w:b/>
                <w:sz w:val="18"/>
                <w:szCs w:val="18"/>
              </w:rPr>
            </w:pPr>
            <w:r>
              <w:rPr>
                <w:b/>
                <w:sz w:val="18"/>
                <w:szCs w:val="18"/>
              </w:rPr>
              <w:t>11,3</w:t>
            </w:r>
          </w:p>
        </w:tc>
      </w:tr>
      <w:tr w:rsidR="001D2E73">
        <w:trPr>
          <w:trHeight w:val="20"/>
        </w:trPr>
        <w:tc>
          <w:tcPr>
            <w:tcW w:w="1594" w:type="dxa"/>
            <w:tcBorders>
              <w:top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Como porcentaje del PIB</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7,5</w:t>
            </w:r>
          </w:p>
        </w:tc>
        <w:tc>
          <w:tcPr>
            <w:tcW w:w="7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0,8</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853"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2,1</w:t>
            </w:r>
          </w:p>
        </w:tc>
        <w:tc>
          <w:tcPr>
            <w:tcW w:w="112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966"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0,8</w:t>
            </w:r>
          </w:p>
        </w:tc>
        <w:tc>
          <w:tcPr>
            <w:tcW w:w="1085"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х</w:t>
            </w:r>
          </w:p>
        </w:tc>
      </w:tr>
      <w:tr w:rsidR="001D2E73">
        <w:trPr>
          <w:trHeight w:val="20"/>
        </w:trPr>
        <w:tc>
          <w:tcPr>
            <w:tcW w:w="1594" w:type="dxa"/>
            <w:noWrap/>
            <w:vAlign w:val="bottom"/>
          </w:tcPr>
          <w:p w:rsidR="001D2E73" w:rsidRDefault="001D2E73">
            <w:pPr>
              <w:tabs>
                <w:tab w:val="left" w:pos="284"/>
              </w:tabs>
              <w:spacing w:before="40" w:after="40" w:line="220" w:lineRule="exact"/>
              <w:rPr>
                <w:sz w:val="18"/>
                <w:szCs w:val="18"/>
              </w:rPr>
            </w:pPr>
          </w:p>
        </w:tc>
        <w:tc>
          <w:tcPr>
            <w:tcW w:w="1100" w:type="dxa"/>
            <w:noWrap/>
            <w:vAlign w:val="bottom"/>
          </w:tcPr>
          <w:p w:rsidR="001D2E73" w:rsidRDefault="001D2E73">
            <w:pPr>
              <w:spacing w:before="40" w:after="40" w:line="220" w:lineRule="exact"/>
              <w:jc w:val="right"/>
              <w:rPr>
                <w:sz w:val="18"/>
                <w:szCs w:val="18"/>
              </w:rPr>
            </w:pPr>
          </w:p>
        </w:tc>
        <w:tc>
          <w:tcPr>
            <w:tcW w:w="700" w:type="dxa"/>
            <w:noWrap/>
            <w:vAlign w:val="bottom"/>
          </w:tcPr>
          <w:p w:rsidR="001D2E73" w:rsidRDefault="001D2E73">
            <w:pPr>
              <w:spacing w:before="40" w:after="40" w:line="220" w:lineRule="exact"/>
              <w:jc w:val="right"/>
              <w:rPr>
                <w:sz w:val="18"/>
                <w:szCs w:val="18"/>
              </w:rPr>
            </w:pPr>
          </w:p>
        </w:tc>
        <w:tc>
          <w:tcPr>
            <w:tcW w:w="1100" w:type="dxa"/>
            <w:noWrap/>
            <w:vAlign w:val="bottom"/>
          </w:tcPr>
          <w:p w:rsidR="001D2E73" w:rsidRDefault="001D2E73">
            <w:pPr>
              <w:spacing w:before="40" w:after="40" w:line="220" w:lineRule="exact"/>
              <w:jc w:val="right"/>
              <w:rPr>
                <w:sz w:val="18"/>
                <w:szCs w:val="18"/>
              </w:rPr>
            </w:pPr>
          </w:p>
        </w:tc>
        <w:tc>
          <w:tcPr>
            <w:tcW w:w="853" w:type="dxa"/>
            <w:noWrap/>
            <w:vAlign w:val="bottom"/>
          </w:tcPr>
          <w:p w:rsidR="001D2E73" w:rsidRDefault="001D2E73">
            <w:pPr>
              <w:spacing w:before="40" w:after="40" w:line="220" w:lineRule="exact"/>
              <w:jc w:val="right"/>
              <w:rPr>
                <w:sz w:val="18"/>
                <w:szCs w:val="18"/>
              </w:rPr>
            </w:pPr>
          </w:p>
        </w:tc>
        <w:tc>
          <w:tcPr>
            <w:tcW w:w="1120" w:type="dxa"/>
            <w:noWrap/>
            <w:vAlign w:val="bottom"/>
          </w:tcPr>
          <w:p w:rsidR="001D2E73" w:rsidRDefault="001D2E73">
            <w:pPr>
              <w:spacing w:before="40" w:after="40" w:line="220" w:lineRule="exact"/>
              <w:jc w:val="right"/>
              <w:rPr>
                <w:sz w:val="18"/>
                <w:szCs w:val="18"/>
              </w:rPr>
            </w:pPr>
          </w:p>
        </w:tc>
        <w:tc>
          <w:tcPr>
            <w:tcW w:w="966" w:type="dxa"/>
            <w:noWrap/>
            <w:vAlign w:val="bottom"/>
          </w:tcPr>
          <w:p w:rsidR="001D2E73" w:rsidRDefault="001D2E73">
            <w:pPr>
              <w:spacing w:before="40" w:after="40" w:line="220" w:lineRule="exact"/>
              <w:jc w:val="right"/>
              <w:rPr>
                <w:sz w:val="18"/>
                <w:szCs w:val="18"/>
              </w:rPr>
            </w:pPr>
          </w:p>
        </w:tc>
        <w:tc>
          <w:tcPr>
            <w:tcW w:w="1085"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bottom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2004</w:t>
            </w: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7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853"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2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96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085"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top w:val="single" w:sz="4" w:space="0" w:color="auto"/>
              <w:bottom w:val="single" w:sz="4" w:space="0" w:color="auto"/>
            </w:tcBorders>
            <w:vAlign w:val="bottom"/>
          </w:tcPr>
          <w:p w:rsidR="001D2E73" w:rsidRDefault="001D2E73">
            <w:pPr>
              <w:tabs>
                <w:tab w:val="left" w:pos="284"/>
              </w:tabs>
              <w:spacing w:before="80" w:after="80" w:line="220" w:lineRule="exact"/>
              <w:rPr>
                <w:b/>
                <w:sz w:val="18"/>
                <w:szCs w:val="18"/>
              </w:rPr>
            </w:pPr>
            <w:r>
              <w:rPr>
                <w:b/>
                <w:sz w:val="18"/>
                <w:szCs w:val="18"/>
              </w:rPr>
              <w:tab/>
              <w:t>Total</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642,2</w:t>
            </w:r>
          </w:p>
        </w:tc>
        <w:tc>
          <w:tcPr>
            <w:tcW w:w="7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73,5</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11,4</w:t>
            </w:r>
          </w:p>
        </w:tc>
        <w:tc>
          <w:tcPr>
            <w:tcW w:w="853"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168,8</w:t>
            </w:r>
          </w:p>
        </w:tc>
        <w:tc>
          <w:tcPr>
            <w:tcW w:w="112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26,3</w:t>
            </w:r>
          </w:p>
        </w:tc>
        <w:tc>
          <w:tcPr>
            <w:tcW w:w="96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67,6</w:t>
            </w:r>
          </w:p>
        </w:tc>
        <w:tc>
          <w:tcPr>
            <w:tcW w:w="1085"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10,5</w:t>
            </w:r>
          </w:p>
        </w:tc>
      </w:tr>
      <w:tr w:rsidR="001D2E73">
        <w:trPr>
          <w:trHeight w:val="20"/>
        </w:trPr>
        <w:tc>
          <w:tcPr>
            <w:tcW w:w="1594" w:type="dxa"/>
            <w:tcBorders>
              <w:top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Como porcentaje del PIB</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7,5</w:t>
            </w:r>
          </w:p>
        </w:tc>
        <w:tc>
          <w:tcPr>
            <w:tcW w:w="7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0,9</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853"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2,0</w:t>
            </w:r>
          </w:p>
        </w:tc>
        <w:tc>
          <w:tcPr>
            <w:tcW w:w="112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966"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0,8</w:t>
            </w:r>
          </w:p>
        </w:tc>
        <w:tc>
          <w:tcPr>
            <w:tcW w:w="1085"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х</w:t>
            </w:r>
          </w:p>
        </w:tc>
      </w:tr>
      <w:tr w:rsidR="001D2E73">
        <w:trPr>
          <w:trHeight w:val="20"/>
        </w:trPr>
        <w:tc>
          <w:tcPr>
            <w:tcW w:w="1594" w:type="dxa"/>
            <w:noWrap/>
            <w:vAlign w:val="bottom"/>
          </w:tcPr>
          <w:p w:rsidR="001D2E73" w:rsidRDefault="001D2E73">
            <w:pPr>
              <w:tabs>
                <w:tab w:val="left" w:pos="284"/>
              </w:tabs>
              <w:spacing w:before="40" w:after="40" w:line="220" w:lineRule="exact"/>
              <w:rPr>
                <w:sz w:val="18"/>
                <w:szCs w:val="18"/>
              </w:rPr>
            </w:pPr>
          </w:p>
        </w:tc>
        <w:tc>
          <w:tcPr>
            <w:tcW w:w="1100" w:type="dxa"/>
            <w:noWrap/>
            <w:vAlign w:val="bottom"/>
          </w:tcPr>
          <w:p w:rsidR="001D2E73" w:rsidRDefault="001D2E73">
            <w:pPr>
              <w:spacing w:before="40" w:after="40" w:line="220" w:lineRule="exact"/>
              <w:jc w:val="right"/>
              <w:rPr>
                <w:sz w:val="18"/>
                <w:szCs w:val="18"/>
              </w:rPr>
            </w:pPr>
          </w:p>
        </w:tc>
        <w:tc>
          <w:tcPr>
            <w:tcW w:w="700" w:type="dxa"/>
            <w:noWrap/>
            <w:vAlign w:val="bottom"/>
          </w:tcPr>
          <w:p w:rsidR="001D2E73" w:rsidRDefault="001D2E73">
            <w:pPr>
              <w:spacing w:before="40" w:after="40" w:line="220" w:lineRule="exact"/>
              <w:jc w:val="right"/>
              <w:rPr>
                <w:sz w:val="18"/>
                <w:szCs w:val="18"/>
              </w:rPr>
            </w:pPr>
          </w:p>
        </w:tc>
        <w:tc>
          <w:tcPr>
            <w:tcW w:w="1100" w:type="dxa"/>
            <w:noWrap/>
            <w:vAlign w:val="bottom"/>
          </w:tcPr>
          <w:p w:rsidR="001D2E73" w:rsidRDefault="001D2E73">
            <w:pPr>
              <w:spacing w:before="40" w:after="40" w:line="220" w:lineRule="exact"/>
              <w:jc w:val="right"/>
              <w:rPr>
                <w:sz w:val="18"/>
                <w:szCs w:val="18"/>
              </w:rPr>
            </w:pPr>
          </w:p>
        </w:tc>
        <w:tc>
          <w:tcPr>
            <w:tcW w:w="853" w:type="dxa"/>
            <w:noWrap/>
            <w:vAlign w:val="bottom"/>
          </w:tcPr>
          <w:p w:rsidR="001D2E73" w:rsidRDefault="001D2E73">
            <w:pPr>
              <w:spacing w:before="40" w:after="40" w:line="220" w:lineRule="exact"/>
              <w:jc w:val="right"/>
              <w:rPr>
                <w:sz w:val="18"/>
                <w:szCs w:val="18"/>
              </w:rPr>
            </w:pPr>
          </w:p>
        </w:tc>
        <w:tc>
          <w:tcPr>
            <w:tcW w:w="1120" w:type="dxa"/>
            <w:noWrap/>
            <w:vAlign w:val="bottom"/>
          </w:tcPr>
          <w:p w:rsidR="001D2E73" w:rsidRDefault="001D2E73">
            <w:pPr>
              <w:spacing w:before="40" w:after="40" w:line="220" w:lineRule="exact"/>
              <w:jc w:val="right"/>
              <w:rPr>
                <w:sz w:val="18"/>
                <w:szCs w:val="18"/>
              </w:rPr>
            </w:pPr>
          </w:p>
        </w:tc>
        <w:tc>
          <w:tcPr>
            <w:tcW w:w="966" w:type="dxa"/>
            <w:noWrap/>
            <w:vAlign w:val="bottom"/>
          </w:tcPr>
          <w:p w:rsidR="001D2E73" w:rsidRDefault="001D2E73">
            <w:pPr>
              <w:spacing w:before="40" w:after="40" w:line="220" w:lineRule="exact"/>
              <w:jc w:val="right"/>
              <w:rPr>
                <w:sz w:val="18"/>
                <w:szCs w:val="18"/>
              </w:rPr>
            </w:pPr>
          </w:p>
        </w:tc>
        <w:tc>
          <w:tcPr>
            <w:tcW w:w="1085"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bottom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2005</w:t>
            </w: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7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853"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2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96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085"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top w:val="single" w:sz="4" w:space="0" w:color="auto"/>
              <w:bottom w:val="single" w:sz="4" w:space="0" w:color="auto"/>
            </w:tcBorders>
            <w:vAlign w:val="bottom"/>
          </w:tcPr>
          <w:p w:rsidR="001D2E73" w:rsidRDefault="001D2E73">
            <w:pPr>
              <w:tabs>
                <w:tab w:val="left" w:pos="284"/>
              </w:tabs>
              <w:spacing w:before="80" w:after="80" w:line="220" w:lineRule="exact"/>
              <w:rPr>
                <w:b/>
                <w:sz w:val="18"/>
                <w:szCs w:val="18"/>
              </w:rPr>
            </w:pPr>
            <w:r>
              <w:rPr>
                <w:b/>
                <w:sz w:val="18"/>
                <w:szCs w:val="18"/>
              </w:rPr>
              <w:tab/>
              <w:t>Total</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843,3</w:t>
            </w:r>
          </w:p>
        </w:tc>
        <w:tc>
          <w:tcPr>
            <w:tcW w:w="7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115,3</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13,7</w:t>
            </w:r>
          </w:p>
        </w:tc>
        <w:tc>
          <w:tcPr>
            <w:tcW w:w="853"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217,7</w:t>
            </w:r>
          </w:p>
        </w:tc>
        <w:tc>
          <w:tcPr>
            <w:tcW w:w="112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25,8</w:t>
            </w:r>
          </w:p>
        </w:tc>
        <w:tc>
          <w:tcPr>
            <w:tcW w:w="96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87,2</w:t>
            </w:r>
          </w:p>
        </w:tc>
        <w:tc>
          <w:tcPr>
            <w:tcW w:w="1085"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10,3</w:t>
            </w:r>
          </w:p>
        </w:tc>
      </w:tr>
      <w:tr w:rsidR="001D2E73">
        <w:trPr>
          <w:trHeight w:val="20"/>
        </w:trPr>
        <w:tc>
          <w:tcPr>
            <w:tcW w:w="1594" w:type="dxa"/>
            <w:tcBorders>
              <w:top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Como porcentaje del PIB</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6,7</w:t>
            </w:r>
          </w:p>
        </w:tc>
        <w:tc>
          <w:tcPr>
            <w:tcW w:w="7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0,9</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853"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1,7</w:t>
            </w:r>
          </w:p>
        </w:tc>
        <w:tc>
          <w:tcPr>
            <w:tcW w:w="112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966"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0,7</w:t>
            </w:r>
          </w:p>
        </w:tc>
        <w:tc>
          <w:tcPr>
            <w:tcW w:w="1085"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х</w:t>
            </w:r>
          </w:p>
        </w:tc>
      </w:tr>
      <w:tr w:rsidR="001D2E73">
        <w:trPr>
          <w:trHeight w:val="20"/>
        </w:trPr>
        <w:tc>
          <w:tcPr>
            <w:tcW w:w="1594" w:type="dxa"/>
            <w:noWrap/>
            <w:vAlign w:val="bottom"/>
          </w:tcPr>
          <w:p w:rsidR="001D2E73" w:rsidRDefault="001D2E73">
            <w:pPr>
              <w:tabs>
                <w:tab w:val="left" w:pos="284"/>
              </w:tabs>
              <w:spacing w:before="40" w:after="40" w:line="220" w:lineRule="exact"/>
              <w:rPr>
                <w:sz w:val="18"/>
                <w:szCs w:val="18"/>
              </w:rPr>
            </w:pPr>
          </w:p>
        </w:tc>
        <w:tc>
          <w:tcPr>
            <w:tcW w:w="1100" w:type="dxa"/>
            <w:noWrap/>
            <w:vAlign w:val="bottom"/>
          </w:tcPr>
          <w:p w:rsidR="001D2E73" w:rsidRDefault="001D2E73">
            <w:pPr>
              <w:spacing w:before="40" w:after="40" w:line="220" w:lineRule="exact"/>
              <w:jc w:val="right"/>
              <w:rPr>
                <w:sz w:val="18"/>
                <w:szCs w:val="18"/>
              </w:rPr>
            </w:pPr>
          </w:p>
        </w:tc>
        <w:tc>
          <w:tcPr>
            <w:tcW w:w="700" w:type="dxa"/>
            <w:noWrap/>
            <w:vAlign w:val="bottom"/>
          </w:tcPr>
          <w:p w:rsidR="001D2E73" w:rsidRDefault="001D2E73">
            <w:pPr>
              <w:spacing w:before="40" w:after="40" w:line="220" w:lineRule="exact"/>
              <w:jc w:val="right"/>
              <w:rPr>
                <w:sz w:val="18"/>
                <w:szCs w:val="18"/>
              </w:rPr>
            </w:pPr>
          </w:p>
        </w:tc>
        <w:tc>
          <w:tcPr>
            <w:tcW w:w="1100" w:type="dxa"/>
            <w:noWrap/>
            <w:vAlign w:val="bottom"/>
          </w:tcPr>
          <w:p w:rsidR="001D2E73" w:rsidRDefault="001D2E73">
            <w:pPr>
              <w:spacing w:before="40" w:after="40" w:line="220" w:lineRule="exact"/>
              <w:jc w:val="right"/>
              <w:rPr>
                <w:sz w:val="18"/>
                <w:szCs w:val="18"/>
              </w:rPr>
            </w:pPr>
          </w:p>
        </w:tc>
        <w:tc>
          <w:tcPr>
            <w:tcW w:w="853" w:type="dxa"/>
            <w:noWrap/>
            <w:vAlign w:val="bottom"/>
          </w:tcPr>
          <w:p w:rsidR="001D2E73" w:rsidRDefault="001D2E73">
            <w:pPr>
              <w:spacing w:before="40" w:after="40" w:line="220" w:lineRule="exact"/>
              <w:jc w:val="right"/>
              <w:rPr>
                <w:sz w:val="18"/>
                <w:szCs w:val="18"/>
              </w:rPr>
            </w:pPr>
          </w:p>
        </w:tc>
        <w:tc>
          <w:tcPr>
            <w:tcW w:w="1120" w:type="dxa"/>
            <w:noWrap/>
            <w:vAlign w:val="bottom"/>
          </w:tcPr>
          <w:p w:rsidR="001D2E73" w:rsidRDefault="001D2E73">
            <w:pPr>
              <w:spacing w:before="40" w:after="40" w:line="220" w:lineRule="exact"/>
              <w:jc w:val="right"/>
              <w:rPr>
                <w:sz w:val="18"/>
                <w:szCs w:val="18"/>
              </w:rPr>
            </w:pPr>
          </w:p>
        </w:tc>
        <w:tc>
          <w:tcPr>
            <w:tcW w:w="966" w:type="dxa"/>
            <w:noWrap/>
            <w:vAlign w:val="bottom"/>
          </w:tcPr>
          <w:p w:rsidR="001D2E73" w:rsidRDefault="001D2E73">
            <w:pPr>
              <w:spacing w:before="40" w:after="40" w:line="220" w:lineRule="exact"/>
              <w:jc w:val="right"/>
              <w:rPr>
                <w:sz w:val="18"/>
                <w:szCs w:val="18"/>
              </w:rPr>
            </w:pPr>
          </w:p>
        </w:tc>
        <w:tc>
          <w:tcPr>
            <w:tcW w:w="1085"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bottom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2006</w:t>
            </w: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7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853"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2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96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085"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top w:val="single" w:sz="4" w:space="0" w:color="auto"/>
              <w:bottom w:val="single" w:sz="4" w:space="0" w:color="auto"/>
            </w:tcBorders>
            <w:vAlign w:val="bottom"/>
          </w:tcPr>
          <w:p w:rsidR="001D2E73" w:rsidRDefault="001D2E73">
            <w:pPr>
              <w:tabs>
                <w:tab w:val="left" w:pos="284"/>
              </w:tabs>
              <w:spacing w:before="80" w:after="80" w:line="220" w:lineRule="exact"/>
              <w:rPr>
                <w:b/>
                <w:sz w:val="18"/>
                <w:szCs w:val="18"/>
              </w:rPr>
            </w:pPr>
            <w:r>
              <w:rPr>
                <w:b/>
                <w:sz w:val="18"/>
                <w:szCs w:val="18"/>
              </w:rPr>
              <w:tab/>
              <w:t>Total</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1 049,7</w:t>
            </w:r>
          </w:p>
        </w:tc>
        <w:tc>
          <w:tcPr>
            <w:tcW w:w="7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162</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15,4</w:t>
            </w:r>
          </w:p>
        </w:tc>
        <w:tc>
          <w:tcPr>
            <w:tcW w:w="853"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330,3</w:t>
            </w:r>
          </w:p>
        </w:tc>
        <w:tc>
          <w:tcPr>
            <w:tcW w:w="112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31,5</w:t>
            </w:r>
          </w:p>
        </w:tc>
        <w:tc>
          <w:tcPr>
            <w:tcW w:w="96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11,2</w:t>
            </w:r>
          </w:p>
        </w:tc>
        <w:tc>
          <w:tcPr>
            <w:tcW w:w="1085"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1,1</w:t>
            </w:r>
          </w:p>
        </w:tc>
      </w:tr>
      <w:tr w:rsidR="001D2E73">
        <w:trPr>
          <w:cantSplit/>
          <w:trHeight w:val="20"/>
        </w:trPr>
        <w:tc>
          <w:tcPr>
            <w:tcW w:w="1594" w:type="dxa"/>
            <w:tcBorders>
              <w:top w:val="single" w:sz="4" w:space="0" w:color="auto"/>
              <w:bottom w:val="nil"/>
            </w:tcBorders>
            <w:noWrap/>
            <w:vAlign w:val="bottom"/>
          </w:tcPr>
          <w:p w:rsidR="001D2E73" w:rsidRDefault="001D2E73">
            <w:pPr>
              <w:tabs>
                <w:tab w:val="left" w:pos="284"/>
              </w:tabs>
              <w:spacing w:before="40" w:after="40" w:line="220" w:lineRule="exact"/>
              <w:rPr>
                <w:sz w:val="18"/>
                <w:szCs w:val="18"/>
              </w:rPr>
            </w:pPr>
            <w:r>
              <w:rPr>
                <w:sz w:val="18"/>
                <w:szCs w:val="18"/>
              </w:rPr>
              <w:t>Como porcentaje del PIB</w:t>
            </w:r>
          </w:p>
        </w:tc>
        <w:tc>
          <w:tcPr>
            <w:tcW w:w="1100"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5,6</w:t>
            </w:r>
          </w:p>
        </w:tc>
        <w:tc>
          <w:tcPr>
            <w:tcW w:w="700"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0,9</w:t>
            </w:r>
          </w:p>
        </w:tc>
        <w:tc>
          <w:tcPr>
            <w:tcW w:w="1100"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х</w:t>
            </w:r>
          </w:p>
        </w:tc>
        <w:tc>
          <w:tcPr>
            <w:tcW w:w="853"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1,8</w:t>
            </w:r>
          </w:p>
        </w:tc>
        <w:tc>
          <w:tcPr>
            <w:tcW w:w="1120"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х</w:t>
            </w:r>
          </w:p>
        </w:tc>
        <w:tc>
          <w:tcPr>
            <w:tcW w:w="966"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0,1</w:t>
            </w:r>
          </w:p>
        </w:tc>
        <w:tc>
          <w:tcPr>
            <w:tcW w:w="1085"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х</w:t>
            </w:r>
          </w:p>
        </w:tc>
      </w:tr>
      <w:tr w:rsidR="001D2E73">
        <w:trPr>
          <w:trHeight w:val="20"/>
        </w:trPr>
        <w:tc>
          <w:tcPr>
            <w:tcW w:w="1594" w:type="dxa"/>
            <w:tcBorders>
              <w:top w:val="nil"/>
            </w:tcBorders>
            <w:noWrap/>
            <w:vAlign w:val="bottom"/>
          </w:tcPr>
          <w:p w:rsidR="001D2E73" w:rsidRDefault="001D2E73">
            <w:pPr>
              <w:tabs>
                <w:tab w:val="left" w:pos="284"/>
              </w:tabs>
              <w:spacing w:before="40" w:after="40" w:line="220" w:lineRule="exact"/>
              <w:rPr>
                <w:sz w:val="18"/>
                <w:szCs w:val="18"/>
              </w:rPr>
            </w:pPr>
          </w:p>
        </w:tc>
        <w:tc>
          <w:tcPr>
            <w:tcW w:w="1100" w:type="dxa"/>
            <w:tcBorders>
              <w:top w:val="nil"/>
            </w:tcBorders>
            <w:noWrap/>
            <w:vAlign w:val="bottom"/>
          </w:tcPr>
          <w:p w:rsidR="001D2E73" w:rsidRDefault="001D2E73">
            <w:pPr>
              <w:spacing w:before="40" w:after="40" w:line="220" w:lineRule="exact"/>
              <w:jc w:val="right"/>
              <w:rPr>
                <w:sz w:val="18"/>
                <w:szCs w:val="18"/>
              </w:rPr>
            </w:pPr>
          </w:p>
        </w:tc>
        <w:tc>
          <w:tcPr>
            <w:tcW w:w="700" w:type="dxa"/>
            <w:tcBorders>
              <w:top w:val="nil"/>
            </w:tcBorders>
            <w:noWrap/>
            <w:vAlign w:val="bottom"/>
          </w:tcPr>
          <w:p w:rsidR="001D2E73" w:rsidRDefault="001D2E73">
            <w:pPr>
              <w:spacing w:before="40" w:after="40" w:line="220" w:lineRule="exact"/>
              <w:jc w:val="right"/>
              <w:rPr>
                <w:sz w:val="18"/>
                <w:szCs w:val="18"/>
              </w:rPr>
            </w:pPr>
          </w:p>
        </w:tc>
        <w:tc>
          <w:tcPr>
            <w:tcW w:w="1100" w:type="dxa"/>
            <w:tcBorders>
              <w:top w:val="nil"/>
            </w:tcBorders>
            <w:noWrap/>
            <w:vAlign w:val="bottom"/>
          </w:tcPr>
          <w:p w:rsidR="001D2E73" w:rsidRDefault="001D2E73">
            <w:pPr>
              <w:spacing w:before="40" w:after="40" w:line="220" w:lineRule="exact"/>
              <w:jc w:val="right"/>
              <w:rPr>
                <w:sz w:val="18"/>
                <w:szCs w:val="18"/>
              </w:rPr>
            </w:pPr>
          </w:p>
        </w:tc>
        <w:tc>
          <w:tcPr>
            <w:tcW w:w="853" w:type="dxa"/>
            <w:tcBorders>
              <w:top w:val="nil"/>
            </w:tcBorders>
            <w:noWrap/>
            <w:vAlign w:val="bottom"/>
          </w:tcPr>
          <w:p w:rsidR="001D2E73" w:rsidRDefault="001D2E73">
            <w:pPr>
              <w:spacing w:before="40" w:after="40" w:line="220" w:lineRule="exact"/>
              <w:jc w:val="right"/>
              <w:rPr>
                <w:sz w:val="18"/>
                <w:szCs w:val="18"/>
              </w:rPr>
            </w:pPr>
          </w:p>
        </w:tc>
        <w:tc>
          <w:tcPr>
            <w:tcW w:w="1120" w:type="dxa"/>
            <w:tcBorders>
              <w:top w:val="nil"/>
            </w:tcBorders>
            <w:noWrap/>
            <w:vAlign w:val="bottom"/>
          </w:tcPr>
          <w:p w:rsidR="001D2E73" w:rsidRDefault="001D2E73">
            <w:pPr>
              <w:spacing w:before="40" w:after="40" w:line="220" w:lineRule="exact"/>
              <w:jc w:val="right"/>
              <w:rPr>
                <w:sz w:val="18"/>
                <w:szCs w:val="18"/>
              </w:rPr>
            </w:pPr>
          </w:p>
        </w:tc>
        <w:tc>
          <w:tcPr>
            <w:tcW w:w="966" w:type="dxa"/>
            <w:tcBorders>
              <w:top w:val="nil"/>
            </w:tcBorders>
            <w:noWrap/>
            <w:vAlign w:val="bottom"/>
          </w:tcPr>
          <w:p w:rsidR="001D2E73" w:rsidRDefault="001D2E73">
            <w:pPr>
              <w:spacing w:before="40" w:after="40" w:line="220" w:lineRule="exact"/>
              <w:jc w:val="right"/>
              <w:rPr>
                <w:sz w:val="18"/>
                <w:szCs w:val="18"/>
              </w:rPr>
            </w:pPr>
          </w:p>
        </w:tc>
        <w:tc>
          <w:tcPr>
            <w:tcW w:w="1085" w:type="dxa"/>
            <w:tcBorders>
              <w:top w:val="nil"/>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bottom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2007</w:t>
            </w: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7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853"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2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96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085"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top w:val="single" w:sz="4" w:space="0" w:color="auto"/>
              <w:bottom w:val="single" w:sz="4" w:space="0" w:color="auto"/>
            </w:tcBorders>
            <w:vAlign w:val="bottom"/>
          </w:tcPr>
          <w:p w:rsidR="001D2E73" w:rsidRDefault="001D2E73">
            <w:pPr>
              <w:tabs>
                <w:tab w:val="left" w:pos="284"/>
              </w:tabs>
              <w:spacing w:before="80" w:after="80" w:line="220" w:lineRule="exact"/>
              <w:rPr>
                <w:b/>
                <w:sz w:val="18"/>
                <w:szCs w:val="18"/>
              </w:rPr>
            </w:pPr>
            <w:r>
              <w:rPr>
                <w:b/>
                <w:sz w:val="18"/>
                <w:szCs w:val="18"/>
              </w:rPr>
              <w:tab/>
              <w:t>Total</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1 670,3</w:t>
            </w:r>
          </w:p>
        </w:tc>
        <w:tc>
          <w:tcPr>
            <w:tcW w:w="7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257,2</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15,4</w:t>
            </w:r>
          </w:p>
        </w:tc>
        <w:tc>
          <w:tcPr>
            <w:tcW w:w="853"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578,4</w:t>
            </w:r>
          </w:p>
        </w:tc>
        <w:tc>
          <w:tcPr>
            <w:tcW w:w="112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34,6</w:t>
            </w:r>
          </w:p>
        </w:tc>
        <w:tc>
          <w:tcPr>
            <w:tcW w:w="96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16,4</w:t>
            </w:r>
          </w:p>
        </w:tc>
        <w:tc>
          <w:tcPr>
            <w:tcW w:w="1085"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1,0</w:t>
            </w:r>
          </w:p>
        </w:tc>
      </w:tr>
      <w:tr w:rsidR="001D2E73">
        <w:trPr>
          <w:trHeight w:val="20"/>
        </w:trPr>
        <w:tc>
          <w:tcPr>
            <w:tcW w:w="1594" w:type="dxa"/>
            <w:tcBorders>
              <w:top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Como porcentaje del PIB</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5,9</w:t>
            </w:r>
          </w:p>
        </w:tc>
        <w:tc>
          <w:tcPr>
            <w:tcW w:w="7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0,9</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853"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2,0</w:t>
            </w:r>
          </w:p>
        </w:tc>
        <w:tc>
          <w:tcPr>
            <w:tcW w:w="112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966"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0,1</w:t>
            </w:r>
          </w:p>
        </w:tc>
        <w:tc>
          <w:tcPr>
            <w:tcW w:w="1085"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х</w:t>
            </w:r>
          </w:p>
        </w:tc>
      </w:tr>
      <w:tr w:rsidR="001D2E73">
        <w:trPr>
          <w:trHeight w:val="20"/>
        </w:trPr>
        <w:tc>
          <w:tcPr>
            <w:tcW w:w="1594" w:type="dxa"/>
            <w:noWrap/>
            <w:vAlign w:val="bottom"/>
          </w:tcPr>
          <w:p w:rsidR="001D2E73" w:rsidRDefault="001D2E73">
            <w:pPr>
              <w:tabs>
                <w:tab w:val="left" w:pos="284"/>
              </w:tabs>
              <w:spacing w:before="40" w:after="40" w:line="220" w:lineRule="exact"/>
              <w:rPr>
                <w:sz w:val="18"/>
                <w:szCs w:val="18"/>
              </w:rPr>
            </w:pPr>
          </w:p>
        </w:tc>
        <w:tc>
          <w:tcPr>
            <w:tcW w:w="1100" w:type="dxa"/>
            <w:noWrap/>
            <w:vAlign w:val="bottom"/>
          </w:tcPr>
          <w:p w:rsidR="001D2E73" w:rsidRDefault="001D2E73">
            <w:pPr>
              <w:spacing w:before="40" w:after="40" w:line="220" w:lineRule="exact"/>
              <w:jc w:val="right"/>
              <w:rPr>
                <w:sz w:val="18"/>
                <w:szCs w:val="18"/>
              </w:rPr>
            </w:pPr>
          </w:p>
        </w:tc>
        <w:tc>
          <w:tcPr>
            <w:tcW w:w="700" w:type="dxa"/>
            <w:noWrap/>
            <w:vAlign w:val="bottom"/>
          </w:tcPr>
          <w:p w:rsidR="001D2E73" w:rsidRDefault="001D2E73">
            <w:pPr>
              <w:spacing w:before="40" w:after="40" w:line="220" w:lineRule="exact"/>
              <w:jc w:val="right"/>
              <w:rPr>
                <w:sz w:val="18"/>
                <w:szCs w:val="18"/>
              </w:rPr>
            </w:pPr>
          </w:p>
        </w:tc>
        <w:tc>
          <w:tcPr>
            <w:tcW w:w="1100" w:type="dxa"/>
            <w:noWrap/>
            <w:vAlign w:val="bottom"/>
          </w:tcPr>
          <w:p w:rsidR="001D2E73" w:rsidRDefault="001D2E73">
            <w:pPr>
              <w:spacing w:before="40" w:after="40" w:line="220" w:lineRule="exact"/>
              <w:jc w:val="right"/>
              <w:rPr>
                <w:sz w:val="18"/>
                <w:szCs w:val="18"/>
              </w:rPr>
            </w:pPr>
          </w:p>
        </w:tc>
        <w:tc>
          <w:tcPr>
            <w:tcW w:w="853" w:type="dxa"/>
            <w:noWrap/>
            <w:vAlign w:val="bottom"/>
          </w:tcPr>
          <w:p w:rsidR="001D2E73" w:rsidRDefault="001D2E73">
            <w:pPr>
              <w:spacing w:before="40" w:after="40" w:line="220" w:lineRule="exact"/>
              <w:jc w:val="right"/>
              <w:rPr>
                <w:sz w:val="18"/>
                <w:szCs w:val="18"/>
              </w:rPr>
            </w:pPr>
          </w:p>
        </w:tc>
        <w:tc>
          <w:tcPr>
            <w:tcW w:w="1120" w:type="dxa"/>
            <w:noWrap/>
            <w:vAlign w:val="bottom"/>
          </w:tcPr>
          <w:p w:rsidR="001D2E73" w:rsidRDefault="001D2E73">
            <w:pPr>
              <w:spacing w:before="40" w:after="40" w:line="220" w:lineRule="exact"/>
              <w:jc w:val="right"/>
              <w:rPr>
                <w:sz w:val="18"/>
                <w:szCs w:val="18"/>
              </w:rPr>
            </w:pPr>
          </w:p>
        </w:tc>
        <w:tc>
          <w:tcPr>
            <w:tcW w:w="966" w:type="dxa"/>
            <w:noWrap/>
            <w:vAlign w:val="bottom"/>
          </w:tcPr>
          <w:p w:rsidR="001D2E73" w:rsidRDefault="001D2E73">
            <w:pPr>
              <w:spacing w:before="40" w:after="40" w:line="220" w:lineRule="exact"/>
              <w:jc w:val="right"/>
              <w:rPr>
                <w:sz w:val="18"/>
                <w:szCs w:val="18"/>
              </w:rPr>
            </w:pPr>
          </w:p>
        </w:tc>
        <w:tc>
          <w:tcPr>
            <w:tcW w:w="1085"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bottom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2008</w:t>
            </w: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7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0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853"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120"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96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1085"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1594" w:type="dxa"/>
            <w:tcBorders>
              <w:top w:val="single" w:sz="4" w:space="0" w:color="auto"/>
              <w:bottom w:val="single" w:sz="4" w:space="0" w:color="auto"/>
            </w:tcBorders>
            <w:vAlign w:val="bottom"/>
          </w:tcPr>
          <w:p w:rsidR="001D2E73" w:rsidRDefault="001D2E73">
            <w:pPr>
              <w:tabs>
                <w:tab w:val="left" w:pos="284"/>
              </w:tabs>
              <w:spacing w:before="80" w:after="80" w:line="220" w:lineRule="exact"/>
              <w:rPr>
                <w:b/>
                <w:sz w:val="18"/>
                <w:szCs w:val="18"/>
              </w:rPr>
            </w:pPr>
            <w:r>
              <w:rPr>
                <w:b/>
                <w:sz w:val="18"/>
                <w:szCs w:val="18"/>
              </w:rPr>
              <w:tab/>
              <w:t>Total</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2 312,6</w:t>
            </w:r>
          </w:p>
        </w:tc>
        <w:tc>
          <w:tcPr>
            <w:tcW w:w="7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346,3</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15,0</w:t>
            </w:r>
          </w:p>
        </w:tc>
        <w:tc>
          <w:tcPr>
            <w:tcW w:w="853"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825,3</w:t>
            </w:r>
          </w:p>
        </w:tc>
        <w:tc>
          <w:tcPr>
            <w:tcW w:w="112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35,7</w:t>
            </w:r>
          </w:p>
        </w:tc>
        <w:tc>
          <w:tcPr>
            <w:tcW w:w="96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21,1</w:t>
            </w:r>
          </w:p>
        </w:tc>
        <w:tc>
          <w:tcPr>
            <w:tcW w:w="1085"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0,9</w:t>
            </w:r>
          </w:p>
        </w:tc>
      </w:tr>
      <w:tr w:rsidR="001D2E73">
        <w:trPr>
          <w:trHeight w:val="20"/>
        </w:trPr>
        <w:tc>
          <w:tcPr>
            <w:tcW w:w="1594" w:type="dxa"/>
            <w:tcBorders>
              <w:top w:val="single" w:sz="4" w:space="0" w:color="auto"/>
            </w:tcBorders>
            <w:noWrap/>
            <w:vAlign w:val="bottom"/>
          </w:tcPr>
          <w:p w:rsidR="001D2E73" w:rsidRDefault="001D2E73">
            <w:pPr>
              <w:tabs>
                <w:tab w:val="left" w:pos="284"/>
              </w:tabs>
              <w:spacing w:before="40" w:after="40" w:line="220" w:lineRule="exact"/>
              <w:rPr>
                <w:sz w:val="18"/>
                <w:szCs w:val="18"/>
              </w:rPr>
            </w:pPr>
            <w:r>
              <w:rPr>
                <w:sz w:val="18"/>
                <w:szCs w:val="18"/>
              </w:rPr>
              <w:t>Como porcentaje del PIB</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6,1</w:t>
            </w:r>
          </w:p>
        </w:tc>
        <w:tc>
          <w:tcPr>
            <w:tcW w:w="7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0,9</w:t>
            </w: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853"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2,1</w:t>
            </w:r>
          </w:p>
        </w:tc>
        <w:tc>
          <w:tcPr>
            <w:tcW w:w="1120"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х</w:t>
            </w:r>
          </w:p>
        </w:tc>
        <w:tc>
          <w:tcPr>
            <w:tcW w:w="966"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0,1</w:t>
            </w:r>
          </w:p>
        </w:tc>
        <w:tc>
          <w:tcPr>
            <w:tcW w:w="1085" w:type="dxa"/>
            <w:tcBorders>
              <w:top w:val="single" w:sz="4" w:space="0" w:color="auto"/>
              <w:left w:val="nil"/>
              <w:bottom w:val="single" w:sz="12"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х</w:t>
            </w:r>
          </w:p>
        </w:tc>
      </w:tr>
    </w:tbl>
    <w:p w:rsidR="001D2E73" w:rsidRDefault="001D2E73">
      <w:pPr>
        <w:pStyle w:val="SingleTxtG"/>
        <w:spacing w:before="360"/>
        <w:rPr>
          <w:lang w:val="es-ES"/>
        </w:rPr>
      </w:pPr>
      <w:r>
        <w:rPr>
          <w:lang w:val="es-ES"/>
        </w:rPr>
        <w:t>16.</w:t>
      </w:r>
      <w:r>
        <w:rPr>
          <w:lang w:val="es-ES"/>
        </w:rPr>
        <w:tab/>
        <w:t>La Ley de enmiendas a la Constitución, aprobada en 2002 en el referendo</w:t>
      </w:r>
      <w:r>
        <w:rPr>
          <w:bCs/>
          <w:lang w:val="es-ES"/>
        </w:rPr>
        <w:t xml:space="preserve">, garantizó a todos los ciudadanos el derecho a presentar directamente ante el Tribunal Constitucional sus denuncias por actos realizados por los órganos de poder legislativo y ejecutivo y por los gobiernos municipales y los tribunales que violen los derechos y las libertades y contravengan las disposiciones de </w:t>
      </w:r>
      <w:r>
        <w:rPr>
          <w:lang w:val="es-ES"/>
        </w:rPr>
        <w:t xml:space="preserve">la Constitución del país. </w:t>
      </w:r>
    </w:p>
    <w:p w:rsidR="001D2E73" w:rsidRDefault="001D2E73">
      <w:pPr>
        <w:pStyle w:val="SingleTxtG"/>
        <w:rPr>
          <w:lang w:val="es-ES"/>
        </w:rPr>
      </w:pPr>
      <w:r>
        <w:rPr>
          <w:lang w:val="es-ES"/>
        </w:rPr>
        <w:t>17.</w:t>
      </w:r>
      <w:r>
        <w:rPr>
          <w:lang w:val="es-ES"/>
        </w:rPr>
        <w:tab/>
        <w:t>Con arreglo a la Ley del Comisionado para los Derechos Humanos (Ombudsman), de 28 de diciembre 2001, se estableció la oficina del Ombudsman. Según lo dispuesto en los instrumentos normativos de los órganos de poder legislativo y ejecutivo, la Comisionada para los Derechos Humanos (Defensora Pública) de Azerbaiyán tendrá derecho a interponer demandas ante el Tribunal Constitucional de la República de Azerbaiyán por los actos de los gobiernos municipales y los tribunales que violen los derechos humanos y las libertades, conforme al procedimiento establecido por ley, para que ese Tribunal falle sobre los asuntos enumerados en los apartados 1 a 7 del párrafo III del artículo 130 de la Constitución.</w:t>
      </w:r>
    </w:p>
    <w:p w:rsidR="001D2E73" w:rsidRDefault="001D2E73">
      <w:pPr>
        <w:pStyle w:val="SingleTxtG"/>
        <w:rPr>
          <w:lang w:val="es-ES"/>
        </w:rPr>
      </w:pPr>
      <w:r>
        <w:rPr>
          <w:lang w:val="es-ES"/>
        </w:rPr>
        <w:t>18.</w:t>
      </w:r>
      <w:r>
        <w:rPr>
          <w:lang w:val="es-ES"/>
        </w:rPr>
        <w:tab/>
        <w:t>Durante el período en que ha estado desempeñando sus funciones, la Comisionada para los Derechos Humanos ha recibido en total 42.260 comunicaciones. Solo en 2008 se recibieron 8.600. Del total de comunicaciones, el 93% eran reclamaciones (86,6% de ellas solo en 2008). El 38,8% de las reclamaciones recibidas entre 2003 y 2008 (42,6% en 2008) eran violaciones de los derechos civiles. El 61,2% (57,4% en 2008) guardaba relación con los derechos económicos, sociales y culturales.</w:t>
      </w:r>
    </w:p>
    <w:p w:rsidR="001D2E73" w:rsidRDefault="001D2E73">
      <w:pPr>
        <w:pStyle w:val="SingleTxtG"/>
        <w:rPr>
          <w:lang w:val="es-ES"/>
        </w:rPr>
      </w:pPr>
      <w:r>
        <w:rPr>
          <w:lang w:val="es-ES"/>
        </w:rPr>
        <w:t>19.</w:t>
      </w:r>
      <w:r>
        <w:rPr>
          <w:lang w:val="es-ES"/>
        </w:rPr>
        <w:tab/>
        <w:t xml:space="preserve">De conformidad con la Ley del Comisionado para los Derechos Humanos de Azerbaiyán, la Defensora del Pueblo recusó el 52,6% de las reclamaciones (51,2% en 2008) porque no eran de su competencia; la violación de los derechos se había producido hacía más de un año; eran anónimas; ya se había interpuesto un proceso judicial; o no existía nueva información ni hechos ni pruebas de reincidencia en relación con </w:t>
      </w:r>
      <w:smartTag w:uri="urn:schemas-microsoft-com:office:smarttags" w:element="PersonName">
        <w:smartTagPr>
          <w:attr w:name="ProductID" w:val="la reclamaci￳n. La Comisionada"/>
        </w:smartTagPr>
        <w:r>
          <w:rPr>
            <w:lang w:val="es-ES"/>
          </w:rPr>
          <w:t>la reclamación. La Comisionada</w:t>
        </w:r>
      </w:smartTag>
      <w:r>
        <w:rPr>
          <w:lang w:val="es-ES"/>
        </w:rPr>
        <w:t xml:space="preserve"> admitió a examen el 47,4% de las reclamaciones (48,8% en 2008). En el ejercicio de sus funciones, la Comisionada se ha pronunciado respecto del 35,7% de las reclamaciones admitidas (43,3% en 2008). </w:t>
      </w:r>
    </w:p>
    <w:p w:rsidR="001D2E73" w:rsidRDefault="001D2E73">
      <w:pPr>
        <w:pStyle w:val="SingleTxtG"/>
        <w:rPr>
          <w:lang w:val="es-ES"/>
        </w:rPr>
      </w:pPr>
      <w:r>
        <w:rPr>
          <w:lang w:val="es-ES"/>
        </w:rPr>
        <w:t>20.</w:t>
      </w:r>
      <w:r>
        <w:rPr>
          <w:lang w:val="es-ES"/>
        </w:rPr>
        <w:tab/>
        <w:t xml:space="preserve">Con el fin de asegurar el ejercicio de los derechos humanos y las libertades en la República de Azerbaiyán de conformidad con el Convenio para la Protección de los Derechos Humanos y de las Libertades Fundamentales (Convenio Europeo de Derechos Humanos), el 24 de diciembre 2002 fue aprobada la Ley </w:t>
      </w:r>
      <w:r>
        <w:rPr>
          <w:snapToGrid w:val="0"/>
          <w:lang w:val="es-ES"/>
        </w:rPr>
        <w:t>por la que se reglamenta el ejercicio de los derechos y las libertades de la persona</w:t>
      </w:r>
      <w:r>
        <w:rPr>
          <w:lang w:val="es-ES"/>
        </w:rPr>
        <w:t xml:space="preserve"> en la República de Azerbaiyán. Con arreglo al artículo 1 de esa Ley, ninguna disposición de la Constitución de Azerbaiyán ni de esa Ley podrá interpretarse ni entenderse por los organismos públicos, las organizaciones o los particulares en el sentido de que establezca el fundamento jurídico para actividades o actos encaminados a la eliminación de los derechos humanos y las libertades civiles ni de que los limite en mayor grado que lo previsto en la Constitución de Azerbaiyán y en esa Ley propiamente dicha. </w:t>
      </w:r>
    </w:p>
    <w:p w:rsidR="001D2E73" w:rsidRDefault="001D2E73">
      <w:pPr>
        <w:pStyle w:val="SingleTxtG"/>
        <w:rPr>
          <w:lang w:val="es-ES"/>
        </w:rPr>
      </w:pPr>
      <w:r>
        <w:rPr>
          <w:lang w:val="es-ES"/>
        </w:rPr>
        <w:t>21.</w:t>
      </w:r>
      <w:r>
        <w:rPr>
          <w:lang w:val="es-ES"/>
        </w:rPr>
        <w:tab/>
        <w:t xml:space="preserve">El principal impedimento que tiene Azerbaiyán para su desarrollo es la constante agresión de su vecina Armenia con las terribles consecuencias que ha traído consigo. </w:t>
      </w:r>
    </w:p>
    <w:p w:rsidR="001D2E73" w:rsidRDefault="001D2E73">
      <w:pPr>
        <w:pStyle w:val="SingleTxtG"/>
        <w:rPr>
          <w:lang w:val="es-ES"/>
        </w:rPr>
      </w:pPr>
      <w:r>
        <w:rPr>
          <w:lang w:val="es-ES"/>
        </w:rPr>
        <w:t>22.</w:t>
      </w:r>
      <w:r>
        <w:rPr>
          <w:lang w:val="es-ES"/>
        </w:rPr>
        <w:tab/>
        <w:t xml:space="preserve">Debido a la agresión y a la limpieza étnica de azerbaiyanos tanto en territorio de </w:t>
      </w:r>
      <w:smartTag w:uri="urn:schemas-microsoft-com:office:smarttags" w:element="PersonName">
        <w:smartTagPr>
          <w:attr w:name="ProductID" w:val="la propia Armenia"/>
        </w:smartTagPr>
        <w:r>
          <w:rPr>
            <w:lang w:val="es-ES"/>
          </w:rPr>
          <w:t>la propia Armenia</w:t>
        </w:r>
      </w:smartTag>
      <w:r>
        <w:rPr>
          <w:lang w:val="es-ES"/>
        </w:rPr>
        <w:t xml:space="preserve"> como en las zonas ocupadas de Azerbaiyán, nuestro país cuenta en estos momentos con más de un millón de refugiados y desplazados forzosos, entre los que figuran también personas que pertenecen a distintas minorías. En Azerbaiyán se ha creado una dificilísima situación humanitaria. Cada año miles de ancianos, mujeres y niños mueren en los campamentos para refugiados a causa de enfermedades y epidemias. </w:t>
      </w:r>
    </w:p>
    <w:p w:rsidR="001D2E73" w:rsidRDefault="001D2E73">
      <w:pPr>
        <w:pStyle w:val="SingleTxtG"/>
        <w:rPr>
          <w:lang w:val="es-ES"/>
        </w:rPr>
      </w:pPr>
      <w:r>
        <w:rPr>
          <w:lang w:val="es-ES"/>
        </w:rPr>
        <w:t>23.</w:t>
      </w:r>
      <w:r>
        <w:rPr>
          <w:lang w:val="es-ES"/>
        </w:rPr>
        <w:tab/>
        <w:t xml:space="preserve">El Consejo de Seguridad de las Naciones Unidas, en sus resoluciones 822 (1993) de 30 de abril de 1993, 853 (1993) de 29 de julio de 1993, 874 (1993) de 14 de octubre de 1993 y 884 (1993) de 11 de noviembre de 1993, condenó la ocupación del territorio de la República de Azerbaiyán, reiteró el respeto de la soberanía, la integridad territorial y la inviolabilidad de las fronteras de la República de Azerbaiyán, y la inadmisibilidad del uso de la fuerza para la adquisición de territorio, y exigió la inmediata cesación de las hostilidades armadas y de los actos hostiles, así como el retiro inmediato, total e incondicional de todas las fuerzas de ocupación de las zonas ocupadas de Azerbaiyán. </w:t>
      </w:r>
    </w:p>
    <w:p w:rsidR="001D2E73" w:rsidRDefault="001D2E73">
      <w:pPr>
        <w:pStyle w:val="SingleTxtG"/>
        <w:rPr>
          <w:lang w:val="es-ES"/>
        </w:rPr>
      </w:pPr>
      <w:r>
        <w:rPr>
          <w:lang w:val="es-ES"/>
        </w:rPr>
        <w:t>24.</w:t>
      </w:r>
      <w:r>
        <w:rPr>
          <w:lang w:val="es-ES"/>
        </w:rPr>
        <w:tab/>
        <w:t xml:space="preserve">En la Cumbre de Jefes de Estado de la OSCE, celebrada en 1996, se establecieron los siguientes principios para resolver el conflicto armado, que fueron recomendados por la presidencia conjunta del Grupo de Minsk de la OSCE y recibieron el apoyo de todos los Estados miembros de la OSCE, con excepción de Armenia: </w:t>
      </w:r>
    </w:p>
    <w:p w:rsidR="001D2E73" w:rsidRDefault="001D2E73">
      <w:pPr>
        <w:pStyle w:val="SingleTxtG"/>
        <w:ind w:firstLine="567"/>
        <w:rPr>
          <w:lang w:val="es-ES"/>
        </w:rPr>
      </w:pPr>
      <w:r>
        <w:rPr>
          <w:lang w:val="es-ES"/>
        </w:rPr>
        <w:t>a)</w:t>
      </w:r>
      <w:r>
        <w:rPr>
          <w:lang w:val="es-ES"/>
        </w:rPr>
        <w:tab/>
        <w:t xml:space="preserve">Integridad territorial de la República de Armenia y de la República de Azerbaiyán; </w:t>
      </w:r>
    </w:p>
    <w:p w:rsidR="001D2E73" w:rsidRDefault="001D2E73">
      <w:pPr>
        <w:pStyle w:val="SingleTxtG"/>
        <w:ind w:firstLine="567"/>
        <w:rPr>
          <w:lang w:val="es-ES"/>
        </w:rPr>
      </w:pPr>
      <w:r>
        <w:rPr>
          <w:lang w:val="es-ES"/>
        </w:rPr>
        <w:t>b)</w:t>
      </w:r>
      <w:r>
        <w:rPr>
          <w:lang w:val="es-ES"/>
        </w:rPr>
        <w:tab/>
        <w:t xml:space="preserve">Estatuto jurídico de Nagorno-Karabaj, definido por un acuerdo basado en la libre determinación, que otorgue a Nagorno-Karabaj el máximo grado de autonomía dentro de Azerbaiyán; </w:t>
      </w:r>
    </w:p>
    <w:p w:rsidR="001D2E73" w:rsidRDefault="001D2E73">
      <w:pPr>
        <w:pStyle w:val="SingleTxtG"/>
        <w:ind w:firstLine="567"/>
        <w:rPr>
          <w:lang w:val="es-ES"/>
        </w:rPr>
      </w:pPr>
      <w:r>
        <w:rPr>
          <w:lang w:val="es-ES"/>
        </w:rPr>
        <w:t>c)</w:t>
      </w:r>
      <w:r>
        <w:rPr>
          <w:lang w:val="es-ES"/>
        </w:rPr>
        <w:tab/>
        <w:t xml:space="preserve">Garantías de seguridad para Nagorno-Karabaj y toda su población, incluyendo la responsabilidad mutua de asegurar que todas las partes observen las disposiciones del arreglo. </w:t>
      </w:r>
    </w:p>
    <w:p w:rsidR="001D2E73" w:rsidRDefault="001D2E73">
      <w:pPr>
        <w:pStyle w:val="SingleTxtG"/>
        <w:rPr>
          <w:lang w:val="es-ES"/>
        </w:rPr>
      </w:pPr>
      <w:r>
        <w:rPr>
          <w:lang w:val="es-ES"/>
        </w:rPr>
        <w:t>25.</w:t>
      </w:r>
      <w:bookmarkStart w:id="0" w:name="hit1"/>
      <w:bookmarkStart w:id="1" w:name="hit_last"/>
      <w:bookmarkEnd w:id="0"/>
      <w:bookmarkEnd w:id="1"/>
      <w:r>
        <w:rPr>
          <w:lang w:val="es-ES"/>
        </w:rPr>
        <w:tab/>
        <w:t xml:space="preserve">En la resolución 1416, aprobada por </w:t>
      </w:r>
      <w:smartTag w:uri="urn:schemas-microsoft-com:office:smarttags" w:element="PersonName">
        <w:smartTagPr>
          <w:attr w:name="ProductID" w:val="la Asamblea Parlamentaria"/>
        </w:smartTagPr>
        <w:r>
          <w:rPr>
            <w:lang w:val="es-ES"/>
          </w:rPr>
          <w:t>la Asamblea Parlamentaria</w:t>
        </w:r>
      </w:smartTag>
      <w:r>
        <w:rPr>
          <w:lang w:val="es-ES"/>
        </w:rPr>
        <w:t xml:space="preserve"> del Consejo de Europa el 25 de enero de 2005, la Asamblea se refiere a esta resolución del Consejo de Seguridad de las Naciones Unidas e insta encarecidamente a las Partes a que la observen. </w:t>
      </w:r>
    </w:p>
    <w:p w:rsidR="001D2E73" w:rsidRDefault="001D2E73">
      <w:pPr>
        <w:pStyle w:val="SingleTxtG"/>
        <w:rPr>
          <w:lang w:val="es-ES"/>
        </w:rPr>
      </w:pPr>
      <w:r>
        <w:rPr>
          <w:lang w:val="es-ES"/>
        </w:rPr>
        <w:t>26.</w:t>
      </w:r>
      <w:r>
        <w:rPr>
          <w:lang w:val="es-ES"/>
        </w:rPr>
        <w:tab/>
      </w:r>
      <w:smartTag w:uri="urn:schemas-microsoft-com:office:smarttags" w:element="PersonName">
        <w:smartTagPr>
          <w:attr w:name="ProductID" w:val="La Asamblea General"/>
        </w:smartTagPr>
        <w:r>
          <w:rPr>
            <w:lang w:val="es-ES"/>
          </w:rPr>
          <w:t>La Asamblea General</w:t>
        </w:r>
      </w:smartTag>
      <w:r>
        <w:rPr>
          <w:lang w:val="es-ES"/>
        </w:rPr>
        <w:t>, en su 86ª sesión plenaria celebrada el 14 de marzo de 2008, aprobó la resolución 62/243, en la que una vez más reafirmó la integridad territorial de la República de Azerbaiyán y exigió la retirada inmediata de las fuerzas armenias.</w:t>
      </w:r>
    </w:p>
    <w:p w:rsidR="001D2E73" w:rsidRDefault="001D2E73">
      <w:pPr>
        <w:pStyle w:val="SingleTxtG"/>
        <w:rPr>
          <w:lang w:val="es-ES"/>
        </w:rPr>
      </w:pPr>
      <w:r>
        <w:rPr>
          <w:lang w:val="es-ES"/>
        </w:rPr>
        <w:t>27.</w:t>
      </w:r>
      <w:r>
        <w:rPr>
          <w:lang w:val="es-ES"/>
        </w:rPr>
        <w:tab/>
        <w:t xml:space="preserve">Pese a las demandas inequívocas del Consejo de Seguridad y de las demás organizaciones antes mencionadas, Armenia continúa ocupando territorios azerbaiyanos hasta el día de hoy y desplegando en ellos su potencial militar. </w:t>
      </w:r>
    </w:p>
    <w:p w:rsidR="001D2E73" w:rsidRDefault="001D2E73">
      <w:pPr>
        <w:pStyle w:val="HChG"/>
        <w:rPr>
          <w:lang w:val="es-ES"/>
        </w:rPr>
      </w:pPr>
      <w:r>
        <w:rPr>
          <w:lang w:val="es-ES"/>
        </w:rPr>
        <w:tab/>
        <w:t>II.</w:t>
      </w:r>
      <w:r>
        <w:rPr>
          <w:lang w:val="es-ES"/>
        </w:rPr>
        <w:tab/>
        <w:t>Información sobre cada artículo del Pacto</w:t>
      </w:r>
    </w:p>
    <w:p w:rsidR="001D2E73" w:rsidRDefault="001D2E73">
      <w:pPr>
        <w:pStyle w:val="H1G"/>
        <w:rPr>
          <w:lang w:val="es-ES"/>
        </w:rPr>
      </w:pPr>
      <w:r>
        <w:rPr>
          <w:lang w:val="es-ES"/>
        </w:rPr>
        <w:tab/>
      </w:r>
      <w:r>
        <w:rPr>
          <w:lang w:val="es-ES"/>
        </w:rPr>
        <w:tab/>
        <w:t>Artículo 1</w:t>
      </w:r>
    </w:p>
    <w:p w:rsidR="001D2E73" w:rsidRDefault="001D2E73">
      <w:pPr>
        <w:pStyle w:val="SingleTxtG"/>
        <w:rPr>
          <w:lang w:val="es-ES"/>
        </w:rPr>
      </w:pPr>
      <w:r>
        <w:rPr>
          <w:lang w:val="es-ES"/>
        </w:rPr>
        <w:t>28.</w:t>
      </w:r>
      <w:r>
        <w:rPr>
          <w:lang w:val="es-ES"/>
        </w:rPr>
        <w:tab/>
      </w:r>
      <w:r>
        <w:rPr>
          <w:snapToGrid w:val="0"/>
          <w:lang w:val="es-ES"/>
        </w:rPr>
        <w:t>La República de Azerbaiyán confirma su inquebrantable compromiso respecto de la libre determinación de los pueblos y su derecho a establecer libremente su condición política y proveer a su desarrollo económico, social y cultural</w:t>
      </w:r>
      <w:r>
        <w:rPr>
          <w:lang w:val="es-ES"/>
        </w:rPr>
        <w:t xml:space="preserve">. </w:t>
      </w:r>
    </w:p>
    <w:p w:rsidR="001D2E73" w:rsidRDefault="001D2E73">
      <w:pPr>
        <w:pStyle w:val="SingleTxtG"/>
        <w:rPr>
          <w:u w:val="single"/>
          <w:lang w:val="es-ES"/>
        </w:rPr>
      </w:pPr>
      <w:r>
        <w:rPr>
          <w:lang w:val="es-ES"/>
        </w:rPr>
        <w:t>29.</w:t>
      </w:r>
      <w:r>
        <w:rPr>
          <w:lang w:val="es-ES"/>
        </w:rPr>
        <w:tab/>
      </w:r>
      <w:r>
        <w:rPr>
          <w:snapToGrid w:val="0"/>
          <w:lang w:val="es-ES"/>
        </w:rPr>
        <w:t>El artículo 16 de la Ley constitucional sobre la independencia del Estado de la República de Azerbaiyán dispone que "La República de Azerbaiyán, en conformidad con las normas generalmente reconocidas de derecho internacional, establecerá sus relaciones con los demás Estados sobre la base de los principios de igualdad soberana de los Estados, no utilización de la fuerza ni la amenaza de la fuerza, inviolabilidad de las fronteras de los Estados, arreglo pacífico de las controversias, no intervención en los asuntos internos de otros Estados, respeto de los derechos humanos y las libertades fundamentales, igualdad de los pueblos y su derecho a la libre determinación, cooperación entre los Estados y cumplimiento de buena fe de las obligaciones jurídicas internacionales".</w:t>
      </w:r>
    </w:p>
    <w:p w:rsidR="001D2E73" w:rsidRDefault="001D2E73">
      <w:pPr>
        <w:pStyle w:val="SingleTxtG"/>
        <w:rPr>
          <w:lang w:val="es-ES"/>
        </w:rPr>
      </w:pPr>
      <w:r>
        <w:rPr>
          <w:lang w:val="es-ES"/>
        </w:rPr>
        <w:t>30.</w:t>
      </w:r>
      <w:r>
        <w:rPr>
          <w:lang w:val="es-ES"/>
        </w:rPr>
        <w:tab/>
      </w:r>
      <w:r>
        <w:rPr>
          <w:snapToGrid w:val="0"/>
          <w:lang w:val="es-ES"/>
        </w:rPr>
        <w:t>El derecho de los pueblos a la libre determinación es de excepcional importancia para el pueblo de Azerbaiyán, que mediante la realización coherente de ese derecho ha restablecido legalmente su independencia.</w:t>
      </w:r>
      <w:r>
        <w:rPr>
          <w:lang w:val="es-ES"/>
        </w:rPr>
        <w:t xml:space="preserve"> </w:t>
      </w:r>
    </w:p>
    <w:p w:rsidR="001D2E73" w:rsidRDefault="001D2E73">
      <w:pPr>
        <w:pStyle w:val="SingleTxtG"/>
        <w:rPr>
          <w:lang w:val="es-ES"/>
        </w:rPr>
      </w:pPr>
      <w:r>
        <w:rPr>
          <w:lang w:val="es-ES"/>
        </w:rPr>
        <w:t>31.</w:t>
      </w:r>
      <w:r>
        <w:rPr>
          <w:lang w:val="es-ES"/>
        </w:rPr>
        <w:tab/>
      </w:r>
      <w:r>
        <w:rPr>
          <w:snapToGrid w:val="0"/>
          <w:lang w:val="es-ES"/>
        </w:rPr>
        <w:t>La Constitución de Azerbaiyán, aprobada por referéndum nacional el 12 de noviembre de 1995 y que entró en vigor el 27 de noviembre del mismo año, establece en su artículo 2 que constituye un derecho soberano del pueblo de Azerbaiyán decidir libre e independientemente su propio destino y determinar su forma de gobierno</w:t>
      </w:r>
      <w:r>
        <w:rPr>
          <w:lang w:val="es-ES"/>
        </w:rPr>
        <w:t xml:space="preserve">. </w:t>
      </w:r>
    </w:p>
    <w:p w:rsidR="001D2E73" w:rsidRDefault="001D2E73">
      <w:pPr>
        <w:pStyle w:val="SingleTxtG"/>
        <w:rPr>
          <w:lang w:val="es-ES"/>
        </w:rPr>
      </w:pPr>
      <w:r>
        <w:rPr>
          <w:lang w:val="es-ES"/>
        </w:rPr>
        <w:t>32.</w:t>
      </w:r>
      <w:r>
        <w:rPr>
          <w:lang w:val="es-ES"/>
        </w:rPr>
        <w:tab/>
      </w:r>
      <w:r>
        <w:rPr>
          <w:snapToGrid w:val="0"/>
          <w:lang w:val="es-ES"/>
        </w:rPr>
        <w:t>El pueblo de Azerbaiyán ejercerá su derecho soberano en forma directa mediante votación nacional (por referéndum) y a través de representantes elegidos sobre la base del sufragio universal, igual y directo mediante voto libre, secreto y personal</w:t>
      </w:r>
      <w:r>
        <w:rPr>
          <w:lang w:val="es-ES"/>
        </w:rPr>
        <w:t xml:space="preserve">. </w:t>
      </w:r>
    </w:p>
    <w:p w:rsidR="001D2E73" w:rsidRDefault="001D2E73">
      <w:pPr>
        <w:pStyle w:val="SingleTxtG"/>
        <w:rPr>
          <w:lang w:val="es-ES"/>
        </w:rPr>
      </w:pPr>
      <w:r>
        <w:rPr>
          <w:lang w:val="es-ES"/>
        </w:rPr>
        <w:t>33.</w:t>
      </w:r>
      <w:r>
        <w:rPr>
          <w:lang w:val="es-ES"/>
        </w:rPr>
        <w:tab/>
      </w:r>
      <w:r>
        <w:rPr>
          <w:snapToGrid w:val="0"/>
          <w:lang w:val="es-ES"/>
        </w:rPr>
        <w:t>La República de Azerbaiyán está convencida de que los principios rectores de las sociedades democráticas —la igualdad, el imperio del derecho, el respeto de los derechos humanos, la libertad de elección y la tolerancia— deben aplicarse en igual medida a las relaciones internacionales. Esas relaciones deben basarse en los principios de soberanía, igualdad e integridad territorial de los Estados, no injerencia en los asuntos internos de los demás Estados y coexistencia pacífica</w:t>
      </w:r>
      <w:r>
        <w:rPr>
          <w:lang w:val="es-ES"/>
        </w:rPr>
        <w:t xml:space="preserve">. </w:t>
      </w:r>
    </w:p>
    <w:p w:rsidR="001D2E73" w:rsidRDefault="001D2E73">
      <w:pPr>
        <w:pStyle w:val="SingleTxtG"/>
        <w:rPr>
          <w:lang w:val="es-ES"/>
        </w:rPr>
      </w:pPr>
      <w:r>
        <w:rPr>
          <w:lang w:val="es-ES"/>
        </w:rPr>
        <w:t>34.</w:t>
      </w:r>
      <w:r>
        <w:rPr>
          <w:lang w:val="es-ES"/>
        </w:rPr>
        <w:tab/>
        <w:t xml:space="preserve">La República de Azerbaiyán está convencida de que el ejercicio efectivo del derecho a la libre determinación no deberá utilizarse </w:t>
      </w:r>
      <w:r>
        <w:rPr>
          <w:snapToGrid w:val="0"/>
          <w:lang w:val="es-ES"/>
        </w:rPr>
        <w:t>como pretexto para atentar contra la integridad territorial, la unidad nacional o la armonía étnica de los Estados independientes. A su juicio, el derecho de los pueblos a la libre determinación debe recibir su significado original y auténtico; con ello no se restringe, sino que por el contrario se fortalece, la independencia nacional, la soberanía y la integridad territorial de los Estados cuyos gobiernos reflejan los intereses de todos sus habitantes sin distinción</w:t>
      </w:r>
      <w:r>
        <w:rPr>
          <w:lang w:val="es-ES"/>
        </w:rPr>
        <w:t xml:space="preserve">. </w:t>
      </w:r>
    </w:p>
    <w:p w:rsidR="001D2E73" w:rsidRDefault="001D2E73">
      <w:pPr>
        <w:pStyle w:val="H1G"/>
        <w:rPr>
          <w:lang w:val="es-ES"/>
        </w:rPr>
      </w:pPr>
      <w:r>
        <w:rPr>
          <w:lang w:val="es-ES"/>
        </w:rPr>
        <w:tab/>
      </w:r>
      <w:r>
        <w:rPr>
          <w:lang w:val="es-ES"/>
        </w:rPr>
        <w:tab/>
        <w:t>Artículo 2</w:t>
      </w:r>
    </w:p>
    <w:p w:rsidR="001D2E73" w:rsidRDefault="001D2E73">
      <w:pPr>
        <w:pStyle w:val="SingleTxtG"/>
        <w:rPr>
          <w:lang w:val="es-ES"/>
        </w:rPr>
      </w:pPr>
      <w:r>
        <w:rPr>
          <w:lang w:val="es-ES"/>
        </w:rPr>
        <w:t>35.</w:t>
      </w:r>
      <w:r>
        <w:rPr>
          <w:lang w:val="es-ES"/>
        </w:rPr>
        <w:tab/>
        <w:t>Con arreglo al párrafo 3 del artículo 25 de la Constitución, el Estado garantiza la igualdad de derechos y libertades para todas las personas, cualquiera que sea su raza, nacionalidad, religión, idioma, sexo, origen, situación económica, cargo laboral, creencias o afiliación a partidos políticos, sindicatos y otras asociaciones públicas. Se prohíbe toda restricción de los derechos humanos y las libertades de los ciudadanos por motivos de raza, nacionalidad, religión, idioma, sexo, origen, creencias o afiliación política o social.</w:t>
      </w:r>
    </w:p>
    <w:p w:rsidR="001D2E73" w:rsidRDefault="001D2E73">
      <w:pPr>
        <w:pStyle w:val="SingleTxtG"/>
        <w:rPr>
          <w:lang w:val="es-ES"/>
        </w:rPr>
      </w:pPr>
      <w:r>
        <w:rPr>
          <w:lang w:val="es-ES"/>
        </w:rPr>
        <w:t>36.</w:t>
      </w:r>
      <w:r>
        <w:rPr>
          <w:lang w:val="es-ES"/>
        </w:rPr>
        <w:tab/>
        <w:t xml:space="preserve">De conformidad con la adición al artículo 25 de la Constitución, que entró en vigor el 31 de marzo de 2009, en el párrafo 3 de ese artículo se establece que no se podrá actuar en detrimento de nadie ni se podrán otorgar privilegios ni beneficios, aunque tampoco se podrán negar. </w:t>
      </w:r>
    </w:p>
    <w:p w:rsidR="001D2E73" w:rsidRDefault="001D2E73">
      <w:pPr>
        <w:pStyle w:val="SingleTxtG"/>
        <w:rPr>
          <w:lang w:val="es-ES"/>
        </w:rPr>
      </w:pPr>
      <w:r>
        <w:rPr>
          <w:lang w:val="es-ES"/>
        </w:rPr>
        <w:t>37.</w:t>
      </w:r>
      <w:r>
        <w:rPr>
          <w:lang w:val="es-ES"/>
        </w:rPr>
        <w:tab/>
        <w:t>Además, en el párrafo 5 se dispone que toda persona goza de iguales derechos ante los organismos estatales y las autoridades investidas de poder estatal para adoptar decisiones relacionadas con derechos y obligaciones.</w:t>
      </w:r>
    </w:p>
    <w:p w:rsidR="001D2E73" w:rsidRDefault="001D2E73">
      <w:pPr>
        <w:pStyle w:val="SingleTxtG"/>
        <w:rPr>
          <w:lang w:val="es-ES"/>
        </w:rPr>
      </w:pPr>
      <w:r>
        <w:rPr>
          <w:lang w:val="es-ES"/>
        </w:rPr>
        <w:t>38.</w:t>
      </w:r>
      <w:r>
        <w:rPr>
          <w:lang w:val="es-ES"/>
        </w:rPr>
        <w:tab/>
        <w:t xml:space="preserve">Con arreglo al artículo 69 de la Constitución, los extranjeros y los apátridas en el territorio de la República pueden ejercer los mismos derechos y tienen las mismas obligaciones que los ciudadanos de Azerbaiyán, excepto en los casos previstos por la legislación o los acuerdos internacionales en los que Azerbaiyán es Parte. Los derechos y las libertades de los extranjeros y los apátridas que tienen residencia permanente o se encuentran temporalmente en territorio de la República de Azerbaiyán podrán ser restringidos solo de conformidad con las normas de derecho internacional y lo dispuesto en las leyes de la República de Azerbaiyán. </w:t>
      </w:r>
    </w:p>
    <w:p w:rsidR="001D2E73" w:rsidRDefault="001D2E73">
      <w:pPr>
        <w:pStyle w:val="SingleTxtG"/>
        <w:rPr>
          <w:lang w:val="es-ES"/>
        </w:rPr>
      </w:pPr>
      <w:r>
        <w:rPr>
          <w:lang w:val="es-ES"/>
        </w:rPr>
        <w:t>39.</w:t>
      </w:r>
      <w:r>
        <w:rPr>
          <w:lang w:val="es-ES"/>
        </w:rPr>
        <w:tab/>
        <w:t xml:space="preserve">Por otra parte, el principio de la igualdad de derechos de todos se consagra también en leyes especiales que regulan las distintas esferas de la vida social (actividad de los tribunales, la fiscalía, la policía, etc.) y los fundamentos de la condición jurídica de determinados sujetos especiales (niños, extranjeros, personas con discapacidad, enfermos, etc.), que contienen las normas del ejercicio de cualquier actividad (legislación procesal, actividad empresarial). </w:t>
      </w:r>
    </w:p>
    <w:p w:rsidR="001D2E73" w:rsidRDefault="001D2E73">
      <w:pPr>
        <w:pStyle w:val="SingleTxtG"/>
        <w:rPr>
          <w:lang w:val="es-ES"/>
        </w:rPr>
      </w:pPr>
      <w:r>
        <w:rPr>
          <w:lang w:val="es-ES"/>
        </w:rPr>
        <w:t>40.</w:t>
      </w:r>
      <w:r>
        <w:rPr>
          <w:lang w:val="es-ES"/>
        </w:rPr>
        <w:tab/>
        <w:t>De conformidad con el artículo 4 de la Ley del estatuto jurídico de extranjeros y apátridas, de 13 de marzo de 1996, los extranjeros y apátridas, independientemente de su situación social y su patrimonio, raza o procedencia, sexo e idioma, gozan de todos los derechos y libertades y contraen las mismas obligaciones que los demás ciudadanos de la República de Azerbaiyán.</w:t>
      </w:r>
    </w:p>
    <w:p w:rsidR="001D2E73" w:rsidRDefault="001D2E73">
      <w:pPr>
        <w:pStyle w:val="SingleTxtG"/>
        <w:rPr>
          <w:lang w:val="es-ES"/>
        </w:rPr>
      </w:pPr>
      <w:r>
        <w:rPr>
          <w:lang w:val="es-ES"/>
        </w:rPr>
        <w:t>41.</w:t>
      </w:r>
      <w:r>
        <w:rPr>
          <w:lang w:val="es-ES"/>
        </w:rPr>
        <w:tab/>
        <w:t xml:space="preserve">Con arreglo al artículo 20 de esa ley, los extranjeros y los apátridas con residencia permanente en Azerbaiyán tienen derecho a pertenecer a organizaciones sociales en igualdad de condiciones con los ciudadanos del país, a menos que en los estatutos se prevea otra cosa. </w:t>
      </w:r>
    </w:p>
    <w:p w:rsidR="001D2E73" w:rsidRDefault="001D2E73">
      <w:pPr>
        <w:pStyle w:val="SingleTxtG"/>
        <w:spacing w:line="276" w:lineRule="auto"/>
        <w:rPr>
          <w:lang w:val="es-ES"/>
        </w:rPr>
      </w:pPr>
      <w:r>
        <w:rPr>
          <w:lang w:val="es-ES"/>
        </w:rPr>
        <w:t>42.</w:t>
      </w:r>
      <w:r>
        <w:rPr>
          <w:lang w:val="es-ES"/>
        </w:rPr>
        <w:tab/>
        <w:t xml:space="preserve">De conformidad con el artículo 11 de la Ley, los extranjeros y los apátridas gozan de los mismos derechos y tienen las mismas obligaciones que los ciudadanos de Azerbaiyán, a menos que se disponga otra cosa en la legislación y los convenios internacionales en los que Azerbaiyán es parte. </w:t>
      </w:r>
    </w:p>
    <w:p w:rsidR="001D2E73" w:rsidRDefault="001D2E73">
      <w:pPr>
        <w:pStyle w:val="SingleTxtG"/>
        <w:spacing w:line="276" w:lineRule="auto"/>
        <w:rPr>
          <w:lang w:val="es-ES"/>
        </w:rPr>
      </w:pPr>
      <w:r>
        <w:rPr>
          <w:lang w:val="es-ES"/>
        </w:rPr>
        <w:t>43.</w:t>
      </w:r>
      <w:r>
        <w:rPr>
          <w:lang w:val="es-ES"/>
        </w:rPr>
        <w:tab/>
        <w:t xml:space="preserve">En la Ley de pensiones de jubilación de </w:t>
      </w:r>
      <w:r>
        <w:rPr>
          <w:bCs/>
          <w:lang w:val="es-ES"/>
        </w:rPr>
        <w:t>7 de febrero de 2006 se consagra el derecho de los extranjeros y los apátridas con residencia permanente en territorio de Azerbaiyán a recibir una pensión de jubilación en igualdad de condiciones con los ciudadanos del país</w:t>
      </w:r>
      <w:r>
        <w:rPr>
          <w:lang w:val="es-ES"/>
        </w:rPr>
        <w:t>.</w:t>
      </w:r>
    </w:p>
    <w:p w:rsidR="001D2E73" w:rsidRDefault="001D2E73">
      <w:pPr>
        <w:pStyle w:val="SingleTxtG"/>
        <w:spacing w:line="276" w:lineRule="auto"/>
        <w:rPr>
          <w:lang w:val="es-ES"/>
        </w:rPr>
      </w:pPr>
      <w:r>
        <w:rPr>
          <w:lang w:val="es-ES"/>
        </w:rPr>
        <w:t>44.</w:t>
      </w:r>
      <w:r>
        <w:rPr>
          <w:lang w:val="es-ES"/>
        </w:rPr>
        <w:tab/>
        <w:t>En la Ley de prestaciones sociales de</w:t>
      </w:r>
      <w:r>
        <w:rPr>
          <w:bCs/>
          <w:lang w:val="es-ES"/>
        </w:rPr>
        <w:t xml:space="preserve"> 7 de febrero de 2006 se establece el derecho de los extranjeros y apátridas con residencia permanente en Azerbaiyán</w:t>
      </w:r>
      <w:r>
        <w:rPr>
          <w:lang w:val="es-ES"/>
        </w:rPr>
        <w:t xml:space="preserve"> a recibir una prestación mensual y de una sola vez en las condiciones establecidas para los ciudadanos del país.</w:t>
      </w:r>
    </w:p>
    <w:p w:rsidR="001D2E73" w:rsidRDefault="001D2E73">
      <w:pPr>
        <w:pStyle w:val="SingleTxtG"/>
        <w:spacing w:line="276" w:lineRule="auto"/>
        <w:rPr>
          <w:lang w:val="es-ES"/>
        </w:rPr>
      </w:pPr>
      <w:r>
        <w:rPr>
          <w:lang w:val="es-ES"/>
        </w:rPr>
        <w:t>45.</w:t>
      </w:r>
      <w:r>
        <w:rPr>
          <w:lang w:val="es-ES"/>
        </w:rPr>
        <w:tab/>
        <w:t>En la Ley de derechos de autor y derechos conexos</w:t>
      </w:r>
      <w:r>
        <w:rPr>
          <w:bCs/>
          <w:lang w:val="es-ES"/>
        </w:rPr>
        <w:t xml:space="preserve"> de</w:t>
      </w:r>
      <w:r>
        <w:rPr>
          <w:lang w:val="es-ES"/>
        </w:rPr>
        <w:t xml:space="preserve"> 5 de junio 1996, se introdujeron adiciones en 2008 en virtud de las cuales </w:t>
      </w:r>
      <w:r>
        <w:rPr>
          <w:bCs/>
          <w:lang w:val="es-ES"/>
        </w:rPr>
        <w:t xml:space="preserve">se amplió el alcance de esa Ley </w:t>
      </w:r>
      <w:r>
        <w:rPr>
          <w:lang w:val="es-ES"/>
        </w:rPr>
        <w:t xml:space="preserve">de conformidad con los tratados internacionales y sobre la base del principio de </w:t>
      </w:r>
      <w:r>
        <w:rPr>
          <w:bCs/>
          <w:lang w:val="es-ES"/>
        </w:rPr>
        <w:t>reciprocidad, para que los extranjeros y apátridas gocen de la misma protección que los ciudadanos de Azerbaiyán</w:t>
      </w:r>
      <w:r>
        <w:rPr>
          <w:lang w:val="es-ES"/>
        </w:rPr>
        <w:t>.</w:t>
      </w:r>
    </w:p>
    <w:p w:rsidR="001D2E73" w:rsidRDefault="001D2E73">
      <w:pPr>
        <w:pStyle w:val="SingleTxtG"/>
        <w:rPr>
          <w:lang w:val="es-ES"/>
        </w:rPr>
      </w:pPr>
      <w:r>
        <w:rPr>
          <w:lang w:val="es-ES"/>
        </w:rPr>
        <w:t>46.</w:t>
      </w:r>
      <w:r>
        <w:rPr>
          <w:lang w:val="es-ES"/>
        </w:rPr>
        <w:tab/>
        <w:t>De conformidad con las enmiendas introducidas en 2008, en la Ley de asignación de la ayuda social del Estado, de 15 de marzo de 1999, los extranjeros con residencia permanente en Azerbaiyán quedaron incluidos en la lista de personas cuyas familias se consideran a los efectos de la asignación de la ayuda social del Estado.</w:t>
      </w:r>
    </w:p>
    <w:p w:rsidR="001D2E73" w:rsidRDefault="001D2E73">
      <w:pPr>
        <w:pStyle w:val="SingleTxtG"/>
        <w:spacing w:line="276" w:lineRule="auto"/>
        <w:rPr>
          <w:lang w:val="es-ES"/>
        </w:rPr>
      </w:pPr>
      <w:r>
        <w:rPr>
          <w:lang w:val="es-ES"/>
        </w:rPr>
        <w:t>47.</w:t>
      </w:r>
      <w:r>
        <w:rPr>
          <w:lang w:val="es-ES"/>
        </w:rPr>
        <w:tab/>
        <w:t>Además, los derechos sociales y económicos de los extranjeros y los apátridas se reflejan en las enmiendas introducidas en las leyes del secreto estatal, de 7 de septiembre de 2004, de ayuda oncológica, de 23 de mayo de 2006, del Registro Estatal y la inscripción de las personas jurídicas, de 12 de diciembre 2003, y en otras leyes.</w:t>
      </w:r>
    </w:p>
    <w:p w:rsidR="001D2E73" w:rsidRDefault="001D2E73">
      <w:pPr>
        <w:pStyle w:val="SingleTxtG"/>
        <w:rPr>
          <w:lang w:val="es-ES"/>
        </w:rPr>
      </w:pPr>
      <w:r>
        <w:rPr>
          <w:lang w:val="es-ES"/>
        </w:rPr>
        <w:t>48.</w:t>
      </w:r>
      <w:r>
        <w:rPr>
          <w:lang w:val="es-ES"/>
        </w:rPr>
        <w:tab/>
        <w:t xml:space="preserve">Con arreglo a la Ley de migración laboral, de 28 de octubre de 1999, todo extranjero o apátrida con capacidad laboral que haya cumplido 18 años de edad, tiene derecho a realizar una actividad laboral remunerada en el territorio nacional. </w:t>
      </w:r>
    </w:p>
    <w:p w:rsidR="001D2E73" w:rsidRDefault="001D2E73">
      <w:pPr>
        <w:pStyle w:val="SingleTxtG"/>
        <w:rPr>
          <w:lang w:val="es-ES"/>
        </w:rPr>
      </w:pPr>
      <w:r>
        <w:rPr>
          <w:lang w:val="es-ES"/>
        </w:rPr>
        <w:t>49.</w:t>
      </w:r>
      <w:r>
        <w:rPr>
          <w:lang w:val="es-ES"/>
        </w:rPr>
        <w:tab/>
        <w:t>De conformidad con el artículo 13 del Código del Trabajo, aprobado el 1º de julio de 1999,</w:t>
      </w:r>
      <w:r>
        <w:rPr>
          <w:b/>
          <w:lang w:val="es-ES"/>
        </w:rPr>
        <w:t xml:space="preserve"> </w:t>
      </w:r>
      <w:r>
        <w:rPr>
          <w:lang w:val="es-ES"/>
        </w:rPr>
        <w:t>los extranjeros y los apátridas que se encuentren en Azerbaiyán podrán disfrutar de todos los derechos laborales en igualdad de condiciones con los ciudadanos del país. También queda prohibido restringir los derechos laborales de extranjeros y apátridas previstos en el Código y en otros instrumentos jurídicos y normativos, salvo en los casos que la ley determine; además en el contexto del empleo, no se permite otorgar a los extranjeros y apátridas derechos que sean más favorables que los que se les reconoce a los ciudadanos de Azerbaiyán.</w:t>
      </w:r>
    </w:p>
    <w:p w:rsidR="001D2E73" w:rsidRDefault="001D2E73">
      <w:pPr>
        <w:pStyle w:val="SingleTxtG"/>
        <w:rPr>
          <w:lang w:val="es-ES"/>
        </w:rPr>
      </w:pPr>
      <w:r>
        <w:rPr>
          <w:lang w:val="es-ES"/>
        </w:rPr>
        <w:t>50.</w:t>
      </w:r>
      <w:r>
        <w:rPr>
          <w:lang w:val="es-ES"/>
        </w:rPr>
        <w:tab/>
        <w:t>En el artículo 16 del Código del Trabajo se prohíbe toda discriminación entre los trabajadores sobre la base de la ciudadanía, raza, religión, etnia, idioma, lugar de residencia, patrimonio, extracción social, edad, situación familiar, creencias, opiniones políticas, afiliación a sindicatos u otras asociaciones voluntarias, posición oficial o cualquier otro criterio que no tenga que ver con sus cualificaciones profesionales, sus habilidades ocupacionales o los resultados de su trabajo. También prohíbe la concesión directa o indirecta de ventajas o prerrogativas y la restricción de los derechos por esos motivos.</w:t>
      </w:r>
    </w:p>
    <w:p w:rsidR="001D2E73" w:rsidRDefault="001D2E73">
      <w:pPr>
        <w:spacing w:before="240" w:after="120"/>
        <w:ind w:left="1134" w:right="1134"/>
      </w:pPr>
      <w:r>
        <w:t>Cuadro 3</w:t>
      </w:r>
      <w:r>
        <w:br/>
      </w:r>
      <w:r>
        <w:rPr>
          <w:b/>
        </w:rPr>
        <w:t>Proporción de las distintas nacionalidades de la República de Azerbaiyán por actividad económica y porcentaje de empleados según los resultados del censo de población de 1999</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591"/>
        <w:gridCol w:w="1591"/>
        <w:gridCol w:w="1445"/>
        <w:gridCol w:w="1743"/>
      </w:tblGrid>
      <w:tr w:rsidR="001D2E73">
        <w:trPr>
          <w:trHeight w:val="347"/>
        </w:trPr>
        <w:tc>
          <w:tcPr>
            <w:tcW w:w="2591" w:type="dxa"/>
            <w:vMerge w:val="restart"/>
            <w:tcBorders>
              <w:top w:val="single" w:sz="4" w:space="0" w:color="auto"/>
              <w:bottom w:val="single" w:sz="12" w:space="0" w:color="auto"/>
            </w:tcBorders>
            <w:shd w:val="clear" w:color="auto" w:fill="auto"/>
            <w:vAlign w:val="bottom"/>
          </w:tcPr>
          <w:p w:rsidR="001D2E73" w:rsidRDefault="001D2E73">
            <w:pPr>
              <w:spacing w:before="80" w:after="80" w:line="200" w:lineRule="exact"/>
              <w:rPr>
                <w:i/>
                <w:sz w:val="16"/>
                <w:szCs w:val="18"/>
              </w:rPr>
            </w:pPr>
            <w:r>
              <w:rPr>
                <w:i/>
                <w:sz w:val="16"/>
                <w:szCs w:val="18"/>
              </w:rPr>
              <w:t>Nacionalidad</w:t>
            </w:r>
          </w:p>
        </w:tc>
        <w:tc>
          <w:tcPr>
            <w:tcW w:w="3036" w:type="dxa"/>
            <w:gridSpan w:val="2"/>
            <w:tcBorders>
              <w:top w:val="single" w:sz="4" w:space="0" w:color="auto"/>
              <w:bottom w:val="single" w:sz="4" w:space="0" w:color="auto"/>
            </w:tcBorders>
            <w:shd w:val="clear" w:color="auto" w:fill="auto"/>
          </w:tcPr>
          <w:p w:rsidR="001D2E73" w:rsidRDefault="001D2E73">
            <w:pPr>
              <w:spacing w:before="80" w:after="80" w:line="200" w:lineRule="exact"/>
              <w:jc w:val="center"/>
              <w:rPr>
                <w:i/>
                <w:sz w:val="16"/>
                <w:szCs w:val="18"/>
              </w:rPr>
            </w:pPr>
            <w:r>
              <w:rPr>
                <w:i/>
                <w:sz w:val="16"/>
                <w:szCs w:val="18"/>
              </w:rPr>
              <w:t>Miles de personas</w:t>
            </w:r>
          </w:p>
        </w:tc>
        <w:tc>
          <w:tcPr>
            <w:tcW w:w="1743" w:type="dxa"/>
            <w:vMerge w:val="restart"/>
            <w:tcBorders>
              <w:top w:val="single" w:sz="4" w:space="0" w:color="auto"/>
              <w:left w:val="nil"/>
              <w:bottom w:val="single" w:sz="12" w:space="0" w:color="auto"/>
              <w:right w:val="nil"/>
              <w:tl2br w:val="nil"/>
              <w:tr2bl w:val="nil"/>
            </w:tcBorders>
            <w:shd w:val="clear" w:color="auto" w:fill="auto"/>
            <w:vAlign w:val="bottom"/>
          </w:tcPr>
          <w:p w:rsidR="001D2E73" w:rsidRDefault="001D2E73">
            <w:pPr>
              <w:spacing w:before="80" w:after="80" w:line="200" w:lineRule="exact"/>
              <w:jc w:val="right"/>
              <w:rPr>
                <w:i/>
                <w:sz w:val="16"/>
                <w:szCs w:val="18"/>
              </w:rPr>
            </w:pPr>
            <w:r>
              <w:rPr>
                <w:i/>
                <w:sz w:val="16"/>
                <w:szCs w:val="18"/>
              </w:rPr>
              <w:t xml:space="preserve">% de empleados en relación con la </w:t>
            </w:r>
            <w:r>
              <w:rPr>
                <w:i/>
                <w:sz w:val="16"/>
                <w:szCs w:val="18"/>
              </w:rPr>
              <w:br/>
              <w:t xml:space="preserve">población </w:t>
            </w:r>
            <w:r>
              <w:rPr>
                <w:i/>
                <w:sz w:val="16"/>
                <w:szCs w:val="18"/>
              </w:rPr>
              <w:br/>
              <w:t>económic</w:t>
            </w:r>
            <w:r>
              <w:rPr>
                <w:i/>
                <w:sz w:val="16"/>
                <w:szCs w:val="18"/>
              </w:rPr>
              <w:t>a</w:t>
            </w:r>
            <w:r>
              <w:rPr>
                <w:i/>
                <w:sz w:val="16"/>
                <w:szCs w:val="18"/>
              </w:rPr>
              <w:t>mente activa</w:t>
            </w:r>
          </w:p>
        </w:tc>
      </w:tr>
      <w:tr w:rsidR="001D2E73">
        <w:trPr>
          <w:trHeight w:val="143"/>
        </w:trPr>
        <w:tc>
          <w:tcPr>
            <w:tcW w:w="0" w:type="auto"/>
            <w:vMerge/>
            <w:tcBorders>
              <w:top w:val="single" w:sz="12" w:space="0" w:color="auto"/>
              <w:bottom w:val="single" w:sz="12" w:space="0" w:color="auto"/>
            </w:tcBorders>
            <w:shd w:val="clear" w:color="auto" w:fill="auto"/>
          </w:tcPr>
          <w:p w:rsidR="001D2E73" w:rsidRDefault="001D2E73">
            <w:pPr>
              <w:spacing w:before="80" w:after="80" w:line="200" w:lineRule="exact"/>
              <w:rPr>
                <w:i/>
                <w:sz w:val="16"/>
                <w:szCs w:val="18"/>
              </w:rPr>
            </w:pPr>
          </w:p>
        </w:tc>
        <w:tc>
          <w:tcPr>
            <w:tcW w:w="1591"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8"/>
              </w:rPr>
            </w:pPr>
            <w:r>
              <w:rPr>
                <w:i/>
                <w:sz w:val="16"/>
                <w:szCs w:val="18"/>
              </w:rPr>
              <w:t>Población económ</w:t>
            </w:r>
            <w:r>
              <w:rPr>
                <w:i/>
                <w:sz w:val="16"/>
                <w:szCs w:val="18"/>
              </w:rPr>
              <w:t>i</w:t>
            </w:r>
            <w:r>
              <w:rPr>
                <w:i/>
                <w:sz w:val="16"/>
                <w:szCs w:val="18"/>
              </w:rPr>
              <w:t>camente activa</w:t>
            </w:r>
          </w:p>
        </w:tc>
        <w:tc>
          <w:tcPr>
            <w:tcW w:w="1445"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8"/>
              </w:rPr>
            </w:pPr>
            <w:r>
              <w:rPr>
                <w:i/>
                <w:sz w:val="16"/>
                <w:szCs w:val="18"/>
              </w:rPr>
              <w:t>Población</w:t>
            </w:r>
            <w:r>
              <w:rPr>
                <w:i/>
                <w:sz w:val="16"/>
                <w:szCs w:val="18"/>
              </w:rPr>
              <w:br/>
              <w:t xml:space="preserve"> emple</w:t>
            </w:r>
            <w:r>
              <w:rPr>
                <w:i/>
                <w:sz w:val="16"/>
                <w:szCs w:val="18"/>
              </w:rPr>
              <w:t>a</w:t>
            </w:r>
            <w:r>
              <w:rPr>
                <w:i/>
                <w:sz w:val="16"/>
                <w:szCs w:val="18"/>
              </w:rPr>
              <w:t>da</w:t>
            </w:r>
          </w:p>
        </w:tc>
        <w:tc>
          <w:tcPr>
            <w:tcW w:w="1743" w:type="dxa"/>
            <w:vMerge/>
            <w:tcBorders>
              <w:top w:val="single" w:sz="12" w:space="0" w:color="auto"/>
              <w:left w:val="nil"/>
              <w:bottom w:val="single" w:sz="12" w:space="0" w:color="auto"/>
              <w:right w:val="nil"/>
              <w:tl2br w:val="nil"/>
              <w:tr2bl w:val="nil"/>
            </w:tcBorders>
            <w:shd w:val="clear" w:color="auto" w:fill="auto"/>
            <w:vAlign w:val="bottom"/>
          </w:tcPr>
          <w:p w:rsidR="001D2E73" w:rsidRDefault="001D2E73">
            <w:pPr>
              <w:spacing w:before="80" w:after="80" w:line="200" w:lineRule="exact"/>
              <w:jc w:val="right"/>
              <w:rPr>
                <w:i/>
                <w:sz w:val="16"/>
                <w:szCs w:val="18"/>
              </w:rPr>
            </w:pPr>
          </w:p>
        </w:tc>
      </w:tr>
      <w:tr w:rsidR="001D2E73">
        <w:trPr>
          <w:trHeight w:val="261"/>
        </w:trPr>
        <w:tc>
          <w:tcPr>
            <w:tcW w:w="2591" w:type="dxa"/>
            <w:tcBorders>
              <w:top w:val="single" w:sz="12" w:space="0" w:color="auto"/>
              <w:bottom w:val="single" w:sz="4" w:space="0" w:color="auto"/>
            </w:tcBorders>
            <w:vAlign w:val="bottom"/>
          </w:tcPr>
          <w:p w:rsidR="001D2E73" w:rsidRDefault="001D2E73">
            <w:pPr>
              <w:spacing w:before="80" w:after="80" w:line="220" w:lineRule="exact"/>
              <w:ind w:left="170"/>
              <w:rPr>
                <w:b/>
                <w:sz w:val="18"/>
                <w:szCs w:val="18"/>
              </w:rPr>
            </w:pPr>
            <w:r>
              <w:rPr>
                <w:b/>
                <w:sz w:val="18"/>
                <w:szCs w:val="18"/>
              </w:rPr>
              <w:t>Población total</w:t>
            </w:r>
          </w:p>
        </w:tc>
        <w:tc>
          <w:tcPr>
            <w:tcW w:w="1591" w:type="dxa"/>
            <w:tcBorders>
              <w:top w:val="single" w:sz="12"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3 400,3</w:t>
            </w:r>
          </w:p>
        </w:tc>
        <w:tc>
          <w:tcPr>
            <w:tcW w:w="1445" w:type="dxa"/>
            <w:tcBorders>
              <w:top w:val="single" w:sz="12"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2 847,7</w:t>
            </w:r>
          </w:p>
        </w:tc>
        <w:tc>
          <w:tcPr>
            <w:tcW w:w="1743" w:type="dxa"/>
            <w:tcBorders>
              <w:top w:val="single" w:sz="12" w:space="0" w:color="auto"/>
              <w:left w:val="nil"/>
              <w:bottom w:val="single" w:sz="4" w:space="0" w:color="auto"/>
              <w:right w:val="nil"/>
              <w:tl2br w:val="nil"/>
              <w:tr2bl w:val="nil"/>
            </w:tcBorders>
            <w:vAlign w:val="bottom"/>
          </w:tcPr>
          <w:p w:rsidR="001D2E73" w:rsidRDefault="001D2E73">
            <w:pPr>
              <w:spacing w:before="80" w:after="80" w:line="220" w:lineRule="exact"/>
              <w:jc w:val="right"/>
              <w:rPr>
                <w:b/>
                <w:sz w:val="18"/>
                <w:szCs w:val="18"/>
              </w:rPr>
            </w:pPr>
            <w:r>
              <w:rPr>
                <w:b/>
                <w:sz w:val="18"/>
                <w:szCs w:val="18"/>
              </w:rPr>
              <w:t>83,7</w:t>
            </w:r>
          </w:p>
        </w:tc>
      </w:tr>
      <w:tr w:rsidR="001D2E73">
        <w:trPr>
          <w:trHeight w:val="261"/>
        </w:trPr>
        <w:tc>
          <w:tcPr>
            <w:tcW w:w="2591" w:type="dxa"/>
            <w:tcBorders>
              <w:top w:val="single" w:sz="4" w:space="0" w:color="auto"/>
            </w:tcBorders>
            <w:vAlign w:val="bottom"/>
          </w:tcPr>
          <w:p w:rsidR="001D2E73" w:rsidRDefault="001D2E73">
            <w:pPr>
              <w:spacing w:before="40" w:after="40" w:line="220" w:lineRule="exact"/>
              <w:rPr>
                <w:i/>
                <w:sz w:val="18"/>
                <w:szCs w:val="18"/>
              </w:rPr>
            </w:pPr>
            <w:r>
              <w:rPr>
                <w:i/>
                <w:sz w:val="18"/>
                <w:szCs w:val="18"/>
              </w:rPr>
              <w:t>de ellos:</w:t>
            </w:r>
          </w:p>
        </w:tc>
        <w:tc>
          <w:tcPr>
            <w:tcW w:w="1591" w:type="dxa"/>
            <w:tcBorders>
              <w:top w:val="single" w:sz="4" w:space="0" w:color="auto"/>
            </w:tcBorders>
            <w:vAlign w:val="bottom"/>
          </w:tcPr>
          <w:p w:rsidR="001D2E73" w:rsidRDefault="001D2E73">
            <w:pPr>
              <w:spacing w:before="40" w:after="40" w:line="220" w:lineRule="exact"/>
              <w:jc w:val="right"/>
              <w:rPr>
                <w:sz w:val="18"/>
                <w:szCs w:val="18"/>
              </w:rPr>
            </w:pPr>
          </w:p>
        </w:tc>
        <w:tc>
          <w:tcPr>
            <w:tcW w:w="1445" w:type="dxa"/>
            <w:tcBorders>
              <w:top w:val="single" w:sz="4" w:space="0" w:color="auto"/>
            </w:tcBorders>
            <w:vAlign w:val="bottom"/>
          </w:tcPr>
          <w:p w:rsidR="001D2E73" w:rsidRDefault="001D2E73">
            <w:pPr>
              <w:spacing w:before="40" w:after="40" w:line="220" w:lineRule="exact"/>
              <w:jc w:val="right"/>
              <w:rPr>
                <w:sz w:val="18"/>
                <w:szCs w:val="18"/>
              </w:rPr>
            </w:pPr>
          </w:p>
        </w:tc>
        <w:tc>
          <w:tcPr>
            <w:tcW w:w="1743" w:type="dxa"/>
            <w:tcBorders>
              <w:top w:val="single" w:sz="4" w:space="0" w:color="auto"/>
              <w:left w:val="nil"/>
              <w:bottom w:val="nil"/>
              <w:right w:val="nil"/>
              <w:tl2br w:val="nil"/>
              <w:tr2bl w:val="nil"/>
            </w:tcBorders>
            <w:vAlign w:val="bottom"/>
          </w:tcPr>
          <w:p w:rsidR="001D2E73" w:rsidRDefault="001D2E73">
            <w:pPr>
              <w:spacing w:before="40" w:after="40" w:line="220" w:lineRule="exact"/>
              <w:jc w:val="right"/>
              <w:rPr>
                <w:sz w:val="18"/>
                <w:szCs w:val="18"/>
              </w:rPr>
            </w:pPr>
          </w:p>
        </w:tc>
      </w:tr>
      <w:tr w:rsidR="001D2E73">
        <w:trPr>
          <w:trHeight w:val="261"/>
        </w:trPr>
        <w:tc>
          <w:tcPr>
            <w:tcW w:w="2591" w:type="dxa"/>
            <w:vAlign w:val="bottom"/>
          </w:tcPr>
          <w:p w:rsidR="001D2E73" w:rsidRDefault="001D2E73">
            <w:pPr>
              <w:spacing w:before="40" w:after="40" w:line="220" w:lineRule="exact"/>
              <w:rPr>
                <w:sz w:val="18"/>
                <w:szCs w:val="18"/>
              </w:rPr>
            </w:pPr>
            <w:r>
              <w:rPr>
                <w:sz w:val="18"/>
                <w:szCs w:val="18"/>
              </w:rPr>
              <w:t>Azerbaiyanos</w:t>
            </w:r>
          </w:p>
        </w:tc>
        <w:tc>
          <w:tcPr>
            <w:tcW w:w="1591" w:type="dxa"/>
            <w:vAlign w:val="bottom"/>
          </w:tcPr>
          <w:p w:rsidR="001D2E73" w:rsidRDefault="001D2E73">
            <w:pPr>
              <w:spacing w:before="40" w:after="40" w:line="220" w:lineRule="exact"/>
              <w:jc w:val="right"/>
              <w:rPr>
                <w:sz w:val="18"/>
                <w:szCs w:val="18"/>
              </w:rPr>
            </w:pPr>
            <w:r>
              <w:rPr>
                <w:sz w:val="18"/>
                <w:szCs w:val="18"/>
              </w:rPr>
              <w:t>3 064,5</w:t>
            </w:r>
          </w:p>
        </w:tc>
        <w:tc>
          <w:tcPr>
            <w:tcW w:w="1445" w:type="dxa"/>
            <w:vAlign w:val="bottom"/>
          </w:tcPr>
          <w:p w:rsidR="001D2E73" w:rsidRDefault="001D2E73">
            <w:pPr>
              <w:spacing w:before="40" w:after="40" w:line="220" w:lineRule="exact"/>
              <w:jc w:val="right"/>
              <w:rPr>
                <w:sz w:val="18"/>
                <w:szCs w:val="18"/>
              </w:rPr>
            </w:pPr>
            <w:r>
              <w:rPr>
                <w:sz w:val="18"/>
                <w:szCs w:val="18"/>
              </w:rPr>
              <w:t>2 555,7</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83,4</w:t>
            </w:r>
          </w:p>
        </w:tc>
      </w:tr>
      <w:tr w:rsidR="001D2E73">
        <w:trPr>
          <w:trHeight w:val="268"/>
        </w:trPr>
        <w:tc>
          <w:tcPr>
            <w:tcW w:w="2591" w:type="dxa"/>
            <w:vAlign w:val="bottom"/>
          </w:tcPr>
          <w:p w:rsidR="001D2E73" w:rsidRDefault="001D2E73">
            <w:pPr>
              <w:spacing w:before="40" w:after="40" w:line="220" w:lineRule="exact"/>
              <w:rPr>
                <w:sz w:val="18"/>
                <w:szCs w:val="18"/>
              </w:rPr>
            </w:pPr>
            <w:r>
              <w:rPr>
                <w:sz w:val="18"/>
                <w:szCs w:val="18"/>
              </w:rPr>
              <w:t>Lezguinos</w:t>
            </w:r>
          </w:p>
        </w:tc>
        <w:tc>
          <w:tcPr>
            <w:tcW w:w="1591" w:type="dxa"/>
            <w:vAlign w:val="bottom"/>
          </w:tcPr>
          <w:p w:rsidR="001D2E73" w:rsidRDefault="001D2E73">
            <w:pPr>
              <w:spacing w:before="40" w:after="40" w:line="220" w:lineRule="exact"/>
              <w:jc w:val="right"/>
              <w:rPr>
                <w:sz w:val="18"/>
                <w:szCs w:val="18"/>
              </w:rPr>
            </w:pPr>
            <w:r>
              <w:rPr>
                <w:sz w:val="18"/>
                <w:szCs w:val="18"/>
              </w:rPr>
              <w:t>77,7</w:t>
            </w:r>
          </w:p>
        </w:tc>
        <w:tc>
          <w:tcPr>
            <w:tcW w:w="1445" w:type="dxa"/>
            <w:vAlign w:val="bottom"/>
          </w:tcPr>
          <w:p w:rsidR="001D2E73" w:rsidRDefault="001D2E73">
            <w:pPr>
              <w:spacing w:before="40" w:after="40" w:line="220" w:lineRule="exact"/>
              <w:jc w:val="right"/>
              <w:rPr>
                <w:sz w:val="18"/>
                <w:szCs w:val="18"/>
              </w:rPr>
            </w:pPr>
            <w:r>
              <w:rPr>
                <w:sz w:val="18"/>
                <w:szCs w:val="18"/>
              </w:rPr>
              <w:t>68,9</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88,7</w:t>
            </w:r>
          </w:p>
        </w:tc>
      </w:tr>
      <w:tr w:rsidR="001D2E73">
        <w:trPr>
          <w:trHeight w:val="268"/>
        </w:trPr>
        <w:tc>
          <w:tcPr>
            <w:tcW w:w="2591" w:type="dxa"/>
            <w:vAlign w:val="bottom"/>
          </w:tcPr>
          <w:p w:rsidR="001D2E73" w:rsidRDefault="001D2E73">
            <w:pPr>
              <w:spacing w:before="40" w:after="40" w:line="220" w:lineRule="exact"/>
              <w:rPr>
                <w:sz w:val="18"/>
                <w:szCs w:val="18"/>
              </w:rPr>
            </w:pPr>
            <w:r>
              <w:rPr>
                <w:sz w:val="18"/>
                <w:szCs w:val="18"/>
              </w:rPr>
              <w:t>Rusos</w:t>
            </w:r>
          </w:p>
        </w:tc>
        <w:tc>
          <w:tcPr>
            <w:tcW w:w="1591" w:type="dxa"/>
            <w:vAlign w:val="bottom"/>
          </w:tcPr>
          <w:p w:rsidR="001D2E73" w:rsidRDefault="001D2E73">
            <w:pPr>
              <w:spacing w:before="40" w:after="40" w:line="220" w:lineRule="exact"/>
              <w:jc w:val="right"/>
              <w:rPr>
                <w:sz w:val="18"/>
                <w:szCs w:val="18"/>
              </w:rPr>
            </w:pPr>
            <w:r>
              <w:rPr>
                <w:sz w:val="18"/>
                <w:szCs w:val="18"/>
              </w:rPr>
              <w:t>62,9</w:t>
            </w:r>
          </w:p>
        </w:tc>
        <w:tc>
          <w:tcPr>
            <w:tcW w:w="1445" w:type="dxa"/>
            <w:vAlign w:val="bottom"/>
          </w:tcPr>
          <w:p w:rsidR="001D2E73" w:rsidRDefault="001D2E73">
            <w:pPr>
              <w:spacing w:before="40" w:after="40" w:line="220" w:lineRule="exact"/>
              <w:jc w:val="right"/>
              <w:rPr>
                <w:sz w:val="18"/>
                <w:szCs w:val="18"/>
              </w:rPr>
            </w:pPr>
            <w:r>
              <w:rPr>
                <w:sz w:val="18"/>
                <w:szCs w:val="18"/>
              </w:rPr>
              <w:t>50,3</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80,0</w:t>
            </w:r>
          </w:p>
        </w:tc>
      </w:tr>
      <w:tr w:rsidR="001D2E73">
        <w:trPr>
          <w:trHeight w:val="283"/>
        </w:trPr>
        <w:tc>
          <w:tcPr>
            <w:tcW w:w="2591" w:type="dxa"/>
            <w:vAlign w:val="bottom"/>
          </w:tcPr>
          <w:p w:rsidR="001D2E73" w:rsidRDefault="001D2E73">
            <w:pPr>
              <w:spacing w:before="40" w:after="40" w:line="220" w:lineRule="exact"/>
              <w:rPr>
                <w:sz w:val="18"/>
                <w:szCs w:val="18"/>
              </w:rPr>
            </w:pPr>
            <w:r>
              <w:rPr>
                <w:sz w:val="18"/>
                <w:szCs w:val="18"/>
              </w:rPr>
              <w:t>Armenios</w:t>
            </w:r>
          </w:p>
        </w:tc>
        <w:tc>
          <w:tcPr>
            <w:tcW w:w="1591" w:type="dxa"/>
            <w:vAlign w:val="bottom"/>
          </w:tcPr>
          <w:p w:rsidR="001D2E73" w:rsidRDefault="001D2E73">
            <w:pPr>
              <w:spacing w:before="40" w:after="40" w:line="220" w:lineRule="exact"/>
              <w:jc w:val="right"/>
              <w:rPr>
                <w:sz w:val="18"/>
                <w:szCs w:val="18"/>
              </w:rPr>
            </w:pPr>
            <w:r>
              <w:rPr>
                <w:sz w:val="18"/>
                <w:szCs w:val="18"/>
              </w:rPr>
              <w:t>54,4</w:t>
            </w:r>
          </w:p>
        </w:tc>
        <w:tc>
          <w:tcPr>
            <w:tcW w:w="1445" w:type="dxa"/>
            <w:vAlign w:val="bottom"/>
          </w:tcPr>
          <w:p w:rsidR="001D2E73" w:rsidRDefault="001D2E73">
            <w:pPr>
              <w:spacing w:before="40" w:after="40" w:line="220" w:lineRule="exact"/>
              <w:jc w:val="right"/>
              <w:rPr>
                <w:sz w:val="18"/>
                <w:szCs w:val="18"/>
              </w:rPr>
            </w:pPr>
            <w:r>
              <w:rPr>
                <w:sz w:val="18"/>
                <w:szCs w:val="18"/>
              </w:rPr>
              <w:t>45,9</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84,4</w:t>
            </w:r>
          </w:p>
        </w:tc>
      </w:tr>
      <w:tr w:rsidR="001D2E73">
        <w:trPr>
          <w:trHeight w:val="268"/>
        </w:trPr>
        <w:tc>
          <w:tcPr>
            <w:tcW w:w="2591" w:type="dxa"/>
            <w:vAlign w:val="bottom"/>
          </w:tcPr>
          <w:p w:rsidR="001D2E73" w:rsidRDefault="001D2E73">
            <w:pPr>
              <w:spacing w:before="40" w:after="40" w:line="220" w:lineRule="exact"/>
              <w:rPr>
                <w:sz w:val="18"/>
                <w:szCs w:val="18"/>
              </w:rPr>
            </w:pPr>
            <w:r>
              <w:rPr>
                <w:sz w:val="18"/>
                <w:szCs w:val="18"/>
              </w:rPr>
              <w:t>Talishes</w:t>
            </w:r>
          </w:p>
        </w:tc>
        <w:tc>
          <w:tcPr>
            <w:tcW w:w="1591" w:type="dxa"/>
            <w:vAlign w:val="bottom"/>
          </w:tcPr>
          <w:p w:rsidR="001D2E73" w:rsidRDefault="001D2E73">
            <w:pPr>
              <w:spacing w:before="40" w:after="40" w:line="220" w:lineRule="exact"/>
              <w:jc w:val="right"/>
              <w:rPr>
                <w:sz w:val="18"/>
                <w:szCs w:val="18"/>
              </w:rPr>
            </w:pPr>
            <w:r>
              <w:rPr>
                <w:sz w:val="18"/>
                <w:szCs w:val="18"/>
              </w:rPr>
              <w:t>37,6</w:t>
            </w:r>
          </w:p>
        </w:tc>
        <w:tc>
          <w:tcPr>
            <w:tcW w:w="1445" w:type="dxa"/>
            <w:vAlign w:val="bottom"/>
          </w:tcPr>
          <w:p w:rsidR="001D2E73" w:rsidRDefault="001D2E73">
            <w:pPr>
              <w:spacing w:before="40" w:after="40" w:line="220" w:lineRule="exact"/>
              <w:jc w:val="right"/>
              <w:rPr>
                <w:sz w:val="18"/>
                <w:szCs w:val="18"/>
              </w:rPr>
            </w:pPr>
            <w:r>
              <w:rPr>
                <w:sz w:val="18"/>
                <w:szCs w:val="18"/>
              </w:rPr>
              <w:t>36,2</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96,3</w:t>
            </w:r>
          </w:p>
        </w:tc>
      </w:tr>
      <w:tr w:rsidR="001D2E73">
        <w:trPr>
          <w:trHeight w:val="283"/>
        </w:trPr>
        <w:tc>
          <w:tcPr>
            <w:tcW w:w="2591" w:type="dxa"/>
            <w:vAlign w:val="bottom"/>
          </w:tcPr>
          <w:p w:rsidR="001D2E73" w:rsidRDefault="001D2E73">
            <w:pPr>
              <w:spacing w:before="40" w:after="40" w:line="220" w:lineRule="exact"/>
              <w:rPr>
                <w:sz w:val="18"/>
                <w:szCs w:val="18"/>
              </w:rPr>
            </w:pPr>
            <w:r>
              <w:rPr>
                <w:sz w:val="18"/>
                <w:szCs w:val="18"/>
              </w:rPr>
              <w:t>Ávaros</w:t>
            </w:r>
          </w:p>
        </w:tc>
        <w:tc>
          <w:tcPr>
            <w:tcW w:w="1591" w:type="dxa"/>
            <w:vAlign w:val="bottom"/>
          </w:tcPr>
          <w:p w:rsidR="001D2E73" w:rsidRDefault="001D2E73">
            <w:pPr>
              <w:spacing w:before="40" w:after="40" w:line="220" w:lineRule="exact"/>
              <w:jc w:val="right"/>
              <w:rPr>
                <w:sz w:val="18"/>
                <w:szCs w:val="18"/>
              </w:rPr>
            </w:pPr>
            <w:r>
              <w:rPr>
                <w:sz w:val="18"/>
                <w:szCs w:val="18"/>
              </w:rPr>
              <w:t>25,3</w:t>
            </w:r>
          </w:p>
        </w:tc>
        <w:tc>
          <w:tcPr>
            <w:tcW w:w="1445" w:type="dxa"/>
            <w:vAlign w:val="bottom"/>
          </w:tcPr>
          <w:p w:rsidR="001D2E73" w:rsidRDefault="001D2E73">
            <w:pPr>
              <w:spacing w:before="40" w:after="40" w:line="220" w:lineRule="exact"/>
              <w:jc w:val="right"/>
              <w:rPr>
                <w:sz w:val="18"/>
                <w:szCs w:val="18"/>
              </w:rPr>
            </w:pPr>
            <w:r>
              <w:rPr>
                <w:sz w:val="18"/>
                <w:szCs w:val="18"/>
              </w:rPr>
              <w:t>24,1</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95,3</w:t>
            </w:r>
          </w:p>
        </w:tc>
      </w:tr>
      <w:tr w:rsidR="001D2E73">
        <w:trPr>
          <w:trHeight w:val="268"/>
        </w:trPr>
        <w:tc>
          <w:tcPr>
            <w:tcW w:w="2591" w:type="dxa"/>
            <w:vAlign w:val="bottom"/>
          </w:tcPr>
          <w:p w:rsidR="001D2E73" w:rsidRDefault="001D2E73">
            <w:pPr>
              <w:spacing w:before="40" w:after="40" w:line="220" w:lineRule="exact"/>
              <w:rPr>
                <w:sz w:val="18"/>
                <w:szCs w:val="18"/>
              </w:rPr>
            </w:pPr>
            <w:r>
              <w:rPr>
                <w:sz w:val="18"/>
                <w:szCs w:val="18"/>
              </w:rPr>
              <w:t>Turcos</w:t>
            </w:r>
          </w:p>
        </w:tc>
        <w:tc>
          <w:tcPr>
            <w:tcW w:w="1591" w:type="dxa"/>
            <w:vAlign w:val="bottom"/>
          </w:tcPr>
          <w:p w:rsidR="001D2E73" w:rsidRDefault="001D2E73">
            <w:pPr>
              <w:spacing w:before="40" w:after="40" w:line="220" w:lineRule="exact"/>
              <w:jc w:val="right"/>
              <w:rPr>
                <w:sz w:val="18"/>
                <w:szCs w:val="18"/>
              </w:rPr>
            </w:pPr>
            <w:r>
              <w:rPr>
                <w:sz w:val="18"/>
                <w:szCs w:val="18"/>
              </w:rPr>
              <w:t>18,5</w:t>
            </w:r>
          </w:p>
        </w:tc>
        <w:tc>
          <w:tcPr>
            <w:tcW w:w="1445" w:type="dxa"/>
            <w:vAlign w:val="bottom"/>
          </w:tcPr>
          <w:p w:rsidR="001D2E73" w:rsidRDefault="001D2E73">
            <w:pPr>
              <w:spacing w:before="40" w:after="40" w:line="220" w:lineRule="exact"/>
              <w:jc w:val="right"/>
              <w:rPr>
                <w:sz w:val="18"/>
                <w:szCs w:val="18"/>
              </w:rPr>
            </w:pPr>
            <w:r>
              <w:rPr>
                <w:sz w:val="18"/>
                <w:szCs w:val="18"/>
              </w:rPr>
              <w:t>17,4</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93,9</w:t>
            </w:r>
          </w:p>
        </w:tc>
      </w:tr>
      <w:tr w:rsidR="001D2E73">
        <w:trPr>
          <w:trHeight w:val="268"/>
        </w:trPr>
        <w:tc>
          <w:tcPr>
            <w:tcW w:w="2591" w:type="dxa"/>
            <w:vAlign w:val="bottom"/>
          </w:tcPr>
          <w:p w:rsidR="001D2E73" w:rsidRDefault="001D2E73">
            <w:pPr>
              <w:spacing w:before="40" w:after="40" w:line="220" w:lineRule="exact"/>
              <w:rPr>
                <w:sz w:val="18"/>
                <w:szCs w:val="18"/>
              </w:rPr>
            </w:pPr>
            <w:r>
              <w:rPr>
                <w:sz w:val="18"/>
                <w:szCs w:val="18"/>
              </w:rPr>
              <w:t>Tártaros</w:t>
            </w:r>
          </w:p>
        </w:tc>
        <w:tc>
          <w:tcPr>
            <w:tcW w:w="1591" w:type="dxa"/>
            <w:vAlign w:val="bottom"/>
          </w:tcPr>
          <w:p w:rsidR="001D2E73" w:rsidRDefault="001D2E73">
            <w:pPr>
              <w:spacing w:before="40" w:after="40" w:line="220" w:lineRule="exact"/>
              <w:jc w:val="right"/>
              <w:rPr>
                <w:sz w:val="18"/>
                <w:szCs w:val="18"/>
              </w:rPr>
            </w:pPr>
            <w:r>
              <w:rPr>
                <w:sz w:val="18"/>
                <w:szCs w:val="18"/>
              </w:rPr>
              <w:t>12,8</w:t>
            </w:r>
          </w:p>
        </w:tc>
        <w:tc>
          <w:tcPr>
            <w:tcW w:w="1445" w:type="dxa"/>
            <w:vAlign w:val="bottom"/>
          </w:tcPr>
          <w:p w:rsidR="001D2E73" w:rsidRDefault="001D2E73">
            <w:pPr>
              <w:spacing w:before="40" w:after="40" w:line="220" w:lineRule="exact"/>
              <w:jc w:val="right"/>
              <w:rPr>
                <w:sz w:val="18"/>
                <w:szCs w:val="18"/>
              </w:rPr>
            </w:pPr>
            <w:r>
              <w:rPr>
                <w:sz w:val="18"/>
                <w:szCs w:val="18"/>
              </w:rPr>
              <w:t>10,1</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79,4</w:t>
            </w:r>
          </w:p>
        </w:tc>
      </w:tr>
      <w:tr w:rsidR="001D2E73">
        <w:trPr>
          <w:trHeight w:val="283"/>
        </w:trPr>
        <w:tc>
          <w:tcPr>
            <w:tcW w:w="2591" w:type="dxa"/>
            <w:vAlign w:val="bottom"/>
          </w:tcPr>
          <w:p w:rsidR="001D2E73" w:rsidRDefault="001D2E73">
            <w:pPr>
              <w:spacing w:before="40" w:after="40" w:line="220" w:lineRule="exact"/>
              <w:rPr>
                <w:sz w:val="18"/>
                <w:szCs w:val="18"/>
              </w:rPr>
            </w:pPr>
            <w:r>
              <w:rPr>
                <w:sz w:val="18"/>
                <w:szCs w:val="18"/>
              </w:rPr>
              <w:t>Ucranios</w:t>
            </w:r>
          </w:p>
        </w:tc>
        <w:tc>
          <w:tcPr>
            <w:tcW w:w="1591" w:type="dxa"/>
            <w:vAlign w:val="bottom"/>
          </w:tcPr>
          <w:p w:rsidR="001D2E73" w:rsidRDefault="001D2E73">
            <w:pPr>
              <w:spacing w:before="40" w:after="40" w:line="220" w:lineRule="exact"/>
              <w:jc w:val="right"/>
              <w:rPr>
                <w:sz w:val="18"/>
                <w:szCs w:val="18"/>
              </w:rPr>
            </w:pPr>
            <w:r>
              <w:rPr>
                <w:sz w:val="18"/>
                <w:szCs w:val="18"/>
              </w:rPr>
              <w:t>12,5</w:t>
            </w:r>
          </w:p>
        </w:tc>
        <w:tc>
          <w:tcPr>
            <w:tcW w:w="1445" w:type="dxa"/>
            <w:vAlign w:val="bottom"/>
          </w:tcPr>
          <w:p w:rsidR="001D2E73" w:rsidRDefault="001D2E73">
            <w:pPr>
              <w:spacing w:before="40" w:after="40" w:line="220" w:lineRule="exact"/>
              <w:jc w:val="right"/>
              <w:rPr>
                <w:sz w:val="18"/>
                <w:szCs w:val="18"/>
              </w:rPr>
            </w:pPr>
            <w:r>
              <w:rPr>
                <w:sz w:val="18"/>
                <w:szCs w:val="18"/>
              </w:rPr>
              <w:t>9,9</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79,5</w:t>
            </w:r>
          </w:p>
        </w:tc>
      </w:tr>
      <w:tr w:rsidR="001D2E73">
        <w:trPr>
          <w:trHeight w:val="268"/>
        </w:trPr>
        <w:tc>
          <w:tcPr>
            <w:tcW w:w="2591" w:type="dxa"/>
            <w:vAlign w:val="bottom"/>
          </w:tcPr>
          <w:p w:rsidR="001D2E73" w:rsidRDefault="001D2E73">
            <w:pPr>
              <w:spacing w:before="40" w:after="40" w:line="220" w:lineRule="exact"/>
              <w:rPr>
                <w:sz w:val="18"/>
                <w:szCs w:val="18"/>
              </w:rPr>
            </w:pPr>
            <w:r>
              <w:rPr>
                <w:sz w:val="18"/>
                <w:szCs w:val="18"/>
              </w:rPr>
              <w:t>Tsajuros</w:t>
            </w:r>
          </w:p>
        </w:tc>
        <w:tc>
          <w:tcPr>
            <w:tcW w:w="1591" w:type="dxa"/>
            <w:vAlign w:val="bottom"/>
          </w:tcPr>
          <w:p w:rsidR="001D2E73" w:rsidRDefault="001D2E73">
            <w:pPr>
              <w:spacing w:before="40" w:after="40" w:line="220" w:lineRule="exact"/>
              <w:jc w:val="right"/>
              <w:rPr>
                <w:sz w:val="18"/>
                <w:szCs w:val="18"/>
              </w:rPr>
            </w:pPr>
            <w:r>
              <w:rPr>
                <w:sz w:val="18"/>
                <w:szCs w:val="18"/>
              </w:rPr>
              <w:t>7,6</w:t>
            </w:r>
          </w:p>
        </w:tc>
        <w:tc>
          <w:tcPr>
            <w:tcW w:w="1445" w:type="dxa"/>
            <w:vAlign w:val="bottom"/>
          </w:tcPr>
          <w:p w:rsidR="001D2E73" w:rsidRDefault="001D2E73">
            <w:pPr>
              <w:spacing w:before="40" w:after="40" w:line="220" w:lineRule="exact"/>
              <w:jc w:val="right"/>
              <w:rPr>
                <w:sz w:val="18"/>
                <w:szCs w:val="18"/>
              </w:rPr>
            </w:pPr>
            <w:r>
              <w:rPr>
                <w:sz w:val="18"/>
                <w:szCs w:val="18"/>
              </w:rPr>
              <w:t>6,9</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89,9</w:t>
            </w:r>
          </w:p>
        </w:tc>
      </w:tr>
      <w:tr w:rsidR="001D2E73">
        <w:trPr>
          <w:trHeight w:val="283"/>
        </w:trPr>
        <w:tc>
          <w:tcPr>
            <w:tcW w:w="2591" w:type="dxa"/>
            <w:vAlign w:val="bottom"/>
          </w:tcPr>
          <w:p w:rsidR="001D2E73" w:rsidRDefault="001D2E73">
            <w:pPr>
              <w:spacing w:before="40" w:after="40" w:line="220" w:lineRule="exact"/>
              <w:rPr>
                <w:sz w:val="18"/>
                <w:szCs w:val="18"/>
              </w:rPr>
            </w:pPr>
            <w:r>
              <w:rPr>
                <w:sz w:val="18"/>
                <w:szCs w:val="18"/>
              </w:rPr>
              <w:t>Georgianos</w:t>
            </w:r>
          </w:p>
        </w:tc>
        <w:tc>
          <w:tcPr>
            <w:tcW w:w="1591" w:type="dxa"/>
            <w:vAlign w:val="bottom"/>
          </w:tcPr>
          <w:p w:rsidR="001D2E73" w:rsidRDefault="001D2E73">
            <w:pPr>
              <w:spacing w:before="40" w:after="40" w:line="220" w:lineRule="exact"/>
              <w:jc w:val="right"/>
              <w:rPr>
                <w:sz w:val="18"/>
                <w:szCs w:val="18"/>
              </w:rPr>
            </w:pPr>
            <w:r>
              <w:rPr>
                <w:sz w:val="18"/>
                <w:szCs w:val="18"/>
              </w:rPr>
              <w:t>7,2</w:t>
            </w:r>
          </w:p>
        </w:tc>
        <w:tc>
          <w:tcPr>
            <w:tcW w:w="1445" w:type="dxa"/>
            <w:vAlign w:val="bottom"/>
          </w:tcPr>
          <w:p w:rsidR="001D2E73" w:rsidRDefault="001D2E73">
            <w:pPr>
              <w:spacing w:before="40" w:after="40" w:line="220" w:lineRule="exact"/>
              <w:jc w:val="right"/>
              <w:rPr>
                <w:sz w:val="18"/>
                <w:szCs w:val="18"/>
              </w:rPr>
            </w:pPr>
            <w:r>
              <w:rPr>
                <w:sz w:val="18"/>
                <w:szCs w:val="18"/>
              </w:rPr>
              <w:t>6,6</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91,1</w:t>
            </w:r>
          </w:p>
        </w:tc>
      </w:tr>
      <w:tr w:rsidR="001D2E73">
        <w:trPr>
          <w:trHeight w:val="268"/>
        </w:trPr>
        <w:tc>
          <w:tcPr>
            <w:tcW w:w="2591" w:type="dxa"/>
            <w:vAlign w:val="bottom"/>
          </w:tcPr>
          <w:p w:rsidR="001D2E73" w:rsidRDefault="001D2E73">
            <w:pPr>
              <w:spacing w:before="40" w:after="40" w:line="220" w:lineRule="exact"/>
              <w:rPr>
                <w:sz w:val="18"/>
                <w:szCs w:val="18"/>
              </w:rPr>
            </w:pPr>
            <w:r>
              <w:rPr>
                <w:sz w:val="18"/>
                <w:szCs w:val="18"/>
              </w:rPr>
              <w:t>Curdos</w:t>
            </w:r>
          </w:p>
        </w:tc>
        <w:tc>
          <w:tcPr>
            <w:tcW w:w="1591" w:type="dxa"/>
            <w:vAlign w:val="bottom"/>
          </w:tcPr>
          <w:p w:rsidR="001D2E73" w:rsidRDefault="001D2E73">
            <w:pPr>
              <w:spacing w:before="40" w:after="40" w:line="220" w:lineRule="exact"/>
              <w:jc w:val="right"/>
              <w:rPr>
                <w:sz w:val="18"/>
                <w:szCs w:val="18"/>
              </w:rPr>
            </w:pPr>
            <w:r>
              <w:rPr>
                <w:sz w:val="18"/>
                <w:szCs w:val="18"/>
              </w:rPr>
              <w:t>5,6</w:t>
            </w:r>
          </w:p>
        </w:tc>
        <w:tc>
          <w:tcPr>
            <w:tcW w:w="1445" w:type="dxa"/>
            <w:vAlign w:val="bottom"/>
          </w:tcPr>
          <w:p w:rsidR="001D2E73" w:rsidRDefault="001D2E73">
            <w:pPr>
              <w:spacing w:before="40" w:after="40" w:line="220" w:lineRule="exact"/>
              <w:jc w:val="right"/>
              <w:rPr>
                <w:sz w:val="18"/>
                <w:szCs w:val="18"/>
              </w:rPr>
            </w:pPr>
            <w:r>
              <w:rPr>
                <w:sz w:val="18"/>
                <w:szCs w:val="18"/>
              </w:rPr>
              <w:t>4,2</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74,5</w:t>
            </w:r>
          </w:p>
        </w:tc>
      </w:tr>
      <w:tr w:rsidR="001D2E73">
        <w:trPr>
          <w:trHeight w:val="268"/>
        </w:trPr>
        <w:tc>
          <w:tcPr>
            <w:tcW w:w="2591" w:type="dxa"/>
            <w:vAlign w:val="bottom"/>
          </w:tcPr>
          <w:p w:rsidR="001D2E73" w:rsidRDefault="001D2E73">
            <w:pPr>
              <w:spacing w:before="40" w:after="40" w:line="220" w:lineRule="exact"/>
              <w:rPr>
                <w:sz w:val="18"/>
                <w:szCs w:val="18"/>
              </w:rPr>
            </w:pPr>
            <w:r>
              <w:rPr>
                <w:sz w:val="18"/>
                <w:szCs w:val="18"/>
              </w:rPr>
              <w:t>Tats</w:t>
            </w:r>
          </w:p>
        </w:tc>
        <w:tc>
          <w:tcPr>
            <w:tcW w:w="1591" w:type="dxa"/>
            <w:vAlign w:val="bottom"/>
          </w:tcPr>
          <w:p w:rsidR="001D2E73" w:rsidRDefault="001D2E73">
            <w:pPr>
              <w:spacing w:before="40" w:after="40" w:line="220" w:lineRule="exact"/>
              <w:jc w:val="right"/>
              <w:rPr>
                <w:sz w:val="18"/>
                <w:szCs w:val="18"/>
              </w:rPr>
            </w:pPr>
            <w:r>
              <w:rPr>
                <w:sz w:val="18"/>
                <w:szCs w:val="18"/>
              </w:rPr>
              <w:t>4,3</w:t>
            </w:r>
          </w:p>
        </w:tc>
        <w:tc>
          <w:tcPr>
            <w:tcW w:w="1445" w:type="dxa"/>
            <w:vAlign w:val="bottom"/>
          </w:tcPr>
          <w:p w:rsidR="001D2E73" w:rsidRDefault="001D2E73">
            <w:pPr>
              <w:spacing w:before="40" w:after="40" w:line="220" w:lineRule="exact"/>
              <w:jc w:val="right"/>
              <w:rPr>
                <w:sz w:val="18"/>
                <w:szCs w:val="18"/>
              </w:rPr>
            </w:pPr>
            <w:r>
              <w:rPr>
                <w:sz w:val="18"/>
                <w:szCs w:val="18"/>
              </w:rPr>
              <w:t>3,9</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91,0</w:t>
            </w:r>
          </w:p>
        </w:tc>
      </w:tr>
      <w:tr w:rsidR="001D2E73">
        <w:trPr>
          <w:trHeight w:val="283"/>
        </w:trPr>
        <w:tc>
          <w:tcPr>
            <w:tcW w:w="2591" w:type="dxa"/>
            <w:vAlign w:val="bottom"/>
          </w:tcPr>
          <w:p w:rsidR="001D2E73" w:rsidRDefault="001D2E73">
            <w:pPr>
              <w:spacing w:before="40" w:after="40" w:line="220" w:lineRule="exact"/>
              <w:rPr>
                <w:sz w:val="18"/>
                <w:szCs w:val="18"/>
              </w:rPr>
            </w:pPr>
            <w:r>
              <w:rPr>
                <w:sz w:val="18"/>
                <w:szCs w:val="18"/>
              </w:rPr>
              <w:t>Judíos</w:t>
            </w:r>
          </w:p>
        </w:tc>
        <w:tc>
          <w:tcPr>
            <w:tcW w:w="1591" w:type="dxa"/>
            <w:vAlign w:val="bottom"/>
          </w:tcPr>
          <w:p w:rsidR="001D2E73" w:rsidRDefault="001D2E73">
            <w:pPr>
              <w:spacing w:before="40" w:after="40" w:line="220" w:lineRule="exact"/>
              <w:jc w:val="right"/>
              <w:rPr>
                <w:sz w:val="18"/>
                <w:szCs w:val="18"/>
              </w:rPr>
            </w:pPr>
            <w:r>
              <w:rPr>
                <w:sz w:val="18"/>
                <w:szCs w:val="18"/>
              </w:rPr>
              <w:t>3,2</w:t>
            </w:r>
          </w:p>
        </w:tc>
        <w:tc>
          <w:tcPr>
            <w:tcW w:w="1445" w:type="dxa"/>
            <w:vAlign w:val="bottom"/>
          </w:tcPr>
          <w:p w:rsidR="001D2E73" w:rsidRDefault="001D2E73">
            <w:pPr>
              <w:spacing w:before="40" w:after="40" w:line="220" w:lineRule="exact"/>
              <w:jc w:val="right"/>
              <w:rPr>
                <w:sz w:val="18"/>
                <w:szCs w:val="18"/>
              </w:rPr>
            </w:pPr>
            <w:r>
              <w:rPr>
                <w:sz w:val="18"/>
                <w:szCs w:val="18"/>
              </w:rPr>
              <w:t>2,6</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82,3</w:t>
            </w:r>
          </w:p>
        </w:tc>
      </w:tr>
      <w:tr w:rsidR="001D2E73">
        <w:trPr>
          <w:trHeight w:val="268"/>
        </w:trPr>
        <w:tc>
          <w:tcPr>
            <w:tcW w:w="2591" w:type="dxa"/>
            <w:vAlign w:val="bottom"/>
          </w:tcPr>
          <w:p w:rsidR="001D2E73" w:rsidRDefault="001D2E73">
            <w:pPr>
              <w:spacing w:before="40" w:after="40" w:line="220" w:lineRule="exact"/>
              <w:rPr>
                <w:sz w:val="18"/>
                <w:szCs w:val="18"/>
              </w:rPr>
            </w:pPr>
            <w:r>
              <w:rPr>
                <w:sz w:val="18"/>
                <w:szCs w:val="18"/>
              </w:rPr>
              <w:t>Udinos</w:t>
            </w:r>
          </w:p>
        </w:tc>
        <w:tc>
          <w:tcPr>
            <w:tcW w:w="1591" w:type="dxa"/>
            <w:vAlign w:val="bottom"/>
          </w:tcPr>
          <w:p w:rsidR="001D2E73" w:rsidRDefault="001D2E73">
            <w:pPr>
              <w:spacing w:before="40" w:after="40" w:line="220" w:lineRule="exact"/>
              <w:jc w:val="right"/>
              <w:rPr>
                <w:sz w:val="18"/>
                <w:szCs w:val="18"/>
              </w:rPr>
            </w:pPr>
            <w:r>
              <w:rPr>
                <w:sz w:val="18"/>
                <w:szCs w:val="18"/>
              </w:rPr>
              <w:t>1,9</w:t>
            </w:r>
          </w:p>
        </w:tc>
        <w:tc>
          <w:tcPr>
            <w:tcW w:w="1445" w:type="dxa"/>
            <w:vAlign w:val="bottom"/>
          </w:tcPr>
          <w:p w:rsidR="001D2E73" w:rsidRDefault="001D2E73">
            <w:pPr>
              <w:spacing w:before="40" w:after="40" w:line="220" w:lineRule="exact"/>
              <w:jc w:val="right"/>
              <w:rPr>
                <w:sz w:val="18"/>
                <w:szCs w:val="18"/>
              </w:rPr>
            </w:pPr>
            <w:r>
              <w:rPr>
                <w:sz w:val="18"/>
                <w:szCs w:val="18"/>
              </w:rPr>
              <w:t>1,3</w:t>
            </w:r>
          </w:p>
        </w:tc>
        <w:tc>
          <w:tcPr>
            <w:tcW w:w="174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68,1</w:t>
            </w:r>
          </w:p>
        </w:tc>
      </w:tr>
      <w:tr w:rsidR="001D2E73">
        <w:trPr>
          <w:trHeight w:val="283"/>
        </w:trPr>
        <w:tc>
          <w:tcPr>
            <w:tcW w:w="2591" w:type="dxa"/>
            <w:vAlign w:val="bottom"/>
          </w:tcPr>
          <w:p w:rsidR="001D2E73" w:rsidRDefault="001D2E73">
            <w:pPr>
              <w:spacing w:before="40" w:after="40" w:line="220" w:lineRule="exact"/>
              <w:rPr>
                <w:sz w:val="18"/>
                <w:szCs w:val="18"/>
              </w:rPr>
            </w:pPr>
            <w:r>
              <w:rPr>
                <w:sz w:val="18"/>
                <w:szCs w:val="18"/>
              </w:rPr>
              <w:t>Otras nacionalidades</w:t>
            </w:r>
          </w:p>
        </w:tc>
        <w:tc>
          <w:tcPr>
            <w:tcW w:w="1591" w:type="dxa"/>
            <w:vAlign w:val="bottom"/>
          </w:tcPr>
          <w:p w:rsidR="001D2E73" w:rsidRDefault="001D2E73">
            <w:pPr>
              <w:spacing w:before="40" w:after="40" w:line="220" w:lineRule="exact"/>
              <w:jc w:val="right"/>
              <w:rPr>
                <w:sz w:val="18"/>
                <w:szCs w:val="18"/>
              </w:rPr>
            </w:pPr>
            <w:r>
              <w:rPr>
                <w:sz w:val="18"/>
                <w:szCs w:val="18"/>
              </w:rPr>
              <w:t>4,3</w:t>
            </w:r>
          </w:p>
        </w:tc>
        <w:tc>
          <w:tcPr>
            <w:tcW w:w="1445" w:type="dxa"/>
            <w:vAlign w:val="bottom"/>
          </w:tcPr>
          <w:p w:rsidR="001D2E73" w:rsidRDefault="001D2E73">
            <w:pPr>
              <w:spacing w:before="40" w:after="40" w:line="220" w:lineRule="exact"/>
              <w:jc w:val="right"/>
              <w:rPr>
                <w:sz w:val="18"/>
                <w:szCs w:val="18"/>
              </w:rPr>
            </w:pPr>
            <w:r>
              <w:rPr>
                <w:sz w:val="18"/>
                <w:szCs w:val="18"/>
              </w:rPr>
              <w:t>3,7</w:t>
            </w:r>
          </w:p>
        </w:tc>
        <w:tc>
          <w:tcPr>
            <w:tcW w:w="1743" w:type="dxa"/>
            <w:tcBorders>
              <w:left w:val="nil"/>
              <w:bottom w:val="single" w:sz="12" w:space="0" w:color="auto"/>
              <w:right w:val="nil"/>
              <w:tl2br w:val="nil"/>
              <w:tr2bl w:val="nil"/>
            </w:tcBorders>
            <w:vAlign w:val="bottom"/>
          </w:tcPr>
          <w:p w:rsidR="001D2E73" w:rsidRDefault="001D2E73">
            <w:pPr>
              <w:spacing w:before="40" w:after="40" w:line="220" w:lineRule="exact"/>
              <w:jc w:val="right"/>
              <w:rPr>
                <w:sz w:val="18"/>
                <w:szCs w:val="18"/>
              </w:rPr>
            </w:pPr>
            <w:r>
              <w:rPr>
                <w:sz w:val="18"/>
                <w:szCs w:val="18"/>
              </w:rPr>
              <w:t>84,5</w:t>
            </w:r>
          </w:p>
        </w:tc>
      </w:tr>
    </w:tbl>
    <w:p w:rsidR="001D2E73" w:rsidRDefault="001D2E73">
      <w:pPr>
        <w:pStyle w:val="SingleTxtG"/>
        <w:spacing w:before="240"/>
        <w:rPr>
          <w:lang w:val="es-ES"/>
        </w:rPr>
      </w:pPr>
      <w:r>
        <w:rPr>
          <w:lang w:val="es-ES"/>
        </w:rPr>
        <w:t>51.</w:t>
      </w:r>
      <w:r>
        <w:rPr>
          <w:lang w:val="es-ES"/>
        </w:rPr>
        <w:tab/>
        <w:t xml:space="preserve">Cabe señalar que, en abril de 2009 se llevó a cabo un censo de población en la República de Azerbaiyán. Los resultados del censo fueron dados a conocer en 2011. </w:t>
      </w:r>
    </w:p>
    <w:p w:rsidR="001D2E73" w:rsidRDefault="001D2E73">
      <w:pPr>
        <w:pStyle w:val="SingleTxtG"/>
        <w:rPr>
          <w:lang w:val="es-ES"/>
        </w:rPr>
      </w:pPr>
      <w:r>
        <w:rPr>
          <w:lang w:val="es-ES"/>
        </w:rPr>
        <w:t>52.</w:t>
      </w:r>
      <w:r>
        <w:rPr>
          <w:lang w:val="es-ES"/>
        </w:rPr>
        <w:tab/>
        <w:t xml:space="preserve">Los proyectos internacionales y, en particular, regionales de envergadura ejecutados por Azerbaiyán en la extracción y el transporte de petróleo y gas, la estabilidad sociopolítica del país, la afluencia de capital extranjero y la creación de condiciones propicias en la actividad comercial, la estabilidad macroeconómica y los altos ritmos de desarrollo económico son los factores fundamentales que han atraído a los extranjeros. </w:t>
      </w:r>
    </w:p>
    <w:p w:rsidR="001D2E73" w:rsidRDefault="001D2E73">
      <w:pPr>
        <w:pStyle w:val="SingleTxtG"/>
        <w:rPr>
          <w:lang w:val="es-ES"/>
        </w:rPr>
      </w:pPr>
      <w:r>
        <w:rPr>
          <w:lang w:val="es-ES"/>
        </w:rPr>
        <w:t>53.</w:t>
      </w:r>
      <w:r>
        <w:rPr>
          <w:lang w:val="es-ES"/>
        </w:rPr>
        <w:tab/>
        <w:t>En Azerbaiyán, los extranjeros realizan actividades laborales fundamentalmente en la industria, la construcción, el comercio y los servicios.</w:t>
      </w:r>
    </w:p>
    <w:p w:rsidR="001D2E73" w:rsidRDefault="001D2E73">
      <w:pPr>
        <w:pStyle w:val="SingleTxtG"/>
        <w:rPr>
          <w:lang w:val="es-ES"/>
        </w:rPr>
      </w:pPr>
      <w:r>
        <w:rPr>
          <w:lang w:val="es-ES"/>
        </w:rPr>
        <w:t>54.</w:t>
      </w:r>
      <w:r>
        <w:rPr>
          <w:lang w:val="es-ES"/>
        </w:rPr>
        <w:tab/>
        <w:t>Si en 2003 se habían registrado en Azerbaiyán 3.951 trabajadores extranjeros, en abril de 2009 la cifra había aumentado a 4.643.</w:t>
      </w:r>
    </w:p>
    <w:p w:rsidR="001D2E73" w:rsidRDefault="001D2E73">
      <w:pPr>
        <w:spacing w:before="240"/>
        <w:rPr>
          <w:b/>
        </w:rPr>
      </w:pPr>
      <w:r>
        <w:br w:type="page"/>
      </w:r>
      <w:r>
        <w:tab/>
      </w:r>
      <w:r>
        <w:tab/>
        <w:t>Cuadro 4</w:t>
      </w:r>
      <w:r>
        <w:br/>
      </w:r>
      <w:r>
        <w:tab/>
      </w:r>
      <w:r>
        <w:tab/>
      </w:r>
      <w:r>
        <w:rPr>
          <w:b/>
        </w:rPr>
        <w:t>Indicadores cuantitativos fundamentales de los extranjeros que realizaban una</w:t>
      </w:r>
    </w:p>
    <w:p w:rsidR="001D2E73" w:rsidRDefault="001D2E73">
      <w:pPr>
        <w:ind w:left="567" w:firstLine="567"/>
        <w:rPr>
          <w:b/>
        </w:rPr>
      </w:pPr>
      <w:r>
        <w:rPr>
          <w:b/>
        </w:rPr>
        <w:t>actividad laboral por decisión propia, por esferas de actividad económica</w:t>
      </w:r>
    </w:p>
    <w:p w:rsidR="001D2E73" w:rsidRDefault="001D2E73">
      <w:pPr>
        <w:ind w:left="567" w:firstLine="567"/>
        <w:rPr>
          <w:b/>
        </w:rPr>
      </w:pPr>
      <w:r>
        <w:rPr>
          <w:b/>
        </w:rPr>
        <w:t>al 1º de abril de 2009</w:t>
      </w:r>
    </w:p>
    <w:p w:rsidR="001D2E73" w:rsidRDefault="001D2E73">
      <w:pPr>
        <w:spacing w:before="120" w:after="120"/>
      </w:pPr>
      <w:r>
        <w:tab/>
      </w:r>
      <w:r>
        <w:tab/>
      </w:r>
      <w:r>
        <w:tab/>
        <w:t>Total: 4 643 personas</w:t>
      </w:r>
    </w:p>
    <w:tbl>
      <w:tblPr>
        <w:tblW w:w="7482"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515"/>
        <w:gridCol w:w="4510"/>
        <w:gridCol w:w="1260"/>
        <w:gridCol w:w="1197"/>
      </w:tblGrid>
      <w:tr w:rsidR="001D2E73">
        <w:trPr>
          <w:trHeight w:val="375"/>
        </w:trPr>
        <w:tc>
          <w:tcPr>
            <w:tcW w:w="515" w:type="dxa"/>
            <w:tcBorders>
              <w:top w:val="single" w:sz="4" w:space="0" w:color="auto"/>
              <w:bottom w:val="single" w:sz="12" w:space="0" w:color="auto"/>
            </w:tcBorders>
            <w:shd w:val="clear" w:color="auto" w:fill="auto"/>
            <w:noWrap/>
            <w:vAlign w:val="bottom"/>
          </w:tcPr>
          <w:p w:rsidR="001D2E73" w:rsidRDefault="001D2E73">
            <w:pPr>
              <w:spacing w:before="80" w:after="80" w:line="200" w:lineRule="exact"/>
              <w:rPr>
                <w:i/>
                <w:sz w:val="16"/>
              </w:rPr>
            </w:pPr>
            <w:r>
              <w:rPr>
                <w:i/>
                <w:sz w:val="16"/>
              </w:rPr>
              <w:t>Nº</w:t>
            </w:r>
          </w:p>
        </w:tc>
        <w:tc>
          <w:tcPr>
            <w:tcW w:w="4510" w:type="dxa"/>
            <w:tcBorders>
              <w:top w:val="single" w:sz="4" w:space="0" w:color="auto"/>
              <w:bottom w:val="single" w:sz="12" w:space="0" w:color="auto"/>
            </w:tcBorders>
            <w:shd w:val="clear" w:color="auto" w:fill="auto"/>
            <w:noWrap/>
            <w:vAlign w:val="bottom"/>
          </w:tcPr>
          <w:p w:rsidR="001D2E73" w:rsidRDefault="001D2E73">
            <w:pPr>
              <w:spacing w:before="80" w:after="80" w:line="200" w:lineRule="exact"/>
              <w:rPr>
                <w:i/>
                <w:sz w:val="16"/>
              </w:rPr>
            </w:pPr>
            <w:r>
              <w:rPr>
                <w:i/>
                <w:sz w:val="16"/>
              </w:rPr>
              <w:t>Esfera de actividad económica</w:t>
            </w:r>
          </w:p>
        </w:tc>
        <w:tc>
          <w:tcPr>
            <w:tcW w:w="1260" w:type="dxa"/>
            <w:tcBorders>
              <w:top w:val="single" w:sz="4" w:space="0" w:color="auto"/>
              <w:bottom w:val="single" w:sz="12" w:space="0" w:color="auto"/>
            </w:tcBorders>
            <w:shd w:val="clear" w:color="auto" w:fill="auto"/>
            <w:noWrap/>
            <w:vAlign w:val="bottom"/>
          </w:tcPr>
          <w:p w:rsidR="001D2E73" w:rsidRDefault="001D2E73">
            <w:pPr>
              <w:spacing w:before="80" w:after="80" w:line="200" w:lineRule="exact"/>
              <w:jc w:val="right"/>
              <w:rPr>
                <w:i/>
                <w:sz w:val="16"/>
              </w:rPr>
            </w:pPr>
            <w:r>
              <w:rPr>
                <w:i/>
                <w:sz w:val="16"/>
              </w:rPr>
              <w:t>Cantidad de extranjeros</w:t>
            </w:r>
          </w:p>
        </w:tc>
        <w:tc>
          <w:tcPr>
            <w:tcW w:w="1197" w:type="dxa"/>
            <w:tcBorders>
              <w:top w:val="single" w:sz="4" w:space="0" w:color="auto"/>
              <w:left w:val="nil"/>
              <w:bottom w:val="single" w:sz="12" w:space="0" w:color="auto"/>
              <w:right w:val="nil"/>
              <w:tl2br w:val="nil"/>
              <w:tr2bl w:val="nil"/>
            </w:tcBorders>
            <w:shd w:val="clear" w:color="auto" w:fill="auto"/>
            <w:noWrap/>
            <w:vAlign w:val="bottom"/>
          </w:tcPr>
          <w:p w:rsidR="001D2E73" w:rsidRDefault="001D2E73">
            <w:pPr>
              <w:spacing w:before="80" w:after="80" w:line="200" w:lineRule="exact"/>
              <w:jc w:val="right"/>
              <w:rPr>
                <w:i/>
                <w:sz w:val="16"/>
              </w:rPr>
            </w:pPr>
            <w:r>
              <w:rPr>
                <w:i/>
                <w:sz w:val="16"/>
              </w:rPr>
              <w:t xml:space="preserve">% del total </w:t>
            </w:r>
          </w:p>
        </w:tc>
      </w:tr>
      <w:tr w:rsidR="001D2E73">
        <w:trPr>
          <w:trHeight w:val="20"/>
        </w:trPr>
        <w:tc>
          <w:tcPr>
            <w:tcW w:w="515" w:type="dxa"/>
            <w:tcBorders>
              <w:top w:val="single" w:sz="12" w:space="0" w:color="auto"/>
            </w:tcBorders>
            <w:noWrap/>
          </w:tcPr>
          <w:p w:rsidR="001D2E73" w:rsidRDefault="001D2E73">
            <w:pPr>
              <w:spacing w:before="40" w:after="40" w:line="220" w:lineRule="exact"/>
              <w:rPr>
                <w:sz w:val="18"/>
                <w:szCs w:val="18"/>
              </w:rPr>
            </w:pPr>
            <w:r>
              <w:rPr>
                <w:sz w:val="18"/>
                <w:szCs w:val="18"/>
              </w:rPr>
              <w:t>1</w:t>
            </w:r>
          </w:p>
        </w:tc>
        <w:tc>
          <w:tcPr>
            <w:tcW w:w="4510" w:type="dxa"/>
            <w:tcBorders>
              <w:top w:val="single" w:sz="12" w:space="0" w:color="auto"/>
            </w:tcBorders>
            <w:noWrap/>
          </w:tcPr>
          <w:p w:rsidR="001D2E73" w:rsidRDefault="001D2E73">
            <w:pPr>
              <w:spacing w:before="40" w:after="40" w:line="220" w:lineRule="exact"/>
              <w:rPr>
                <w:sz w:val="18"/>
                <w:szCs w:val="18"/>
              </w:rPr>
            </w:pPr>
            <w:r>
              <w:rPr>
                <w:sz w:val="18"/>
                <w:szCs w:val="18"/>
              </w:rPr>
              <w:t>Petróleo</w:t>
            </w:r>
          </w:p>
        </w:tc>
        <w:tc>
          <w:tcPr>
            <w:tcW w:w="1260" w:type="dxa"/>
            <w:tcBorders>
              <w:top w:val="single" w:sz="12" w:space="0" w:color="auto"/>
            </w:tcBorders>
            <w:noWrap/>
          </w:tcPr>
          <w:p w:rsidR="001D2E73" w:rsidRDefault="001D2E73">
            <w:pPr>
              <w:spacing w:before="40" w:after="40" w:line="220" w:lineRule="exact"/>
              <w:jc w:val="right"/>
              <w:rPr>
                <w:sz w:val="18"/>
                <w:szCs w:val="18"/>
              </w:rPr>
            </w:pPr>
            <w:r>
              <w:rPr>
                <w:sz w:val="18"/>
                <w:szCs w:val="18"/>
              </w:rPr>
              <w:t>1 620</w:t>
            </w:r>
          </w:p>
        </w:tc>
        <w:tc>
          <w:tcPr>
            <w:tcW w:w="1197" w:type="dxa"/>
            <w:tcBorders>
              <w:top w:val="single" w:sz="12" w:space="0" w:color="auto"/>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34,89</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2</w:t>
            </w:r>
          </w:p>
        </w:tc>
        <w:tc>
          <w:tcPr>
            <w:tcW w:w="4510" w:type="dxa"/>
            <w:noWrap/>
          </w:tcPr>
          <w:p w:rsidR="001D2E73" w:rsidRDefault="001D2E73">
            <w:pPr>
              <w:spacing w:before="40" w:after="40" w:line="220" w:lineRule="exact"/>
              <w:rPr>
                <w:sz w:val="18"/>
                <w:szCs w:val="18"/>
              </w:rPr>
            </w:pPr>
            <w:r>
              <w:rPr>
                <w:sz w:val="18"/>
                <w:szCs w:val="18"/>
              </w:rPr>
              <w:t>Construcción</w:t>
            </w:r>
          </w:p>
        </w:tc>
        <w:tc>
          <w:tcPr>
            <w:tcW w:w="1260" w:type="dxa"/>
            <w:noWrap/>
          </w:tcPr>
          <w:p w:rsidR="001D2E73" w:rsidRDefault="001D2E73">
            <w:pPr>
              <w:spacing w:before="40" w:after="40" w:line="220" w:lineRule="exact"/>
              <w:jc w:val="right"/>
              <w:rPr>
                <w:sz w:val="18"/>
                <w:szCs w:val="18"/>
              </w:rPr>
            </w:pPr>
            <w:r>
              <w:rPr>
                <w:sz w:val="18"/>
                <w:szCs w:val="18"/>
              </w:rPr>
              <w:t>1 341</w:t>
            </w:r>
          </w:p>
        </w:tc>
        <w:tc>
          <w:tcPr>
            <w:tcW w:w="119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28,88</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3</w:t>
            </w:r>
          </w:p>
        </w:tc>
        <w:tc>
          <w:tcPr>
            <w:tcW w:w="4510" w:type="dxa"/>
            <w:noWrap/>
          </w:tcPr>
          <w:p w:rsidR="001D2E73" w:rsidRDefault="001D2E73">
            <w:pPr>
              <w:spacing w:before="40" w:after="40" w:line="220" w:lineRule="exact"/>
              <w:rPr>
                <w:sz w:val="18"/>
                <w:szCs w:val="18"/>
              </w:rPr>
            </w:pPr>
            <w:r>
              <w:rPr>
                <w:sz w:val="18"/>
                <w:szCs w:val="18"/>
              </w:rPr>
              <w:t>Manufactura</w:t>
            </w:r>
          </w:p>
        </w:tc>
        <w:tc>
          <w:tcPr>
            <w:tcW w:w="1260" w:type="dxa"/>
            <w:noWrap/>
          </w:tcPr>
          <w:p w:rsidR="001D2E73" w:rsidRDefault="001D2E73">
            <w:pPr>
              <w:spacing w:before="40" w:after="40" w:line="220" w:lineRule="exact"/>
              <w:jc w:val="right"/>
              <w:rPr>
                <w:sz w:val="18"/>
                <w:szCs w:val="18"/>
              </w:rPr>
            </w:pPr>
            <w:r>
              <w:rPr>
                <w:sz w:val="18"/>
                <w:szCs w:val="18"/>
              </w:rPr>
              <w:t>437</w:t>
            </w:r>
          </w:p>
        </w:tc>
        <w:tc>
          <w:tcPr>
            <w:tcW w:w="119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9,41</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4</w:t>
            </w:r>
          </w:p>
        </w:tc>
        <w:tc>
          <w:tcPr>
            <w:tcW w:w="4510" w:type="dxa"/>
            <w:noWrap/>
          </w:tcPr>
          <w:p w:rsidR="001D2E73" w:rsidRDefault="001D2E73">
            <w:pPr>
              <w:spacing w:before="40" w:after="40" w:line="220" w:lineRule="exact"/>
              <w:rPr>
                <w:sz w:val="18"/>
                <w:szCs w:val="18"/>
              </w:rPr>
            </w:pPr>
            <w:r>
              <w:rPr>
                <w:sz w:val="18"/>
                <w:szCs w:val="18"/>
              </w:rPr>
              <w:t>Comercio y servicios automovilísticos</w:t>
            </w:r>
          </w:p>
        </w:tc>
        <w:tc>
          <w:tcPr>
            <w:tcW w:w="1260" w:type="dxa"/>
            <w:noWrap/>
          </w:tcPr>
          <w:p w:rsidR="001D2E73" w:rsidRDefault="001D2E73">
            <w:pPr>
              <w:spacing w:before="40" w:after="40" w:line="220" w:lineRule="exact"/>
              <w:jc w:val="right"/>
              <w:rPr>
                <w:sz w:val="18"/>
                <w:szCs w:val="18"/>
              </w:rPr>
            </w:pPr>
            <w:r>
              <w:rPr>
                <w:sz w:val="18"/>
                <w:szCs w:val="18"/>
              </w:rPr>
              <w:t>242</w:t>
            </w:r>
          </w:p>
        </w:tc>
        <w:tc>
          <w:tcPr>
            <w:tcW w:w="119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5,21</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5</w:t>
            </w:r>
          </w:p>
        </w:tc>
        <w:tc>
          <w:tcPr>
            <w:tcW w:w="4510" w:type="dxa"/>
            <w:noWrap/>
          </w:tcPr>
          <w:p w:rsidR="001D2E73" w:rsidRDefault="001D2E73">
            <w:pPr>
              <w:spacing w:before="40" w:after="40" w:line="220" w:lineRule="exact"/>
              <w:rPr>
                <w:sz w:val="18"/>
                <w:szCs w:val="18"/>
              </w:rPr>
            </w:pPr>
            <w:r>
              <w:rPr>
                <w:sz w:val="18"/>
                <w:szCs w:val="18"/>
              </w:rPr>
              <w:t xml:space="preserve">Producción de energía eléctrica, gas y agua </w:t>
            </w:r>
          </w:p>
        </w:tc>
        <w:tc>
          <w:tcPr>
            <w:tcW w:w="1260" w:type="dxa"/>
            <w:noWrap/>
            <w:vAlign w:val="bottom"/>
          </w:tcPr>
          <w:p w:rsidR="001D2E73" w:rsidRDefault="001D2E73">
            <w:pPr>
              <w:spacing w:before="40" w:after="40" w:line="220" w:lineRule="exact"/>
              <w:jc w:val="right"/>
              <w:rPr>
                <w:sz w:val="18"/>
                <w:szCs w:val="18"/>
              </w:rPr>
            </w:pPr>
            <w:r>
              <w:rPr>
                <w:sz w:val="18"/>
                <w:szCs w:val="18"/>
              </w:rPr>
              <w:t>202</w:t>
            </w:r>
          </w:p>
        </w:tc>
        <w:tc>
          <w:tcPr>
            <w:tcW w:w="1197"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4,35</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6</w:t>
            </w:r>
          </w:p>
        </w:tc>
        <w:tc>
          <w:tcPr>
            <w:tcW w:w="4510" w:type="dxa"/>
            <w:noWrap/>
          </w:tcPr>
          <w:p w:rsidR="001D2E73" w:rsidRDefault="001D2E73">
            <w:pPr>
              <w:spacing w:before="40" w:after="40" w:line="220" w:lineRule="exact"/>
              <w:rPr>
                <w:sz w:val="18"/>
                <w:szCs w:val="18"/>
              </w:rPr>
            </w:pPr>
            <w:r>
              <w:rPr>
                <w:sz w:val="18"/>
                <w:szCs w:val="18"/>
              </w:rPr>
              <w:t>Servicios</w:t>
            </w:r>
          </w:p>
        </w:tc>
        <w:tc>
          <w:tcPr>
            <w:tcW w:w="1260" w:type="dxa"/>
            <w:noWrap/>
          </w:tcPr>
          <w:p w:rsidR="001D2E73" w:rsidRDefault="001D2E73">
            <w:pPr>
              <w:spacing w:before="40" w:after="40" w:line="220" w:lineRule="exact"/>
              <w:jc w:val="right"/>
              <w:rPr>
                <w:sz w:val="18"/>
                <w:szCs w:val="18"/>
              </w:rPr>
            </w:pPr>
            <w:r>
              <w:rPr>
                <w:sz w:val="18"/>
                <w:szCs w:val="18"/>
              </w:rPr>
              <w:t>194</w:t>
            </w:r>
          </w:p>
        </w:tc>
        <w:tc>
          <w:tcPr>
            <w:tcW w:w="119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4,18</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7</w:t>
            </w:r>
          </w:p>
        </w:tc>
        <w:tc>
          <w:tcPr>
            <w:tcW w:w="4510" w:type="dxa"/>
            <w:noWrap/>
          </w:tcPr>
          <w:p w:rsidR="001D2E73" w:rsidRDefault="001D2E73">
            <w:pPr>
              <w:spacing w:before="40" w:after="40" w:line="220" w:lineRule="exact"/>
              <w:rPr>
                <w:sz w:val="18"/>
                <w:szCs w:val="18"/>
              </w:rPr>
            </w:pPr>
            <w:r>
              <w:rPr>
                <w:sz w:val="18"/>
                <w:szCs w:val="18"/>
              </w:rPr>
              <w:t>Transporte y comunicaciones</w:t>
            </w:r>
          </w:p>
        </w:tc>
        <w:tc>
          <w:tcPr>
            <w:tcW w:w="1260" w:type="dxa"/>
            <w:noWrap/>
          </w:tcPr>
          <w:p w:rsidR="001D2E73" w:rsidRDefault="001D2E73">
            <w:pPr>
              <w:spacing w:before="40" w:after="40" w:line="220" w:lineRule="exact"/>
              <w:jc w:val="right"/>
              <w:rPr>
                <w:sz w:val="18"/>
                <w:szCs w:val="18"/>
              </w:rPr>
            </w:pPr>
            <w:r>
              <w:rPr>
                <w:sz w:val="18"/>
                <w:szCs w:val="18"/>
              </w:rPr>
              <w:t>187</w:t>
            </w:r>
          </w:p>
        </w:tc>
        <w:tc>
          <w:tcPr>
            <w:tcW w:w="119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4,03</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8</w:t>
            </w:r>
          </w:p>
        </w:tc>
        <w:tc>
          <w:tcPr>
            <w:tcW w:w="4510" w:type="dxa"/>
            <w:noWrap/>
          </w:tcPr>
          <w:p w:rsidR="001D2E73" w:rsidRDefault="001D2E73">
            <w:pPr>
              <w:spacing w:before="40" w:after="40" w:line="220" w:lineRule="exact"/>
              <w:rPr>
                <w:sz w:val="18"/>
                <w:szCs w:val="18"/>
              </w:rPr>
            </w:pPr>
            <w:r>
              <w:rPr>
                <w:sz w:val="18"/>
                <w:szCs w:val="18"/>
              </w:rPr>
              <w:t>Hoteles y alimentación social</w:t>
            </w:r>
          </w:p>
        </w:tc>
        <w:tc>
          <w:tcPr>
            <w:tcW w:w="1260" w:type="dxa"/>
            <w:noWrap/>
          </w:tcPr>
          <w:p w:rsidR="001D2E73" w:rsidRDefault="001D2E73">
            <w:pPr>
              <w:spacing w:before="40" w:after="40" w:line="220" w:lineRule="exact"/>
              <w:jc w:val="right"/>
              <w:rPr>
                <w:sz w:val="18"/>
                <w:szCs w:val="18"/>
              </w:rPr>
            </w:pPr>
            <w:r>
              <w:rPr>
                <w:sz w:val="18"/>
                <w:szCs w:val="18"/>
              </w:rPr>
              <w:t>137</w:t>
            </w:r>
          </w:p>
        </w:tc>
        <w:tc>
          <w:tcPr>
            <w:tcW w:w="119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2,95</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9</w:t>
            </w:r>
          </w:p>
        </w:tc>
        <w:tc>
          <w:tcPr>
            <w:tcW w:w="4510" w:type="dxa"/>
            <w:noWrap/>
          </w:tcPr>
          <w:p w:rsidR="001D2E73" w:rsidRDefault="001D2E73">
            <w:pPr>
              <w:spacing w:before="40" w:after="40" w:line="220" w:lineRule="exact"/>
              <w:rPr>
                <w:sz w:val="18"/>
                <w:szCs w:val="18"/>
              </w:rPr>
            </w:pPr>
            <w:r>
              <w:rPr>
                <w:sz w:val="18"/>
                <w:szCs w:val="18"/>
              </w:rPr>
              <w:t xml:space="preserve">Educación </w:t>
            </w:r>
          </w:p>
        </w:tc>
        <w:tc>
          <w:tcPr>
            <w:tcW w:w="1260" w:type="dxa"/>
            <w:noWrap/>
          </w:tcPr>
          <w:p w:rsidR="001D2E73" w:rsidRDefault="001D2E73">
            <w:pPr>
              <w:spacing w:before="40" w:after="40" w:line="220" w:lineRule="exact"/>
              <w:jc w:val="right"/>
              <w:rPr>
                <w:sz w:val="18"/>
                <w:szCs w:val="18"/>
              </w:rPr>
            </w:pPr>
            <w:r>
              <w:rPr>
                <w:sz w:val="18"/>
                <w:szCs w:val="18"/>
              </w:rPr>
              <w:t>125</w:t>
            </w:r>
          </w:p>
        </w:tc>
        <w:tc>
          <w:tcPr>
            <w:tcW w:w="119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2,69</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10</w:t>
            </w:r>
          </w:p>
        </w:tc>
        <w:tc>
          <w:tcPr>
            <w:tcW w:w="4510" w:type="dxa"/>
            <w:noWrap/>
          </w:tcPr>
          <w:p w:rsidR="001D2E73" w:rsidRDefault="001D2E73">
            <w:pPr>
              <w:spacing w:before="40" w:after="40" w:line="220" w:lineRule="exact"/>
              <w:rPr>
                <w:sz w:val="18"/>
                <w:szCs w:val="18"/>
              </w:rPr>
            </w:pPr>
            <w:r>
              <w:rPr>
                <w:sz w:val="18"/>
                <w:szCs w:val="18"/>
              </w:rPr>
              <w:t>Actividad financiera</w:t>
            </w:r>
          </w:p>
        </w:tc>
        <w:tc>
          <w:tcPr>
            <w:tcW w:w="1260" w:type="dxa"/>
            <w:noWrap/>
          </w:tcPr>
          <w:p w:rsidR="001D2E73" w:rsidRDefault="001D2E73">
            <w:pPr>
              <w:spacing w:before="40" w:after="40" w:line="220" w:lineRule="exact"/>
              <w:jc w:val="right"/>
              <w:rPr>
                <w:sz w:val="18"/>
                <w:szCs w:val="18"/>
              </w:rPr>
            </w:pPr>
            <w:r>
              <w:rPr>
                <w:sz w:val="18"/>
                <w:szCs w:val="18"/>
              </w:rPr>
              <w:t>87</w:t>
            </w:r>
          </w:p>
        </w:tc>
        <w:tc>
          <w:tcPr>
            <w:tcW w:w="119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1,87</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11</w:t>
            </w:r>
          </w:p>
        </w:tc>
        <w:tc>
          <w:tcPr>
            <w:tcW w:w="4510" w:type="dxa"/>
            <w:noWrap/>
          </w:tcPr>
          <w:p w:rsidR="001D2E73" w:rsidRDefault="001D2E73">
            <w:pPr>
              <w:spacing w:before="40" w:after="40" w:line="220" w:lineRule="exact"/>
              <w:rPr>
                <w:sz w:val="18"/>
                <w:szCs w:val="18"/>
              </w:rPr>
            </w:pPr>
            <w:r>
              <w:rPr>
                <w:sz w:val="18"/>
                <w:szCs w:val="18"/>
              </w:rPr>
              <w:t>Medicina</w:t>
            </w:r>
          </w:p>
        </w:tc>
        <w:tc>
          <w:tcPr>
            <w:tcW w:w="1260" w:type="dxa"/>
            <w:noWrap/>
          </w:tcPr>
          <w:p w:rsidR="001D2E73" w:rsidRDefault="001D2E73">
            <w:pPr>
              <w:spacing w:before="40" w:after="40" w:line="220" w:lineRule="exact"/>
              <w:jc w:val="right"/>
              <w:rPr>
                <w:sz w:val="18"/>
                <w:szCs w:val="18"/>
              </w:rPr>
            </w:pPr>
            <w:r>
              <w:rPr>
                <w:sz w:val="18"/>
                <w:szCs w:val="18"/>
              </w:rPr>
              <w:t>52</w:t>
            </w:r>
          </w:p>
        </w:tc>
        <w:tc>
          <w:tcPr>
            <w:tcW w:w="119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1,12</w:t>
            </w:r>
          </w:p>
        </w:tc>
      </w:tr>
      <w:tr w:rsidR="001D2E73">
        <w:trPr>
          <w:trHeight w:val="20"/>
        </w:trPr>
        <w:tc>
          <w:tcPr>
            <w:tcW w:w="515" w:type="dxa"/>
            <w:noWrap/>
          </w:tcPr>
          <w:p w:rsidR="001D2E73" w:rsidRDefault="001D2E73">
            <w:pPr>
              <w:spacing w:before="40" w:after="40" w:line="220" w:lineRule="exact"/>
              <w:rPr>
                <w:sz w:val="18"/>
                <w:szCs w:val="18"/>
              </w:rPr>
            </w:pPr>
            <w:r>
              <w:rPr>
                <w:sz w:val="18"/>
                <w:szCs w:val="18"/>
              </w:rPr>
              <w:t>12</w:t>
            </w:r>
          </w:p>
        </w:tc>
        <w:tc>
          <w:tcPr>
            <w:tcW w:w="4510" w:type="dxa"/>
            <w:noWrap/>
          </w:tcPr>
          <w:p w:rsidR="001D2E73" w:rsidRDefault="001D2E73">
            <w:pPr>
              <w:spacing w:before="40" w:after="40" w:line="220" w:lineRule="exact"/>
              <w:rPr>
                <w:sz w:val="18"/>
                <w:szCs w:val="18"/>
              </w:rPr>
            </w:pPr>
            <w:r>
              <w:rPr>
                <w:sz w:val="18"/>
                <w:szCs w:val="18"/>
              </w:rPr>
              <w:t>Agricultura</w:t>
            </w:r>
          </w:p>
        </w:tc>
        <w:tc>
          <w:tcPr>
            <w:tcW w:w="1260" w:type="dxa"/>
            <w:noWrap/>
          </w:tcPr>
          <w:p w:rsidR="001D2E73" w:rsidRDefault="001D2E73">
            <w:pPr>
              <w:spacing w:before="40" w:after="40" w:line="220" w:lineRule="exact"/>
              <w:jc w:val="right"/>
              <w:rPr>
                <w:sz w:val="18"/>
                <w:szCs w:val="18"/>
              </w:rPr>
            </w:pPr>
            <w:r>
              <w:rPr>
                <w:sz w:val="18"/>
                <w:szCs w:val="18"/>
              </w:rPr>
              <w:t>19</w:t>
            </w:r>
          </w:p>
        </w:tc>
        <w:tc>
          <w:tcPr>
            <w:tcW w:w="1197"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0,41</w:t>
            </w:r>
          </w:p>
        </w:tc>
      </w:tr>
    </w:tbl>
    <w:p w:rsidR="001D2E73" w:rsidRDefault="001D2E73">
      <w:pPr>
        <w:spacing w:before="240" w:after="120"/>
        <w:ind w:left="1134" w:right="1134"/>
        <w:rPr>
          <w:b/>
        </w:rPr>
      </w:pPr>
      <w:r>
        <w:t>Cuadro 5</w:t>
      </w:r>
      <w:r>
        <w:br/>
      </w:r>
      <w:r>
        <w:rPr>
          <w:b/>
        </w:rPr>
        <w:t>Proporción de extranjeros que trabajan en la República de Azerbaiyán por propia decisión, por país de origen al 1 de abril de 2009</w:t>
      </w:r>
    </w:p>
    <w:tbl>
      <w:tblPr>
        <w:tblW w:w="7489"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520"/>
        <w:gridCol w:w="4309"/>
        <w:gridCol w:w="1344"/>
        <w:gridCol w:w="1316"/>
      </w:tblGrid>
      <w:tr w:rsidR="001D2E73">
        <w:trPr>
          <w:trHeight w:val="20"/>
          <w:tblHeader/>
        </w:trPr>
        <w:tc>
          <w:tcPr>
            <w:tcW w:w="520" w:type="dxa"/>
            <w:tcBorders>
              <w:top w:val="single" w:sz="4" w:space="0" w:color="auto"/>
              <w:bottom w:val="single" w:sz="12" w:space="0" w:color="auto"/>
            </w:tcBorders>
            <w:shd w:val="clear" w:color="auto" w:fill="auto"/>
            <w:noWrap/>
            <w:vAlign w:val="bottom"/>
          </w:tcPr>
          <w:p w:rsidR="001D2E73" w:rsidRDefault="001D2E73">
            <w:pPr>
              <w:spacing w:before="80" w:after="80" w:line="200" w:lineRule="exact"/>
              <w:rPr>
                <w:i/>
                <w:sz w:val="16"/>
              </w:rPr>
            </w:pPr>
            <w:r>
              <w:rPr>
                <w:i/>
                <w:sz w:val="16"/>
              </w:rPr>
              <w:t>Nº</w:t>
            </w:r>
          </w:p>
        </w:tc>
        <w:tc>
          <w:tcPr>
            <w:tcW w:w="4309" w:type="dxa"/>
            <w:tcBorders>
              <w:top w:val="single" w:sz="4" w:space="0" w:color="auto"/>
              <w:bottom w:val="single" w:sz="12" w:space="0" w:color="auto"/>
            </w:tcBorders>
            <w:shd w:val="clear" w:color="auto" w:fill="auto"/>
            <w:noWrap/>
            <w:vAlign w:val="bottom"/>
          </w:tcPr>
          <w:p w:rsidR="001D2E73" w:rsidRDefault="001D2E73">
            <w:pPr>
              <w:spacing w:before="80" w:after="80" w:line="200" w:lineRule="exact"/>
              <w:rPr>
                <w:i/>
                <w:sz w:val="16"/>
              </w:rPr>
            </w:pPr>
            <w:r>
              <w:rPr>
                <w:i/>
                <w:sz w:val="16"/>
              </w:rPr>
              <w:t>País</w:t>
            </w:r>
          </w:p>
        </w:tc>
        <w:tc>
          <w:tcPr>
            <w:tcW w:w="1344" w:type="dxa"/>
            <w:tcBorders>
              <w:top w:val="single" w:sz="4" w:space="0" w:color="auto"/>
              <w:bottom w:val="single" w:sz="12" w:space="0" w:color="auto"/>
            </w:tcBorders>
            <w:shd w:val="clear" w:color="auto" w:fill="auto"/>
            <w:noWrap/>
            <w:vAlign w:val="bottom"/>
          </w:tcPr>
          <w:p w:rsidR="001D2E73" w:rsidRDefault="001D2E73">
            <w:pPr>
              <w:spacing w:before="80" w:after="80" w:line="200" w:lineRule="exact"/>
              <w:jc w:val="right"/>
              <w:rPr>
                <w:i/>
                <w:sz w:val="16"/>
              </w:rPr>
            </w:pPr>
            <w:r>
              <w:rPr>
                <w:i/>
                <w:sz w:val="16"/>
              </w:rPr>
              <w:t>Número</w:t>
            </w:r>
            <w:r>
              <w:rPr>
                <w:i/>
                <w:sz w:val="16"/>
              </w:rPr>
              <w:br/>
              <w:t xml:space="preserve"> de extranjeros</w:t>
            </w:r>
          </w:p>
        </w:tc>
        <w:tc>
          <w:tcPr>
            <w:tcW w:w="1316" w:type="dxa"/>
            <w:tcBorders>
              <w:top w:val="single" w:sz="4" w:space="0" w:color="auto"/>
              <w:left w:val="nil"/>
              <w:bottom w:val="single" w:sz="12" w:space="0" w:color="auto"/>
              <w:right w:val="nil"/>
              <w:tl2br w:val="nil"/>
              <w:tr2bl w:val="nil"/>
            </w:tcBorders>
            <w:shd w:val="clear" w:color="auto" w:fill="auto"/>
            <w:noWrap/>
            <w:vAlign w:val="bottom"/>
          </w:tcPr>
          <w:p w:rsidR="001D2E73" w:rsidRDefault="001D2E73">
            <w:pPr>
              <w:spacing w:before="80" w:after="80" w:line="200" w:lineRule="exact"/>
              <w:jc w:val="right"/>
              <w:rPr>
                <w:i/>
                <w:sz w:val="16"/>
              </w:rPr>
            </w:pPr>
            <w:r>
              <w:rPr>
                <w:i/>
                <w:sz w:val="16"/>
              </w:rPr>
              <w:t>% del total</w:t>
            </w:r>
          </w:p>
        </w:tc>
      </w:tr>
      <w:tr w:rsidR="001D2E73">
        <w:trPr>
          <w:trHeight w:val="20"/>
        </w:trPr>
        <w:tc>
          <w:tcPr>
            <w:tcW w:w="520" w:type="dxa"/>
            <w:tcBorders>
              <w:top w:val="single" w:sz="12" w:space="0" w:color="auto"/>
              <w:bottom w:val="nil"/>
            </w:tcBorders>
            <w:noWrap/>
          </w:tcPr>
          <w:p w:rsidR="001D2E73" w:rsidRDefault="001D2E73">
            <w:pPr>
              <w:spacing w:before="40" w:after="40" w:line="220" w:lineRule="exact"/>
              <w:rPr>
                <w:sz w:val="18"/>
                <w:szCs w:val="18"/>
              </w:rPr>
            </w:pPr>
            <w:r>
              <w:rPr>
                <w:sz w:val="18"/>
                <w:szCs w:val="18"/>
              </w:rPr>
              <w:t>1</w:t>
            </w:r>
          </w:p>
        </w:tc>
        <w:tc>
          <w:tcPr>
            <w:tcW w:w="4309" w:type="dxa"/>
            <w:tcBorders>
              <w:top w:val="single" w:sz="12" w:space="0" w:color="auto"/>
              <w:bottom w:val="nil"/>
            </w:tcBorders>
            <w:noWrap/>
          </w:tcPr>
          <w:p w:rsidR="001D2E73" w:rsidRDefault="001D2E73">
            <w:pPr>
              <w:spacing w:before="40" w:after="40" w:line="220" w:lineRule="exact"/>
              <w:rPr>
                <w:sz w:val="18"/>
                <w:szCs w:val="18"/>
              </w:rPr>
            </w:pPr>
            <w:r>
              <w:rPr>
                <w:sz w:val="18"/>
                <w:szCs w:val="18"/>
              </w:rPr>
              <w:t xml:space="preserve">Turquía </w:t>
            </w:r>
          </w:p>
        </w:tc>
        <w:tc>
          <w:tcPr>
            <w:tcW w:w="1344" w:type="dxa"/>
            <w:tcBorders>
              <w:top w:val="single" w:sz="12" w:space="0" w:color="auto"/>
              <w:bottom w:val="nil"/>
            </w:tcBorders>
            <w:noWrap/>
          </w:tcPr>
          <w:p w:rsidR="001D2E73" w:rsidRDefault="001D2E73">
            <w:pPr>
              <w:spacing w:before="40" w:after="40" w:line="220" w:lineRule="exact"/>
              <w:jc w:val="right"/>
              <w:rPr>
                <w:sz w:val="18"/>
                <w:szCs w:val="18"/>
              </w:rPr>
            </w:pPr>
            <w:r>
              <w:rPr>
                <w:sz w:val="18"/>
                <w:szCs w:val="18"/>
              </w:rPr>
              <w:t>1 969</w:t>
            </w:r>
          </w:p>
        </w:tc>
        <w:tc>
          <w:tcPr>
            <w:tcW w:w="1316" w:type="dxa"/>
            <w:tcBorders>
              <w:top w:val="single" w:sz="12" w:space="0" w:color="auto"/>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42,41</w:t>
            </w:r>
          </w:p>
        </w:tc>
      </w:tr>
      <w:tr w:rsidR="001D2E73">
        <w:trPr>
          <w:trHeight w:val="20"/>
        </w:trPr>
        <w:tc>
          <w:tcPr>
            <w:tcW w:w="520" w:type="dxa"/>
            <w:tcBorders>
              <w:top w:val="nil"/>
            </w:tcBorders>
            <w:noWrap/>
          </w:tcPr>
          <w:p w:rsidR="001D2E73" w:rsidRDefault="001D2E73">
            <w:pPr>
              <w:spacing w:before="40" w:after="40" w:line="220" w:lineRule="exact"/>
              <w:rPr>
                <w:sz w:val="18"/>
                <w:szCs w:val="18"/>
              </w:rPr>
            </w:pPr>
            <w:r>
              <w:rPr>
                <w:sz w:val="18"/>
                <w:szCs w:val="18"/>
              </w:rPr>
              <w:t>2</w:t>
            </w:r>
          </w:p>
        </w:tc>
        <w:tc>
          <w:tcPr>
            <w:tcW w:w="4309" w:type="dxa"/>
            <w:tcBorders>
              <w:top w:val="nil"/>
            </w:tcBorders>
            <w:noWrap/>
          </w:tcPr>
          <w:p w:rsidR="001D2E73" w:rsidRDefault="001D2E73">
            <w:pPr>
              <w:spacing w:before="40" w:after="40" w:line="220" w:lineRule="exact"/>
              <w:rPr>
                <w:sz w:val="18"/>
                <w:szCs w:val="18"/>
              </w:rPr>
            </w:pPr>
            <w:r>
              <w:rPr>
                <w:sz w:val="18"/>
                <w:szCs w:val="18"/>
              </w:rPr>
              <w:t>Reino Unido</w:t>
            </w:r>
          </w:p>
        </w:tc>
        <w:tc>
          <w:tcPr>
            <w:tcW w:w="1344" w:type="dxa"/>
            <w:tcBorders>
              <w:top w:val="nil"/>
            </w:tcBorders>
            <w:noWrap/>
          </w:tcPr>
          <w:p w:rsidR="001D2E73" w:rsidRDefault="001D2E73">
            <w:pPr>
              <w:spacing w:before="40" w:after="40" w:line="220" w:lineRule="exact"/>
              <w:jc w:val="right"/>
              <w:rPr>
                <w:sz w:val="18"/>
                <w:szCs w:val="18"/>
              </w:rPr>
            </w:pPr>
            <w:r>
              <w:rPr>
                <w:sz w:val="18"/>
                <w:szCs w:val="18"/>
              </w:rPr>
              <w:t>548</w:t>
            </w:r>
          </w:p>
        </w:tc>
        <w:tc>
          <w:tcPr>
            <w:tcW w:w="1316" w:type="dxa"/>
            <w:tcBorders>
              <w:top w:val="nil"/>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11,80</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3</w:t>
            </w:r>
          </w:p>
        </w:tc>
        <w:tc>
          <w:tcPr>
            <w:tcW w:w="4309" w:type="dxa"/>
            <w:noWrap/>
          </w:tcPr>
          <w:p w:rsidR="001D2E73" w:rsidRDefault="001D2E73">
            <w:pPr>
              <w:spacing w:before="40" w:after="40" w:line="220" w:lineRule="exact"/>
              <w:rPr>
                <w:sz w:val="18"/>
                <w:szCs w:val="18"/>
              </w:rPr>
            </w:pPr>
            <w:r>
              <w:rPr>
                <w:sz w:val="18"/>
                <w:szCs w:val="18"/>
              </w:rPr>
              <w:t>Georgia</w:t>
            </w:r>
          </w:p>
        </w:tc>
        <w:tc>
          <w:tcPr>
            <w:tcW w:w="1344" w:type="dxa"/>
            <w:noWrap/>
          </w:tcPr>
          <w:p w:rsidR="001D2E73" w:rsidRDefault="001D2E73">
            <w:pPr>
              <w:spacing w:before="40" w:after="40" w:line="220" w:lineRule="exact"/>
              <w:jc w:val="right"/>
              <w:rPr>
                <w:sz w:val="18"/>
                <w:szCs w:val="18"/>
              </w:rPr>
            </w:pPr>
            <w:r>
              <w:rPr>
                <w:sz w:val="18"/>
                <w:szCs w:val="18"/>
              </w:rPr>
              <w:t>301</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6,48</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4</w:t>
            </w:r>
          </w:p>
        </w:tc>
        <w:tc>
          <w:tcPr>
            <w:tcW w:w="4309" w:type="dxa"/>
            <w:noWrap/>
          </w:tcPr>
          <w:p w:rsidR="001D2E73" w:rsidRDefault="001D2E73">
            <w:pPr>
              <w:spacing w:before="40" w:after="40" w:line="220" w:lineRule="exact"/>
              <w:rPr>
                <w:sz w:val="18"/>
                <w:szCs w:val="18"/>
              </w:rPr>
            </w:pPr>
            <w:r>
              <w:rPr>
                <w:sz w:val="18"/>
                <w:szCs w:val="18"/>
              </w:rPr>
              <w:t>India</w:t>
            </w:r>
          </w:p>
        </w:tc>
        <w:tc>
          <w:tcPr>
            <w:tcW w:w="1344" w:type="dxa"/>
            <w:noWrap/>
          </w:tcPr>
          <w:p w:rsidR="001D2E73" w:rsidRDefault="001D2E73">
            <w:pPr>
              <w:spacing w:before="40" w:after="40" w:line="220" w:lineRule="exact"/>
              <w:jc w:val="right"/>
              <w:rPr>
                <w:sz w:val="18"/>
                <w:szCs w:val="18"/>
              </w:rPr>
            </w:pPr>
            <w:r>
              <w:rPr>
                <w:sz w:val="18"/>
                <w:szCs w:val="18"/>
              </w:rPr>
              <w:t>284</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6,12</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5</w:t>
            </w:r>
          </w:p>
        </w:tc>
        <w:tc>
          <w:tcPr>
            <w:tcW w:w="4309" w:type="dxa"/>
            <w:noWrap/>
          </w:tcPr>
          <w:p w:rsidR="001D2E73" w:rsidRDefault="001D2E73">
            <w:pPr>
              <w:spacing w:before="40" w:after="40" w:line="220" w:lineRule="exact"/>
              <w:rPr>
                <w:sz w:val="18"/>
                <w:szCs w:val="18"/>
              </w:rPr>
            </w:pPr>
            <w:r>
              <w:rPr>
                <w:sz w:val="18"/>
                <w:szCs w:val="18"/>
              </w:rPr>
              <w:t>Federación de Rusia</w:t>
            </w:r>
          </w:p>
        </w:tc>
        <w:tc>
          <w:tcPr>
            <w:tcW w:w="1344" w:type="dxa"/>
            <w:noWrap/>
          </w:tcPr>
          <w:p w:rsidR="001D2E73" w:rsidRDefault="001D2E73">
            <w:pPr>
              <w:spacing w:before="40" w:after="40" w:line="220" w:lineRule="exact"/>
              <w:jc w:val="right"/>
              <w:rPr>
                <w:sz w:val="18"/>
                <w:szCs w:val="18"/>
              </w:rPr>
            </w:pPr>
            <w:r>
              <w:rPr>
                <w:sz w:val="18"/>
                <w:szCs w:val="18"/>
              </w:rPr>
              <w:t>202</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4,35</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6</w:t>
            </w:r>
          </w:p>
        </w:tc>
        <w:tc>
          <w:tcPr>
            <w:tcW w:w="4309" w:type="dxa"/>
            <w:noWrap/>
          </w:tcPr>
          <w:p w:rsidR="001D2E73" w:rsidRDefault="001D2E73">
            <w:pPr>
              <w:spacing w:before="40" w:after="40" w:line="220" w:lineRule="exact"/>
              <w:rPr>
                <w:sz w:val="18"/>
                <w:szCs w:val="18"/>
              </w:rPr>
            </w:pPr>
            <w:r>
              <w:rPr>
                <w:sz w:val="18"/>
                <w:szCs w:val="18"/>
              </w:rPr>
              <w:t>Malasia</w:t>
            </w:r>
          </w:p>
        </w:tc>
        <w:tc>
          <w:tcPr>
            <w:tcW w:w="1344" w:type="dxa"/>
            <w:noWrap/>
          </w:tcPr>
          <w:p w:rsidR="001D2E73" w:rsidRDefault="001D2E73">
            <w:pPr>
              <w:spacing w:before="40" w:after="40" w:line="220" w:lineRule="exact"/>
              <w:jc w:val="right"/>
              <w:rPr>
                <w:sz w:val="18"/>
                <w:szCs w:val="18"/>
              </w:rPr>
            </w:pPr>
            <w:r>
              <w:rPr>
                <w:sz w:val="18"/>
                <w:szCs w:val="18"/>
              </w:rPr>
              <w:t>144</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3,10</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7</w:t>
            </w:r>
          </w:p>
        </w:tc>
        <w:tc>
          <w:tcPr>
            <w:tcW w:w="4309" w:type="dxa"/>
            <w:noWrap/>
          </w:tcPr>
          <w:p w:rsidR="001D2E73" w:rsidRDefault="001D2E73">
            <w:pPr>
              <w:spacing w:before="40" w:after="40" w:line="220" w:lineRule="exact"/>
              <w:rPr>
                <w:sz w:val="18"/>
                <w:szCs w:val="18"/>
              </w:rPr>
            </w:pPr>
            <w:r>
              <w:rPr>
                <w:sz w:val="18"/>
                <w:szCs w:val="18"/>
              </w:rPr>
              <w:t>China</w:t>
            </w:r>
          </w:p>
        </w:tc>
        <w:tc>
          <w:tcPr>
            <w:tcW w:w="1344" w:type="dxa"/>
            <w:noWrap/>
          </w:tcPr>
          <w:p w:rsidR="001D2E73" w:rsidRDefault="001D2E73">
            <w:pPr>
              <w:spacing w:before="40" w:after="40" w:line="220" w:lineRule="exact"/>
              <w:jc w:val="right"/>
              <w:rPr>
                <w:sz w:val="18"/>
                <w:szCs w:val="18"/>
              </w:rPr>
            </w:pPr>
            <w:r>
              <w:rPr>
                <w:sz w:val="18"/>
                <w:szCs w:val="18"/>
              </w:rPr>
              <w:t>137</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2,95</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8</w:t>
            </w:r>
          </w:p>
        </w:tc>
        <w:tc>
          <w:tcPr>
            <w:tcW w:w="4309" w:type="dxa"/>
            <w:noWrap/>
          </w:tcPr>
          <w:p w:rsidR="001D2E73" w:rsidRDefault="001D2E73">
            <w:pPr>
              <w:spacing w:before="40" w:after="40" w:line="220" w:lineRule="exact"/>
              <w:rPr>
                <w:sz w:val="18"/>
                <w:szCs w:val="18"/>
              </w:rPr>
            </w:pPr>
            <w:r>
              <w:rPr>
                <w:sz w:val="18"/>
                <w:szCs w:val="18"/>
              </w:rPr>
              <w:t>Filipinas</w:t>
            </w:r>
          </w:p>
        </w:tc>
        <w:tc>
          <w:tcPr>
            <w:tcW w:w="1344" w:type="dxa"/>
            <w:noWrap/>
          </w:tcPr>
          <w:p w:rsidR="001D2E73" w:rsidRDefault="001D2E73">
            <w:pPr>
              <w:spacing w:before="40" w:after="40" w:line="220" w:lineRule="exact"/>
              <w:jc w:val="right"/>
              <w:rPr>
                <w:sz w:val="18"/>
                <w:szCs w:val="18"/>
              </w:rPr>
            </w:pPr>
            <w:r>
              <w:rPr>
                <w:sz w:val="18"/>
                <w:szCs w:val="18"/>
              </w:rPr>
              <w:t>107</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2,30</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9</w:t>
            </w:r>
          </w:p>
        </w:tc>
        <w:tc>
          <w:tcPr>
            <w:tcW w:w="4309" w:type="dxa"/>
            <w:noWrap/>
          </w:tcPr>
          <w:p w:rsidR="001D2E73" w:rsidRDefault="001D2E73">
            <w:pPr>
              <w:spacing w:before="40" w:after="40" w:line="220" w:lineRule="exact"/>
              <w:rPr>
                <w:sz w:val="18"/>
                <w:szCs w:val="18"/>
              </w:rPr>
            </w:pPr>
            <w:r>
              <w:rPr>
                <w:sz w:val="18"/>
                <w:szCs w:val="18"/>
              </w:rPr>
              <w:t>Bangladesh</w:t>
            </w:r>
          </w:p>
        </w:tc>
        <w:tc>
          <w:tcPr>
            <w:tcW w:w="1344" w:type="dxa"/>
            <w:noWrap/>
          </w:tcPr>
          <w:p w:rsidR="001D2E73" w:rsidRDefault="001D2E73">
            <w:pPr>
              <w:spacing w:before="40" w:after="40" w:line="220" w:lineRule="exact"/>
              <w:jc w:val="right"/>
              <w:rPr>
                <w:sz w:val="18"/>
                <w:szCs w:val="18"/>
              </w:rPr>
            </w:pPr>
            <w:r>
              <w:rPr>
                <w:sz w:val="18"/>
                <w:szCs w:val="18"/>
              </w:rPr>
              <w:t>87</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1,87</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10</w:t>
            </w:r>
          </w:p>
        </w:tc>
        <w:tc>
          <w:tcPr>
            <w:tcW w:w="4309" w:type="dxa"/>
            <w:noWrap/>
          </w:tcPr>
          <w:p w:rsidR="001D2E73" w:rsidRDefault="001D2E73">
            <w:pPr>
              <w:spacing w:before="40" w:after="40" w:line="220" w:lineRule="exact"/>
              <w:rPr>
                <w:sz w:val="18"/>
                <w:szCs w:val="18"/>
              </w:rPr>
            </w:pPr>
            <w:r>
              <w:rPr>
                <w:sz w:val="18"/>
                <w:szCs w:val="18"/>
              </w:rPr>
              <w:t>Turkmenistán</w:t>
            </w:r>
          </w:p>
        </w:tc>
        <w:tc>
          <w:tcPr>
            <w:tcW w:w="1344" w:type="dxa"/>
            <w:noWrap/>
          </w:tcPr>
          <w:p w:rsidR="001D2E73" w:rsidRDefault="001D2E73">
            <w:pPr>
              <w:spacing w:before="40" w:after="40" w:line="220" w:lineRule="exact"/>
              <w:jc w:val="right"/>
              <w:rPr>
                <w:sz w:val="18"/>
                <w:szCs w:val="18"/>
              </w:rPr>
            </w:pPr>
            <w:r>
              <w:rPr>
                <w:sz w:val="18"/>
                <w:szCs w:val="18"/>
              </w:rPr>
              <w:t>87</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1,87</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11</w:t>
            </w:r>
          </w:p>
        </w:tc>
        <w:tc>
          <w:tcPr>
            <w:tcW w:w="4309" w:type="dxa"/>
            <w:noWrap/>
          </w:tcPr>
          <w:p w:rsidR="001D2E73" w:rsidRDefault="001D2E73">
            <w:pPr>
              <w:spacing w:before="40" w:after="40" w:line="220" w:lineRule="exact"/>
              <w:rPr>
                <w:sz w:val="18"/>
                <w:szCs w:val="18"/>
              </w:rPr>
            </w:pPr>
            <w:r>
              <w:rPr>
                <w:sz w:val="18"/>
                <w:szCs w:val="18"/>
              </w:rPr>
              <w:t>Irán</w:t>
            </w:r>
          </w:p>
        </w:tc>
        <w:tc>
          <w:tcPr>
            <w:tcW w:w="1344" w:type="dxa"/>
            <w:noWrap/>
          </w:tcPr>
          <w:p w:rsidR="001D2E73" w:rsidRDefault="001D2E73">
            <w:pPr>
              <w:spacing w:before="40" w:after="40" w:line="220" w:lineRule="exact"/>
              <w:jc w:val="right"/>
              <w:rPr>
                <w:sz w:val="18"/>
                <w:szCs w:val="18"/>
              </w:rPr>
            </w:pPr>
            <w:r>
              <w:rPr>
                <w:sz w:val="18"/>
                <w:szCs w:val="18"/>
              </w:rPr>
              <w:t>86</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1,85</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12</w:t>
            </w:r>
          </w:p>
        </w:tc>
        <w:tc>
          <w:tcPr>
            <w:tcW w:w="4309" w:type="dxa"/>
            <w:noWrap/>
          </w:tcPr>
          <w:p w:rsidR="001D2E73" w:rsidRDefault="001D2E73">
            <w:pPr>
              <w:spacing w:before="40" w:after="40" w:line="220" w:lineRule="exact"/>
              <w:rPr>
                <w:sz w:val="18"/>
                <w:szCs w:val="18"/>
              </w:rPr>
            </w:pPr>
            <w:r>
              <w:rPr>
                <w:sz w:val="18"/>
                <w:szCs w:val="18"/>
              </w:rPr>
              <w:t>Alemania</w:t>
            </w:r>
          </w:p>
        </w:tc>
        <w:tc>
          <w:tcPr>
            <w:tcW w:w="1344" w:type="dxa"/>
            <w:noWrap/>
          </w:tcPr>
          <w:p w:rsidR="001D2E73" w:rsidRDefault="001D2E73">
            <w:pPr>
              <w:spacing w:before="40" w:after="40" w:line="220" w:lineRule="exact"/>
              <w:jc w:val="right"/>
              <w:rPr>
                <w:sz w:val="18"/>
                <w:szCs w:val="18"/>
              </w:rPr>
            </w:pPr>
            <w:r>
              <w:rPr>
                <w:sz w:val="18"/>
                <w:szCs w:val="18"/>
              </w:rPr>
              <w:t>66</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1,42</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13</w:t>
            </w:r>
          </w:p>
        </w:tc>
        <w:tc>
          <w:tcPr>
            <w:tcW w:w="4309" w:type="dxa"/>
            <w:noWrap/>
          </w:tcPr>
          <w:p w:rsidR="001D2E73" w:rsidRDefault="001D2E73">
            <w:pPr>
              <w:spacing w:before="40" w:after="40" w:line="220" w:lineRule="exact"/>
              <w:rPr>
                <w:sz w:val="18"/>
                <w:szCs w:val="18"/>
              </w:rPr>
            </w:pPr>
            <w:r>
              <w:rPr>
                <w:sz w:val="18"/>
                <w:szCs w:val="18"/>
              </w:rPr>
              <w:t>Estados Unidos</w:t>
            </w:r>
          </w:p>
        </w:tc>
        <w:tc>
          <w:tcPr>
            <w:tcW w:w="1344" w:type="dxa"/>
            <w:noWrap/>
          </w:tcPr>
          <w:p w:rsidR="001D2E73" w:rsidRDefault="001D2E73">
            <w:pPr>
              <w:spacing w:before="40" w:after="40" w:line="220" w:lineRule="exact"/>
              <w:jc w:val="right"/>
              <w:rPr>
                <w:sz w:val="18"/>
                <w:szCs w:val="18"/>
              </w:rPr>
            </w:pPr>
            <w:r>
              <w:rPr>
                <w:sz w:val="18"/>
                <w:szCs w:val="18"/>
              </w:rPr>
              <w:t>60</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1,29</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14</w:t>
            </w:r>
          </w:p>
        </w:tc>
        <w:tc>
          <w:tcPr>
            <w:tcW w:w="4309" w:type="dxa"/>
            <w:noWrap/>
          </w:tcPr>
          <w:p w:rsidR="001D2E73" w:rsidRDefault="001D2E73">
            <w:pPr>
              <w:spacing w:before="40" w:after="40" w:line="220" w:lineRule="exact"/>
              <w:rPr>
                <w:sz w:val="18"/>
                <w:szCs w:val="18"/>
              </w:rPr>
            </w:pPr>
            <w:r>
              <w:rPr>
                <w:sz w:val="18"/>
                <w:szCs w:val="18"/>
              </w:rPr>
              <w:t>Italia</w:t>
            </w:r>
          </w:p>
        </w:tc>
        <w:tc>
          <w:tcPr>
            <w:tcW w:w="1344" w:type="dxa"/>
            <w:noWrap/>
          </w:tcPr>
          <w:p w:rsidR="001D2E73" w:rsidRDefault="001D2E73">
            <w:pPr>
              <w:spacing w:before="40" w:after="40" w:line="220" w:lineRule="exact"/>
              <w:jc w:val="right"/>
              <w:rPr>
                <w:sz w:val="18"/>
                <w:szCs w:val="18"/>
              </w:rPr>
            </w:pPr>
            <w:r>
              <w:rPr>
                <w:sz w:val="18"/>
                <w:szCs w:val="18"/>
              </w:rPr>
              <w:t>59</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1,27</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15</w:t>
            </w:r>
          </w:p>
        </w:tc>
        <w:tc>
          <w:tcPr>
            <w:tcW w:w="4309" w:type="dxa"/>
            <w:noWrap/>
          </w:tcPr>
          <w:p w:rsidR="001D2E73" w:rsidRDefault="001D2E73">
            <w:pPr>
              <w:spacing w:before="40" w:after="40" w:line="220" w:lineRule="exact"/>
              <w:rPr>
                <w:sz w:val="18"/>
                <w:szCs w:val="18"/>
              </w:rPr>
            </w:pPr>
            <w:r>
              <w:rPr>
                <w:sz w:val="18"/>
                <w:szCs w:val="18"/>
              </w:rPr>
              <w:t>Pakistán</w:t>
            </w:r>
          </w:p>
        </w:tc>
        <w:tc>
          <w:tcPr>
            <w:tcW w:w="1344" w:type="dxa"/>
            <w:noWrap/>
          </w:tcPr>
          <w:p w:rsidR="001D2E73" w:rsidRDefault="001D2E73">
            <w:pPr>
              <w:spacing w:before="40" w:after="40" w:line="220" w:lineRule="exact"/>
              <w:jc w:val="right"/>
              <w:rPr>
                <w:sz w:val="18"/>
                <w:szCs w:val="18"/>
              </w:rPr>
            </w:pPr>
            <w:r>
              <w:rPr>
                <w:sz w:val="18"/>
                <w:szCs w:val="18"/>
              </w:rPr>
              <w:t>46</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0,99</w:t>
            </w:r>
          </w:p>
        </w:tc>
      </w:tr>
      <w:tr w:rsidR="001D2E73">
        <w:trPr>
          <w:trHeight w:val="20"/>
        </w:trPr>
        <w:tc>
          <w:tcPr>
            <w:tcW w:w="520" w:type="dxa"/>
            <w:tcBorders>
              <w:bottom w:val="nil"/>
            </w:tcBorders>
            <w:noWrap/>
          </w:tcPr>
          <w:p w:rsidR="001D2E73" w:rsidRDefault="001D2E73">
            <w:pPr>
              <w:spacing w:before="40" w:after="40" w:line="220" w:lineRule="exact"/>
              <w:rPr>
                <w:sz w:val="18"/>
                <w:szCs w:val="18"/>
              </w:rPr>
            </w:pPr>
            <w:r>
              <w:rPr>
                <w:sz w:val="18"/>
                <w:szCs w:val="18"/>
              </w:rPr>
              <w:t>16</w:t>
            </w:r>
          </w:p>
        </w:tc>
        <w:tc>
          <w:tcPr>
            <w:tcW w:w="4309" w:type="dxa"/>
            <w:tcBorders>
              <w:bottom w:val="nil"/>
            </w:tcBorders>
            <w:noWrap/>
          </w:tcPr>
          <w:p w:rsidR="001D2E73" w:rsidRDefault="001D2E73">
            <w:pPr>
              <w:spacing w:before="40" w:after="40" w:line="220" w:lineRule="exact"/>
              <w:rPr>
                <w:sz w:val="18"/>
                <w:szCs w:val="18"/>
              </w:rPr>
            </w:pPr>
            <w:r>
              <w:rPr>
                <w:sz w:val="18"/>
                <w:szCs w:val="18"/>
              </w:rPr>
              <w:t>Kazajstán</w:t>
            </w:r>
          </w:p>
        </w:tc>
        <w:tc>
          <w:tcPr>
            <w:tcW w:w="1344" w:type="dxa"/>
            <w:tcBorders>
              <w:bottom w:val="nil"/>
            </w:tcBorders>
            <w:noWrap/>
          </w:tcPr>
          <w:p w:rsidR="001D2E73" w:rsidRDefault="001D2E73">
            <w:pPr>
              <w:spacing w:before="40" w:after="40" w:line="220" w:lineRule="exact"/>
              <w:jc w:val="right"/>
              <w:rPr>
                <w:sz w:val="18"/>
                <w:szCs w:val="18"/>
              </w:rPr>
            </w:pPr>
            <w:r>
              <w:rPr>
                <w:sz w:val="18"/>
                <w:szCs w:val="18"/>
              </w:rPr>
              <w:t>40</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0,86</w:t>
            </w:r>
          </w:p>
        </w:tc>
      </w:tr>
      <w:tr w:rsidR="001D2E73">
        <w:trPr>
          <w:trHeight w:val="20"/>
        </w:trPr>
        <w:tc>
          <w:tcPr>
            <w:tcW w:w="520" w:type="dxa"/>
            <w:tcBorders>
              <w:top w:val="nil"/>
              <w:bottom w:val="nil"/>
            </w:tcBorders>
            <w:noWrap/>
          </w:tcPr>
          <w:p w:rsidR="001D2E73" w:rsidRDefault="001D2E73">
            <w:pPr>
              <w:spacing w:before="40" w:after="40" w:line="220" w:lineRule="exact"/>
              <w:rPr>
                <w:sz w:val="18"/>
                <w:szCs w:val="18"/>
              </w:rPr>
            </w:pPr>
            <w:r>
              <w:rPr>
                <w:sz w:val="18"/>
                <w:szCs w:val="18"/>
              </w:rPr>
              <w:t>17</w:t>
            </w:r>
          </w:p>
        </w:tc>
        <w:tc>
          <w:tcPr>
            <w:tcW w:w="4309" w:type="dxa"/>
            <w:tcBorders>
              <w:top w:val="nil"/>
              <w:bottom w:val="nil"/>
            </w:tcBorders>
            <w:noWrap/>
          </w:tcPr>
          <w:p w:rsidR="001D2E73" w:rsidRDefault="001D2E73">
            <w:pPr>
              <w:spacing w:before="40" w:after="40" w:line="220" w:lineRule="exact"/>
              <w:rPr>
                <w:sz w:val="18"/>
                <w:szCs w:val="18"/>
              </w:rPr>
            </w:pPr>
            <w:r>
              <w:rPr>
                <w:sz w:val="18"/>
                <w:szCs w:val="18"/>
              </w:rPr>
              <w:t>Ucrania</w:t>
            </w:r>
          </w:p>
        </w:tc>
        <w:tc>
          <w:tcPr>
            <w:tcW w:w="1344" w:type="dxa"/>
            <w:tcBorders>
              <w:top w:val="nil"/>
              <w:bottom w:val="nil"/>
            </w:tcBorders>
            <w:noWrap/>
          </w:tcPr>
          <w:p w:rsidR="001D2E73" w:rsidRDefault="001D2E73">
            <w:pPr>
              <w:spacing w:before="40" w:after="40" w:line="220" w:lineRule="exact"/>
              <w:jc w:val="right"/>
              <w:rPr>
                <w:sz w:val="18"/>
                <w:szCs w:val="18"/>
              </w:rPr>
            </w:pPr>
            <w:r>
              <w:rPr>
                <w:sz w:val="18"/>
                <w:szCs w:val="18"/>
              </w:rPr>
              <w:t>35</w:t>
            </w:r>
          </w:p>
        </w:tc>
        <w:tc>
          <w:tcPr>
            <w:tcW w:w="1316" w:type="dxa"/>
            <w:tcBorders>
              <w:top w:val="nil"/>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0,75</w:t>
            </w:r>
          </w:p>
        </w:tc>
      </w:tr>
      <w:tr w:rsidR="001D2E73">
        <w:trPr>
          <w:trHeight w:val="20"/>
        </w:trPr>
        <w:tc>
          <w:tcPr>
            <w:tcW w:w="520" w:type="dxa"/>
            <w:tcBorders>
              <w:top w:val="nil"/>
              <w:bottom w:val="nil"/>
            </w:tcBorders>
            <w:noWrap/>
          </w:tcPr>
          <w:p w:rsidR="001D2E73" w:rsidRDefault="001D2E73">
            <w:pPr>
              <w:spacing w:before="40" w:after="40" w:line="220" w:lineRule="exact"/>
              <w:rPr>
                <w:sz w:val="18"/>
                <w:szCs w:val="18"/>
              </w:rPr>
            </w:pPr>
            <w:r>
              <w:rPr>
                <w:sz w:val="18"/>
                <w:szCs w:val="18"/>
              </w:rPr>
              <w:t>18</w:t>
            </w:r>
          </w:p>
        </w:tc>
        <w:tc>
          <w:tcPr>
            <w:tcW w:w="4309" w:type="dxa"/>
            <w:tcBorders>
              <w:top w:val="nil"/>
              <w:bottom w:val="nil"/>
            </w:tcBorders>
            <w:noWrap/>
          </w:tcPr>
          <w:p w:rsidR="001D2E73" w:rsidRDefault="001D2E73">
            <w:pPr>
              <w:spacing w:before="40" w:after="40" w:line="220" w:lineRule="exact"/>
              <w:rPr>
                <w:sz w:val="18"/>
                <w:szCs w:val="18"/>
              </w:rPr>
            </w:pPr>
            <w:r>
              <w:rPr>
                <w:sz w:val="18"/>
                <w:szCs w:val="18"/>
              </w:rPr>
              <w:t>Croacia</w:t>
            </w:r>
          </w:p>
        </w:tc>
        <w:tc>
          <w:tcPr>
            <w:tcW w:w="1344" w:type="dxa"/>
            <w:tcBorders>
              <w:top w:val="nil"/>
              <w:bottom w:val="nil"/>
            </w:tcBorders>
            <w:noWrap/>
          </w:tcPr>
          <w:p w:rsidR="001D2E73" w:rsidRDefault="001D2E73">
            <w:pPr>
              <w:spacing w:before="40" w:after="40" w:line="220" w:lineRule="exact"/>
              <w:jc w:val="right"/>
              <w:rPr>
                <w:sz w:val="18"/>
                <w:szCs w:val="18"/>
              </w:rPr>
            </w:pPr>
            <w:r>
              <w:rPr>
                <w:sz w:val="18"/>
                <w:szCs w:val="18"/>
              </w:rPr>
              <w:t>20</w:t>
            </w:r>
          </w:p>
        </w:tc>
        <w:tc>
          <w:tcPr>
            <w:tcW w:w="1316" w:type="dxa"/>
            <w:tcBorders>
              <w:top w:val="nil"/>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0,43</w:t>
            </w:r>
          </w:p>
        </w:tc>
      </w:tr>
      <w:tr w:rsidR="001D2E73">
        <w:trPr>
          <w:trHeight w:val="20"/>
        </w:trPr>
        <w:tc>
          <w:tcPr>
            <w:tcW w:w="520" w:type="dxa"/>
            <w:tcBorders>
              <w:top w:val="nil"/>
            </w:tcBorders>
            <w:noWrap/>
          </w:tcPr>
          <w:p w:rsidR="001D2E73" w:rsidRDefault="001D2E73">
            <w:pPr>
              <w:spacing w:before="40" w:after="40" w:line="220" w:lineRule="exact"/>
              <w:rPr>
                <w:sz w:val="18"/>
                <w:szCs w:val="18"/>
              </w:rPr>
            </w:pPr>
            <w:r>
              <w:rPr>
                <w:sz w:val="18"/>
                <w:szCs w:val="18"/>
              </w:rPr>
              <w:t>19</w:t>
            </w:r>
          </w:p>
        </w:tc>
        <w:tc>
          <w:tcPr>
            <w:tcW w:w="4309" w:type="dxa"/>
            <w:tcBorders>
              <w:top w:val="nil"/>
            </w:tcBorders>
            <w:noWrap/>
          </w:tcPr>
          <w:p w:rsidR="001D2E73" w:rsidRDefault="001D2E73">
            <w:pPr>
              <w:spacing w:before="40" w:after="40" w:line="220" w:lineRule="exact"/>
              <w:rPr>
                <w:sz w:val="18"/>
                <w:szCs w:val="18"/>
              </w:rPr>
            </w:pPr>
            <w:r>
              <w:rPr>
                <w:sz w:val="18"/>
                <w:szCs w:val="18"/>
              </w:rPr>
              <w:t>Singapur</w:t>
            </w:r>
          </w:p>
        </w:tc>
        <w:tc>
          <w:tcPr>
            <w:tcW w:w="1344" w:type="dxa"/>
            <w:tcBorders>
              <w:top w:val="nil"/>
            </w:tcBorders>
            <w:noWrap/>
          </w:tcPr>
          <w:p w:rsidR="001D2E73" w:rsidRDefault="001D2E73">
            <w:pPr>
              <w:spacing w:before="40" w:after="40" w:line="220" w:lineRule="exact"/>
              <w:jc w:val="right"/>
              <w:rPr>
                <w:sz w:val="18"/>
                <w:szCs w:val="18"/>
              </w:rPr>
            </w:pPr>
            <w:r>
              <w:rPr>
                <w:sz w:val="18"/>
                <w:szCs w:val="18"/>
              </w:rPr>
              <w:t>19</w:t>
            </w:r>
          </w:p>
        </w:tc>
        <w:tc>
          <w:tcPr>
            <w:tcW w:w="1316" w:type="dxa"/>
            <w:tcBorders>
              <w:top w:val="nil"/>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0,41</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20</w:t>
            </w:r>
          </w:p>
        </w:tc>
        <w:tc>
          <w:tcPr>
            <w:tcW w:w="4309" w:type="dxa"/>
            <w:noWrap/>
          </w:tcPr>
          <w:p w:rsidR="001D2E73" w:rsidRDefault="001D2E73">
            <w:pPr>
              <w:spacing w:before="40" w:after="40" w:line="220" w:lineRule="exact"/>
              <w:rPr>
                <w:sz w:val="18"/>
                <w:szCs w:val="18"/>
              </w:rPr>
            </w:pPr>
            <w:r>
              <w:rPr>
                <w:sz w:val="18"/>
                <w:szCs w:val="18"/>
              </w:rPr>
              <w:t>Francia</w:t>
            </w:r>
          </w:p>
        </w:tc>
        <w:tc>
          <w:tcPr>
            <w:tcW w:w="1344" w:type="dxa"/>
            <w:noWrap/>
          </w:tcPr>
          <w:p w:rsidR="001D2E73" w:rsidRDefault="001D2E73">
            <w:pPr>
              <w:spacing w:before="40" w:after="40" w:line="220" w:lineRule="exact"/>
              <w:jc w:val="right"/>
              <w:rPr>
                <w:sz w:val="18"/>
                <w:szCs w:val="18"/>
              </w:rPr>
            </w:pPr>
            <w:r>
              <w:rPr>
                <w:sz w:val="18"/>
                <w:szCs w:val="18"/>
              </w:rPr>
              <w:t>18</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0,39</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21</w:t>
            </w:r>
          </w:p>
        </w:tc>
        <w:tc>
          <w:tcPr>
            <w:tcW w:w="4309" w:type="dxa"/>
            <w:noWrap/>
          </w:tcPr>
          <w:p w:rsidR="001D2E73" w:rsidRDefault="001D2E73">
            <w:pPr>
              <w:spacing w:before="40" w:after="40" w:line="220" w:lineRule="exact"/>
              <w:rPr>
                <w:sz w:val="18"/>
                <w:szCs w:val="18"/>
              </w:rPr>
            </w:pPr>
            <w:r>
              <w:rPr>
                <w:sz w:val="18"/>
                <w:szCs w:val="18"/>
              </w:rPr>
              <w:t>Tayikistán</w:t>
            </w:r>
          </w:p>
        </w:tc>
        <w:tc>
          <w:tcPr>
            <w:tcW w:w="1344" w:type="dxa"/>
            <w:noWrap/>
          </w:tcPr>
          <w:p w:rsidR="001D2E73" w:rsidRDefault="001D2E73">
            <w:pPr>
              <w:spacing w:before="40" w:after="40" w:line="220" w:lineRule="exact"/>
              <w:jc w:val="right"/>
              <w:rPr>
                <w:sz w:val="18"/>
                <w:szCs w:val="18"/>
              </w:rPr>
            </w:pPr>
            <w:r>
              <w:rPr>
                <w:sz w:val="18"/>
                <w:szCs w:val="18"/>
              </w:rPr>
              <w:t>18</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0,39</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22</w:t>
            </w:r>
          </w:p>
        </w:tc>
        <w:tc>
          <w:tcPr>
            <w:tcW w:w="4309" w:type="dxa"/>
            <w:noWrap/>
          </w:tcPr>
          <w:p w:rsidR="001D2E73" w:rsidRDefault="001D2E73">
            <w:pPr>
              <w:spacing w:before="40" w:after="40" w:line="220" w:lineRule="exact"/>
              <w:rPr>
                <w:sz w:val="18"/>
                <w:szCs w:val="18"/>
              </w:rPr>
            </w:pPr>
            <w:r>
              <w:rPr>
                <w:sz w:val="18"/>
                <w:szCs w:val="18"/>
              </w:rPr>
              <w:t>Belarús</w:t>
            </w:r>
          </w:p>
        </w:tc>
        <w:tc>
          <w:tcPr>
            <w:tcW w:w="1344" w:type="dxa"/>
            <w:noWrap/>
          </w:tcPr>
          <w:p w:rsidR="001D2E73" w:rsidRDefault="001D2E73">
            <w:pPr>
              <w:spacing w:before="40" w:after="40" w:line="220" w:lineRule="exact"/>
              <w:jc w:val="right"/>
              <w:rPr>
                <w:sz w:val="18"/>
                <w:szCs w:val="18"/>
              </w:rPr>
            </w:pPr>
            <w:r>
              <w:rPr>
                <w:sz w:val="18"/>
                <w:szCs w:val="18"/>
              </w:rPr>
              <w:t>17</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0,37</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23</w:t>
            </w:r>
          </w:p>
        </w:tc>
        <w:tc>
          <w:tcPr>
            <w:tcW w:w="4309" w:type="dxa"/>
            <w:noWrap/>
          </w:tcPr>
          <w:p w:rsidR="001D2E73" w:rsidRDefault="001D2E73">
            <w:pPr>
              <w:spacing w:before="40" w:after="40" w:line="220" w:lineRule="exact"/>
              <w:rPr>
                <w:sz w:val="18"/>
                <w:szCs w:val="18"/>
              </w:rPr>
            </w:pPr>
            <w:r>
              <w:rPr>
                <w:sz w:val="18"/>
                <w:szCs w:val="18"/>
              </w:rPr>
              <w:t>Canadá</w:t>
            </w:r>
          </w:p>
        </w:tc>
        <w:tc>
          <w:tcPr>
            <w:tcW w:w="1344" w:type="dxa"/>
            <w:noWrap/>
          </w:tcPr>
          <w:p w:rsidR="001D2E73" w:rsidRDefault="001D2E73">
            <w:pPr>
              <w:spacing w:before="40" w:after="40" w:line="220" w:lineRule="exact"/>
              <w:jc w:val="right"/>
              <w:rPr>
                <w:sz w:val="18"/>
                <w:szCs w:val="18"/>
              </w:rPr>
            </w:pPr>
            <w:r>
              <w:rPr>
                <w:sz w:val="18"/>
                <w:szCs w:val="18"/>
              </w:rPr>
              <w:t>17</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0,37</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24</w:t>
            </w:r>
          </w:p>
        </w:tc>
        <w:tc>
          <w:tcPr>
            <w:tcW w:w="4309" w:type="dxa"/>
            <w:noWrap/>
          </w:tcPr>
          <w:p w:rsidR="001D2E73" w:rsidRDefault="001D2E73">
            <w:pPr>
              <w:spacing w:before="40" w:after="40" w:line="220" w:lineRule="exact"/>
              <w:rPr>
                <w:sz w:val="18"/>
                <w:szCs w:val="18"/>
              </w:rPr>
            </w:pPr>
            <w:r>
              <w:rPr>
                <w:sz w:val="18"/>
                <w:szCs w:val="18"/>
              </w:rPr>
              <w:t>Rumania</w:t>
            </w:r>
          </w:p>
        </w:tc>
        <w:tc>
          <w:tcPr>
            <w:tcW w:w="1344" w:type="dxa"/>
            <w:noWrap/>
          </w:tcPr>
          <w:p w:rsidR="001D2E73" w:rsidRDefault="001D2E73">
            <w:pPr>
              <w:spacing w:before="40" w:after="40" w:line="220" w:lineRule="exact"/>
              <w:jc w:val="right"/>
              <w:rPr>
                <w:sz w:val="18"/>
                <w:szCs w:val="18"/>
              </w:rPr>
            </w:pPr>
            <w:r>
              <w:rPr>
                <w:sz w:val="18"/>
                <w:szCs w:val="18"/>
              </w:rPr>
              <w:t>17</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0,37</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25</w:t>
            </w:r>
          </w:p>
        </w:tc>
        <w:tc>
          <w:tcPr>
            <w:tcW w:w="4309" w:type="dxa"/>
            <w:noWrap/>
          </w:tcPr>
          <w:p w:rsidR="001D2E73" w:rsidRDefault="001D2E73">
            <w:pPr>
              <w:spacing w:before="40" w:after="40" w:line="220" w:lineRule="exact"/>
              <w:rPr>
                <w:sz w:val="18"/>
                <w:szCs w:val="18"/>
              </w:rPr>
            </w:pPr>
            <w:r>
              <w:rPr>
                <w:sz w:val="18"/>
                <w:szCs w:val="18"/>
              </w:rPr>
              <w:t>Australia</w:t>
            </w:r>
          </w:p>
        </w:tc>
        <w:tc>
          <w:tcPr>
            <w:tcW w:w="1344" w:type="dxa"/>
            <w:noWrap/>
          </w:tcPr>
          <w:p w:rsidR="001D2E73" w:rsidRDefault="001D2E73">
            <w:pPr>
              <w:spacing w:before="40" w:after="40" w:line="220" w:lineRule="exact"/>
              <w:jc w:val="right"/>
              <w:rPr>
                <w:sz w:val="18"/>
                <w:szCs w:val="18"/>
              </w:rPr>
            </w:pPr>
            <w:r>
              <w:rPr>
                <w:sz w:val="18"/>
                <w:szCs w:val="18"/>
              </w:rPr>
              <w:t>15</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0,32</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26</w:t>
            </w:r>
          </w:p>
        </w:tc>
        <w:tc>
          <w:tcPr>
            <w:tcW w:w="4309" w:type="dxa"/>
            <w:noWrap/>
          </w:tcPr>
          <w:p w:rsidR="001D2E73" w:rsidRDefault="001D2E73">
            <w:pPr>
              <w:spacing w:before="40" w:after="40" w:line="220" w:lineRule="exact"/>
              <w:rPr>
                <w:sz w:val="18"/>
                <w:szCs w:val="18"/>
              </w:rPr>
            </w:pPr>
            <w:r>
              <w:rPr>
                <w:sz w:val="18"/>
                <w:szCs w:val="18"/>
              </w:rPr>
              <w:t>Tailandia</w:t>
            </w:r>
          </w:p>
        </w:tc>
        <w:tc>
          <w:tcPr>
            <w:tcW w:w="1344" w:type="dxa"/>
            <w:noWrap/>
          </w:tcPr>
          <w:p w:rsidR="001D2E73" w:rsidRDefault="001D2E73">
            <w:pPr>
              <w:spacing w:before="40" w:after="40" w:line="220" w:lineRule="exact"/>
              <w:jc w:val="right"/>
              <w:rPr>
                <w:sz w:val="18"/>
                <w:szCs w:val="18"/>
              </w:rPr>
            </w:pPr>
            <w:r>
              <w:rPr>
                <w:sz w:val="18"/>
                <w:szCs w:val="18"/>
              </w:rPr>
              <w:t>15</w:t>
            </w:r>
          </w:p>
        </w:tc>
        <w:tc>
          <w:tcPr>
            <w:tcW w:w="131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0,32</w:t>
            </w:r>
          </w:p>
        </w:tc>
      </w:tr>
      <w:tr w:rsidR="001D2E73">
        <w:trPr>
          <w:trHeight w:val="20"/>
        </w:trPr>
        <w:tc>
          <w:tcPr>
            <w:tcW w:w="520" w:type="dxa"/>
            <w:noWrap/>
          </w:tcPr>
          <w:p w:rsidR="001D2E73" w:rsidRDefault="001D2E73">
            <w:pPr>
              <w:spacing w:before="40" w:after="40" w:line="220" w:lineRule="exact"/>
              <w:rPr>
                <w:sz w:val="18"/>
                <w:szCs w:val="18"/>
              </w:rPr>
            </w:pPr>
            <w:r>
              <w:rPr>
                <w:sz w:val="18"/>
                <w:szCs w:val="18"/>
              </w:rPr>
              <w:t>27</w:t>
            </w:r>
          </w:p>
        </w:tc>
        <w:tc>
          <w:tcPr>
            <w:tcW w:w="4309" w:type="dxa"/>
            <w:noWrap/>
          </w:tcPr>
          <w:p w:rsidR="001D2E73" w:rsidRDefault="001D2E73">
            <w:pPr>
              <w:spacing w:before="40" w:after="40" w:line="220" w:lineRule="exact"/>
              <w:rPr>
                <w:b/>
                <w:sz w:val="18"/>
                <w:szCs w:val="18"/>
              </w:rPr>
            </w:pPr>
            <w:r>
              <w:rPr>
                <w:sz w:val="18"/>
                <w:szCs w:val="18"/>
              </w:rPr>
              <w:t>Otros</w:t>
            </w:r>
          </w:p>
        </w:tc>
        <w:tc>
          <w:tcPr>
            <w:tcW w:w="1344" w:type="dxa"/>
            <w:noWrap/>
          </w:tcPr>
          <w:p w:rsidR="001D2E73" w:rsidRDefault="001D2E73">
            <w:pPr>
              <w:spacing w:before="40" w:after="40" w:line="220" w:lineRule="exact"/>
              <w:jc w:val="right"/>
              <w:rPr>
                <w:sz w:val="18"/>
                <w:szCs w:val="18"/>
              </w:rPr>
            </w:pPr>
            <w:r>
              <w:rPr>
                <w:sz w:val="18"/>
                <w:szCs w:val="18"/>
              </w:rPr>
              <w:t>229</w:t>
            </w:r>
          </w:p>
        </w:tc>
        <w:tc>
          <w:tcPr>
            <w:tcW w:w="1316"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4,93</w:t>
            </w:r>
          </w:p>
        </w:tc>
      </w:tr>
    </w:tbl>
    <w:p w:rsidR="001D2E73" w:rsidRDefault="001D2E73">
      <w:pPr>
        <w:pStyle w:val="SingleTxtGR"/>
        <w:spacing w:before="240"/>
        <w:rPr>
          <w:spacing w:val="0"/>
          <w:lang w:val="es-ES"/>
        </w:rPr>
      </w:pPr>
      <w:r>
        <w:rPr>
          <w:spacing w:val="0"/>
          <w:lang w:val="es-ES"/>
        </w:rPr>
        <w:t>55.</w:t>
      </w:r>
      <w:r>
        <w:rPr>
          <w:spacing w:val="0"/>
          <w:lang w:val="es-ES"/>
        </w:rPr>
        <w:tab/>
        <w:t>Los extranjeros pueden trabajar en la República de Azerbaiyán después de r</w:t>
      </w:r>
      <w:r>
        <w:rPr>
          <w:spacing w:val="0"/>
          <w:lang w:val="es-ES"/>
        </w:rPr>
        <w:t>e</w:t>
      </w:r>
      <w:r>
        <w:rPr>
          <w:spacing w:val="0"/>
          <w:lang w:val="es-ES"/>
        </w:rPr>
        <w:t>cibir autorización personal para realizar una actividad laboral remunerada.</w:t>
      </w:r>
    </w:p>
    <w:p w:rsidR="001D2E73" w:rsidRDefault="001D2E73">
      <w:pPr>
        <w:pStyle w:val="SingleTxtGR"/>
        <w:rPr>
          <w:spacing w:val="0"/>
          <w:lang w:val="es-ES"/>
        </w:rPr>
      </w:pPr>
      <w:r>
        <w:rPr>
          <w:spacing w:val="0"/>
          <w:lang w:val="es-ES"/>
        </w:rPr>
        <w:t>56.</w:t>
      </w:r>
      <w:r>
        <w:rPr>
          <w:spacing w:val="0"/>
          <w:lang w:val="es-ES"/>
        </w:rPr>
        <w:tab/>
        <w:t>El permiso de trabajo tiene una duración de un año y puede ser prorrogado cuatro veces por un año cada vez. El empleador presenta la solicitud de permiso i</w:t>
      </w:r>
      <w:r>
        <w:rPr>
          <w:spacing w:val="0"/>
          <w:lang w:val="es-ES"/>
        </w:rPr>
        <w:t>n</w:t>
      </w:r>
      <w:r>
        <w:rPr>
          <w:spacing w:val="0"/>
          <w:lang w:val="es-ES"/>
        </w:rPr>
        <w:t>dividual para que el extranjero pueda realizar una actividad laboral remunerada en territorio azerbaiyano.</w:t>
      </w:r>
    </w:p>
    <w:p w:rsidR="001D2E73" w:rsidRDefault="001D2E73">
      <w:pPr>
        <w:pStyle w:val="SingleTxtGR"/>
        <w:rPr>
          <w:spacing w:val="0"/>
          <w:lang w:val="es-ES"/>
        </w:rPr>
      </w:pPr>
      <w:r>
        <w:rPr>
          <w:spacing w:val="0"/>
          <w:lang w:val="es-ES"/>
        </w:rPr>
        <w:t>57.</w:t>
      </w:r>
      <w:r>
        <w:rPr>
          <w:spacing w:val="0"/>
          <w:lang w:val="es-ES"/>
        </w:rPr>
        <w:tab/>
        <w:t>Después de obtener el permiso de trabajo, el empleador debe firmar un contr</w:t>
      </w:r>
      <w:r>
        <w:rPr>
          <w:spacing w:val="0"/>
          <w:lang w:val="es-ES"/>
        </w:rPr>
        <w:t>a</w:t>
      </w:r>
      <w:r>
        <w:rPr>
          <w:spacing w:val="0"/>
          <w:lang w:val="es-ES"/>
        </w:rPr>
        <w:t>to de trabajo con el inmigratorio extranjero de conformidad con el Código del Trab</w:t>
      </w:r>
      <w:r>
        <w:rPr>
          <w:spacing w:val="0"/>
          <w:lang w:val="es-ES"/>
        </w:rPr>
        <w:t>a</w:t>
      </w:r>
      <w:r>
        <w:rPr>
          <w:spacing w:val="0"/>
          <w:lang w:val="es-ES"/>
        </w:rPr>
        <w:t>jo de Azerbaiyán.</w:t>
      </w:r>
    </w:p>
    <w:p w:rsidR="001D2E73" w:rsidRDefault="001D2E73">
      <w:pPr>
        <w:pStyle w:val="SingleTxtGR"/>
        <w:rPr>
          <w:spacing w:val="0"/>
          <w:lang w:val="es-ES"/>
        </w:rPr>
      </w:pPr>
      <w:r>
        <w:rPr>
          <w:spacing w:val="0"/>
          <w:lang w:val="es-ES"/>
        </w:rPr>
        <w:t>58.</w:t>
      </w:r>
      <w:r>
        <w:rPr>
          <w:spacing w:val="0"/>
          <w:lang w:val="es-ES"/>
        </w:rPr>
        <w:tab/>
        <w:t>En los contratos de trabajo firmados entre personas jurídicas o físicas y el trabajador migratorio se podrán prever otras condiciones que permitan mejorar la pr</w:t>
      </w:r>
      <w:r>
        <w:rPr>
          <w:spacing w:val="0"/>
          <w:lang w:val="es-ES"/>
        </w:rPr>
        <w:t>o</w:t>
      </w:r>
      <w:r>
        <w:rPr>
          <w:spacing w:val="0"/>
          <w:lang w:val="es-ES"/>
        </w:rPr>
        <w:t>tección social del trabajador migratorio.</w:t>
      </w:r>
    </w:p>
    <w:p w:rsidR="001D2E73" w:rsidRPr="0094705E" w:rsidRDefault="001D2E73">
      <w:pPr>
        <w:pStyle w:val="SingleTxtGR"/>
        <w:rPr>
          <w:spacing w:val="0"/>
          <w:w w:val="100"/>
          <w:lang w:val="es-ES"/>
        </w:rPr>
      </w:pPr>
      <w:r>
        <w:rPr>
          <w:spacing w:val="0"/>
          <w:lang w:val="es-ES"/>
        </w:rPr>
        <w:t>59.</w:t>
      </w:r>
      <w:r>
        <w:rPr>
          <w:spacing w:val="0"/>
          <w:lang w:val="es-ES"/>
        </w:rPr>
        <w:tab/>
      </w:r>
      <w:r>
        <w:rPr>
          <w:snapToGrid w:val="0"/>
          <w:spacing w:val="0"/>
          <w:lang w:val="es-ES"/>
        </w:rPr>
        <w:t>C</w:t>
      </w:r>
      <w:r w:rsidRPr="0094705E">
        <w:rPr>
          <w:snapToGrid w:val="0"/>
          <w:spacing w:val="0"/>
          <w:w w:val="100"/>
          <w:lang w:val="es-ES"/>
        </w:rPr>
        <w:t>on arreglo a la legislación de Azerbaiyán, los trabajadores migratorios tienen derecho a rescindir un contrato de trabajo en cualquier momento de conformidad con el procedimiento establecido y a abandonar el país. No se les prohíbe regresar a su país de origen o partir hacia otro país</w:t>
      </w:r>
      <w:r w:rsidRPr="0094705E">
        <w:rPr>
          <w:spacing w:val="0"/>
          <w:w w:val="100"/>
          <w:lang w:val="es-ES"/>
        </w:rPr>
        <w:t>.</w:t>
      </w:r>
    </w:p>
    <w:p w:rsidR="001D2E73" w:rsidRPr="0094705E" w:rsidRDefault="001D2E73">
      <w:pPr>
        <w:pStyle w:val="SingleTxtGR"/>
        <w:rPr>
          <w:spacing w:val="0"/>
          <w:w w:val="100"/>
          <w:lang w:val="es-ES"/>
        </w:rPr>
      </w:pPr>
      <w:r w:rsidRPr="0094705E">
        <w:rPr>
          <w:spacing w:val="0"/>
          <w:w w:val="100"/>
          <w:lang w:val="es-ES"/>
        </w:rPr>
        <w:t>60.</w:t>
      </w:r>
      <w:r w:rsidRPr="0094705E">
        <w:rPr>
          <w:spacing w:val="0"/>
          <w:w w:val="100"/>
          <w:lang w:val="es-ES"/>
        </w:rPr>
        <w:tab/>
        <w:t>En lo relativo a las condiciones de trabajo, la remuneración del trabajo, la jornada laboral y las vacaciones, así como la seguridad social, los trabajadores migrat</w:t>
      </w:r>
      <w:r w:rsidRPr="0094705E">
        <w:rPr>
          <w:spacing w:val="0"/>
          <w:w w:val="100"/>
          <w:lang w:val="es-ES"/>
        </w:rPr>
        <w:t>o</w:t>
      </w:r>
      <w:r w:rsidRPr="0094705E">
        <w:rPr>
          <w:spacing w:val="0"/>
          <w:w w:val="100"/>
          <w:lang w:val="es-ES"/>
        </w:rPr>
        <w:t xml:space="preserve">rios tienen iguales derechos que los ciudadanos del país. Las relaciones laborales de los trabajadores migratorios se regulan en el Código del Trabajo de Azerbaiyán. </w:t>
      </w:r>
    </w:p>
    <w:p w:rsidR="001D2E73" w:rsidRPr="0094705E" w:rsidRDefault="001D2E73">
      <w:pPr>
        <w:pStyle w:val="SingleTxtGR"/>
        <w:rPr>
          <w:spacing w:val="0"/>
          <w:w w:val="100"/>
          <w:lang w:val="es-ES"/>
        </w:rPr>
      </w:pPr>
      <w:r w:rsidRPr="0094705E">
        <w:rPr>
          <w:spacing w:val="0"/>
          <w:w w:val="100"/>
          <w:lang w:val="es-ES"/>
        </w:rPr>
        <w:t>61.</w:t>
      </w:r>
      <w:r w:rsidRPr="0094705E">
        <w:rPr>
          <w:spacing w:val="0"/>
          <w:w w:val="100"/>
          <w:lang w:val="es-ES"/>
        </w:rPr>
        <w:tab/>
        <w:t xml:space="preserve">De conformidad con la legislación de Azerbaiyán, los trabajadores migratorios pueden recibir pensión por el período que han trabajado en el territorio nacional. </w:t>
      </w:r>
    </w:p>
    <w:p w:rsidR="001D2E73" w:rsidRPr="0094705E" w:rsidRDefault="001D2E73">
      <w:pPr>
        <w:pStyle w:val="SingleTxtGR"/>
        <w:rPr>
          <w:spacing w:val="0"/>
          <w:w w:val="100"/>
          <w:lang w:val="es-ES"/>
        </w:rPr>
      </w:pPr>
      <w:r w:rsidRPr="0094705E">
        <w:rPr>
          <w:spacing w:val="0"/>
          <w:w w:val="100"/>
          <w:lang w:val="es-ES"/>
        </w:rPr>
        <w:t>62.</w:t>
      </w:r>
      <w:r w:rsidRPr="0094705E">
        <w:rPr>
          <w:spacing w:val="0"/>
          <w:w w:val="100"/>
          <w:lang w:val="es-ES"/>
        </w:rPr>
        <w:tab/>
      </w:r>
      <w:r w:rsidRPr="0094705E">
        <w:rPr>
          <w:snapToGrid w:val="0"/>
          <w:spacing w:val="0"/>
          <w:w w:val="100"/>
          <w:lang w:val="es-ES"/>
        </w:rPr>
        <w:t>Se indemnizará a los trabajadores migratorios por las lesiones profesionales de la misma manera y sobre la misma base que a los ciudadanos de Azerbaiyán</w:t>
      </w:r>
      <w:r w:rsidRPr="0094705E">
        <w:rPr>
          <w:spacing w:val="0"/>
          <w:w w:val="100"/>
          <w:lang w:val="es-ES"/>
        </w:rPr>
        <w:t xml:space="preserve">. </w:t>
      </w:r>
    </w:p>
    <w:p w:rsidR="001D2E73" w:rsidRDefault="001D2E73">
      <w:pPr>
        <w:pStyle w:val="SingleTxtGR"/>
        <w:rPr>
          <w:spacing w:val="0"/>
          <w:lang w:val="es-ES"/>
        </w:rPr>
      </w:pPr>
      <w:r w:rsidRPr="0094705E">
        <w:rPr>
          <w:spacing w:val="0"/>
          <w:w w:val="100"/>
          <w:lang w:val="es-ES"/>
        </w:rPr>
        <w:t>63.</w:t>
      </w:r>
      <w:r w:rsidRPr="0094705E">
        <w:rPr>
          <w:spacing w:val="0"/>
          <w:w w:val="100"/>
          <w:lang w:val="es-ES"/>
        </w:rPr>
        <w:tab/>
        <w:t>Los trabajadores migratorios tienen derecho a recurrir a las instancias judici</w:t>
      </w:r>
      <w:r w:rsidRPr="0094705E">
        <w:rPr>
          <w:spacing w:val="0"/>
          <w:w w:val="100"/>
          <w:lang w:val="es-ES"/>
        </w:rPr>
        <w:t>a</w:t>
      </w:r>
      <w:r w:rsidRPr="0094705E">
        <w:rPr>
          <w:spacing w:val="0"/>
          <w:w w:val="100"/>
          <w:lang w:val="es-ES"/>
        </w:rPr>
        <w:t xml:space="preserve">les por los mismos motivos y en las mismas </w:t>
      </w:r>
      <w:r>
        <w:rPr>
          <w:spacing w:val="0"/>
          <w:lang w:val="es-ES"/>
        </w:rPr>
        <w:t>condiciones que los ciudadanos de Azerbaiyán, tal como se establece en los artículos 292 y 294 del Código del Trabajo.</w:t>
      </w:r>
    </w:p>
    <w:p w:rsidR="001D2E73" w:rsidRDefault="001D2E73">
      <w:pPr>
        <w:pStyle w:val="SingleTxtGR"/>
        <w:rPr>
          <w:spacing w:val="0"/>
          <w:lang w:val="es-ES"/>
        </w:rPr>
      </w:pPr>
      <w:r>
        <w:rPr>
          <w:spacing w:val="0"/>
          <w:lang w:val="es-ES"/>
        </w:rPr>
        <w:t>64.</w:t>
      </w:r>
      <w:r>
        <w:rPr>
          <w:spacing w:val="0"/>
          <w:lang w:val="es-ES"/>
        </w:rPr>
        <w:tab/>
        <w:t>El 25 de julio de 2006 quedó ratificado por Decreto presidencial el Programa estatal migratorio (2006-2008) de la República de Azerbaiyán que ha tenido importancia fundamental para la protección de los derechos de los trabajadores migrat</w:t>
      </w:r>
      <w:r>
        <w:rPr>
          <w:spacing w:val="0"/>
          <w:lang w:val="es-ES"/>
        </w:rPr>
        <w:t>o</w:t>
      </w:r>
      <w:r>
        <w:rPr>
          <w:spacing w:val="0"/>
          <w:lang w:val="es-ES"/>
        </w:rPr>
        <w:t xml:space="preserve">rios. </w:t>
      </w:r>
    </w:p>
    <w:p w:rsidR="001D2E73" w:rsidRDefault="001D2E73">
      <w:pPr>
        <w:pStyle w:val="SingleTxtGR"/>
        <w:rPr>
          <w:spacing w:val="0"/>
          <w:lang w:val="es-ES"/>
        </w:rPr>
      </w:pPr>
      <w:r>
        <w:rPr>
          <w:spacing w:val="0"/>
          <w:lang w:val="es-ES"/>
        </w:rPr>
        <w:t>65.</w:t>
      </w:r>
      <w:r>
        <w:rPr>
          <w:spacing w:val="0"/>
          <w:lang w:val="es-ES"/>
        </w:rPr>
        <w:tab/>
        <w:t>Con miras a la materialización del Programa estatal migratorio de Azerbaiyán (2006-2008) se llevaron a cabo las siguientes actividades:</w:t>
      </w:r>
    </w:p>
    <w:p w:rsidR="001D2E73" w:rsidRDefault="001D2E73">
      <w:pPr>
        <w:pStyle w:val="Bullet1G"/>
        <w:rPr>
          <w:lang w:val="es-ES"/>
        </w:rPr>
      </w:pPr>
      <w:r>
        <w:rPr>
          <w:lang w:val="es-ES"/>
        </w:rPr>
        <w:t>Se perfeccionaron los formularios vigentes para recopilar estadísticas en la e</w:t>
      </w:r>
      <w:r>
        <w:rPr>
          <w:lang w:val="es-ES"/>
        </w:rPr>
        <w:t>s</w:t>
      </w:r>
      <w:r>
        <w:rPr>
          <w:lang w:val="es-ES"/>
        </w:rPr>
        <w:t xml:space="preserve">fera de la migración laboral </w:t>
      </w:r>
    </w:p>
    <w:p w:rsidR="001D2E73" w:rsidRDefault="001D2E73">
      <w:pPr>
        <w:pStyle w:val="Bullet1G"/>
        <w:rPr>
          <w:lang w:val="es-ES"/>
        </w:rPr>
      </w:pPr>
      <w:r>
        <w:rPr>
          <w:lang w:val="es-ES"/>
        </w:rPr>
        <w:t>Se precisaron las normas para otorgar la condición de inmigrante a los extra</w:t>
      </w:r>
      <w:r>
        <w:rPr>
          <w:lang w:val="es-ES"/>
        </w:rPr>
        <w:t>n</w:t>
      </w:r>
      <w:r>
        <w:rPr>
          <w:lang w:val="es-ES"/>
        </w:rPr>
        <w:t xml:space="preserve">jeros y apátridas </w:t>
      </w:r>
    </w:p>
    <w:p w:rsidR="001D2E73" w:rsidRDefault="001D2E73">
      <w:pPr>
        <w:pStyle w:val="Bullet1G"/>
        <w:rPr>
          <w:lang w:val="es-ES"/>
        </w:rPr>
      </w:pPr>
      <w:r>
        <w:rPr>
          <w:lang w:val="es-ES"/>
        </w:rPr>
        <w:t>Se perfeccionó el Reglamento de concesión de permisos a extranjeros para re</w:t>
      </w:r>
      <w:r>
        <w:rPr>
          <w:lang w:val="es-ES"/>
        </w:rPr>
        <w:t>a</w:t>
      </w:r>
      <w:r>
        <w:rPr>
          <w:lang w:val="es-ES"/>
        </w:rPr>
        <w:t xml:space="preserve">lizar una actividad laborar remunerada en territorio de Azerbaiyán </w:t>
      </w:r>
    </w:p>
    <w:p w:rsidR="001D2E73" w:rsidRDefault="001D2E73">
      <w:pPr>
        <w:pStyle w:val="Bullet1G"/>
        <w:rPr>
          <w:lang w:val="es-ES"/>
        </w:rPr>
      </w:pPr>
      <w:r>
        <w:rPr>
          <w:lang w:val="es-ES"/>
        </w:rPr>
        <w:t>Se hicieron los preparativos para el establecimiento del Centro Único de I</w:t>
      </w:r>
      <w:r>
        <w:rPr>
          <w:lang w:val="es-ES"/>
        </w:rPr>
        <w:t>n</w:t>
      </w:r>
      <w:r>
        <w:rPr>
          <w:lang w:val="es-ES"/>
        </w:rPr>
        <w:t xml:space="preserve">formación Migratoria </w:t>
      </w:r>
    </w:p>
    <w:p w:rsidR="001D2E73" w:rsidRDefault="001D2E73">
      <w:pPr>
        <w:pStyle w:val="Bullet1G"/>
        <w:rPr>
          <w:lang w:val="es-ES"/>
        </w:rPr>
      </w:pPr>
      <w:r>
        <w:rPr>
          <w:lang w:val="es-ES"/>
        </w:rPr>
        <w:t>Se instituyó un Reglamento sobre la ubicación y la permanencia voluntarias de extranjeros y apátridas, sobre los cuales pende una orden de expulsión del país en el Centro de Detención de Inmigrantes Ilegales del Servicio Estatal de M</w:t>
      </w:r>
      <w:r>
        <w:rPr>
          <w:lang w:val="es-ES"/>
        </w:rPr>
        <w:t>i</w:t>
      </w:r>
      <w:r>
        <w:rPr>
          <w:lang w:val="es-ES"/>
        </w:rPr>
        <w:t>graciones</w:t>
      </w:r>
    </w:p>
    <w:p w:rsidR="001D2E73" w:rsidRDefault="001D2E73">
      <w:pPr>
        <w:pStyle w:val="Bullet1G"/>
        <w:rPr>
          <w:lang w:val="es-ES"/>
        </w:rPr>
      </w:pPr>
      <w:r>
        <w:rPr>
          <w:lang w:val="es-ES"/>
        </w:rPr>
        <w:t xml:space="preserve">Se elaboró el proyecto de reglamento para establecer los cupos de extranjeros y apátridas autorizados para realizar una actividad laboral remunerada en Azerbaiyán </w:t>
      </w:r>
    </w:p>
    <w:p w:rsidR="001D2E73" w:rsidRDefault="001D2E73">
      <w:pPr>
        <w:pStyle w:val="Bullet1G"/>
        <w:rPr>
          <w:lang w:val="es-ES"/>
        </w:rPr>
      </w:pPr>
      <w:r>
        <w:rPr>
          <w:lang w:val="es-ES"/>
        </w:rPr>
        <w:t>Se elaboró el proyecto de reglamento de adaptación de los inmigrantes a las condiciones locales de Azerbaiyán</w:t>
      </w:r>
    </w:p>
    <w:p w:rsidR="001D2E73" w:rsidRDefault="001D2E73">
      <w:pPr>
        <w:pStyle w:val="Bullet1G"/>
        <w:rPr>
          <w:lang w:val="es-ES"/>
        </w:rPr>
      </w:pPr>
      <w:r>
        <w:rPr>
          <w:lang w:val="es-ES"/>
        </w:rPr>
        <w:t>Se elaboró el proyecto de estrategia de readmisión en la República de Aze</w:t>
      </w:r>
      <w:r>
        <w:rPr>
          <w:lang w:val="es-ES"/>
        </w:rPr>
        <w:t>r</w:t>
      </w:r>
      <w:r>
        <w:rPr>
          <w:lang w:val="es-ES"/>
        </w:rPr>
        <w:t>baiyán.</w:t>
      </w:r>
    </w:p>
    <w:p w:rsidR="001D2E73" w:rsidRDefault="001D2E73">
      <w:pPr>
        <w:pStyle w:val="SingleTxtGR"/>
        <w:rPr>
          <w:spacing w:val="0"/>
          <w:lang w:val="es-ES"/>
        </w:rPr>
      </w:pPr>
      <w:r>
        <w:rPr>
          <w:spacing w:val="0"/>
          <w:lang w:val="es-ES"/>
        </w:rPr>
        <w:t>66.</w:t>
      </w:r>
      <w:r>
        <w:rPr>
          <w:spacing w:val="0"/>
          <w:lang w:val="es-ES"/>
        </w:rPr>
        <w:tab/>
        <w:t xml:space="preserve">Por Decreto presidencial de 19 de marzo de 2007 se creó el Servicio Estatal de Migración. </w:t>
      </w:r>
    </w:p>
    <w:p w:rsidR="001D2E73" w:rsidRDefault="001D2E73">
      <w:pPr>
        <w:pStyle w:val="SingleTxtGR"/>
        <w:rPr>
          <w:spacing w:val="0"/>
          <w:lang w:val="es-ES"/>
        </w:rPr>
      </w:pPr>
      <w:r>
        <w:rPr>
          <w:spacing w:val="0"/>
          <w:lang w:val="es-ES"/>
        </w:rPr>
        <w:t>67.</w:t>
      </w:r>
      <w:r>
        <w:rPr>
          <w:spacing w:val="0"/>
          <w:lang w:val="es-ES"/>
        </w:rPr>
        <w:tab/>
        <w:t>Con el fin de perfeccionar la legislación en esta esfera, se introdujeron e</w:t>
      </w:r>
      <w:r>
        <w:rPr>
          <w:spacing w:val="0"/>
          <w:lang w:val="es-ES"/>
        </w:rPr>
        <w:t>n</w:t>
      </w:r>
      <w:r>
        <w:rPr>
          <w:spacing w:val="0"/>
          <w:lang w:val="es-ES"/>
        </w:rPr>
        <w:t>miendas y adiciones en los instrumentos legislativos relacionados con la migración, según las cuales se estableció el plazo de permanencia temporal en el territorio del país para los extranjeros y apátridas y se estableció el mecanismo que autoriza su r</w:t>
      </w:r>
      <w:r>
        <w:rPr>
          <w:spacing w:val="0"/>
          <w:lang w:val="es-ES"/>
        </w:rPr>
        <w:t>e</w:t>
      </w:r>
      <w:r>
        <w:rPr>
          <w:spacing w:val="0"/>
          <w:lang w:val="es-ES"/>
        </w:rPr>
        <w:t xml:space="preserve">sidencia temporal y permanente en Azerbaiyán. Actualmente se prepara un proyecto de código migratorio. </w:t>
      </w:r>
    </w:p>
    <w:p w:rsidR="001D2E73" w:rsidRDefault="001D2E73">
      <w:pPr>
        <w:pStyle w:val="SingleTxtGR"/>
        <w:rPr>
          <w:spacing w:val="0"/>
          <w:lang w:val="es-ES"/>
        </w:rPr>
      </w:pPr>
      <w:r>
        <w:rPr>
          <w:spacing w:val="0"/>
          <w:lang w:val="es-ES"/>
        </w:rPr>
        <w:t>68.</w:t>
      </w:r>
      <w:r>
        <w:rPr>
          <w:spacing w:val="0"/>
          <w:lang w:val="es-ES"/>
        </w:rPr>
        <w:tab/>
        <w:t xml:space="preserve">Por otra parte, el 4 de marzo de 2009 el Presidente de la República firmó el Decreto para la aplicación del principio de la ventanilla única en la gestión de los procesos migratorios. </w:t>
      </w:r>
    </w:p>
    <w:p w:rsidR="001D2E73" w:rsidRDefault="001D2E73">
      <w:pPr>
        <w:pStyle w:val="SingleTxtGR"/>
        <w:rPr>
          <w:spacing w:val="0"/>
          <w:lang w:val="es-ES"/>
        </w:rPr>
      </w:pPr>
      <w:r>
        <w:rPr>
          <w:spacing w:val="0"/>
          <w:lang w:val="es-ES"/>
        </w:rPr>
        <w:t>69.</w:t>
      </w:r>
      <w:r>
        <w:rPr>
          <w:spacing w:val="0"/>
          <w:lang w:val="es-ES"/>
        </w:rPr>
        <w:tab/>
        <w:t>Una de las novedades es que desde que se empezó a aplicar el principio de la ventanilla única quedaron suspendidos los visados de entrada y salida de los extranjeros y apátridas que han recibido permisos de residencia temporal o permanente en Azerbaiyán. De manera que esta categoría de personas puede salir del país y regresar con los pasaportes y documentos de identidad correspondientes emitidos por el Servicio Estatal de M</w:t>
      </w:r>
      <w:r>
        <w:rPr>
          <w:spacing w:val="0"/>
          <w:lang w:val="es-ES"/>
        </w:rPr>
        <w:t>i</w:t>
      </w:r>
      <w:r>
        <w:rPr>
          <w:spacing w:val="0"/>
          <w:lang w:val="es-ES"/>
        </w:rPr>
        <w:t>graciones.</w:t>
      </w:r>
    </w:p>
    <w:p w:rsidR="001D2E73" w:rsidRDefault="001D2E73">
      <w:pPr>
        <w:pStyle w:val="SingleTxtGR"/>
        <w:rPr>
          <w:spacing w:val="0"/>
          <w:lang w:val="es-ES"/>
        </w:rPr>
      </w:pPr>
      <w:r>
        <w:rPr>
          <w:spacing w:val="0"/>
          <w:lang w:val="es-ES"/>
        </w:rPr>
        <w:t>70.</w:t>
      </w:r>
      <w:r>
        <w:rPr>
          <w:spacing w:val="0"/>
          <w:lang w:val="es-ES"/>
        </w:rPr>
        <w:tab/>
        <w:t xml:space="preserve">Además, con el fin de cumplir las obligaciones dimanantes del artículo 2 del Pacto, la República de Azerbaiyán colabora con las organizaciones internacionales. </w:t>
      </w:r>
    </w:p>
    <w:p w:rsidR="001D2E73" w:rsidRDefault="001D2E73">
      <w:pPr>
        <w:pStyle w:val="SingleTxtGR"/>
        <w:rPr>
          <w:spacing w:val="0"/>
          <w:lang w:val="es-ES"/>
        </w:rPr>
      </w:pPr>
      <w:r>
        <w:rPr>
          <w:spacing w:val="0"/>
          <w:lang w:val="es-ES"/>
        </w:rPr>
        <w:t>71.</w:t>
      </w:r>
      <w:r>
        <w:rPr>
          <w:spacing w:val="0"/>
          <w:lang w:val="es-ES"/>
        </w:rPr>
        <w:tab/>
        <w:t>Por eso, en el marco del proyecto quinquenal Sociedad Civil 2005-2010, la organización no gubernamental Counterpart International de los Estados Unidos aplica medidas para aumentar el potencial de las organizaciones de la soci</w:t>
      </w:r>
      <w:r>
        <w:rPr>
          <w:spacing w:val="0"/>
          <w:lang w:val="es-ES"/>
        </w:rPr>
        <w:t>e</w:t>
      </w:r>
      <w:r>
        <w:rPr>
          <w:spacing w:val="0"/>
          <w:lang w:val="es-ES"/>
        </w:rPr>
        <w:t>dad civil a fin de proteger con eficacia sus intereses y promover la actividad civil mediante el a</w:t>
      </w:r>
      <w:r>
        <w:rPr>
          <w:spacing w:val="0"/>
          <w:lang w:val="es-ES"/>
        </w:rPr>
        <w:t>u</w:t>
      </w:r>
      <w:r>
        <w:rPr>
          <w:spacing w:val="0"/>
          <w:lang w:val="es-ES"/>
        </w:rPr>
        <w:t xml:space="preserve">mento de las posibilidades de los ciudadanos de determinar y poner en primer plano sus intereses. </w:t>
      </w:r>
    </w:p>
    <w:p w:rsidR="001D2E73" w:rsidRDefault="001D2E73">
      <w:pPr>
        <w:pStyle w:val="H1G"/>
        <w:rPr>
          <w:lang w:val="es-ES"/>
        </w:rPr>
      </w:pPr>
      <w:r>
        <w:rPr>
          <w:lang w:val="es-ES"/>
        </w:rPr>
        <w:tab/>
      </w:r>
      <w:r>
        <w:rPr>
          <w:lang w:val="es-ES"/>
        </w:rPr>
        <w:tab/>
        <w:t>Artículo 3</w:t>
      </w:r>
    </w:p>
    <w:p w:rsidR="001D2E73" w:rsidRDefault="001D2E73">
      <w:pPr>
        <w:pStyle w:val="SingleTxtGR"/>
        <w:rPr>
          <w:spacing w:val="0"/>
          <w:lang w:val="es-ES"/>
        </w:rPr>
      </w:pPr>
      <w:r>
        <w:rPr>
          <w:spacing w:val="0"/>
          <w:lang w:val="es-ES"/>
        </w:rPr>
        <w:t>72.</w:t>
      </w:r>
      <w:r>
        <w:rPr>
          <w:spacing w:val="0"/>
          <w:lang w:val="es-ES"/>
        </w:rPr>
        <w:tab/>
        <w:t xml:space="preserve">El 10 de octubre de 2006 fue aprobada la Ley de garantía de la igualdad entre hombres y mujeres. </w:t>
      </w:r>
    </w:p>
    <w:p w:rsidR="001D2E73" w:rsidRDefault="001D2E73">
      <w:pPr>
        <w:pStyle w:val="SingleTxtGR"/>
        <w:rPr>
          <w:spacing w:val="0"/>
          <w:lang w:val="es-ES"/>
        </w:rPr>
      </w:pPr>
      <w:r>
        <w:rPr>
          <w:spacing w:val="0"/>
          <w:lang w:val="es-ES"/>
        </w:rPr>
        <w:t>73.</w:t>
      </w:r>
      <w:r>
        <w:rPr>
          <w:spacing w:val="0"/>
          <w:lang w:val="es-ES"/>
        </w:rPr>
        <w:tab/>
        <w:t>El objetivo fundamental de esta Ley es eliminar todas las formas de discrim</w:t>
      </w:r>
      <w:r>
        <w:rPr>
          <w:spacing w:val="0"/>
          <w:lang w:val="es-ES"/>
        </w:rPr>
        <w:t>i</w:t>
      </w:r>
      <w:r>
        <w:rPr>
          <w:spacing w:val="0"/>
          <w:lang w:val="es-ES"/>
        </w:rPr>
        <w:t>nación por motivo de género, crear oportunidades iguales para hombres y mujeres en la esfera política, económica, social, cultural y en otras esferas de la vida s</w:t>
      </w:r>
      <w:r>
        <w:rPr>
          <w:spacing w:val="0"/>
          <w:lang w:val="es-ES"/>
        </w:rPr>
        <w:t>o</w:t>
      </w:r>
      <w:r>
        <w:rPr>
          <w:spacing w:val="0"/>
          <w:lang w:val="es-ES"/>
        </w:rPr>
        <w:t>cial.</w:t>
      </w:r>
    </w:p>
    <w:p w:rsidR="001D2E73" w:rsidRDefault="001D2E73">
      <w:pPr>
        <w:pStyle w:val="SingleTxtGR"/>
        <w:rPr>
          <w:spacing w:val="0"/>
          <w:lang w:val="es-ES"/>
        </w:rPr>
      </w:pPr>
      <w:r>
        <w:rPr>
          <w:spacing w:val="0"/>
          <w:lang w:val="es-ES"/>
        </w:rPr>
        <w:t>74.</w:t>
      </w:r>
      <w:r>
        <w:rPr>
          <w:spacing w:val="0"/>
          <w:lang w:val="es-ES"/>
        </w:rPr>
        <w:tab/>
        <w:t>De conformidad con lo dispuesto en la Ley, no se considera discriminación lo siguiente:</w:t>
      </w:r>
    </w:p>
    <w:p w:rsidR="001D2E73" w:rsidRDefault="001D2E73">
      <w:pPr>
        <w:pStyle w:val="SingleTxtGR"/>
        <w:rPr>
          <w:spacing w:val="0"/>
          <w:lang w:val="es-ES"/>
        </w:rPr>
      </w:pPr>
      <w:r>
        <w:rPr>
          <w:i/>
          <w:spacing w:val="0"/>
          <w:lang w:val="es-ES"/>
        </w:rPr>
        <w:tab/>
      </w:r>
      <w:r>
        <w:rPr>
          <w:spacing w:val="0"/>
          <w:lang w:val="es-ES"/>
        </w:rPr>
        <w:t>a)</w:t>
      </w:r>
      <w:r>
        <w:rPr>
          <w:spacing w:val="0"/>
          <w:lang w:val="es-ES"/>
        </w:rPr>
        <w:tab/>
        <w:t>El establecimiento en el Código del Trabajo del país de ventajas, priv</w:t>
      </w:r>
      <w:r>
        <w:rPr>
          <w:spacing w:val="0"/>
          <w:lang w:val="es-ES"/>
        </w:rPr>
        <w:t>i</w:t>
      </w:r>
      <w:r>
        <w:rPr>
          <w:spacing w:val="0"/>
          <w:lang w:val="es-ES"/>
        </w:rPr>
        <w:t xml:space="preserve">legios y garantías adicionales para la mujer; </w:t>
      </w:r>
    </w:p>
    <w:p w:rsidR="001D2E73" w:rsidRDefault="001D2E73">
      <w:pPr>
        <w:pStyle w:val="SingleTxtGR"/>
        <w:rPr>
          <w:spacing w:val="0"/>
          <w:lang w:val="es-ES"/>
        </w:rPr>
      </w:pPr>
      <w:r>
        <w:rPr>
          <w:spacing w:val="0"/>
          <w:lang w:val="es-ES"/>
        </w:rPr>
        <w:tab/>
        <w:t>b)</w:t>
      </w:r>
      <w:r>
        <w:rPr>
          <w:spacing w:val="0"/>
          <w:lang w:val="es-ES"/>
        </w:rPr>
        <w:tab/>
        <w:t>El llamamiento de los hombres a servicio militar (alternativo) activo; la edad distinta que la ley establece para el hombre y la mujer para contraer matrimonio y jubilarse;</w:t>
      </w:r>
    </w:p>
    <w:p w:rsidR="001D2E73" w:rsidRDefault="001D2E73">
      <w:pPr>
        <w:pStyle w:val="SingleTxtGR"/>
        <w:rPr>
          <w:spacing w:val="0"/>
          <w:lang w:val="es-ES"/>
        </w:rPr>
      </w:pPr>
      <w:r>
        <w:rPr>
          <w:spacing w:val="0"/>
          <w:lang w:val="es-ES"/>
        </w:rPr>
        <w:tab/>
        <w:t>c)</w:t>
      </w:r>
      <w:r>
        <w:rPr>
          <w:spacing w:val="0"/>
          <w:lang w:val="es-ES"/>
        </w:rPr>
        <w:tab/>
        <w:t>La limit</w:t>
      </w:r>
      <w:r>
        <w:rPr>
          <w:spacing w:val="0"/>
          <w:lang w:val="es-ES"/>
        </w:rPr>
        <w:t>a</w:t>
      </w:r>
      <w:r>
        <w:rPr>
          <w:spacing w:val="0"/>
          <w:lang w:val="es-ES"/>
        </w:rPr>
        <w:t>ción de los derechos de los hombres a exigir la disolución del matrimonio, de conformidad con el artículo 15 del Código de la Familia;</w:t>
      </w:r>
    </w:p>
    <w:p w:rsidR="001D2E73" w:rsidRDefault="001D2E73">
      <w:pPr>
        <w:pStyle w:val="SingleTxtGR"/>
        <w:rPr>
          <w:spacing w:val="0"/>
          <w:lang w:val="es-ES"/>
        </w:rPr>
      </w:pPr>
      <w:r>
        <w:rPr>
          <w:spacing w:val="0"/>
          <w:lang w:val="es-ES"/>
        </w:rPr>
        <w:tab/>
        <w:t>d)</w:t>
      </w:r>
      <w:r>
        <w:rPr>
          <w:spacing w:val="0"/>
          <w:lang w:val="es-ES"/>
        </w:rPr>
        <w:tab/>
        <w:t>La creación de condiciones distintas para el hombre y la mujer en los e</w:t>
      </w:r>
      <w:r>
        <w:rPr>
          <w:spacing w:val="0"/>
          <w:lang w:val="es-ES"/>
        </w:rPr>
        <w:t>s</w:t>
      </w:r>
      <w:r>
        <w:rPr>
          <w:spacing w:val="0"/>
          <w:lang w:val="es-ES"/>
        </w:rPr>
        <w:t>tablecimientos penitenciarios;</w:t>
      </w:r>
    </w:p>
    <w:p w:rsidR="001D2E73" w:rsidRDefault="001D2E73">
      <w:pPr>
        <w:pStyle w:val="SingleTxtGR"/>
        <w:rPr>
          <w:spacing w:val="0"/>
          <w:lang w:val="es-ES"/>
        </w:rPr>
      </w:pPr>
      <w:r>
        <w:rPr>
          <w:spacing w:val="0"/>
          <w:lang w:val="es-ES"/>
        </w:rPr>
        <w:tab/>
        <w:t>e)</w:t>
      </w:r>
      <w:r>
        <w:rPr>
          <w:spacing w:val="0"/>
          <w:lang w:val="es-ES"/>
        </w:rPr>
        <w:tab/>
        <w:t>La aplicación de medidas especiales para garantizar la igualdad entre hombres y mujeres.</w:t>
      </w:r>
    </w:p>
    <w:p w:rsidR="001D2E73" w:rsidRDefault="001D2E73">
      <w:pPr>
        <w:pStyle w:val="SingleTxtGR"/>
        <w:rPr>
          <w:spacing w:val="0"/>
          <w:lang w:val="es-ES"/>
        </w:rPr>
      </w:pPr>
      <w:r>
        <w:rPr>
          <w:spacing w:val="0"/>
          <w:lang w:val="es-ES"/>
        </w:rPr>
        <w:t>75.</w:t>
      </w:r>
      <w:r>
        <w:rPr>
          <w:spacing w:val="0"/>
          <w:lang w:val="es-ES"/>
        </w:rPr>
        <w:tab/>
        <w:t>Con arreglo al párrafo 2 del artículo 15 de la Ley, el Estado garantiza para los hombres y las mujeres la igualdad de oportunidades para ejercer sus derechos a la asistencia social, la obtención de ayuda estatal y otras ventajas sociales.</w:t>
      </w:r>
    </w:p>
    <w:p w:rsidR="001D2E73" w:rsidRDefault="001D2E73">
      <w:pPr>
        <w:pStyle w:val="SingleTxtGR"/>
        <w:rPr>
          <w:spacing w:val="0"/>
          <w:lang w:val="es-ES"/>
        </w:rPr>
      </w:pPr>
      <w:r>
        <w:rPr>
          <w:spacing w:val="0"/>
          <w:lang w:val="es-ES"/>
        </w:rPr>
        <w:t>76.</w:t>
      </w:r>
      <w:r>
        <w:rPr>
          <w:spacing w:val="0"/>
          <w:lang w:val="es-ES"/>
        </w:rPr>
        <w:tab/>
        <w:t>En esa Ley se establecen también ventajas, privilegios y garantías adicionales para la mujer, en particular una edad distinta de jubilación para el hombre y la mujer, la creación de condiciones diferentes en los establecimientos penitenciarios y la apl</w:t>
      </w:r>
      <w:r>
        <w:rPr>
          <w:spacing w:val="0"/>
          <w:lang w:val="es-ES"/>
        </w:rPr>
        <w:t>i</w:t>
      </w:r>
      <w:r>
        <w:rPr>
          <w:spacing w:val="0"/>
          <w:lang w:val="es-ES"/>
        </w:rPr>
        <w:t xml:space="preserve">cación de medidas especiales para garantizar la igualdad entre hombres y mujeres. </w:t>
      </w:r>
    </w:p>
    <w:p w:rsidR="001D2E73" w:rsidRDefault="001D2E73">
      <w:pPr>
        <w:pStyle w:val="SingleTxtGR"/>
        <w:rPr>
          <w:spacing w:val="0"/>
          <w:lang w:val="es-ES"/>
        </w:rPr>
      </w:pPr>
      <w:r>
        <w:rPr>
          <w:spacing w:val="0"/>
          <w:lang w:val="es-ES"/>
        </w:rPr>
        <w:t>77.</w:t>
      </w:r>
      <w:r>
        <w:rPr>
          <w:spacing w:val="0"/>
          <w:lang w:val="es-ES"/>
        </w:rPr>
        <w:tab/>
        <w:t>De conformidad con la Ley de partidos políticos y la Ley de sindicatos, se deberán establecer iguales posibilidades para que el hombre y la mujer se afilien a si</w:t>
      </w:r>
      <w:r>
        <w:rPr>
          <w:spacing w:val="0"/>
          <w:lang w:val="es-ES"/>
        </w:rPr>
        <w:t>n</w:t>
      </w:r>
      <w:r>
        <w:rPr>
          <w:spacing w:val="0"/>
          <w:lang w:val="es-ES"/>
        </w:rPr>
        <w:t>dicatos y a partidos políticos.</w:t>
      </w:r>
    </w:p>
    <w:p w:rsidR="001D2E73" w:rsidRDefault="001D2E73">
      <w:pPr>
        <w:pStyle w:val="SingleTxtGR"/>
        <w:rPr>
          <w:spacing w:val="0"/>
          <w:lang w:val="es-ES"/>
        </w:rPr>
      </w:pPr>
      <w:r>
        <w:rPr>
          <w:spacing w:val="0"/>
          <w:lang w:val="es-ES"/>
        </w:rPr>
        <w:t>78.</w:t>
      </w:r>
      <w:r>
        <w:rPr>
          <w:spacing w:val="0"/>
          <w:lang w:val="es-ES"/>
        </w:rPr>
        <w:tab/>
        <w:t xml:space="preserve">El 6 de febrero de 2006, sobre la base de </w:t>
      </w:r>
      <w:smartTag w:uri="urn:schemas-microsoft-com:office:smarttags" w:element="PersonName">
        <w:smartTagPr>
          <w:attr w:name="ProductID" w:val="la Comisi￳n Estatal"/>
        </w:smartTagPr>
        <w:r>
          <w:rPr>
            <w:spacing w:val="0"/>
            <w:lang w:val="es-ES"/>
          </w:rPr>
          <w:t>la Comisión Estatal</w:t>
        </w:r>
      </w:smartTag>
      <w:r>
        <w:rPr>
          <w:spacing w:val="0"/>
          <w:lang w:val="es-ES"/>
        </w:rPr>
        <w:t xml:space="preserve"> de Asuntos de la Mujer se creó </w:t>
      </w:r>
      <w:smartTag w:uri="urn:schemas-microsoft-com:office:smarttags" w:element="PersonName">
        <w:smartTagPr>
          <w:attr w:name="ProductID" w:val="la Comisi￳n Nacional"/>
        </w:smartTagPr>
        <w:r>
          <w:rPr>
            <w:spacing w:val="0"/>
            <w:lang w:val="es-ES"/>
          </w:rPr>
          <w:t>la Comisión Nacional</w:t>
        </w:r>
      </w:smartTag>
      <w:r>
        <w:rPr>
          <w:spacing w:val="0"/>
          <w:lang w:val="es-ES"/>
        </w:rPr>
        <w:t xml:space="preserve"> de Asuntos de la Familia, la Mujer y </w:t>
      </w:r>
      <w:smartTag w:uri="urn:schemas-microsoft-com:office:smarttags" w:element="PersonName">
        <w:smartTagPr>
          <w:attr w:name="ProductID" w:val="la Infancia. Una"/>
        </w:smartTagPr>
        <w:r>
          <w:rPr>
            <w:spacing w:val="0"/>
            <w:lang w:val="es-ES"/>
          </w:rPr>
          <w:t>la Infa</w:t>
        </w:r>
        <w:r>
          <w:rPr>
            <w:spacing w:val="0"/>
            <w:lang w:val="es-ES"/>
          </w:rPr>
          <w:t>n</w:t>
        </w:r>
        <w:r>
          <w:rPr>
            <w:spacing w:val="0"/>
            <w:lang w:val="es-ES"/>
          </w:rPr>
          <w:t>cia. Una</w:t>
        </w:r>
      </w:smartTag>
      <w:r>
        <w:rPr>
          <w:spacing w:val="0"/>
          <w:lang w:val="es-ES"/>
        </w:rPr>
        <w:t xml:space="preserve"> de las principales actividades de la Comisión es velar por la igualdad de género, reducir la discriminación por motivo de sexo y prevenir la violencia contra las muj</w:t>
      </w:r>
      <w:r>
        <w:rPr>
          <w:spacing w:val="0"/>
          <w:lang w:val="es-ES"/>
        </w:rPr>
        <w:t>e</w:t>
      </w:r>
      <w:r>
        <w:rPr>
          <w:spacing w:val="0"/>
          <w:lang w:val="es-ES"/>
        </w:rPr>
        <w:t>res y los niños.</w:t>
      </w:r>
    </w:p>
    <w:p w:rsidR="001D2E73" w:rsidRDefault="001D2E73">
      <w:pPr>
        <w:pStyle w:val="SingleTxtGR"/>
        <w:keepNext/>
        <w:keepLines/>
        <w:spacing w:before="240"/>
        <w:jc w:val="left"/>
        <w:rPr>
          <w:spacing w:val="0"/>
          <w:sz w:val="16"/>
          <w:szCs w:val="16"/>
          <w:lang w:val="es-ES"/>
        </w:rPr>
      </w:pPr>
      <w:r>
        <w:rPr>
          <w:spacing w:val="0"/>
          <w:lang w:val="es-ES"/>
        </w:rPr>
        <w:t>Cuadro 6</w:t>
      </w:r>
      <w:r>
        <w:rPr>
          <w:spacing w:val="0"/>
          <w:lang w:val="es-ES"/>
        </w:rPr>
        <w:br/>
      </w:r>
      <w:r>
        <w:rPr>
          <w:b/>
          <w:spacing w:val="0"/>
          <w:lang w:val="es-ES"/>
        </w:rPr>
        <w:t xml:space="preserve">Cantidad de población, desglosada por sexo </w:t>
      </w:r>
      <w:r>
        <w:rPr>
          <w:b/>
          <w:spacing w:val="0"/>
          <w:lang w:val="es-ES"/>
        </w:rPr>
        <w:br/>
      </w:r>
      <w:r>
        <w:rPr>
          <w:spacing w:val="0"/>
          <w:sz w:val="16"/>
          <w:szCs w:val="16"/>
          <w:lang w:val="es-ES"/>
        </w:rPr>
        <w:t>(a principios de año, miles de personas)</w:t>
      </w:r>
    </w:p>
    <w:tbl>
      <w:tblPr>
        <w:tblpPr w:leftFromText="180" w:rightFromText="180" w:vertAnchor="text" w:horzAnchor="margin" w:tblpY="62"/>
        <w:tblW w:w="9675"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627"/>
        <w:gridCol w:w="1032"/>
        <w:gridCol w:w="977"/>
        <w:gridCol w:w="999"/>
        <w:gridCol w:w="1053"/>
        <w:gridCol w:w="977"/>
        <w:gridCol w:w="999"/>
        <w:gridCol w:w="1032"/>
        <w:gridCol w:w="977"/>
        <w:gridCol w:w="1002"/>
      </w:tblGrid>
      <w:tr w:rsidR="001D2E73">
        <w:trPr>
          <w:trHeight w:val="265"/>
        </w:trPr>
        <w:tc>
          <w:tcPr>
            <w:tcW w:w="627" w:type="dxa"/>
            <w:vMerge w:val="restart"/>
            <w:tcBorders>
              <w:top w:val="single" w:sz="4" w:space="0" w:color="auto"/>
            </w:tcBorders>
            <w:shd w:val="clear" w:color="auto" w:fill="auto"/>
            <w:vAlign w:val="bottom"/>
          </w:tcPr>
          <w:p w:rsidR="001D2E73" w:rsidRDefault="001D2E73">
            <w:pPr>
              <w:keepNext/>
              <w:keepLines/>
              <w:spacing w:before="80" w:after="80" w:line="200" w:lineRule="exact"/>
              <w:rPr>
                <w:i/>
                <w:sz w:val="16"/>
                <w:szCs w:val="16"/>
              </w:rPr>
            </w:pPr>
            <w:r>
              <w:rPr>
                <w:i/>
                <w:sz w:val="16"/>
                <w:szCs w:val="16"/>
              </w:rPr>
              <w:t>Años</w:t>
            </w:r>
          </w:p>
        </w:tc>
        <w:tc>
          <w:tcPr>
            <w:tcW w:w="1032" w:type="dxa"/>
            <w:vMerge w:val="restart"/>
            <w:tcBorders>
              <w:top w:val="single" w:sz="4"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Total de p</w:t>
            </w:r>
            <w:r>
              <w:rPr>
                <w:i/>
                <w:sz w:val="16"/>
                <w:szCs w:val="16"/>
              </w:rPr>
              <w:t>o</w:t>
            </w:r>
            <w:r>
              <w:rPr>
                <w:i/>
                <w:sz w:val="16"/>
                <w:szCs w:val="16"/>
              </w:rPr>
              <w:t>blación</w:t>
            </w:r>
          </w:p>
        </w:tc>
        <w:tc>
          <w:tcPr>
            <w:tcW w:w="1976" w:type="dxa"/>
            <w:gridSpan w:val="2"/>
            <w:tcBorders>
              <w:top w:val="single" w:sz="4" w:space="0" w:color="auto"/>
              <w:bottom w:val="single" w:sz="4" w:space="0" w:color="auto"/>
            </w:tcBorders>
            <w:shd w:val="clear" w:color="auto" w:fill="auto"/>
            <w:noWrap/>
            <w:vAlign w:val="bottom"/>
          </w:tcPr>
          <w:p w:rsidR="001D2E73" w:rsidRDefault="001D2E73">
            <w:pPr>
              <w:keepNext/>
              <w:keepLines/>
              <w:spacing w:before="80" w:after="80" w:line="200" w:lineRule="exact"/>
              <w:jc w:val="center"/>
              <w:rPr>
                <w:i/>
                <w:sz w:val="16"/>
                <w:szCs w:val="16"/>
              </w:rPr>
            </w:pPr>
            <w:r>
              <w:rPr>
                <w:i/>
                <w:sz w:val="16"/>
                <w:szCs w:val="16"/>
              </w:rPr>
              <w:t>Desglosado en:</w:t>
            </w:r>
          </w:p>
        </w:tc>
        <w:tc>
          <w:tcPr>
            <w:tcW w:w="1053" w:type="dxa"/>
            <w:vMerge w:val="restart"/>
            <w:tcBorders>
              <w:top w:val="single" w:sz="4"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Población urbana</w:t>
            </w:r>
          </w:p>
        </w:tc>
        <w:tc>
          <w:tcPr>
            <w:tcW w:w="1976" w:type="dxa"/>
            <w:gridSpan w:val="2"/>
            <w:tcBorders>
              <w:top w:val="single" w:sz="4" w:space="0" w:color="auto"/>
              <w:bottom w:val="single" w:sz="4" w:space="0" w:color="auto"/>
            </w:tcBorders>
            <w:shd w:val="clear" w:color="auto" w:fill="auto"/>
            <w:noWrap/>
            <w:vAlign w:val="bottom"/>
          </w:tcPr>
          <w:p w:rsidR="001D2E73" w:rsidRDefault="001D2E73">
            <w:pPr>
              <w:keepNext/>
              <w:keepLines/>
              <w:spacing w:before="80" w:after="80" w:line="200" w:lineRule="exact"/>
              <w:jc w:val="center"/>
              <w:rPr>
                <w:i/>
                <w:sz w:val="16"/>
                <w:szCs w:val="16"/>
              </w:rPr>
            </w:pPr>
            <w:r>
              <w:rPr>
                <w:i/>
                <w:sz w:val="16"/>
                <w:szCs w:val="16"/>
              </w:rPr>
              <w:t>Desglosado en:</w:t>
            </w:r>
          </w:p>
        </w:tc>
        <w:tc>
          <w:tcPr>
            <w:tcW w:w="1032" w:type="dxa"/>
            <w:vMerge w:val="restart"/>
            <w:tcBorders>
              <w:top w:val="single" w:sz="4"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Población rural</w:t>
            </w:r>
          </w:p>
        </w:tc>
        <w:tc>
          <w:tcPr>
            <w:tcW w:w="1979" w:type="dxa"/>
            <w:gridSpan w:val="2"/>
            <w:tcBorders>
              <w:top w:val="single" w:sz="4" w:space="0" w:color="auto"/>
              <w:left w:val="nil"/>
              <w:bottom w:val="single" w:sz="2" w:space="0" w:color="auto"/>
              <w:right w:val="nil"/>
              <w:tl2br w:val="nil"/>
              <w:tr2bl w:val="nil"/>
            </w:tcBorders>
            <w:shd w:val="clear" w:color="auto" w:fill="auto"/>
            <w:noWrap/>
            <w:vAlign w:val="bottom"/>
          </w:tcPr>
          <w:p w:rsidR="001D2E73" w:rsidRDefault="001D2E73">
            <w:pPr>
              <w:keepNext/>
              <w:keepLines/>
              <w:spacing w:before="80" w:after="80" w:line="200" w:lineRule="exact"/>
              <w:jc w:val="center"/>
              <w:rPr>
                <w:i/>
                <w:sz w:val="16"/>
                <w:szCs w:val="16"/>
              </w:rPr>
            </w:pPr>
            <w:r>
              <w:rPr>
                <w:i/>
                <w:sz w:val="16"/>
                <w:szCs w:val="16"/>
              </w:rPr>
              <w:t>Desglosado en</w:t>
            </w:r>
          </w:p>
        </w:tc>
      </w:tr>
      <w:tr w:rsidR="001D2E73">
        <w:trPr>
          <w:trHeight w:val="265"/>
        </w:trPr>
        <w:tc>
          <w:tcPr>
            <w:tcW w:w="627" w:type="dxa"/>
            <w:vMerge/>
            <w:tcBorders>
              <w:bottom w:val="single" w:sz="12" w:space="0" w:color="auto"/>
            </w:tcBorders>
            <w:shd w:val="clear" w:color="auto" w:fill="auto"/>
          </w:tcPr>
          <w:p w:rsidR="001D2E73" w:rsidRDefault="001D2E73">
            <w:pPr>
              <w:keepNext/>
              <w:keepLines/>
              <w:spacing w:before="80" w:after="80" w:line="200" w:lineRule="exact"/>
              <w:rPr>
                <w:i/>
                <w:sz w:val="16"/>
                <w:szCs w:val="16"/>
              </w:rPr>
            </w:pPr>
          </w:p>
        </w:tc>
        <w:tc>
          <w:tcPr>
            <w:tcW w:w="1032" w:type="dxa"/>
            <w:vMerge/>
            <w:tcBorders>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p>
        </w:tc>
        <w:tc>
          <w:tcPr>
            <w:tcW w:w="977"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 xml:space="preserve">Hombres </w:t>
            </w:r>
          </w:p>
        </w:tc>
        <w:tc>
          <w:tcPr>
            <w:tcW w:w="999"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Mujeres</w:t>
            </w:r>
          </w:p>
        </w:tc>
        <w:tc>
          <w:tcPr>
            <w:tcW w:w="1053" w:type="dxa"/>
            <w:vMerge/>
            <w:tcBorders>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p>
        </w:tc>
        <w:tc>
          <w:tcPr>
            <w:tcW w:w="977"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 xml:space="preserve">Hombres </w:t>
            </w:r>
          </w:p>
        </w:tc>
        <w:tc>
          <w:tcPr>
            <w:tcW w:w="999"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Mujeres</w:t>
            </w:r>
          </w:p>
        </w:tc>
        <w:tc>
          <w:tcPr>
            <w:tcW w:w="1032" w:type="dxa"/>
            <w:vMerge/>
            <w:tcBorders>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p>
        </w:tc>
        <w:tc>
          <w:tcPr>
            <w:tcW w:w="977" w:type="dxa"/>
            <w:tcBorders>
              <w:top w:val="single" w:sz="2"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 xml:space="preserve">Hombres </w:t>
            </w:r>
          </w:p>
        </w:tc>
        <w:tc>
          <w:tcPr>
            <w:tcW w:w="1002" w:type="dxa"/>
            <w:tcBorders>
              <w:top w:val="single" w:sz="2" w:space="0" w:color="auto"/>
              <w:left w:val="nil"/>
              <w:bottom w:val="single" w:sz="12" w:space="0" w:color="auto"/>
              <w:right w:val="nil"/>
              <w:tl2br w:val="nil"/>
              <w:tr2bl w:val="nil"/>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Mujeres</w:t>
            </w:r>
          </w:p>
        </w:tc>
      </w:tr>
      <w:tr w:rsidR="001D2E73">
        <w:trPr>
          <w:trHeight w:val="195"/>
        </w:trPr>
        <w:tc>
          <w:tcPr>
            <w:tcW w:w="627" w:type="dxa"/>
            <w:tcBorders>
              <w:top w:val="single" w:sz="12" w:space="0" w:color="auto"/>
            </w:tcBorders>
            <w:noWrap/>
          </w:tcPr>
          <w:p w:rsidR="001D2E73" w:rsidRDefault="001D2E73">
            <w:pPr>
              <w:keepNext/>
              <w:keepLines/>
              <w:spacing w:before="40" w:after="40" w:line="220" w:lineRule="exact"/>
              <w:rPr>
                <w:sz w:val="18"/>
                <w:szCs w:val="18"/>
              </w:rPr>
            </w:pPr>
            <w:r>
              <w:rPr>
                <w:sz w:val="18"/>
                <w:szCs w:val="18"/>
              </w:rPr>
              <w:t>2003</w:t>
            </w:r>
          </w:p>
        </w:tc>
        <w:tc>
          <w:tcPr>
            <w:tcW w:w="1032" w:type="dxa"/>
            <w:tcBorders>
              <w:top w:val="single" w:sz="12" w:space="0" w:color="auto"/>
            </w:tcBorders>
            <w:noWrap/>
          </w:tcPr>
          <w:p w:rsidR="001D2E73" w:rsidRDefault="001D2E73">
            <w:pPr>
              <w:keepNext/>
              <w:keepLines/>
              <w:spacing w:before="40" w:after="40" w:line="220" w:lineRule="exact"/>
              <w:jc w:val="right"/>
              <w:rPr>
                <w:sz w:val="18"/>
                <w:szCs w:val="18"/>
              </w:rPr>
            </w:pPr>
            <w:r>
              <w:rPr>
                <w:sz w:val="18"/>
                <w:szCs w:val="18"/>
              </w:rPr>
              <w:t>8 202,5</w:t>
            </w:r>
          </w:p>
        </w:tc>
        <w:tc>
          <w:tcPr>
            <w:tcW w:w="977" w:type="dxa"/>
            <w:tcBorders>
              <w:top w:val="single" w:sz="12" w:space="0" w:color="auto"/>
            </w:tcBorders>
            <w:noWrap/>
          </w:tcPr>
          <w:p w:rsidR="001D2E73" w:rsidRDefault="001D2E73">
            <w:pPr>
              <w:keepNext/>
              <w:keepLines/>
              <w:spacing w:before="40" w:after="40" w:line="220" w:lineRule="exact"/>
              <w:jc w:val="right"/>
              <w:rPr>
                <w:sz w:val="18"/>
                <w:szCs w:val="18"/>
              </w:rPr>
            </w:pPr>
            <w:r>
              <w:rPr>
                <w:sz w:val="18"/>
                <w:szCs w:val="18"/>
              </w:rPr>
              <w:t>4 023,0</w:t>
            </w:r>
          </w:p>
        </w:tc>
        <w:tc>
          <w:tcPr>
            <w:tcW w:w="999" w:type="dxa"/>
            <w:tcBorders>
              <w:top w:val="single" w:sz="12" w:space="0" w:color="auto"/>
            </w:tcBorders>
            <w:noWrap/>
          </w:tcPr>
          <w:p w:rsidR="001D2E73" w:rsidRDefault="001D2E73">
            <w:pPr>
              <w:keepNext/>
              <w:keepLines/>
              <w:spacing w:before="40" w:after="40" w:line="220" w:lineRule="exact"/>
              <w:jc w:val="right"/>
              <w:rPr>
                <w:sz w:val="18"/>
                <w:szCs w:val="18"/>
              </w:rPr>
            </w:pPr>
            <w:r>
              <w:rPr>
                <w:sz w:val="18"/>
                <w:szCs w:val="18"/>
              </w:rPr>
              <w:t>4 179,5</w:t>
            </w:r>
          </w:p>
        </w:tc>
        <w:tc>
          <w:tcPr>
            <w:tcW w:w="1053" w:type="dxa"/>
            <w:tcBorders>
              <w:top w:val="single" w:sz="12" w:space="0" w:color="auto"/>
            </w:tcBorders>
            <w:noWrap/>
          </w:tcPr>
          <w:p w:rsidR="001D2E73" w:rsidRDefault="001D2E73">
            <w:pPr>
              <w:keepNext/>
              <w:keepLines/>
              <w:spacing w:before="40" w:after="40" w:line="220" w:lineRule="exact"/>
              <w:jc w:val="right"/>
              <w:rPr>
                <w:sz w:val="18"/>
                <w:szCs w:val="18"/>
              </w:rPr>
            </w:pPr>
            <w:r>
              <w:rPr>
                <w:sz w:val="18"/>
                <w:szCs w:val="18"/>
              </w:rPr>
              <w:t>4 154,3</w:t>
            </w:r>
          </w:p>
        </w:tc>
        <w:tc>
          <w:tcPr>
            <w:tcW w:w="977" w:type="dxa"/>
            <w:tcBorders>
              <w:top w:val="single" w:sz="12" w:space="0" w:color="auto"/>
            </w:tcBorders>
            <w:noWrap/>
          </w:tcPr>
          <w:p w:rsidR="001D2E73" w:rsidRDefault="001D2E73">
            <w:pPr>
              <w:keepNext/>
              <w:keepLines/>
              <w:spacing w:before="40" w:after="40" w:line="220" w:lineRule="exact"/>
              <w:jc w:val="right"/>
              <w:rPr>
                <w:sz w:val="18"/>
                <w:szCs w:val="18"/>
              </w:rPr>
            </w:pPr>
            <w:r>
              <w:rPr>
                <w:sz w:val="18"/>
                <w:szCs w:val="18"/>
              </w:rPr>
              <w:t>2 027,0</w:t>
            </w:r>
          </w:p>
        </w:tc>
        <w:tc>
          <w:tcPr>
            <w:tcW w:w="999" w:type="dxa"/>
            <w:tcBorders>
              <w:top w:val="single" w:sz="12" w:space="0" w:color="auto"/>
            </w:tcBorders>
            <w:noWrap/>
          </w:tcPr>
          <w:p w:rsidR="001D2E73" w:rsidRDefault="001D2E73">
            <w:pPr>
              <w:keepNext/>
              <w:keepLines/>
              <w:spacing w:before="40" w:after="40" w:line="220" w:lineRule="exact"/>
              <w:jc w:val="right"/>
              <w:rPr>
                <w:sz w:val="18"/>
                <w:szCs w:val="18"/>
              </w:rPr>
            </w:pPr>
            <w:r>
              <w:rPr>
                <w:sz w:val="18"/>
                <w:szCs w:val="18"/>
              </w:rPr>
              <w:t>2 127,3</w:t>
            </w:r>
          </w:p>
        </w:tc>
        <w:tc>
          <w:tcPr>
            <w:tcW w:w="1032" w:type="dxa"/>
            <w:tcBorders>
              <w:top w:val="single" w:sz="12" w:space="0" w:color="auto"/>
            </w:tcBorders>
            <w:noWrap/>
          </w:tcPr>
          <w:p w:rsidR="001D2E73" w:rsidRDefault="001D2E73">
            <w:pPr>
              <w:keepNext/>
              <w:keepLines/>
              <w:spacing w:before="40" w:after="40" w:line="220" w:lineRule="exact"/>
              <w:jc w:val="right"/>
              <w:rPr>
                <w:sz w:val="18"/>
                <w:szCs w:val="18"/>
              </w:rPr>
            </w:pPr>
            <w:r>
              <w:rPr>
                <w:sz w:val="18"/>
                <w:szCs w:val="18"/>
              </w:rPr>
              <w:t>4 048,2</w:t>
            </w:r>
          </w:p>
        </w:tc>
        <w:tc>
          <w:tcPr>
            <w:tcW w:w="977" w:type="dxa"/>
            <w:tcBorders>
              <w:top w:val="single" w:sz="12" w:space="0" w:color="auto"/>
            </w:tcBorders>
            <w:noWrap/>
          </w:tcPr>
          <w:p w:rsidR="001D2E73" w:rsidRDefault="001D2E73">
            <w:pPr>
              <w:keepNext/>
              <w:keepLines/>
              <w:spacing w:before="40" w:after="40" w:line="220" w:lineRule="exact"/>
              <w:jc w:val="right"/>
              <w:rPr>
                <w:sz w:val="18"/>
                <w:szCs w:val="18"/>
              </w:rPr>
            </w:pPr>
            <w:r>
              <w:rPr>
                <w:sz w:val="18"/>
                <w:szCs w:val="18"/>
              </w:rPr>
              <w:t>1 996,0</w:t>
            </w:r>
          </w:p>
        </w:tc>
        <w:tc>
          <w:tcPr>
            <w:tcW w:w="1002" w:type="dxa"/>
            <w:tcBorders>
              <w:top w:val="single" w:sz="12" w:space="0" w:color="auto"/>
              <w:left w:val="nil"/>
              <w:bottom w:val="nil"/>
              <w:right w:val="nil"/>
              <w:tl2br w:val="nil"/>
              <w:tr2bl w:val="nil"/>
            </w:tcBorders>
            <w:noWrap/>
          </w:tcPr>
          <w:p w:rsidR="001D2E73" w:rsidRDefault="001D2E73">
            <w:pPr>
              <w:keepNext/>
              <w:keepLines/>
              <w:spacing w:before="40" w:after="40" w:line="220" w:lineRule="exact"/>
              <w:jc w:val="right"/>
              <w:rPr>
                <w:sz w:val="18"/>
                <w:szCs w:val="18"/>
              </w:rPr>
            </w:pPr>
            <w:r>
              <w:rPr>
                <w:sz w:val="18"/>
                <w:szCs w:val="18"/>
              </w:rPr>
              <w:t>2 052,2</w:t>
            </w:r>
          </w:p>
        </w:tc>
      </w:tr>
      <w:tr w:rsidR="001D2E73">
        <w:trPr>
          <w:trHeight w:val="195"/>
        </w:trPr>
        <w:tc>
          <w:tcPr>
            <w:tcW w:w="627" w:type="dxa"/>
            <w:noWrap/>
          </w:tcPr>
          <w:p w:rsidR="001D2E73" w:rsidRDefault="001D2E73">
            <w:pPr>
              <w:keepNext/>
              <w:keepLines/>
              <w:spacing w:before="40" w:after="40" w:line="220" w:lineRule="exact"/>
              <w:rPr>
                <w:sz w:val="18"/>
                <w:szCs w:val="18"/>
              </w:rPr>
            </w:pPr>
            <w:r>
              <w:rPr>
                <w:sz w:val="18"/>
                <w:szCs w:val="18"/>
              </w:rPr>
              <w:t>2004</w:t>
            </w:r>
          </w:p>
        </w:tc>
        <w:tc>
          <w:tcPr>
            <w:tcW w:w="1032" w:type="dxa"/>
            <w:noWrap/>
          </w:tcPr>
          <w:p w:rsidR="001D2E73" w:rsidRDefault="001D2E73">
            <w:pPr>
              <w:keepNext/>
              <w:keepLines/>
              <w:spacing w:before="40" w:after="40" w:line="220" w:lineRule="exact"/>
              <w:jc w:val="right"/>
              <w:rPr>
                <w:sz w:val="18"/>
                <w:szCs w:val="18"/>
              </w:rPr>
            </w:pPr>
            <w:r>
              <w:rPr>
                <w:sz w:val="18"/>
                <w:szCs w:val="18"/>
              </w:rPr>
              <w:t>8 265,7</w:t>
            </w:r>
          </w:p>
        </w:tc>
        <w:tc>
          <w:tcPr>
            <w:tcW w:w="977" w:type="dxa"/>
            <w:noWrap/>
          </w:tcPr>
          <w:p w:rsidR="001D2E73" w:rsidRDefault="001D2E73">
            <w:pPr>
              <w:keepNext/>
              <w:keepLines/>
              <w:spacing w:before="40" w:after="40" w:line="220" w:lineRule="exact"/>
              <w:jc w:val="right"/>
              <w:rPr>
                <w:sz w:val="18"/>
                <w:szCs w:val="18"/>
              </w:rPr>
            </w:pPr>
            <w:r>
              <w:rPr>
                <w:sz w:val="18"/>
                <w:szCs w:val="18"/>
              </w:rPr>
              <w:t>4 058,5</w:t>
            </w:r>
          </w:p>
        </w:tc>
        <w:tc>
          <w:tcPr>
            <w:tcW w:w="999" w:type="dxa"/>
            <w:noWrap/>
          </w:tcPr>
          <w:p w:rsidR="001D2E73" w:rsidRDefault="001D2E73">
            <w:pPr>
              <w:keepNext/>
              <w:keepLines/>
              <w:spacing w:before="40" w:after="40" w:line="220" w:lineRule="exact"/>
              <w:jc w:val="right"/>
              <w:rPr>
                <w:sz w:val="18"/>
                <w:szCs w:val="18"/>
              </w:rPr>
            </w:pPr>
            <w:r>
              <w:rPr>
                <w:sz w:val="18"/>
                <w:szCs w:val="18"/>
              </w:rPr>
              <w:t>4 207,2</w:t>
            </w:r>
          </w:p>
        </w:tc>
        <w:tc>
          <w:tcPr>
            <w:tcW w:w="1053" w:type="dxa"/>
            <w:noWrap/>
          </w:tcPr>
          <w:p w:rsidR="001D2E73" w:rsidRDefault="001D2E73">
            <w:pPr>
              <w:keepNext/>
              <w:keepLines/>
              <w:spacing w:before="40" w:after="40" w:line="220" w:lineRule="exact"/>
              <w:jc w:val="right"/>
              <w:rPr>
                <w:sz w:val="18"/>
                <w:szCs w:val="18"/>
              </w:rPr>
            </w:pPr>
            <w:r>
              <w:rPr>
                <w:sz w:val="18"/>
                <w:szCs w:val="18"/>
              </w:rPr>
              <w:t>4 254,3</w:t>
            </w:r>
          </w:p>
        </w:tc>
        <w:tc>
          <w:tcPr>
            <w:tcW w:w="977" w:type="dxa"/>
            <w:noWrap/>
          </w:tcPr>
          <w:p w:rsidR="001D2E73" w:rsidRDefault="001D2E73">
            <w:pPr>
              <w:keepNext/>
              <w:keepLines/>
              <w:spacing w:before="40" w:after="40" w:line="220" w:lineRule="exact"/>
              <w:jc w:val="right"/>
              <w:rPr>
                <w:sz w:val="18"/>
                <w:szCs w:val="18"/>
              </w:rPr>
            </w:pPr>
            <w:r>
              <w:rPr>
                <w:sz w:val="18"/>
                <w:szCs w:val="18"/>
              </w:rPr>
              <w:t>2 077,6</w:t>
            </w:r>
          </w:p>
        </w:tc>
        <w:tc>
          <w:tcPr>
            <w:tcW w:w="999" w:type="dxa"/>
            <w:noWrap/>
          </w:tcPr>
          <w:p w:rsidR="001D2E73" w:rsidRDefault="001D2E73">
            <w:pPr>
              <w:keepNext/>
              <w:keepLines/>
              <w:spacing w:before="40" w:after="40" w:line="220" w:lineRule="exact"/>
              <w:jc w:val="right"/>
              <w:rPr>
                <w:sz w:val="18"/>
                <w:szCs w:val="18"/>
              </w:rPr>
            </w:pPr>
            <w:r>
              <w:rPr>
                <w:sz w:val="18"/>
                <w:szCs w:val="18"/>
              </w:rPr>
              <w:t>2 176,7</w:t>
            </w:r>
          </w:p>
        </w:tc>
        <w:tc>
          <w:tcPr>
            <w:tcW w:w="1032" w:type="dxa"/>
            <w:noWrap/>
          </w:tcPr>
          <w:p w:rsidR="001D2E73" w:rsidRDefault="001D2E73">
            <w:pPr>
              <w:keepNext/>
              <w:keepLines/>
              <w:spacing w:before="40" w:after="40" w:line="220" w:lineRule="exact"/>
              <w:jc w:val="right"/>
              <w:rPr>
                <w:sz w:val="18"/>
                <w:szCs w:val="18"/>
              </w:rPr>
            </w:pPr>
            <w:r>
              <w:rPr>
                <w:sz w:val="18"/>
                <w:szCs w:val="18"/>
              </w:rPr>
              <w:t>4 011,4</w:t>
            </w:r>
          </w:p>
        </w:tc>
        <w:tc>
          <w:tcPr>
            <w:tcW w:w="977" w:type="dxa"/>
            <w:noWrap/>
          </w:tcPr>
          <w:p w:rsidR="001D2E73" w:rsidRDefault="001D2E73">
            <w:pPr>
              <w:keepNext/>
              <w:keepLines/>
              <w:spacing w:before="40" w:after="40" w:line="220" w:lineRule="exact"/>
              <w:jc w:val="right"/>
              <w:rPr>
                <w:sz w:val="18"/>
                <w:szCs w:val="18"/>
              </w:rPr>
            </w:pPr>
            <w:r>
              <w:rPr>
                <w:sz w:val="18"/>
                <w:szCs w:val="18"/>
              </w:rPr>
              <w:t>1 980,9</w:t>
            </w:r>
          </w:p>
        </w:tc>
        <w:tc>
          <w:tcPr>
            <w:tcW w:w="1002" w:type="dxa"/>
            <w:tcBorders>
              <w:left w:val="nil"/>
              <w:bottom w:val="nil"/>
              <w:right w:val="nil"/>
              <w:tl2br w:val="nil"/>
              <w:tr2bl w:val="nil"/>
            </w:tcBorders>
            <w:noWrap/>
          </w:tcPr>
          <w:p w:rsidR="001D2E73" w:rsidRDefault="001D2E73">
            <w:pPr>
              <w:keepNext/>
              <w:keepLines/>
              <w:spacing w:before="40" w:after="40" w:line="220" w:lineRule="exact"/>
              <w:jc w:val="right"/>
              <w:rPr>
                <w:sz w:val="18"/>
                <w:szCs w:val="18"/>
              </w:rPr>
            </w:pPr>
            <w:r>
              <w:rPr>
                <w:sz w:val="18"/>
                <w:szCs w:val="18"/>
              </w:rPr>
              <w:t>2 030,5</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2005</w:t>
            </w:r>
          </w:p>
        </w:tc>
        <w:tc>
          <w:tcPr>
            <w:tcW w:w="1032" w:type="dxa"/>
            <w:noWrap/>
          </w:tcPr>
          <w:p w:rsidR="001D2E73" w:rsidRDefault="001D2E73">
            <w:pPr>
              <w:spacing w:before="40" w:after="40" w:line="220" w:lineRule="exact"/>
              <w:jc w:val="right"/>
              <w:rPr>
                <w:sz w:val="18"/>
                <w:szCs w:val="18"/>
              </w:rPr>
            </w:pPr>
            <w:r>
              <w:rPr>
                <w:sz w:val="18"/>
                <w:szCs w:val="18"/>
              </w:rPr>
              <w:t>8 347,3</w:t>
            </w:r>
          </w:p>
        </w:tc>
        <w:tc>
          <w:tcPr>
            <w:tcW w:w="977" w:type="dxa"/>
            <w:noWrap/>
          </w:tcPr>
          <w:p w:rsidR="001D2E73" w:rsidRDefault="001D2E73">
            <w:pPr>
              <w:spacing w:before="40" w:after="40" w:line="220" w:lineRule="exact"/>
              <w:jc w:val="right"/>
              <w:rPr>
                <w:sz w:val="18"/>
                <w:szCs w:val="18"/>
              </w:rPr>
            </w:pPr>
            <w:r>
              <w:rPr>
                <w:sz w:val="18"/>
                <w:szCs w:val="18"/>
              </w:rPr>
              <w:t>4 103,7</w:t>
            </w:r>
          </w:p>
        </w:tc>
        <w:tc>
          <w:tcPr>
            <w:tcW w:w="999" w:type="dxa"/>
            <w:noWrap/>
          </w:tcPr>
          <w:p w:rsidR="001D2E73" w:rsidRDefault="001D2E73">
            <w:pPr>
              <w:spacing w:before="40" w:after="40" w:line="220" w:lineRule="exact"/>
              <w:jc w:val="right"/>
              <w:rPr>
                <w:sz w:val="18"/>
                <w:szCs w:val="18"/>
              </w:rPr>
            </w:pPr>
            <w:r>
              <w:rPr>
                <w:sz w:val="18"/>
                <w:szCs w:val="18"/>
              </w:rPr>
              <w:t>4 243,6</w:t>
            </w:r>
          </w:p>
        </w:tc>
        <w:tc>
          <w:tcPr>
            <w:tcW w:w="1053" w:type="dxa"/>
            <w:noWrap/>
          </w:tcPr>
          <w:p w:rsidR="001D2E73" w:rsidRDefault="001D2E73">
            <w:pPr>
              <w:spacing w:before="40" w:after="40" w:line="220" w:lineRule="exact"/>
              <w:jc w:val="right"/>
              <w:rPr>
                <w:sz w:val="18"/>
                <w:szCs w:val="18"/>
              </w:rPr>
            </w:pPr>
            <w:r>
              <w:rPr>
                <w:sz w:val="18"/>
                <w:szCs w:val="18"/>
              </w:rPr>
              <w:t>4 298,3</w:t>
            </w:r>
          </w:p>
        </w:tc>
        <w:tc>
          <w:tcPr>
            <w:tcW w:w="977" w:type="dxa"/>
            <w:noWrap/>
          </w:tcPr>
          <w:p w:rsidR="001D2E73" w:rsidRDefault="001D2E73">
            <w:pPr>
              <w:spacing w:before="40" w:after="40" w:line="220" w:lineRule="exact"/>
              <w:jc w:val="right"/>
              <w:rPr>
                <w:sz w:val="18"/>
                <w:szCs w:val="18"/>
              </w:rPr>
            </w:pPr>
            <w:r>
              <w:rPr>
                <w:sz w:val="18"/>
                <w:szCs w:val="18"/>
              </w:rPr>
              <w:t>2 101,4</w:t>
            </w:r>
          </w:p>
        </w:tc>
        <w:tc>
          <w:tcPr>
            <w:tcW w:w="999" w:type="dxa"/>
            <w:noWrap/>
          </w:tcPr>
          <w:p w:rsidR="001D2E73" w:rsidRDefault="001D2E73">
            <w:pPr>
              <w:spacing w:before="40" w:after="40" w:line="220" w:lineRule="exact"/>
              <w:jc w:val="right"/>
              <w:rPr>
                <w:sz w:val="18"/>
                <w:szCs w:val="18"/>
              </w:rPr>
            </w:pPr>
            <w:r>
              <w:rPr>
                <w:sz w:val="18"/>
                <w:szCs w:val="18"/>
              </w:rPr>
              <w:t>2 196,9</w:t>
            </w:r>
          </w:p>
        </w:tc>
        <w:tc>
          <w:tcPr>
            <w:tcW w:w="1032" w:type="dxa"/>
            <w:noWrap/>
          </w:tcPr>
          <w:p w:rsidR="001D2E73" w:rsidRDefault="001D2E73">
            <w:pPr>
              <w:spacing w:before="40" w:after="40" w:line="220" w:lineRule="exact"/>
              <w:jc w:val="right"/>
              <w:rPr>
                <w:sz w:val="18"/>
                <w:szCs w:val="18"/>
              </w:rPr>
            </w:pPr>
            <w:r>
              <w:rPr>
                <w:sz w:val="18"/>
                <w:szCs w:val="18"/>
              </w:rPr>
              <w:t>4 049,0</w:t>
            </w:r>
          </w:p>
        </w:tc>
        <w:tc>
          <w:tcPr>
            <w:tcW w:w="977" w:type="dxa"/>
            <w:noWrap/>
          </w:tcPr>
          <w:p w:rsidR="001D2E73" w:rsidRDefault="001D2E73">
            <w:pPr>
              <w:spacing w:before="40" w:after="40" w:line="220" w:lineRule="exact"/>
              <w:jc w:val="right"/>
              <w:rPr>
                <w:sz w:val="18"/>
                <w:szCs w:val="18"/>
              </w:rPr>
            </w:pPr>
            <w:r>
              <w:rPr>
                <w:sz w:val="18"/>
                <w:szCs w:val="18"/>
              </w:rPr>
              <w:t>2 002,3</w:t>
            </w:r>
          </w:p>
        </w:tc>
        <w:tc>
          <w:tcPr>
            <w:tcW w:w="100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2 046,7</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2006</w:t>
            </w:r>
          </w:p>
        </w:tc>
        <w:tc>
          <w:tcPr>
            <w:tcW w:w="1032" w:type="dxa"/>
            <w:noWrap/>
          </w:tcPr>
          <w:p w:rsidR="001D2E73" w:rsidRDefault="001D2E73">
            <w:pPr>
              <w:spacing w:before="40" w:after="40" w:line="220" w:lineRule="exact"/>
              <w:jc w:val="right"/>
              <w:rPr>
                <w:sz w:val="18"/>
                <w:szCs w:val="18"/>
              </w:rPr>
            </w:pPr>
            <w:r>
              <w:rPr>
                <w:sz w:val="18"/>
                <w:szCs w:val="18"/>
              </w:rPr>
              <w:t>8 436,4</w:t>
            </w:r>
          </w:p>
        </w:tc>
        <w:tc>
          <w:tcPr>
            <w:tcW w:w="977" w:type="dxa"/>
            <w:noWrap/>
          </w:tcPr>
          <w:p w:rsidR="001D2E73" w:rsidRDefault="001D2E73">
            <w:pPr>
              <w:spacing w:before="40" w:after="40" w:line="220" w:lineRule="exact"/>
              <w:jc w:val="right"/>
              <w:rPr>
                <w:sz w:val="18"/>
                <w:szCs w:val="18"/>
              </w:rPr>
            </w:pPr>
            <w:r>
              <w:rPr>
                <w:sz w:val="18"/>
                <w:szCs w:val="18"/>
              </w:rPr>
              <w:t>4 152,2</w:t>
            </w:r>
          </w:p>
        </w:tc>
        <w:tc>
          <w:tcPr>
            <w:tcW w:w="999" w:type="dxa"/>
            <w:noWrap/>
          </w:tcPr>
          <w:p w:rsidR="001D2E73" w:rsidRDefault="001D2E73">
            <w:pPr>
              <w:spacing w:before="40" w:after="40" w:line="220" w:lineRule="exact"/>
              <w:jc w:val="right"/>
              <w:rPr>
                <w:sz w:val="18"/>
                <w:szCs w:val="18"/>
              </w:rPr>
            </w:pPr>
            <w:r>
              <w:rPr>
                <w:sz w:val="18"/>
                <w:szCs w:val="18"/>
              </w:rPr>
              <w:t>4 284,2</w:t>
            </w:r>
          </w:p>
        </w:tc>
        <w:tc>
          <w:tcPr>
            <w:tcW w:w="1053" w:type="dxa"/>
            <w:noWrap/>
          </w:tcPr>
          <w:p w:rsidR="001D2E73" w:rsidRDefault="001D2E73">
            <w:pPr>
              <w:spacing w:before="40" w:after="40" w:line="220" w:lineRule="exact"/>
              <w:jc w:val="right"/>
              <w:rPr>
                <w:sz w:val="18"/>
                <w:szCs w:val="18"/>
              </w:rPr>
            </w:pPr>
            <w:r>
              <w:rPr>
                <w:sz w:val="18"/>
                <w:szCs w:val="18"/>
              </w:rPr>
              <w:t>4 356,6</w:t>
            </w:r>
          </w:p>
        </w:tc>
        <w:tc>
          <w:tcPr>
            <w:tcW w:w="977" w:type="dxa"/>
            <w:noWrap/>
          </w:tcPr>
          <w:p w:rsidR="001D2E73" w:rsidRDefault="001D2E73">
            <w:pPr>
              <w:spacing w:before="40" w:after="40" w:line="220" w:lineRule="exact"/>
              <w:jc w:val="right"/>
              <w:rPr>
                <w:sz w:val="18"/>
                <w:szCs w:val="18"/>
              </w:rPr>
            </w:pPr>
            <w:r>
              <w:rPr>
                <w:sz w:val="18"/>
                <w:szCs w:val="18"/>
              </w:rPr>
              <w:t>2 131,9</w:t>
            </w:r>
          </w:p>
        </w:tc>
        <w:tc>
          <w:tcPr>
            <w:tcW w:w="999" w:type="dxa"/>
            <w:noWrap/>
          </w:tcPr>
          <w:p w:rsidR="001D2E73" w:rsidRDefault="001D2E73">
            <w:pPr>
              <w:spacing w:before="40" w:after="40" w:line="220" w:lineRule="exact"/>
              <w:jc w:val="right"/>
              <w:rPr>
                <w:sz w:val="18"/>
                <w:szCs w:val="18"/>
              </w:rPr>
            </w:pPr>
            <w:r>
              <w:rPr>
                <w:sz w:val="18"/>
                <w:szCs w:val="18"/>
              </w:rPr>
              <w:t>2 224,7</w:t>
            </w:r>
          </w:p>
        </w:tc>
        <w:tc>
          <w:tcPr>
            <w:tcW w:w="1032" w:type="dxa"/>
            <w:noWrap/>
          </w:tcPr>
          <w:p w:rsidR="001D2E73" w:rsidRDefault="001D2E73">
            <w:pPr>
              <w:spacing w:before="40" w:after="40" w:line="220" w:lineRule="exact"/>
              <w:jc w:val="right"/>
              <w:rPr>
                <w:sz w:val="18"/>
                <w:szCs w:val="18"/>
              </w:rPr>
            </w:pPr>
            <w:r>
              <w:rPr>
                <w:sz w:val="18"/>
                <w:szCs w:val="18"/>
              </w:rPr>
              <w:t>4 079,8</w:t>
            </w:r>
          </w:p>
        </w:tc>
        <w:tc>
          <w:tcPr>
            <w:tcW w:w="977" w:type="dxa"/>
            <w:noWrap/>
          </w:tcPr>
          <w:p w:rsidR="001D2E73" w:rsidRDefault="001D2E73">
            <w:pPr>
              <w:spacing w:before="40" w:after="40" w:line="220" w:lineRule="exact"/>
              <w:jc w:val="right"/>
              <w:rPr>
                <w:sz w:val="18"/>
                <w:szCs w:val="18"/>
              </w:rPr>
            </w:pPr>
            <w:r>
              <w:rPr>
                <w:sz w:val="18"/>
                <w:szCs w:val="18"/>
              </w:rPr>
              <w:t>2 020,3</w:t>
            </w:r>
          </w:p>
        </w:tc>
        <w:tc>
          <w:tcPr>
            <w:tcW w:w="100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2 059,5</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2007</w:t>
            </w:r>
          </w:p>
        </w:tc>
        <w:tc>
          <w:tcPr>
            <w:tcW w:w="1032" w:type="dxa"/>
            <w:noWrap/>
          </w:tcPr>
          <w:p w:rsidR="001D2E73" w:rsidRDefault="001D2E73">
            <w:pPr>
              <w:spacing w:before="40" w:after="40" w:line="220" w:lineRule="exact"/>
              <w:jc w:val="right"/>
              <w:rPr>
                <w:sz w:val="18"/>
                <w:szCs w:val="18"/>
              </w:rPr>
            </w:pPr>
            <w:r>
              <w:rPr>
                <w:sz w:val="18"/>
                <w:szCs w:val="18"/>
              </w:rPr>
              <w:t>8 532,7</w:t>
            </w:r>
          </w:p>
        </w:tc>
        <w:tc>
          <w:tcPr>
            <w:tcW w:w="977" w:type="dxa"/>
            <w:noWrap/>
          </w:tcPr>
          <w:p w:rsidR="001D2E73" w:rsidRDefault="001D2E73">
            <w:pPr>
              <w:spacing w:before="40" w:after="40" w:line="220" w:lineRule="exact"/>
              <w:jc w:val="right"/>
              <w:rPr>
                <w:sz w:val="18"/>
                <w:szCs w:val="18"/>
              </w:rPr>
            </w:pPr>
            <w:r>
              <w:rPr>
                <w:sz w:val="18"/>
                <w:szCs w:val="18"/>
              </w:rPr>
              <w:t>4 205,0</w:t>
            </w:r>
          </w:p>
        </w:tc>
        <w:tc>
          <w:tcPr>
            <w:tcW w:w="999" w:type="dxa"/>
            <w:noWrap/>
          </w:tcPr>
          <w:p w:rsidR="001D2E73" w:rsidRDefault="001D2E73">
            <w:pPr>
              <w:spacing w:before="40" w:after="40" w:line="220" w:lineRule="exact"/>
              <w:jc w:val="right"/>
              <w:rPr>
                <w:sz w:val="18"/>
                <w:szCs w:val="18"/>
              </w:rPr>
            </w:pPr>
            <w:r>
              <w:rPr>
                <w:sz w:val="18"/>
                <w:szCs w:val="18"/>
              </w:rPr>
              <w:t>4 327,7</w:t>
            </w:r>
          </w:p>
        </w:tc>
        <w:tc>
          <w:tcPr>
            <w:tcW w:w="1053" w:type="dxa"/>
            <w:noWrap/>
          </w:tcPr>
          <w:p w:rsidR="001D2E73" w:rsidRDefault="001D2E73">
            <w:pPr>
              <w:spacing w:before="40" w:after="40" w:line="220" w:lineRule="exact"/>
              <w:jc w:val="right"/>
              <w:rPr>
                <w:sz w:val="18"/>
                <w:szCs w:val="18"/>
              </w:rPr>
            </w:pPr>
            <w:r>
              <w:rPr>
                <w:sz w:val="18"/>
                <w:szCs w:val="18"/>
              </w:rPr>
              <w:t>4 397,6</w:t>
            </w:r>
          </w:p>
        </w:tc>
        <w:tc>
          <w:tcPr>
            <w:tcW w:w="977" w:type="dxa"/>
            <w:noWrap/>
          </w:tcPr>
          <w:p w:rsidR="001D2E73" w:rsidRDefault="001D2E73">
            <w:pPr>
              <w:spacing w:before="40" w:after="40" w:line="220" w:lineRule="exact"/>
              <w:jc w:val="right"/>
              <w:rPr>
                <w:sz w:val="18"/>
                <w:szCs w:val="18"/>
              </w:rPr>
            </w:pPr>
            <w:r>
              <w:rPr>
                <w:sz w:val="18"/>
                <w:szCs w:val="18"/>
              </w:rPr>
              <w:t>2 154,1</w:t>
            </w:r>
          </w:p>
        </w:tc>
        <w:tc>
          <w:tcPr>
            <w:tcW w:w="999" w:type="dxa"/>
            <w:noWrap/>
          </w:tcPr>
          <w:p w:rsidR="001D2E73" w:rsidRDefault="001D2E73">
            <w:pPr>
              <w:spacing w:before="40" w:after="40" w:line="220" w:lineRule="exact"/>
              <w:jc w:val="right"/>
              <w:rPr>
                <w:sz w:val="18"/>
                <w:szCs w:val="18"/>
              </w:rPr>
            </w:pPr>
            <w:r>
              <w:rPr>
                <w:sz w:val="18"/>
                <w:szCs w:val="18"/>
              </w:rPr>
              <w:t>2 243,5</w:t>
            </w:r>
          </w:p>
        </w:tc>
        <w:tc>
          <w:tcPr>
            <w:tcW w:w="1032" w:type="dxa"/>
            <w:noWrap/>
          </w:tcPr>
          <w:p w:rsidR="001D2E73" w:rsidRDefault="001D2E73">
            <w:pPr>
              <w:spacing w:before="40" w:after="40" w:line="220" w:lineRule="exact"/>
              <w:jc w:val="right"/>
              <w:rPr>
                <w:sz w:val="18"/>
                <w:szCs w:val="18"/>
              </w:rPr>
            </w:pPr>
            <w:r>
              <w:rPr>
                <w:sz w:val="18"/>
                <w:szCs w:val="18"/>
              </w:rPr>
              <w:t>4 135,1</w:t>
            </w:r>
          </w:p>
        </w:tc>
        <w:tc>
          <w:tcPr>
            <w:tcW w:w="977" w:type="dxa"/>
            <w:noWrap/>
          </w:tcPr>
          <w:p w:rsidR="001D2E73" w:rsidRDefault="001D2E73">
            <w:pPr>
              <w:spacing w:before="40" w:after="40" w:line="220" w:lineRule="exact"/>
              <w:jc w:val="right"/>
              <w:rPr>
                <w:sz w:val="18"/>
                <w:szCs w:val="18"/>
              </w:rPr>
            </w:pPr>
            <w:r>
              <w:rPr>
                <w:sz w:val="18"/>
                <w:szCs w:val="18"/>
              </w:rPr>
              <w:t>2 050,9</w:t>
            </w:r>
          </w:p>
        </w:tc>
        <w:tc>
          <w:tcPr>
            <w:tcW w:w="100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2 084,2</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2008</w:t>
            </w:r>
          </w:p>
        </w:tc>
        <w:tc>
          <w:tcPr>
            <w:tcW w:w="1032" w:type="dxa"/>
            <w:noWrap/>
          </w:tcPr>
          <w:p w:rsidR="001D2E73" w:rsidRDefault="001D2E73">
            <w:pPr>
              <w:spacing w:before="40" w:after="40" w:line="220" w:lineRule="exact"/>
              <w:jc w:val="right"/>
              <w:rPr>
                <w:sz w:val="18"/>
                <w:szCs w:val="18"/>
              </w:rPr>
            </w:pPr>
            <w:r>
              <w:rPr>
                <w:sz w:val="18"/>
                <w:szCs w:val="18"/>
              </w:rPr>
              <w:t>8 629,9</w:t>
            </w:r>
          </w:p>
        </w:tc>
        <w:tc>
          <w:tcPr>
            <w:tcW w:w="977" w:type="dxa"/>
            <w:noWrap/>
          </w:tcPr>
          <w:p w:rsidR="001D2E73" w:rsidRDefault="001D2E73">
            <w:pPr>
              <w:spacing w:before="40" w:after="40" w:line="220" w:lineRule="exact"/>
              <w:jc w:val="right"/>
              <w:rPr>
                <w:sz w:val="18"/>
                <w:szCs w:val="18"/>
              </w:rPr>
            </w:pPr>
            <w:r>
              <w:rPr>
                <w:sz w:val="18"/>
                <w:szCs w:val="18"/>
              </w:rPr>
              <w:t>4 258,1</w:t>
            </w:r>
          </w:p>
        </w:tc>
        <w:tc>
          <w:tcPr>
            <w:tcW w:w="999" w:type="dxa"/>
            <w:noWrap/>
          </w:tcPr>
          <w:p w:rsidR="001D2E73" w:rsidRDefault="001D2E73">
            <w:pPr>
              <w:spacing w:before="40" w:after="40" w:line="220" w:lineRule="exact"/>
              <w:jc w:val="right"/>
              <w:rPr>
                <w:sz w:val="18"/>
                <w:szCs w:val="18"/>
              </w:rPr>
            </w:pPr>
            <w:r>
              <w:rPr>
                <w:sz w:val="18"/>
                <w:szCs w:val="18"/>
              </w:rPr>
              <w:t>4 371,8</w:t>
            </w:r>
          </w:p>
        </w:tc>
        <w:tc>
          <w:tcPr>
            <w:tcW w:w="1053" w:type="dxa"/>
            <w:noWrap/>
          </w:tcPr>
          <w:p w:rsidR="001D2E73" w:rsidRDefault="001D2E73">
            <w:pPr>
              <w:spacing w:before="40" w:after="40" w:line="220" w:lineRule="exact"/>
              <w:jc w:val="right"/>
              <w:rPr>
                <w:sz w:val="18"/>
                <w:szCs w:val="18"/>
              </w:rPr>
            </w:pPr>
            <w:r>
              <w:rPr>
                <w:sz w:val="18"/>
                <w:szCs w:val="18"/>
              </w:rPr>
              <w:t>4 464,8</w:t>
            </w:r>
          </w:p>
        </w:tc>
        <w:tc>
          <w:tcPr>
            <w:tcW w:w="977" w:type="dxa"/>
            <w:noWrap/>
          </w:tcPr>
          <w:p w:rsidR="001D2E73" w:rsidRDefault="001D2E73">
            <w:pPr>
              <w:spacing w:before="40" w:after="40" w:line="220" w:lineRule="exact"/>
              <w:jc w:val="right"/>
              <w:rPr>
                <w:sz w:val="18"/>
                <w:szCs w:val="18"/>
              </w:rPr>
            </w:pPr>
            <w:r>
              <w:rPr>
                <w:sz w:val="18"/>
                <w:szCs w:val="18"/>
              </w:rPr>
              <w:t>2 189,2</w:t>
            </w:r>
          </w:p>
        </w:tc>
        <w:tc>
          <w:tcPr>
            <w:tcW w:w="999" w:type="dxa"/>
            <w:noWrap/>
          </w:tcPr>
          <w:p w:rsidR="001D2E73" w:rsidRDefault="001D2E73">
            <w:pPr>
              <w:spacing w:before="40" w:after="40" w:line="220" w:lineRule="exact"/>
              <w:jc w:val="right"/>
              <w:rPr>
                <w:sz w:val="18"/>
                <w:szCs w:val="18"/>
              </w:rPr>
            </w:pPr>
            <w:r>
              <w:rPr>
                <w:sz w:val="18"/>
                <w:szCs w:val="18"/>
              </w:rPr>
              <w:t>2 275,6</w:t>
            </w:r>
          </w:p>
        </w:tc>
        <w:tc>
          <w:tcPr>
            <w:tcW w:w="1032" w:type="dxa"/>
            <w:noWrap/>
          </w:tcPr>
          <w:p w:rsidR="001D2E73" w:rsidRDefault="001D2E73">
            <w:pPr>
              <w:spacing w:before="40" w:after="40" w:line="220" w:lineRule="exact"/>
              <w:jc w:val="right"/>
              <w:rPr>
                <w:sz w:val="18"/>
                <w:szCs w:val="18"/>
              </w:rPr>
            </w:pPr>
            <w:r>
              <w:rPr>
                <w:sz w:val="18"/>
                <w:szCs w:val="18"/>
              </w:rPr>
              <w:t>4 165,1</w:t>
            </w:r>
          </w:p>
        </w:tc>
        <w:tc>
          <w:tcPr>
            <w:tcW w:w="977" w:type="dxa"/>
            <w:noWrap/>
          </w:tcPr>
          <w:p w:rsidR="001D2E73" w:rsidRDefault="001D2E73">
            <w:pPr>
              <w:spacing w:before="40" w:after="40" w:line="220" w:lineRule="exact"/>
              <w:jc w:val="right"/>
              <w:rPr>
                <w:sz w:val="18"/>
                <w:szCs w:val="18"/>
              </w:rPr>
            </w:pPr>
            <w:r>
              <w:rPr>
                <w:sz w:val="18"/>
                <w:szCs w:val="18"/>
              </w:rPr>
              <w:t>2 068,9</w:t>
            </w:r>
          </w:p>
        </w:tc>
        <w:tc>
          <w:tcPr>
            <w:tcW w:w="100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2 096,2</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2009</w:t>
            </w:r>
          </w:p>
        </w:tc>
        <w:tc>
          <w:tcPr>
            <w:tcW w:w="1032" w:type="dxa"/>
            <w:noWrap/>
          </w:tcPr>
          <w:p w:rsidR="001D2E73" w:rsidRDefault="001D2E73">
            <w:pPr>
              <w:spacing w:before="40" w:after="40" w:line="220" w:lineRule="exact"/>
              <w:jc w:val="right"/>
              <w:rPr>
                <w:sz w:val="18"/>
                <w:szCs w:val="18"/>
              </w:rPr>
            </w:pPr>
            <w:r>
              <w:rPr>
                <w:sz w:val="18"/>
                <w:szCs w:val="18"/>
              </w:rPr>
              <w:t>8 730,3</w:t>
            </w:r>
          </w:p>
        </w:tc>
        <w:tc>
          <w:tcPr>
            <w:tcW w:w="977" w:type="dxa"/>
            <w:noWrap/>
          </w:tcPr>
          <w:p w:rsidR="001D2E73" w:rsidRDefault="001D2E73">
            <w:pPr>
              <w:spacing w:before="40" w:after="40" w:line="220" w:lineRule="exact"/>
              <w:jc w:val="right"/>
              <w:rPr>
                <w:sz w:val="18"/>
                <w:szCs w:val="18"/>
              </w:rPr>
            </w:pPr>
            <w:r>
              <w:rPr>
                <w:sz w:val="18"/>
                <w:szCs w:val="18"/>
              </w:rPr>
              <w:t>4 313,0</w:t>
            </w:r>
          </w:p>
        </w:tc>
        <w:tc>
          <w:tcPr>
            <w:tcW w:w="999" w:type="dxa"/>
            <w:noWrap/>
          </w:tcPr>
          <w:p w:rsidR="001D2E73" w:rsidRDefault="001D2E73">
            <w:pPr>
              <w:spacing w:before="40" w:after="40" w:line="220" w:lineRule="exact"/>
              <w:jc w:val="right"/>
              <w:rPr>
                <w:sz w:val="18"/>
                <w:szCs w:val="18"/>
              </w:rPr>
            </w:pPr>
            <w:r>
              <w:rPr>
                <w:sz w:val="18"/>
                <w:szCs w:val="18"/>
              </w:rPr>
              <w:t>4 417,3</w:t>
            </w:r>
          </w:p>
        </w:tc>
        <w:tc>
          <w:tcPr>
            <w:tcW w:w="1053" w:type="dxa"/>
            <w:noWrap/>
          </w:tcPr>
          <w:p w:rsidR="001D2E73" w:rsidRDefault="001D2E73">
            <w:pPr>
              <w:spacing w:before="40" w:after="40" w:line="220" w:lineRule="exact"/>
              <w:jc w:val="right"/>
              <w:rPr>
                <w:sz w:val="18"/>
                <w:szCs w:val="18"/>
              </w:rPr>
            </w:pPr>
            <w:r>
              <w:rPr>
                <w:sz w:val="18"/>
                <w:szCs w:val="18"/>
              </w:rPr>
              <w:t>4 519,5</w:t>
            </w:r>
          </w:p>
        </w:tc>
        <w:tc>
          <w:tcPr>
            <w:tcW w:w="977" w:type="dxa"/>
            <w:noWrap/>
          </w:tcPr>
          <w:p w:rsidR="001D2E73" w:rsidRDefault="001D2E73">
            <w:pPr>
              <w:spacing w:before="40" w:after="40" w:line="220" w:lineRule="exact"/>
              <w:jc w:val="right"/>
              <w:rPr>
                <w:sz w:val="18"/>
                <w:szCs w:val="18"/>
              </w:rPr>
            </w:pPr>
            <w:r>
              <w:rPr>
                <w:sz w:val="18"/>
                <w:szCs w:val="18"/>
              </w:rPr>
              <w:t>2 217,7</w:t>
            </w:r>
          </w:p>
        </w:tc>
        <w:tc>
          <w:tcPr>
            <w:tcW w:w="999" w:type="dxa"/>
            <w:noWrap/>
          </w:tcPr>
          <w:p w:rsidR="001D2E73" w:rsidRDefault="001D2E73">
            <w:pPr>
              <w:spacing w:before="40" w:after="40" w:line="220" w:lineRule="exact"/>
              <w:jc w:val="right"/>
              <w:rPr>
                <w:sz w:val="18"/>
                <w:szCs w:val="18"/>
              </w:rPr>
            </w:pPr>
            <w:r>
              <w:rPr>
                <w:sz w:val="18"/>
                <w:szCs w:val="18"/>
              </w:rPr>
              <w:t>2 301,8</w:t>
            </w:r>
          </w:p>
        </w:tc>
        <w:tc>
          <w:tcPr>
            <w:tcW w:w="1032" w:type="dxa"/>
            <w:noWrap/>
          </w:tcPr>
          <w:p w:rsidR="001D2E73" w:rsidRDefault="001D2E73">
            <w:pPr>
              <w:spacing w:before="40" w:after="40" w:line="220" w:lineRule="exact"/>
              <w:jc w:val="right"/>
              <w:rPr>
                <w:sz w:val="18"/>
                <w:szCs w:val="18"/>
              </w:rPr>
            </w:pPr>
            <w:r>
              <w:rPr>
                <w:sz w:val="18"/>
                <w:szCs w:val="18"/>
              </w:rPr>
              <w:t>4 210,8</w:t>
            </w:r>
          </w:p>
        </w:tc>
        <w:tc>
          <w:tcPr>
            <w:tcW w:w="977" w:type="dxa"/>
            <w:noWrap/>
          </w:tcPr>
          <w:p w:rsidR="001D2E73" w:rsidRDefault="001D2E73">
            <w:pPr>
              <w:spacing w:before="40" w:after="40" w:line="220" w:lineRule="exact"/>
              <w:jc w:val="right"/>
              <w:rPr>
                <w:sz w:val="18"/>
                <w:szCs w:val="18"/>
              </w:rPr>
            </w:pPr>
            <w:r>
              <w:rPr>
                <w:sz w:val="18"/>
                <w:szCs w:val="18"/>
              </w:rPr>
              <w:t>2 095,3</w:t>
            </w:r>
          </w:p>
        </w:tc>
        <w:tc>
          <w:tcPr>
            <w:tcW w:w="1002"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2 115,5</w:t>
            </w:r>
          </w:p>
        </w:tc>
      </w:tr>
    </w:tbl>
    <w:tbl>
      <w:tblPr>
        <w:tblpPr w:leftFromText="180" w:rightFromText="180" w:vertAnchor="text" w:horzAnchor="margin" w:tblpY="3294"/>
        <w:tblW w:w="9675"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627"/>
        <w:gridCol w:w="1032"/>
        <w:gridCol w:w="977"/>
        <w:gridCol w:w="999"/>
        <w:gridCol w:w="1053"/>
        <w:gridCol w:w="977"/>
        <w:gridCol w:w="999"/>
        <w:gridCol w:w="1032"/>
        <w:gridCol w:w="977"/>
        <w:gridCol w:w="1002"/>
      </w:tblGrid>
      <w:tr w:rsidR="001D2E73">
        <w:trPr>
          <w:trHeight w:val="183"/>
        </w:trPr>
        <w:tc>
          <w:tcPr>
            <w:tcW w:w="9675" w:type="dxa"/>
            <w:gridSpan w:val="10"/>
            <w:tcBorders>
              <w:top w:val="nil"/>
              <w:left w:val="nil"/>
              <w:bottom w:val="single" w:sz="4" w:space="0" w:color="auto"/>
              <w:right w:val="nil"/>
              <w:tl2br w:val="nil"/>
              <w:tr2bl w:val="nil"/>
            </w:tcBorders>
          </w:tcPr>
          <w:p w:rsidR="001D2E73" w:rsidRDefault="001D2E73">
            <w:pPr>
              <w:spacing w:before="120" w:after="120"/>
              <w:rPr>
                <w:sz w:val="16"/>
                <w:szCs w:val="16"/>
              </w:rPr>
            </w:pPr>
            <w:r>
              <w:rPr>
                <w:i/>
              </w:rPr>
              <w:tab/>
            </w:r>
            <w:r>
              <w:rPr>
                <w:i/>
              </w:rPr>
              <w:tab/>
            </w:r>
            <w:r>
              <w:t>(</w:t>
            </w:r>
            <w:r>
              <w:rPr>
                <w:sz w:val="16"/>
                <w:szCs w:val="16"/>
              </w:rPr>
              <w:t>en porcentaje)</w:t>
            </w:r>
          </w:p>
        </w:tc>
      </w:tr>
      <w:tr w:rsidR="001D2E73">
        <w:trPr>
          <w:trHeight w:val="348"/>
        </w:trPr>
        <w:tc>
          <w:tcPr>
            <w:tcW w:w="627" w:type="dxa"/>
            <w:vMerge w:val="restart"/>
            <w:tcBorders>
              <w:top w:val="single" w:sz="4" w:space="0" w:color="auto"/>
              <w:bottom w:val="nil"/>
            </w:tcBorders>
            <w:shd w:val="clear" w:color="auto" w:fill="auto"/>
            <w:vAlign w:val="bottom"/>
          </w:tcPr>
          <w:p w:rsidR="001D2E73" w:rsidRDefault="001D2E73">
            <w:pPr>
              <w:spacing w:before="80" w:after="80" w:line="200" w:lineRule="exact"/>
              <w:rPr>
                <w:i/>
                <w:sz w:val="16"/>
              </w:rPr>
            </w:pPr>
            <w:r>
              <w:rPr>
                <w:i/>
                <w:sz w:val="16"/>
              </w:rPr>
              <w:t>Años</w:t>
            </w:r>
          </w:p>
        </w:tc>
        <w:tc>
          <w:tcPr>
            <w:tcW w:w="1032" w:type="dxa"/>
            <w:vMerge w:val="restart"/>
            <w:tcBorders>
              <w:top w:val="single" w:sz="4" w:space="0" w:color="auto"/>
              <w:bottom w:val="nil"/>
            </w:tcBorders>
            <w:shd w:val="clear" w:color="auto" w:fill="auto"/>
            <w:vAlign w:val="bottom"/>
          </w:tcPr>
          <w:p w:rsidR="001D2E73" w:rsidRDefault="001D2E73">
            <w:pPr>
              <w:spacing w:before="80" w:after="80" w:line="200" w:lineRule="exact"/>
              <w:jc w:val="right"/>
              <w:rPr>
                <w:i/>
                <w:sz w:val="16"/>
              </w:rPr>
            </w:pPr>
            <w:r>
              <w:rPr>
                <w:i/>
                <w:sz w:val="16"/>
              </w:rPr>
              <w:t>Total de p</w:t>
            </w:r>
            <w:r>
              <w:rPr>
                <w:i/>
                <w:sz w:val="16"/>
              </w:rPr>
              <w:t>o</w:t>
            </w:r>
            <w:r>
              <w:rPr>
                <w:i/>
                <w:sz w:val="16"/>
              </w:rPr>
              <w:t>blación</w:t>
            </w:r>
          </w:p>
        </w:tc>
        <w:tc>
          <w:tcPr>
            <w:tcW w:w="1976" w:type="dxa"/>
            <w:gridSpan w:val="2"/>
            <w:tcBorders>
              <w:top w:val="single" w:sz="4" w:space="0" w:color="auto"/>
              <w:bottom w:val="single" w:sz="4" w:space="0" w:color="auto"/>
            </w:tcBorders>
            <w:shd w:val="clear" w:color="auto" w:fill="auto"/>
            <w:noWrap/>
            <w:vAlign w:val="bottom"/>
          </w:tcPr>
          <w:p w:rsidR="001D2E73" w:rsidRDefault="001D2E73">
            <w:pPr>
              <w:spacing w:before="80" w:after="80" w:line="200" w:lineRule="exact"/>
              <w:jc w:val="center"/>
              <w:rPr>
                <w:i/>
                <w:sz w:val="16"/>
              </w:rPr>
            </w:pPr>
            <w:r>
              <w:rPr>
                <w:i/>
                <w:sz w:val="16"/>
              </w:rPr>
              <w:t>Desglosado en:</w:t>
            </w:r>
          </w:p>
        </w:tc>
        <w:tc>
          <w:tcPr>
            <w:tcW w:w="1053" w:type="dxa"/>
            <w:vMerge w:val="restart"/>
            <w:tcBorders>
              <w:top w:val="single" w:sz="4" w:space="0" w:color="auto"/>
              <w:bottom w:val="nil"/>
            </w:tcBorders>
            <w:shd w:val="clear" w:color="auto" w:fill="auto"/>
            <w:vAlign w:val="bottom"/>
          </w:tcPr>
          <w:p w:rsidR="001D2E73" w:rsidRDefault="001D2E73">
            <w:pPr>
              <w:spacing w:before="80" w:after="80" w:line="200" w:lineRule="exact"/>
              <w:jc w:val="right"/>
              <w:rPr>
                <w:i/>
                <w:sz w:val="16"/>
              </w:rPr>
            </w:pPr>
            <w:r>
              <w:rPr>
                <w:i/>
                <w:sz w:val="16"/>
              </w:rPr>
              <w:t>Población urbana</w:t>
            </w:r>
          </w:p>
        </w:tc>
        <w:tc>
          <w:tcPr>
            <w:tcW w:w="1976" w:type="dxa"/>
            <w:gridSpan w:val="2"/>
            <w:tcBorders>
              <w:top w:val="single" w:sz="4" w:space="0" w:color="auto"/>
              <w:bottom w:val="single" w:sz="4" w:space="0" w:color="auto"/>
            </w:tcBorders>
            <w:shd w:val="clear" w:color="auto" w:fill="auto"/>
            <w:noWrap/>
            <w:vAlign w:val="bottom"/>
          </w:tcPr>
          <w:p w:rsidR="001D2E73" w:rsidRDefault="001D2E73">
            <w:pPr>
              <w:spacing w:before="80" w:after="80" w:line="200" w:lineRule="exact"/>
              <w:jc w:val="center"/>
              <w:rPr>
                <w:i/>
                <w:sz w:val="16"/>
              </w:rPr>
            </w:pPr>
            <w:r>
              <w:rPr>
                <w:i/>
                <w:sz w:val="16"/>
              </w:rPr>
              <w:t>Desglosado en:</w:t>
            </w:r>
          </w:p>
        </w:tc>
        <w:tc>
          <w:tcPr>
            <w:tcW w:w="1032" w:type="dxa"/>
            <w:vMerge w:val="restart"/>
            <w:tcBorders>
              <w:top w:val="single" w:sz="4" w:space="0" w:color="auto"/>
              <w:bottom w:val="nil"/>
            </w:tcBorders>
            <w:shd w:val="clear" w:color="auto" w:fill="auto"/>
            <w:vAlign w:val="bottom"/>
          </w:tcPr>
          <w:p w:rsidR="001D2E73" w:rsidRDefault="001D2E73">
            <w:pPr>
              <w:spacing w:before="80" w:after="80" w:line="200" w:lineRule="exact"/>
              <w:jc w:val="right"/>
              <w:rPr>
                <w:i/>
                <w:sz w:val="16"/>
              </w:rPr>
            </w:pPr>
            <w:r>
              <w:rPr>
                <w:i/>
                <w:sz w:val="16"/>
              </w:rPr>
              <w:t>Población rural</w:t>
            </w:r>
          </w:p>
        </w:tc>
        <w:tc>
          <w:tcPr>
            <w:tcW w:w="1979" w:type="dxa"/>
            <w:gridSpan w:val="2"/>
            <w:tcBorders>
              <w:top w:val="single" w:sz="4" w:space="0" w:color="auto"/>
              <w:left w:val="nil"/>
              <w:bottom w:val="single" w:sz="4" w:space="0" w:color="auto"/>
              <w:right w:val="nil"/>
              <w:tl2br w:val="nil"/>
              <w:tr2bl w:val="nil"/>
            </w:tcBorders>
            <w:shd w:val="clear" w:color="auto" w:fill="auto"/>
            <w:noWrap/>
            <w:vAlign w:val="bottom"/>
          </w:tcPr>
          <w:p w:rsidR="001D2E73" w:rsidRDefault="001D2E73">
            <w:pPr>
              <w:spacing w:before="80" w:after="80" w:line="200" w:lineRule="exact"/>
              <w:jc w:val="center"/>
              <w:rPr>
                <w:i/>
                <w:sz w:val="16"/>
              </w:rPr>
            </w:pPr>
            <w:r>
              <w:rPr>
                <w:i/>
                <w:sz w:val="16"/>
              </w:rPr>
              <w:t>Desglosado en:</w:t>
            </w:r>
          </w:p>
        </w:tc>
      </w:tr>
      <w:tr w:rsidR="001D2E73">
        <w:trPr>
          <w:trHeight w:val="195"/>
        </w:trPr>
        <w:tc>
          <w:tcPr>
            <w:tcW w:w="627" w:type="dxa"/>
            <w:vMerge/>
            <w:tcBorders>
              <w:top w:val="nil"/>
              <w:bottom w:val="single" w:sz="12" w:space="0" w:color="auto"/>
            </w:tcBorders>
            <w:shd w:val="clear" w:color="auto" w:fill="auto"/>
          </w:tcPr>
          <w:p w:rsidR="001D2E73" w:rsidRDefault="001D2E73">
            <w:pPr>
              <w:spacing w:before="80" w:after="80" w:line="200" w:lineRule="exact"/>
              <w:rPr>
                <w:i/>
                <w:sz w:val="16"/>
              </w:rPr>
            </w:pPr>
          </w:p>
        </w:tc>
        <w:tc>
          <w:tcPr>
            <w:tcW w:w="1032" w:type="dxa"/>
            <w:vMerge/>
            <w:tcBorders>
              <w:top w:val="nil"/>
              <w:bottom w:val="single" w:sz="12" w:space="0" w:color="auto"/>
            </w:tcBorders>
            <w:shd w:val="clear" w:color="auto" w:fill="auto"/>
            <w:vAlign w:val="bottom"/>
          </w:tcPr>
          <w:p w:rsidR="001D2E73" w:rsidRDefault="001D2E73">
            <w:pPr>
              <w:spacing w:before="80" w:after="80" w:line="200" w:lineRule="exact"/>
              <w:jc w:val="right"/>
              <w:rPr>
                <w:i/>
                <w:sz w:val="16"/>
              </w:rPr>
            </w:pPr>
          </w:p>
        </w:tc>
        <w:tc>
          <w:tcPr>
            <w:tcW w:w="977" w:type="dxa"/>
            <w:tcBorders>
              <w:top w:val="nil"/>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 xml:space="preserve">Hombres </w:t>
            </w:r>
          </w:p>
        </w:tc>
        <w:tc>
          <w:tcPr>
            <w:tcW w:w="999" w:type="dxa"/>
            <w:tcBorders>
              <w:top w:val="nil"/>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Mujeres</w:t>
            </w:r>
          </w:p>
        </w:tc>
        <w:tc>
          <w:tcPr>
            <w:tcW w:w="1053" w:type="dxa"/>
            <w:vMerge/>
            <w:tcBorders>
              <w:top w:val="nil"/>
              <w:bottom w:val="single" w:sz="12" w:space="0" w:color="auto"/>
            </w:tcBorders>
            <w:shd w:val="clear" w:color="auto" w:fill="auto"/>
            <w:vAlign w:val="bottom"/>
          </w:tcPr>
          <w:p w:rsidR="001D2E73" w:rsidRDefault="001D2E73">
            <w:pPr>
              <w:spacing w:before="80" w:after="80" w:line="200" w:lineRule="exact"/>
              <w:jc w:val="right"/>
              <w:rPr>
                <w:i/>
                <w:sz w:val="16"/>
              </w:rPr>
            </w:pPr>
          </w:p>
        </w:tc>
        <w:tc>
          <w:tcPr>
            <w:tcW w:w="977" w:type="dxa"/>
            <w:tcBorders>
              <w:top w:val="nil"/>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 xml:space="preserve">Hombres </w:t>
            </w:r>
          </w:p>
        </w:tc>
        <w:tc>
          <w:tcPr>
            <w:tcW w:w="999" w:type="dxa"/>
            <w:tcBorders>
              <w:top w:val="nil"/>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Mujeres</w:t>
            </w:r>
          </w:p>
        </w:tc>
        <w:tc>
          <w:tcPr>
            <w:tcW w:w="1032" w:type="dxa"/>
            <w:vMerge/>
            <w:tcBorders>
              <w:top w:val="nil"/>
              <w:bottom w:val="single" w:sz="12" w:space="0" w:color="auto"/>
            </w:tcBorders>
            <w:shd w:val="clear" w:color="auto" w:fill="auto"/>
            <w:vAlign w:val="bottom"/>
          </w:tcPr>
          <w:p w:rsidR="001D2E73" w:rsidRDefault="001D2E73">
            <w:pPr>
              <w:spacing w:before="80" w:after="80" w:line="200" w:lineRule="exact"/>
              <w:jc w:val="right"/>
              <w:rPr>
                <w:i/>
                <w:sz w:val="16"/>
              </w:rPr>
            </w:pPr>
          </w:p>
        </w:tc>
        <w:tc>
          <w:tcPr>
            <w:tcW w:w="977" w:type="dxa"/>
            <w:tcBorders>
              <w:top w:val="nil"/>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 xml:space="preserve">Hombres </w:t>
            </w:r>
          </w:p>
        </w:tc>
        <w:tc>
          <w:tcPr>
            <w:tcW w:w="1002" w:type="dxa"/>
            <w:tcBorders>
              <w:top w:val="nil"/>
              <w:left w:val="nil"/>
              <w:bottom w:val="single" w:sz="12" w:space="0" w:color="auto"/>
              <w:right w:val="nil"/>
              <w:tl2br w:val="nil"/>
              <w:tr2bl w:val="nil"/>
            </w:tcBorders>
            <w:shd w:val="clear" w:color="auto" w:fill="auto"/>
            <w:vAlign w:val="bottom"/>
          </w:tcPr>
          <w:p w:rsidR="001D2E73" w:rsidRDefault="001D2E73">
            <w:pPr>
              <w:spacing w:before="80" w:after="80" w:line="200" w:lineRule="exact"/>
              <w:jc w:val="right"/>
              <w:rPr>
                <w:i/>
                <w:sz w:val="16"/>
              </w:rPr>
            </w:pPr>
            <w:r>
              <w:rPr>
                <w:i/>
                <w:sz w:val="16"/>
              </w:rPr>
              <w:t>Mujeres</w:t>
            </w:r>
          </w:p>
        </w:tc>
      </w:tr>
      <w:tr w:rsidR="001D2E73">
        <w:trPr>
          <w:trHeight w:val="195"/>
        </w:trPr>
        <w:tc>
          <w:tcPr>
            <w:tcW w:w="627" w:type="dxa"/>
            <w:tcBorders>
              <w:top w:val="single" w:sz="12" w:space="0" w:color="auto"/>
            </w:tcBorders>
            <w:noWrap/>
          </w:tcPr>
          <w:p w:rsidR="001D2E73" w:rsidRDefault="001D2E73">
            <w:pPr>
              <w:spacing w:before="40" w:after="40" w:line="220" w:lineRule="exact"/>
              <w:rPr>
                <w:sz w:val="18"/>
                <w:szCs w:val="18"/>
              </w:rPr>
            </w:pPr>
            <w:r>
              <w:rPr>
                <w:sz w:val="18"/>
                <w:szCs w:val="18"/>
              </w:rPr>
              <w:t>2003</w:t>
            </w:r>
          </w:p>
        </w:tc>
        <w:tc>
          <w:tcPr>
            <w:tcW w:w="1032" w:type="dxa"/>
            <w:tcBorders>
              <w:top w:val="single" w:sz="12" w:space="0" w:color="auto"/>
            </w:tcBorders>
            <w:noWrap/>
          </w:tcPr>
          <w:p w:rsidR="001D2E73" w:rsidRDefault="001D2E73">
            <w:pPr>
              <w:spacing w:before="40" w:after="40" w:line="220" w:lineRule="exact"/>
              <w:jc w:val="right"/>
              <w:rPr>
                <w:sz w:val="18"/>
                <w:szCs w:val="18"/>
              </w:rPr>
            </w:pPr>
            <w:r>
              <w:rPr>
                <w:sz w:val="18"/>
                <w:szCs w:val="18"/>
              </w:rPr>
              <w:t>100,0</w:t>
            </w:r>
          </w:p>
        </w:tc>
        <w:tc>
          <w:tcPr>
            <w:tcW w:w="977" w:type="dxa"/>
            <w:tcBorders>
              <w:top w:val="single" w:sz="12" w:space="0" w:color="auto"/>
            </w:tcBorders>
            <w:noWrap/>
          </w:tcPr>
          <w:p w:rsidR="001D2E73" w:rsidRDefault="001D2E73">
            <w:pPr>
              <w:spacing w:before="40" w:after="40" w:line="220" w:lineRule="exact"/>
              <w:jc w:val="right"/>
              <w:rPr>
                <w:sz w:val="18"/>
                <w:szCs w:val="18"/>
              </w:rPr>
            </w:pPr>
            <w:r>
              <w:rPr>
                <w:sz w:val="18"/>
                <w:szCs w:val="18"/>
              </w:rPr>
              <w:t>49,1</w:t>
            </w:r>
          </w:p>
        </w:tc>
        <w:tc>
          <w:tcPr>
            <w:tcW w:w="999" w:type="dxa"/>
            <w:tcBorders>
              <w:top w:val="single" w:sz="12" w:space="0" w:color="auto"/>
            </w:tcBorders>
            <w:noWrap/>
          </w:tcPr>
          <w:p w:rsidR="001D2E73" w:rsidRDefault="001D2E73">
            <w:pPr>
              <w:spacing w:before="40" w:after="40" w:line="220" w:lineRule="exact"/>
              <w:jc w:val="right"/>
              <w:rPr>
                <w:sz w:val="18"/>
                <w:szCs w:val="18"/>
              </w:rPr>
            </w:pPr>
            <w:r>
              <w:rPr>
                <w:sz w:val="18"/>
                <w:szCs w:val="18"/>
              </w:rPr>
              <w:t>50,9</w:t>
            </w:r>
          </w:p>
        </w:tc>
        <w:tc>
          <w:tcPr>
            <w:tcW w:w="1053" w:type="dxa"/>
            <w:tcBorders>
              <w:top w:val="single" w:sz="12" w:space="0" w:color="auto"/>
            </w:tcBorders>
            <w:noWrap/>
          </w:tcPr>
          <w:p w:rsidR="001D2E73" w:rsidRDefault="001D2E73">
            <w:pPr>
              <w:spacing w:before="40" w:after="40" w:line="220" w:lineRule="exact"/>
              <w:jc w:val="right"/>
              <w:rPr>
                <w:sz w:val="18"/>
                <w:szCs w:val="18"/>
              </w:rPr>
            </w:pPr>
            <w:r>
              <w:rPr>
                <w:sz w:val="18"/>
                <w:szCs w:val="18"/>
              </w:rPr>
              <w:t>100,0</w:t>
            </w:r>
          </w:p>
        </w:tc>
        <w:tc>
          <w:tcPr>
            <w:tcW w:w="977" w:type="dxa"/>
            <w:tcBorders>
              <w:top w:val="single" w:sz="12" w:space="0" w:color="auto"/>
            </w:tcBorders>
            <w:noWrap/>
          </w:tcPr>
          <w:p w:rsidR="001D2E73" w:rsidRDefault="001D2E73">
            <w:pPr>
              <w:spacing w:before="40" w:after="40" w:line="220" w:lineRule="exact"/>
              <w:jc w:val="right"/>
              <w:rPr>
                <w:sz w:val="18"/>
                <w:szCs w:val="18"/>
              </w:rPr>
            </w:pPr>
            <w:r>
              <w:rPr>
                <w:sz w:val="18"/>
                <w:szCs w:val="18"/>
              </w:rPr>
              <w:t>48,8</w:t>
            </w:r>
          </w:p>
        </w:tc>
        <w:tc>
          <w:tcPr>
            <w:tcW w:w="999" w:type="dxa"/>
            <w:tcBorders>
              <w:top w:val="single" w:sz="12" w:space="0" w:color="auto"/>
            </w:tcBorders>
            <w:noWrap/>
          </w:tcPr>
          <w:p w:rsidR="001D2E73" w:rsidRDefault="001D2E73">
            <w:pPr>
              <w:spacing w:before="40" w:after="40" w:line="220" w:lineRule="exact"/>
              <w:jc w:val="right"/>
              <w:rPr>
                <w:sz w:val="18"/>
                <w:szCs w:val="18"/>
              </w:rPr>
            </w:pPr>
            <w:r>
              <w:rPr>
                <w:sz w:val="18"/>
                <w:szCs w:val="18"/>
              </w:rPr>
              <w:t>51,2</w:t>
            </w:r>
          </w:p>
        </w:tc>
        <w:tc>
          <w:tcPr>
            <w:tcW w:w="1032" w:type="dxa"/>
            <w:tcBorders>
              <w:top w:val="single" w:sz="12" w:space="0" w:color="auto"/>
            </w:tcBorders>
            <w:noWrap/>
          </w:tcPr>
          <w:p w:rsidR="001D2E73" w:rsidRDefault="001D2E73">
            <w:pPr>
              <w:spacing w:before="40" w:after="40" w:line="220" w:lineRule="exact"/>
              <w:jc w:val="right"/>
              <w:rPr>
                <w:sz w:val="18"/>
                <w:szCs w:val="18"/>
              </w:rPr>
            </w:pPr>
            <w:r>
              <w:rPr>
                <w:sz w:val="18"/>
                <w:szCs w:val="18"/>
              </w:rPr>
              <w:t>100,0</w:t>
            </w:r>
          </w:p>
        </w:tc>
        <w:tc>
          <w:tcPr>
            <w:tcW w:w="977" w:type="dxa"/>
            <w:tcBorders>
              <w:top w:val="single" w:sz="12" w:space="0" w:color="auto"/>
            </w:tcBorders>
            <w:noWrap/>
          </w:tcPr>
          <w:p w:rsidR="001D2E73" w:rsidRDefault="001D2E73">
            <w:pPr>
              <w:spacing w:before="40" w:after="40" w:line="220" w:lineRule="exact"/>
              <w:jc w:val="right"/>
              <w:rPr>
                <w:sz w:val="18"/>
                <w:szCs w:val="18"/>
              </w:rPr>
            </w:pPr>
            <w:r>
              <w:rPr>
                <w:sz w:val="18"/>
                <w:szCs w:val="18"/>
              </w:rPr>
              <w:t>49,3</w:t>
            </w:r>
          </w:p>
        </w:tc>
        <w:tc>
          <w:tcPr>
            <w:tcW w:w="1002" w:type="dxa"/>
            <w:tcBorders>
              <w:top w:val="single" w:sz="12" w:space="0" w:color="auto"/>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50,7</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2004</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49,1</w:t>
            </w:r>
          </w:p>
        </w:tc>
        <w:tc>
          <w:tcPr>
            <w:tcW w:w="999" w:type="dxa"/>
            <w:noWrap/>
          </w:tcPr>
          <w:p w:rsidR="001D2E73" w:rsidRDefault="001D2E73">
            <w:pPr>
              <w:spacing w:before="40" w:after="40" w:line="220" w:lineRule="exact"/>
              <w:jc w:val="right"/>
              <w:rPr>
                <w:sz w:val="18"/>
                <w:szCs w:val="18"/>
              </w:rPr>
            </w:pPr>
            <w:r>
              <w:rPr>
                <w:sz w:val="18"/>
                <w:szCs w:val="18"/>
              </w:rPr>
              <w:t>50,9</w:t>
            </w:r>
          </w:p>
        </w:tc>
        <w:tc>
          <w:tcPr>
            <w:tcW w:w="1053"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48,8</w:t>
            </w:r>
          </w:p>
        </w:tc>
        <w:tc>
          <w:tcPr>
            <w:tcW w:w="999" w:type="dxa"/>
            <w:noWrap/>
          </w:tcPr>
          <w:p w:rsidR="001D2E73" w:rsidRDefault="001D2E73">
            <w:pPr>
              <w:spacing w:before="40" w:after="40" w:line="220" w:lineRule="exact"/>
              <w:jc w:val="right"/>
              <w:rPr>
                <w:sz w:val="18"/>
                <w:szCs w:val="18"/>
              </w:rPr>
            </w:pPr>
            <w:r>
              <w:rPr>
                <w:sz w:val="18"/>
                <w:szCs w:val="18"/>
              </w:rPr>
              <w:t>51,2</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49,4</w:t>
            </w:r>
          </w:p>
        </w:tc>
        <w:tc>
          <w:tcPr>
            <w:tcW w:w="100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50,6</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2005</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49,2</w:t>
            </w:r>
          </w:p>
        </w:tc>
        <w:tc>
          <w:tcPr>
            <w:tcW w:w="999" w:type="dxa"/>
            <w:noWrap/>
          </w:tcPr>
          <w:p w:rsidR="001D2E73" w:rsidRDefault="001D2E73">
            <w:pPr>
              <w:spacing w:before="40" w:after="40" w:line="220" w:lineRule="exact"/>
              <w:jc w:val="right"/>
              <w:rPr>
                <w:sz w:val="18"/>
                <w:szCs w:val="18"/>
              </w:rPr>
            </w:pPr>
            <w:r>
              <w:rPr>
                <w:sz w:val="18"/>
                <w:szCs w:val="18"/>
              </w:rPr>
              <w:t>50,8</w:t>
            </w:r>
          </w:p>
        </w:tc>
        <w:tc>
          <w:tcPr>
            <w:tcW w:w="1053"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48,9</w:t>
            </w:r>
          </w:p>
        </w:tc>
        <w:tc>
          <w:tcPr>
            <w:tcW w:w="999" w:type="dxa"/>
            <w:noWrap/>
          </w:tcPr>
          <w:p w:rsidR="001D2E73" w:rsidRDefault="001D2E73">
            <w:pPr>
              <w:spacing w:before="40" w:after="40" w:line="220" w:lineRule="exact"/>
              <w:jc w:val="right"/>
              <w:rPr>
                <w:sz w:val="18"/>
                <w:szCs w:val="18"/>
              </w:rPr>
            </w:pPr>
            <w:r>
              <w:rPr>
                <w:sz w:val="18"/>
                <w:szCs w:val="18"/>
              </w:rPr>
              <w:t>51,1</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49,5</w:t>
            </w:r>
          </w:p>
        </w:tc>
        <w:tc>
          <w:tcPr>
            <w:tcW w:w="100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50,5</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2006</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49,2</w:t>
            </w:r>
          </w:p>
        </w:tc>
        <w:tc>
          <w:tcPr>
            <w:tcW w:w="999" w:type="dxa"/>
            <w:noWrap/>
          </w:tcPr>
          <w:p w:rsidR="001D2E73" w:rsidRDefault="001D2E73">
            <w:pPr>
              <w:spacing w:before="40" w:after="40" w:line="220" w:lineRule="exact"/>
              <w:jc w:val="right"/>
              <w:rPr>
                <w:sz w:val="18"/>
                <w:szCs w:val="18"/>
              </w:rPr>
            </w:pPr>
            <w:r>
              <w:rPr>
                <w:sz w:val="18"/>
                <w:szCs w:val="18"/>
              </w:rPr>
              <w:t>50,8</w:t>
            </w:r>
          </w:p>
        </w:tc>
        <w:tc>
          <w:tcPr>
            <w:tcW w:w="1053"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48,9</w:t>
            </w:r>
          </w:p>
        </w:tc>
        <w:tc>
          <w:tcPr>
            <w:tcW w:w="999" w:type="dxa"/>
            <w:noWrap/>
          </w:tcPr>
          <w:p w:rsidR="001D2E73" w:rsidRDefault="001D2E73">
            <w:pPr>
              <w:spacing w:before="40" w:after="40" w:line="220" w:lineRule="exact"/>
              <w:jc w:val="right"/>
              <w:rPr>
                <w:sz w:val="18"/>
                <w:szCs w:val="18"/>
              </w:rPr>
            </w:pPr>
            <w:r>
              <w:rPr>
                <w:sz w:val="18"/>
                <w:szCs w:val="18"/>
              </w:rPr>
              <w:t>51,1</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49,5</w:t>
            </w:r>
          </w:p>
        </w:tc>
        <w:tc>
          <w:tcPr>
            <w:tcW w:w="100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50,5</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2007</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49,3</w:t>
            </w:r>
          </w:p>
        </w:tc>
        <w:tc>
          <w:tcPr>
            <w:tcW w:w="999" w:type="dxa"/>
            <w:noWrap/>
          </w:tcPr>
          <w:p w:rsidR="001D2E73" w:rsidRDefault="001D2E73">
            <w:pPr>
              <w:spacing w:before="40" w:after="40" w:line="220" w:lineRule="exact"/>
              <w:jc w:val="right"/>
              <w:rPr>
                <w:sz w:val="18"/>
                <w:szCs w:val="18"/>
              </w:rPr>
            </w:pPr>
            <w:r>
              <w:rPr>
                <w:sz w:val="18"/>
                <w:szCs w:val="18"/>
              </w:rPr>
              <w:t>50,7</w:t>
            </w:r>
          </w:p>
        </w:tc>
        <w:tc>
          <w:tcPr>
            <w:tcW w:w="1053"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49,0</w:t>
            </w:r>
          </w:p>
        </w:tc>
        <w:tc>
          <w:tcPr>
            <w:tcW w:w="999" w:type="dxa"/>
            <w:noWrap/>
          </w:tcPr>
          <w:p w:rsidR="001D2E73" w:rsidRDefault="001D2E73">
            <w:pPr>
              <w:spacing w:before="40" w:after="40" w:line="220" w:lineRule="exact"/>
              <w:jc w:val="right"/>
              <w:rPr>
                <w:sz w:val="18"/>
                <w:szCs w:val="18"/>
              </w:rPr>
            </w:pPr>
            <w:r>
              <w:rPr>
                <w:sz w:val="18"/>
                <w:szCs w:val="18"/>
              </w:rPr>
              <w:t>51,0</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49,6</w:t>
            </w:r>
          </w:p>
        </w:tc>
        <w:tc>
          <w:tcPr>
            <w:tcW w:w="100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50,4</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2008</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49,3</w:t>
            </w:r>
          </w:p>
        </w:tc>
        <w:tc>
          <w:tcPr>
            <w:tcW w:w="999" w:type="dxa"/>
            <w:noWrap/>
          </w:tcPr>
          <w:p w:rsidR="001D2E73" w:rsidRDefault="001D2E73">
            <w:pPr>
              <w:spacing w:before="40" w:after="40" w:line="220" w:lineRule="exact"/>
              <w:jc w:val="right"/>
              <w:rPr>
                <w:sz w:val="18"/>
                <w:szCs w:val="18"/>
              </w:rPr>
            </w:pPr>
            <w:r>
              <w:rPr>
                <w:sz w:val="18"/>
                <w:szCs w:val="18"/>
              </w:rPr>
              <w:t>50,7</w:t>
            </w:r>
          </w:p>
        </w:tc>
        <w:tc>
          <w:tcPr>
            <w:tcW w:w="1053"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49,0</w:t>
            </w:r>
          </w:p>
        </w:tc>
        <w:tc>
          <w:tcPr>
            <w:tcW w:w="999" w:type="dxa"/>
            <w:noWrap/>
          </w:tcPr>
          <w:p w:rsidR="001D2E73" w:rsidRDefault="001D2E73">
            <w:pPr>
              <w:spacing w:before="40" w:after="40" w:line="220" w:lineRule="exact"/>
              <w:jc w:val="right"/>
              <w:rPr>
                <w:sz w:val="18"/>
                <w:szCs w:val="18"/>
              </w:rPr>
            </w:pPr>
            <w:r>
              <w:rPr>
                <w:sz w:val="18"/>
                <w:szCs w:val="18"/>
              </w:rPr>
              <w:t>51,0</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49,7</w:t>
            </w:r>
          </w:p>
        </w:tc>
        <w:tc>
          <w:tcPr>
            <w:tcW w:w="100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50,3</w:t>
            </w:r>
          </w:p>
        </w:tc>
      </w:tr>
      <w:tr w:rsidR="001D2E73">
        <w:trPr>
          <w:trHeight w:val="195"/>
        </w:trPr>
        <w:tc>
          <w:tcPr>
            <w:tcW w:w="627" w:type="dxa"/>
            <w:noWrap/>
          </w:tcPr>
          <w:p w:rsidR="001D2E73" w:rsidRDefault="001D2E73">
            <w:pPr>
              <w:spacing w:before="40" w:after="40" w:line="220" w:lineRule="exact"/>
              <w:rPr>
                <w:sz w:val="18"/>
                <w:szCs w:val="18"/>
              </w:rPr>
            </w:pPr>
            <w:r>
              <w:rPr>
                <w:sz w:val="18"/>
                <w:szCs w:val="18"/>
              </w:rPr>
              <w:t>2009</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49,4</w:t>
            </w:r>
          </w:p>
        </w:tc>
        <w:tc>
          <w:tcPr>
            <w:tcW w:w="999" w:type="dxa"/>
            <w:noWrap/>
          </w:tcPr>
          <w:p w:rsidR="001D2E73" w:rsidRDefault="001D2E73">
            <w:pPr>
              <w:spacing w:before="40" w:after="40" w:line="220" w:lineRule="exact"/>
              <w:jc w:val="right"/>
              <w:rPr>
                <w:sz w:val="18"/>
                <w:szCs w:val="18"/>
              </w:rPr>
            </w:pPr>
            <w:r>
              <w:rPr>
                <w:sz w:val="18"/>
                <w:szCs w:val="18"/>
              </w:rPr>
              <w:t>50,6</w:t>
            </w:r>
          </w:p>
        </w:tc>
        <w:tc>
          <w:tcPr>
            <w:tcW w:w="1053"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49,1</w:t>
            </w:r>
          </w:p>
        </w:tc>
        <w:tc>
          <w:tcPr>
            <w:tcW w:w="999" w:type="dxa"/>
            <w:noWrap/>
          </w:tcPr>
          <w:p w:rsidR="001D2E73" w:rsidRDefault="001D2E73">
            <w:pPr>
              <w:spacing w:before="40" w:after="40" w:line="220" w:lineRule="exact"/>
              <w:jc w:val="right"/>
              <w:rPr>
                <w:sz w:val="18"/>
                <w:szCs w:val="18"/>
              </w:rPr>
            </w:pPr>
            <w:r>
              <w:rPr>
                <w:sz w:val="18"/>
                <w:szCs w:val="18"/>
              </w:rPr>
              <w:t>50,9</w:t>
            </w:r>
          </w:p>
        </w:tc>
        <w:tc>
          <w:tcPr>
            <w:tcW w:w="1032" w:type="dxa"/>
            <w:noWrap/>
          </w:tcPr>
          <w:p w:rsidR="001D2E73" w:rsidRDefault="001D2E73">
            <w:pPr>
              <w:spacing w:before="40" w:after="40" w:line="220" w:lineRule="exact"/>
              <w:jc w:val="right"/>
              <w:rPr>
                <w:sz w:val="18"/>
                <w:szCs w:val="18"/>
              </w:rPr>
            </w:pPr>
            <w:r>
              <w:rPr>
                <w:sz w:val="18"/>
                <w:szCs w:val="18"/>
              </w:rPr>
              <w:t>100,0</w:t>
            </w:r>
          </w:p>
        </w:tc>
        <w:tc>
          <w:tcPr>
            <w:tcW w:w="977" w:type="dxa"/>
            <w:noWrap/>
          </w:tcPr>
          <w:p w:rsidR="001D2E73" w:rsidRDefault="001D2E73">
            <w:pPr>
              <w:spacing w:before="40" w:after="40" w:line="220" w:lineRule="exact"/>
              <w:jc w:val="right"/>
              <w:rPr>
                <w:sz w:val="18"/>
                <w:szCs w:val="18"/>
              </w:rPr>
            </w:pPr>
            <w:r>
              <w:rPr>
                <w:sz w:val="18"/>
                <w:szCs w:val="18"/>
              </w:rPr>
              <w:t>49,8</w:t>
            </w:r>
          </w:p>
        </w:tc>
        <w:tc>
          <w:tcPr>
            <w:tcW w:w="1002"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50,2</w:t>
            </w:r>
          </w:p>
        </w:tc>
      </w:tr>
    </w:tbl>
    <w:p w:rsidR="001D2E73" w:rsidRDefault="001D2E73">
      <w:pPr>
        <w:tabs>
          <w:tab w:val="left" w:pos="1170"/>
          <w:tab w:val="left" w:pos="6615"/>
        </w:tabs>
      </w:pPr>
    </w:p>
    <w:p w:rsidR="001D2E73" w:rsidRDefault="001D2E73">
      <w:pPr>
        <w:pStyle w:val="SingleTxtGR"/>
        <w:spacing w:before="240"/>
        <w:jc w:val="left"/>
        <w:rPr>
          <w:spacing w:val="0"/>
          <w:lang w:val="es-ES"/>
        </w:rPr>
      </w:pPr>
      <w:r>
        <w:rPr>
          <w:spacing w:val="0"/>
          <w:lang w:val="es-ES"/>
        </w:rPr>
        <w:t>Cuadro 7</w:t>
      </w:r>
      <w:r>
        <w:rPr>
          <w:spacing w:val="0"/>
          <w:lang w:val="es-ES"/>
        </w:rPr>
        <w:br/>
      </w:r>
      <w:r>
        <w:rPr>
          <w:b/>
          <w:spacing w:val="0"/>
          <w:lang w:val="es-ES"/>
        </w:rPr>
        <w:t xml:space="preserve">Proporción de mujeres por cada mil hombres </w:t>
      </w:r>
      <w:r>
        <w:rPr>
          <w:b/>
          <w:spacing w:val="0"/>
          <w:lang w:val="es-ES"/>
        </w:rPr>
        <w:br/>
      </w:r>
      <w:r>
        <w:rPr>
          <w:spacing w:val="0"/>
          <w:sz w:val="16"/>
          <w:szCs w:val="16"/>
          <w:lang w:val="es-ES"/>
        </w:rPr>
        <w:t>(a principios de año)</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873"/>
        <w:gridCol w:w="1873"/>
        <w:gridCol w:w="1873"/>
        <w:gridCol w:w="1751"/>
      </w:tblGrid>
      <w:tr w:rsidR="001D2E73">
        <w:tc>
          <w:tcPr>
            <w:tcW w:w="1873" w:type="dxa"/>
            <w:tcBorders>
              <w:top w:val="single" w:sz="4" w:space="0" w:color="auto"/>
              <w:bottom w:val="single" w:sz="12" w:space="0" w:color="auto"/>
            </w:tcBorders>
            <w:shd w:val="clear" w:color="auto" w:fill="auto"/>
          </w:tcPr>
          <w:p w:rsidR="001D2E73" w:rsidRDefault="001D2E73">
            <w:pPr>
              <w:spacing w:before="80" w:after="80" w:line="200" w:lineRule="exact"/>
              <w:rPr>
                <w:i/>
                <w:sz w:val="16"/>
              </w:rPr>
            </w:pPr>
            <w:r>
              <w:rPr>
                <w:i/>
                <w:sz w:val="16"/>
              </w:rPr>
              <w:t>Años</w:t>
            </w:r>
          </w:p>
        </w:tc>
        <w:tc>
          <w:tcPr>
            <w:tcW w:w="1873"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Total de población</w:t>
            </w:r>
          </w:p>
        </w:tc>
        <w:tc>
          <w:tcPr>
            <w:tcW w:w="1873"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 xml:space="preserve">Urbana </w:t>
            </w:r>
          </w:p>
        </w:tc>
        <w:tc>
          <w:tcPr>
            <w:tcW w:w="1751" w:type="dxa"/>
            <w:tcBorders>
              <w:top w:val="single" w:sz="4" w:space="0" w:color="auto"/>
              <w:left w:val="nil"/>
              <w:bottom w:val="single" w:sz="12" w:space="0" w:color="auto"/>
              <w:right w:val="nil"/>
              <w:tl2br w:val="nil"/>
              <w:tr2bl w:val="nil"/>
            </w:tcBorders>
            <w:shd w:val="clear" w:color="auto" w:fill="auto"/>
            <w:vAlign w:val="bottom"/>
          </w:tcPr>
          <w:p w:rsidR="001D2E73" w:rsidRDefault="001D2E73">
            <w:pPr>
              <w:spacing w:before="80" w:after="80" w:line="200" w:lineRule="exact"/>
              <w:jc w:val="right"/>
              <w:rPr>
                <w:i/>
                <w:sz w:val="16"/>
              </w:rPr>
            </w:pPr>
            <w:r>
              <w:rPr>
                <w:i/>
                <w:sz w:val="16"/>
              </w:rPr>
              <w:t xml:space="preserve">Rural </w:t>
            </w:r>
          </w:p>
        </w:tc>
      </w:tr>
      <w:tr w:rsidR="001D2E73">
        <w:tc>
          <w:tcPr>
            <w:tcW w:w="1873" w:type="dxa"/>
            <w:tcBorders>
              <w:top w:val="single" w:sz="12" w:space="0" w:color="auto"/>
            </w:tcBorders>
          </w:tcPr>
          <w:p w:rsidR="001D2E73" w:rsidRDefault="001D2E73">
            <w:pPr>
              <w:spacing w:before="40" w:after="40" w:line="220" w:lineRule="exact"/>
              <w:rPr>
                <w:sz w:val="18"/>
                <w:szCs w:val="18"/>
              </w:rPr>
            </w:pPr>
            <w:r>
              <w:rPr>
                <w:sz w:val="18"/>
                <w:szCs w:val="18"/>
              </w:rPr>
              <w:t>2003</w:t>
            </w:r>
          </w:p>
        </w:tc>
        <w:tc>
          <w:tcPr>
            <w:tcW w:w="1873" w:type="dxa"/>
            <w:tcBorders>
              <w:top w:val="single" w:sz="12" w:space="0" w:color="auto"/>
            </w:tcBorders>
          </w:tcPr>
          <w:p w:rsidR="001D2E73" w:rsidRDefault="001D2E73">
            <w:pPr>
              <w:spacing w:before="40" w:after="40" w:line="220" w:lineRule="exact"/>
              <w:jc w:val="right"/>
              <w:rPr>
                <w:sz w:val="18"/>
                <w:szCs w:val="18"/>
              </w:rPr>
            </w:pPr>
            <w:r>
              <w:rPr>
                <w:sz w:val="18"/>
                <w:szCs w:val="18"/>
              </w:rPr>
              <w:t>1 039</w:t>
            </w:r>
          </w:p>
        </w:tc>
        <w:tc>
          <w:tcPr>
            <w:tcW w:w="1873" w:type="dxa"/>
            <w:tcBorders>
              <w:top w:val="single" w:sz="12" w:space="0" w:color="auto"/>
            </w:tcBorders>
          </w:tcPr>
          <w:p w:rsidR="001D2E73" w:rsidRDefault="001D2E73">
            <w:pPr>
              <w:spacing w:before="40" w:after="40" w:line="220" w:lineRule="exact"/>
              <w:jc w:val="right"/>
              <w:rPr>
                <w:sz w:val="18"/>
                <w:szCs w:val="18"/>
              </w:rPr>
            </w:pPr>
            <w:r>
              <w:rPr>
                <w:sz w:val="18"/>
                <w:szCs w:val="18"/>
              </w:rPr>
              <w:t>1 050</w:t>
            </w:r>
          </w:p>
        </w:tc>
        <w:tc>
          <w:tcPr>
            <w:tcW w:w="1751" w:type="dxa"/>
            <w:tcBorders>
              <w:top w:val="single" w:sz="12" w:space="0" w:color="auto"/>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1 028</w:t>
            </w:r>
          </w:p>
        </w:tc>
      </w:tr>
      <w:tr w:rsidR="001D2E73">
        <w:tc>
          <w:tcPr>
            <w:tcW w:w="1873" w:type="dxa"/>
          </w:tcPr>
          <w:p w:rsidR="001D2E73" w:rsidRDefault="001D2E73">
            <w:pPr>
              <w:spacing w:before="40" w:after="40" w:line="220" w:lineRule="exact"/>
              <w:rPr>
                <w:sz w:val="18"/>
                <w:szCs w:val="18"/>
              </w:rPr>
            </w:pPr>
            <w:r>
              <w:rPr>
                <w:sz w:val="18"/>
                <w:szCs w:val="18"/>
              </w:rPr>
              <w:t>2004</w:t>
            </w:r>
          </w:p>
        </w:tc>
        <w:tc>
          <w:tcPr>
            <w:tcW w:w="1873" w:type="dxa"/>
          </w:tcPr>
          <w:p w:rsidR="001D2E73" w:rsidRDefault="001D2E73">
            <w:pPr>
              <w:spacing w:before="40" w:after="40" w:line="220" w:lineRule="exact"/>
              <w:jc w:val="right"/>
              <w:rPr>
                <w:sz w:val="18"/>
                <w:szCs w:val="18"/>
              </w:rPr>
            </w:pPr>
            <w:r>
              <w:rPr>
                <w:sz w:val="18"/>
                <w:szCs w:val="18"/>
              </w:rPr>
              <w:t>1 037</w:t>
            </w:r>
          </w:p>
        </w:tc>
        <w:tc>
          <w:tcPr>
            <w:tcW w:w="1873" w:type="dxa"/>
          </w:tcPr>
          <w:p w:rsidR="001D2E73" w:rsidRDefault="001D2E73">
            <w:pPr>
              <w:spacing w:before="40" w:after="40" w:line="220" w:lineRule="exact"/>
              <w:jc w:val="right"/>
              <w:rPr>
                <w:sz w:val="18"/>
                <w:szCs w:val="18"/>
              </w:rPr>
            </w:pPr>
            <w:r>
              <w:rPr>
                <w:sz w:val="18"/>
                <w:szCs w:val="18"/>
              </w:rPr>
              <w:t>1 048</w:t>
            </w:r>
          </w:p>
        </w:tc>
        <w:tc>
          <w:tcPr>
            <w:tcW w:w="1751"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1 025</w:t>
            </w:r>
          </w:p>
        </w:tc>
      </w:tr>
      <w:tr w:rsidR="001D2E73">
        <w:tc>
          <w:tcPr>
            <w:tcW w:w="1873" w:type="dxa"/>
          </w:tcPr>
          <w:p w:rsidR="001D2E73" w:rsidRDefault="001D2E73">
            <w:pPr>
              <w:spacing w:before="40" w:after="40" w:line="220" w:lineRule="exact"/>
              <w:rPr>
                <w:sz w:val="18"/>
                <w:szCs w:val="18"/>
              </w:rPr>
            </w:pPr>
            <w:r>
              <w:rPr>
                <w:sz w:val="18"/>
                <w:szCs w:val="18"/>
              </w:rPr>
              <w:t>2005</w:t>
            </w:r>
          </w:p>
        </w:tc>
        <w:tc>
          <w:tcPr>
            <w:tcW w:w="1873" w:type="dxa"/>
          </w:tcPr>
          <w:p w:rsidR="001D2E73" w:rsidRDefault="001D2E73">
            <w:pPr>
              <w:spacing w:before="40" w:after="40" w:line="220" w:lineRule="exact"/>
              <w:jc w:val="right"/>
              <w:rPr>
                <w:sz w:val="18"/>
                <w:szCs w:val="18"/>
              </w:rPr>
            </w:pPr>
            <w:r>
              <w:rPr>
                <w:sz w:val="18"/>
                <w:szCs w:val="18"/>
              </w:rPr>
              <w:t>1 034</w:t>
            </w:r>
          </w:p>
        </w:tc>
        <w:tc>
          <w:tcPr>
            <w:tcW w:w="1873" w:type="dxa"/>
          </w:tcPr>
          <w:p w:rsidR="001D2E73" w:rsidRDefault="001D2E73">
            <w:pPr>
              <w:spacing w:before="40" w:after="40" w:line="220" w:lineRule="exact"/>
              <w:jc w:val="right"/>
              <w:rPr>
                <w:sz w:val="18"/>
                <w:szCs w:val="18"/>
              </w:rPr>
            </w:pPr>
            <w:r>
              <w:rPr>
                <w:sz w:val="18"/>
                <w:szCs w:val="18"/>
              </w:rPr>
              <w:t>1 045</w:t>
            </w:r>
          </w:p>
        </w:tc>
        <w:tc>
          <w:tcPr>
            <w:tcW w:w="1751"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1 022</w:t>
            </w:r>
          </w:p>
        </w:tc>
      </w:tr>
      <w:tr w:rsidR="001D2E73">
        <w:tc>
          <w:tcPr>
            <w:tcW w:w="1873" w:type="dxa"/>
          </w:tcPr>
          <w:p w:rsidR="001D2E73" w:rsidRDefault="001D2E73">
            <w:pPr>
              <w:spacing w:before="40" w:after="40" w:line="220" w:lineRule="exact"/>
              <w:rPr>
                <w:sz w:val="18"/>
                <w:szCs w:val="18"/>
              </w:rPr>
            </w:pPr>
            <w:r>
              <w:rPr>
                <w:sz w:val="18"/>
                <w:szCs w:val="18"/>
              </w:rPr>
              <w:t>2006</w:t>
            </w:r>
          </w:p>
        </w:tc>
        <w:tc>
          <w:tcPr>
            <w:tcW w:w="1873" w:type="dxa"/>
          </w:tcPr>
          <w:p w:rsidR="001D2E73" w:rsidRDefault="001D2E73">
            <w:pPr>
              <w:spacing w:before="40" w:after="40" w:line="220" w:lineRule="exact"/>
              <w:jc w:val="right"/>
              <w:rPr>
                <w:sz w:val="18"/>
                <w:szCs w:val="18"/>
              </w:rPr>
            </w:pPr>
            <w:r>
              <w:rPr>
                <w:sz w:val="18"/>
                <w:szCs w:val="18"/>
              </w:rPr>
              <w:t>1 032</w:t>
            </w:r>
          </w:p>
        </w:tc>
        <w:tc>
          <w:tcPr>
            <w:tcW w:w="1873" w:type="dxa"/>
          </w:tcPr>
          <w:p w:rsidR="001D2E73" w:rsidRDefault="001D2E73">
            <w:pPr>
              <w:spacing w:before="40" w:after="40" w:line="220" w:lineRule="exact"/>
              <w:jc w:val="right"/>
              <w:rPr>
                <w:sz w:val="18"/>
                <w:szCs w:val="18"/>
              </w:rPr>
            </w:pPr>
            <w:r>
              <w:rPr>
                <w:sz w:val="18"/>
                <w:szCs w:val="18"/>
              </w:rPr>
              <w:t>1 044</w:t>
            </w:r>
          </w:p>
        </w:tc>
        <w:tc>
          <w:tcPr>
            <w:tcW w:w="1751"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1 019</w:t>
            </w:r>
          </w:p>
        </w:tc>
      </w:tr>
      <w:tr w:rsidR="001D2E73">
        <w:tc>
          <w:tcPr>
            <w:tcW w:w="1873" w:type="dxa"/>
          </w:tcPr>
          <w:p w:rsidR="001D2E73" w:rsidRDefault="001D2E73">
            <w:pPr>
              <w:spacing w:before="40" w:after="40" w:line="220" w:lineRule="exact"/>
              <w:rPr>
                <w:sz w:val="18"/>
                <w:szCs w:val="18"/>
              </w:rPr>
            </w:pPr>
            <w:r>
              <w:rPr>
                <w:sz w:val="18"/>
                <w:szCs w:val="18"/>
              </w:rPr>
              <w:t>2007</w:t>
            </w:r>
          </w:p>
        </w:tc>
        <w:tc>
          <w:tcPr>
            <w:tcW w:w="1873" w:type="dxa"/>
          </w:tcPr>
          <w:p w:rsidR="001D2E73" w:rsidRDefault="001D2E73">
            <w:pPr>
              <w:spacing w:before="40" w:after="40" w:line="220" w:lineRule="exact"/>
              <w:jc w:val="right"/>
              <w:rPr>
                <w:sz w:val="18"/>
                <w:szCs w:val="18"/>
              </w:rPr>
            </w:pPr>
            <w:r>
              <w:rPr>
                <w:sz w:val="18"/>
                <w:szCs w:val="18"/>
              </w:rPr>
              <w:t>1 029</w:t>
            </w:r>
          </w:p>
        </w:tc>
        <w:tc>
          <w:tcPr>
            <w:tcW w:w="1873" w:type="dxa"/>
          </w:tcPr>
          <w:p w:rsidR="001D2E73" w:rsidRDefault="001D2E73">
            <w:pPr>
              <w:spacing w:before="40" w:after="40" w:line="220" w:lineRule="exact"/>
              <w:jc w:val="right"/>
              <w:rPr>
                <w:sz w:val="18"/>
                <w:szCs w:val="18"/>
              </w:rPr>
            </w:pPr>
            <w:r>
              <w:rPr>
                <w:sz w:val="18"/>
                <w:szCs w:val="18"/>
              </w:rPr>
              <w:t>1 042</w:t>
            </w:r>
          </w:p>
        </w:tc>
        <w:tc>
          <w:tcPr>
            <w:tcW w:w="1751"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1 016</w:t>
            </w:r>
          </w:p>
        </w:tc>
      </w:tr>
      <w:tr w:rsidR="001D2E73">
        <w:tc>
          <w:tcPr>
            <w:tcW w:w="1873" w:type="dxa"/>
          </w:tcPr>
          <w:p w:rsidR="001D2E73" w:rsidRDefault="001D2E73">
            <w:pPr>
              <w:spacing w:before="40" w:after="40" w:line="220" w:lineRule="exact"/>
              <w:rPr>
                <w:sz w:val="18"/>
                <w:szCs w:val="18"/>
              </w:rPr>
            </w:pPr>
            <w:r>
              <w:rPr>
                <w:sz w:val="18"/>
                <w:szCs w:val="18"/>
              </w:rPr>
              <w:t>2008</w:t>
            </w:r>
          </w:p>
        </w:tc>
        <w:tc>
          <w:tcPr>
            <w:tcW w:w="1873" w:type="dxa"/>
          </w:tcPr>
          <w:p w:rsidR="001D2E73" w:rsidRDefault="001D2E73">
            <w:pPr>
              <w:spacing w:before="40" w:after="40" w:line="220" w:lineRule="exact"/>
              <w:jc w:val="right"/>
              <w:rPr>
                <w:sz w:val="18"/>
                <w:szCs w:val="18"/>
              </w:rPr>
            </w:pPr>
            <w:r>
              <w:rPr>
                <w:sz w:val="18"/>
                <w:szCs w:val="18"/>
              </w:rPr>
              <w:t>1 027</w:t>
            </w:r>
          </w:p>
        </w:tc>
        <w:tc>
          <w:tcPr>
            <w:tcW w:w="1873" w:type="dxa"/>
          </w:tcPr>
          <w:p w:rsidR="001D2E73" w:rsidRDefault="001D2E73">
            <w:pPr>
              <w:spacing w:before="40" w:after="40" w:line="220" w:lineRule="exact"/>
              <w:jc w:val="right"/>
              <w:rPr>
                <w:sz w:val="18"/>
                <w:szCs w:val="18"/>
              </w:rPr>
            </w:pPr>
            <w:r>
              <w:rPr>
                <w:sz w:val="18"/>
                <w:szCs w:val="18"/>
              </w:rPr>
              <w:t>1 040</w:t>
            </w:r>
          </w:p>
        </w:tc>
        <w:tc>
          <w:tcPr>
            <w:tcW w:w="1751"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1 013</w:t>
            </w:r>
          </w:p>
        </w:tc>
      </w:tr>
      <w:tr w:rsidR="001D2E73">
        <w:tc>
          <w:tcPr>
            <w:tcW w:w="1873" w:type="dxa"/>
          </w:tcPr>
          <w:p w:rsidR="001D2E73" w:rsidRDefault="001D2E73">
            <w:pPr>
              <w:spacing w:before="40" w:after="40" w:line="220" w:lineRule="exact"/>
              <w:rPr>
                <w:sz w:val="18"/>
                <w:szCs w:val="18"/>
              </w:rPr>
            </w:pPr>
            <w:r>
              <w:rPr>
                <w:sz w:val="18"/>
                <w:szCs w:val="18"/>
              </w:rPr>
              <w:t>2009</w:t>
            </w:r>
          </w:p>
        </w:tc>
        <w:tc>
          <w:tcPr>
            <w:tcW w:w="1873" w:type="dxa"/>
          </w:tcPr>
          <w:p w:rsidR="001D2E73" w:rsidRDefault="001D2E73">
            <w:pPr>
              <w:spacing w:before="40" w:after="40" w:line="220" w:lineRule="exact"/>
              <w:jc w:val="right"/>
              <w:rPr>
                <w:sz w:val="18"/>
                <w:szCs w:val="18"/>
              </w:rPr>
            </w:pPr>
            <w:r>
              <w:rPr>
                <w:sz w:val="18"/>
                <w:szCs w:val="18"/>
              </w:rPr>
              <w:t>1 024</w:t>
            </w:r>
          </w:p>
        </w:tc>
        <w:tc>
          <w:tcPr>
            <w:tcW w:w="1873" w:type="dxa"/>
          </w:tcPr>
          <w:p w:rsidR="001D2E73" w:rsidRDefault="001D2E73">
            <w:pPr>
              <w:spacing w:before="40" w:after="40" w:line="220" w:lineRule="exact"/>
              <w:jc w:val="right"/>
              <w:rPr>
                <w:sz w:val="18"/>
                <w:szCs w:val="18"/>
              </w:rPr>
            </w:pPr>
            <w:r>
              <w:rPr>
                <w:sz w:val="18"/>
                <w:szCs w:val="18"/>
              </w:rPr>
              <w:t>1 038</w:t>
            </w:r>
          </w:p>
        </w:tc>
        <w:tc>
          <w:tcPr>
            <w:tcW w:w="1751" w:type="dxa"/>
            <w:tcBorders>
              <w:left w:val="nil"/>
              <w:bottom w:val="single" w:sz="12" w:space="0" w:color="auto"/>
              <w:right w:val="nil"/>
              <w:tl2br w:val="nil"/>
              <w:tr2bl w:val="nil"/>
            </w:tcBorders>
          </w:tcPr>
          <w:p w:rsidR="001D2E73" w:rsidRDefault="001D2E73">
            <w:pPr>
              <w:spacing w:before="40" w:after="40" w:line="220" w:lineRule="exact"/>
              <w:jc w:val="right"/>
              <w:rPr>
                <w:sz w:val="18"/>
                <w:szCs w:val="18"/>
              </w:rPr>
            </w:pPr>
            <w:r>
              <w:rPr>
                <w:sz w:val="18"/>
                <w:szCs w:val="18"/>
              </w:rPr>
              <w:t>1 010</w:t>
            </w:r>
          </w:p>
        </w:tc>
      </w:tr>
    </w:tbl>
    <w:p w:rsidR="001D2E73" w:rsidRDefault="001D2E73">
      <w:pPr>
        <w:pStyle w:val="SingleTxtGR"/>
        <w:spacing w:before="240"/>
        <w:rPr>
          <w:spacing w:val="0"/>
          <w:lang w:val="es-ES"/>
        </w:rPr>
      </w:pPr>
      <w:r>
        <w:rPr>
          <w:spacing w:val="0"/>
          <w:lang w:val="es-ES"/>
        </w:rPr>
        <w:t>79.</w:t>
      </w:r>
      <w:r>
        <w:rPr>
          <w:spacing w:val="0"/>
          <w:lang w:val="es-ES"/>
        </w:rPr>
        <w:tab/>
        <w:t xml:space="preserve">Al proclamarse en 1918 la Declaración de Independencia de </w:t>
      </w:r>
      <w:smartTag w:uri="urn:schemas-microsoft-com:office:smarttags" w:element="PersonName">
        <w:smartTagPr>
          <w:attr w:name="ProductID" w:val="la Rep￺blica Democr￡tica"/>
        </w:smartTagPr>
        <w:r>
          <w:rPr>
            <w:spacing w:val="0"/>
            <w:lang w:val="es-ES"/>
          </w:rPr>
          <w:t>la República Democrática</w:t>
        </w:r>
      </w:smartTag>
      <w:r>
        <w:rPr>
          <w:spacing w:val="0"/>
          <w:lang w:val="es-ES"/>
        </w:rPr>
        <w:t xml:space="preserve"> de Azerbaiyán por primera vez en el Este, las mujeres azerbaiyanas tuvi</w:t>
      </w:r>
      <w:r>
        <w:rPr>
          <w:spacing w:val="0"/>
          <w:lang w:val="es-ES"/>
        </w:rPr>
        <w:t>e</w:t>
      </w:r>
      <w:r>
        <w:rPr>
          <w:spacing w:val="0"/>
          <w:lang w:val="es-ES"/>
        </w:rPr>
        <w:t>ron derecho a elegir y ser elegidas. En la actualidad, en Azerbaiyán las mujeres están representadas en las instancias de dirección, en los sistemas jurídico y judicial y participan activamente en la vida social y política del país.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80.</w:t>
      </w:r>
      <w:r>
        <w:rPr>
          <w:spacing w:val="0"/>
          <w:lang w:val="es-ES"/>
        </w:rPr>
        <w:tab/>
        <w:t>Si en 1990 solo había 4,3% de mujeres diputadas en el Milli Meylis (Parlame</w:t>
      </w:r>
      <w:r>
        <w:rPr>
          <w:spacing w:val="0"/>
          <w:lang w:val="es-ES"/>
        </w:rPr>
        <w:t>n</w:t>
      </w:r>
      <w:r>
        <w:rPr>
          <w:spacing w:val="0"/>
          <w:lang w:val="es-ES"/>
        </w:rPr>
        <w:t>to) de la República de Azerbaiyán, hoy día ese porcentaje representa 11,2% (14 m</w:t>
      </w:r>
      <w:r>
        <w:rPr>
          <w:spacing w:val="0"/>
          <w:lang w:val="es-ES"/>
        </w:rPr>
        <w:t>u</w:t>
      </w:r>
      <w:r>
        <w:rPr>
          <w:spacing w:val="0"/>
          <w:lang w:val="es-ES"/>
        </w:rPr>
        <w:t>jeres). Por otra parte, las mujeres están representadas también entre los altos dirige</w:t>
      </w:r>
      <w:r>
        <w:rPr>
          <w:spacing w:val="0"/>
          <w:lang w:val="es-ES"/>
        </w:rPr>
        <w:t>n</w:t>
      </w:r>
      <w:r>
        <w:rPr>
          <w:spacing w:val="0"/>
          <w:lang w:val="es-ES"/>
        </w:rPr>
        <w:t>tes del Milli Meylis. Por ejemplo, una de los tres vicepresidentes del Milli Meylis y dos presidentes y una vicepresidenta de sus comisiones son mujeres.</w:t>
      </w:r>
    </w:p>
    <w:p w:rsidR="001D2E73" w:rsidRDefault="001D2E73">
      <w:pPr>
        <w:pStyle w:val="SingleTxtGR"/>
        <w:rPr>
          <w:spacing w:val="0"/>
          <w:lang w:val="es-ES"/>
        </w:rPr>
      </w:pPr>
      <w:r>
        <w:rPr>
          <w:spacing w:val="0"/>
          <w:lang w:val="es-ES"/>
        </w:rPr>
        <w:t>81.</w:t>
      </w:r>
      <w:r>
        <w:rPr>
          <w:spacing w:val="0"/>
          <w:lang w:val="es-ES"/>
        </w:rPr>
        <w:tab/>
        <w:t xml:space="preserve">En el poder ejecutivo las mujeres ocupan también altos cargos. Por ejemplo, son mujeres cuatro viceministras (cultura, educación, salud pública y desarrollo económico), la presidenta y dos vicepresidentas del Comité Estatal de Problemas de la Familia, la Mujer y la Infancia, la presidenta de </w:t>
      </w:r>
      <w:smartTag w:uri="urn:schemas-microsoft-com:office:smarttags" w:element="PersonName">
        <w:smartTagPr>
          <w:attr w:name="ProductID" w:val="la Comisi￳n Estatal"/>
        </w:smartTagPr>
        <w:r>
          <w:rPr>
            <w:spacing w:val="0"/>
            <w:lang w:val="es-ES"/>
          </w:rPr>
          <w:t>la Comisión Estatal</w:t>
        </w:r>
      </w:smartTag>
      <w:r>
        <w:rPr>
          <w:spacing w:val="0"/>
          <w:lang w:val="es-ES"/>
        </w:rPr>
        <w:t xml:space="preserve"> de Admisión de Estudiantes, la vicepresidenta del Consejo de Ministros de </w:t>
      </w:r>
      <w:smartTag w:uri="urn:schemas-microsoft-com:office:smarttags" w:element="PersonName">
        <w:smartTagPr>
          <w:attr w:name="ProductID" w:val="la Rep￺blica Aut￳noma"/>
        </w:smartTagPr>
        <w:r>
          <w:rPr>
            <w:spacing w:val="0"/>
            <w:lang w:val="es-ES"/>
          </w:rPr>
          <w:t>la República Autón</w:t>
        </w:r>
        <w:r>
          <w:rPr>
            <w:spacing w:val="0"/>
            <w:lang w:val="es-ES"/>
          </w:rPr>
          <w:t>o</w:t>
        </w:r>
        <w:r>
          <w:rPr>
            <w:spacing w:val="0"/>
            <w:lang w:val="es-ES"/>
          </w:rPr>
          <w:t>ma</w:t>
        </w:r>
      </w:smartTag>
      <w:r>
        <w:rPr>
          <w:spacing w:val="0"/>
          <w:lang w:val="es-ES"/>
        </w:rPr>
        <w:t xml:space="preserve"> de Najichevan, así como la Jefa adjunta del poder ejecutivo de </w:t>
      </w:r>
      <w:smartTag w:uri="urn:schemas-microsoft-com:office:smarttags" w:element="PersonName">
        <w:smartTagPr>
          <w:attr w:name="ProductID" w:val="la capital. En"/>
        </w:smartTagPr>
        <w:r>
          <w:rPr>
            <w:spacing w:val="0"/>
            <w:lang w:val="es-ES"/>
          </w:rPr>
          <w:t>la capital. En</w:t>
        </w:r>
      </w:smartTag>
      <w:r>
        <w:rPr>
          <w:spacing w:val="0"/>
          <w:lang w:val="es-ES"/>
        </w:rPr>
        <w:t xml:space="preserve"> 31 distritos, las mujeres ocupan cargos de jefe adjunto del poder ejecutivo.</w:t>
      </w:r>
    </w:p>
    <w:p w:rsidR="001D2E73" w:rsidRDefault="001D2E73">
      <w:pPr>
        <w:pStyle w:val="SingleTxtGR"/>
        <w:rPr>
          <w:spacing w:val="0"/>
          <w:lang w:val="es-ES"/>
        </w:rPr>
      </w:pPr>
      <w:r>
        <w:rPr>
          <w:spacing w:val="0"/>
          <w:lang w:val="es-ES"/>
        </w:rPr>
        <w:t>82.</w:t>
      </w:r>
      <w:r>
        <w:rPr>
          <w:spacing w:val="0"/>
          <w:lang w:val="es-ES"/>
        </w:rPr>
        <w:tab/>
        <w:t xml:space="preserve">Son mujeres también la Comisionada para los Derechos Humanos (Defensora Pública) de la República de Azerbaiyán y la de </w:t>
      </w:r>
      <w:smartTag w:uri="urn:schemas-microsoft-com:office:smarttags" w:element="PersonName">
        <w:smartTagPr>
          <w:attr w:name="ProductID" w:val="la Rep￺blica Aut￳noma"/>
        </w:smartTagPr>
        <w:r>
          <w:rPr>
            <w:spacing w:val="0"/>
            <w:lang w:val="es-ES"/>
          </w:rPr>
          <w:t>la República Autónoma</w:t>
        </w:r>
      </w:smartTag>
      <w:r>
        <w:rPr>
          <w:spacing w:val="0"/>
          <w:lang w:val="es-ES"/>
        </w:rPr>
        <w:t xml:space="preserve"> de Naj</w:t>
      </w:r>
      <w:r>
        <w:rPr>
          <w:spacing w:val="0"/>
          <w:lang w:val="es-ES"/>
        </w:rPr>
        <w:t>i</w:t>
      </w:r>
      <w:r>
        <w:rPr>
          <w:spacing w:val="0"/>
          <w:lang w:val="es-ES"/>
        </w:rPr>
        <w:t>cheván.</w:t>
      </w:r>
    </w:p>
    <w:p w:rsidR="001D2E73" w:rsidRDefault="001D2E73">
      <w:pPr>
        <w:pStyle w:val="SingleTxtGR"/>
        <w:rPr>
          <w:spacing w:val="0"/>
          <w:lang w:val="es-ES"/>
        </w:rPr>
      </w:pPr>
      <w:r>
        <w:rPr>
          <w:spacing w:val="0"/>
          <w:lang w:val="es-ES"/>
        </w:rPr>
        <w:t>83.</w:t>
      </w:r>
      <w:r>
        <w:rPr>
          <w:spacing w:val="0"/>
          <w:lang w:val="es-ES"/>
        </w:rPr>
        <w:tab/>
        <w:t>Según datos estadísticos, 11,8% de la magistratura son mujeres. Son mujeres la Vicepresidenta del Tribunal Constitucional y la Presidenta de la Sala de lo Civil del Tr</w:t>
      </w:r>
      <w:r>
        <w:rPr>
          <w:spacing w:val="0"/>
          <w:lang w:val="es-ES"/>
        </w:rPr>
        <w:t>i</w:t>
      </w:r>
      <w:r>
        <w:rPr>
          <w:spacing w:val="0"/>
          <w:lang w:val="es-ES"/>
        </w:rPr>
        <w:t>bunal Supremo. En los órganos judiciales trabajan más de 970 mujeres, de las cuales unas 100 trabajan en las oficinas centrales del Ministerio. Más de 80 mujeres ocupan cargos de dirección.</w:t>
      </w:r>
    </w:p>
    <w:p w:rsidR="001D2E73" w:rsidRDefault="001D2E73">
      <w:pPr>
        <w:pStyle w:val="SingleTxtGR"/>
        <w:rPr>
          <w:b/>
          <w:spacing w:val="0"/>
          <w:lang w:val="es-ES"/>
        </w:rPr>
      </w:pPr>
      <w:r>
        <w:rPr>
          <w:spacing w:val="0"/>
          <w:lang w:val="es-ES"/>
        </w:rPr>
        <w:t>84.</w:t>
      </w:r>
      <w:r>
        <w:rPr>
          <w:spacing w:val="0"/>
          <w:lang w:val="es-ES"/>
        </w:rPr>
        <w:tab/>
        <w:t>Actualmente en el país funcionan más de 100 organizaciones no gubername</w:t>
      </w:r>
      <w:r>
        <w:rPr>
          <w:spacing w:val="0"/>
          <w:lang w:val="es-ES"/>
        </w:rPr>
        <w:t>n</w:t>
      </w:r>
      <w:r>
        <w:rPr>
          <w:spacing w:val="0"/>
          <w:lang w:val="es-ES"/>
        </w:rPr>
        <w:t>tales cuya actividad se encamina a la protección de los derechos de la mujer, la igualdad de género en la familia, la incorporación de la mujer en la vida social y política del país, así como la prestación de ayuda práctica para el fomento de la act</w:t>
      </w:r>
      <w:r>
        <w:rPr>
          <w:spacing w:val="0"/>
          <w:lang w:val="es-ES"/>
        </w:rPr>
        <w:t>i</w:t>
      </w:r>
      <w:r>
        <w:rPr>
          <w:spacing w:val="0"/>
          <w:lang w:val="es-ES"/>
        </w:rPr>
        <w:t xml:space="preserve">vidad empresarial de la mujer en las condiciones de una economía de mercado y la creación de nuevos puestos de trabajo para la mujer. </w:t>
      </w:r>
    </w:p>
    <w:p w:rsidR="001D2E73" w:rsidRDefault="001D2E73">
      <w:pPr>
        <w:pStyle w:val="SingleTxtGR"/>
        <w:rPr>
          <w:spacing w:val="0"/>
          <w:lang w:val="es-ES"/>
        </w:rPr>
      </w:pPr>
      <w:r>
        <w:rPr>
          <w:spacing w:val="0"/>
          <w:lang w:val="es-ES"/>
        </w:rPr>
        <w:t>85.</w:t>
      </w:r>
      <w:r>
        <w:rPr>
          <w:spacing w:val="0"/>
          <w:lang w:val="es-ES"/>
        </w:rPr>
        <w:tab/>
        <w:t>El 6 de marzo de 2000 el Presidente firmó un decreto sobre la aplicación de la política para el adelanto de la mujer en la República de Azerbaiyán, que resultó ser un apoyo eficaz para el funcionamiento del mecanismo nacional de protección de los derechos y las libertades de la mujer en Azerbaiyán. En todos los órganos del poder ejecutivo se nombraron coordinadores para la política de género que controlan la aplicación del mencionado Decreto.</w:t>
      </w:r>
    </w:p>
    <w:p w:rsidR="001D2E73" w:rsidRDefault="001D2E73">
      <w:pPr>
        <w:pStyle w:val="SingleTxtGR"/>
        <w:rPr>
          <w:spacing w:val="0"/>
          <w:lang w:val="es-ES"/>
        </w:rPr>
      </w:pPr>
      <w:r>
        <w:rPr>
          <w:spacing w:val="0"/>
          <w:lang w:val="es-ES"/>
        </w:rPr>
        <w:t>86.</w:t>
      </w:r>
      <w:r>
        <w:rPr>
          <w:spacing w:val="0"/>
          <w:lang w:val="es-ES"/>
        </w:rPr>
        <w:tab/>
        <w:t xml:space="preserve">De conformidad con un Decreto de </w:t>
      </w:r>
      <w:smartTag w:uri="urn:schemas-microsoft-com:office:smarttags" w:element="PersonName">
        <w:smartTagPr>
          <w:attr w:name="ProductID" w:val="la Comisi￳n Estatal"/>
        </w:smartTagPr>
        <w:r>
          <w:rPr>
            <w:spacing w:val="0"/>
            <w:lang w:val="es-ES"/>
          </w:rPr>
          <w:t>la Comisión Estatal</w:t>
        </w:r>
      </w:smartTag>
      <w:r>
        <w:rPr>
          <w:spacing w:val="0"/>
          <w:lang w:val="es-ES"/>
        </w:rPr>
        <w:t xml:space="preserve"> de Estadística anua</w:t>
      </w:r>
      <w:r>
        <w:rPr>
          <w:spacing w:val="0"/>
          <w:lang w:val="es-ES"/>
        </w:rPr>
        <w:t>l</w:t>
      </w:r>
      <w:r>
        <w:rPr>
          <w:spacing w:val="0"/>
          <w:lang w:val="es-ES"/>
        </w:rPr>
        <w:t xml:space="preserve">mente se prepara y publica el informe titulado Mujeres y hombres de Azerbaiyán. </w:t>
      </w:r>
      <w:smartTag w:uri="urn:schemas-microsoft-com:office:smarttags" w:element="PersonName">
        <w:smartTagPr>
          <w:attr w:name="ProductID" w:val="la Comisi￳n Nacional"/>
        </w:smartTagPr>
        <w:r>
          <w:rPr>
            <w:spacing w:val="0"/>
            <w:lang w:val="es-ES"/>
          </w:rPr>
          <w:t>La Comisión Nacional</w:t>
        </w:r>
      </w:smartTag>
      <w:r>
        <w:rPr>
          <w:spacing w:val="0"/>
          <w:lang w:val="es-ES"/>
        </w:rPr>
        <w:t xml:space="preserve"> de Asuntos de la Familia, la Mujer y la Infancia prepara una ev</w:t>
      </w:r>
      <w:r>
        <w:rPr>
          <w:spacing w:val="0"/>
          <w:lang w:val="es-ES"/>
        </w:rPr>
        <w:t>a</w:t>
      </w:r>
      <w:r>
        <w:rPr>
          <w:spacing w:val="0"/>
          <w:lang w:val="es-ES"/>
        </w:rPr>
        <w:t xml:space="preserve">luación de los progresos logrados en la igualdad de género y sobre el nivel de actividad de la mujer en la vida social. </w:t>
      </w:r>
    </w:p>
    <w:p w:rsidR="001D2E73" w:rsidRDefault="001D2E73">
      <w:pPr>
        <w:pStyle w:val="SingleTxtGR"/>
        <w:rPr>
          <w:spacing w:val="0"/>
          <w:lang w:val="es-ES"/>
        </w:rPr>
      </w:pPr>
      <w:r>
        <w:rPr>
          <w:spacing w:val="0"/>
          <w:lang w:val="es-ES"/>
        </w:rPr>
        <w:t>87.</w:t>
      </w:r>
      <w:r>
        <w:rPr>
          <w:spacing w:val="0"/>
          <w:lang w:val="es-ES"/>
        </w:rPr>
        <w:tab/>
        <w:t>La política laboral a favor de la mujer se basa en la igualdad de género y en el principio de facilitar el trabajo de la mujer, lo cual se logra otorgando a la mujer d</w:t>
      </w:r>
      <w:r>
        <w:rPr>
          <w:spacing w:val="0"/>
          <w:lang w:val="es-ES"/>
        </w:rPr>
        <w:t>e</w:t>
      </w:r>
      <w:r>
        <w:rPr>
          <w:spacing w:val="0"/>
          <w:lang w:val="es-ES"/>
        </w:rPr>
        <w:t>terminadas ventajas y compensaciones debido a sus características fisiológicas, así como en relación con el cumplimiento de los compr</w:t>
      </w:r>
      <w:r>
        <w:rPr>
          <w:spacing w:val="0"/>
          <w:lang w:val="es-ES"/>
        </w:rPr>
        <w:t>o</w:t>
      </w:r>
      <w:r>
        <w:rPr>
          <w:spacing w:val="0"/>
          <w:lang w:val="es-ES"/>
        </w:rPr>
        <w:t xml:space="preserve">misos familiares. </w:t>
      </w:r>
    </w:p>
    <w:p w:rsidR="001D2E73" w:rsidRDefault="001D2E73">
      <w:pPr>
        <w:pStyle w:val="SingleTxtGR"/>
        <w:rPr>
          <w:spacing w:val="0"/>
          <w:lang w:val="es-ES"/>
        </w:rPr>
      </w:pPr>
      <w:r>
        <w:rPr>
          <w:spacing w:val="0"/>
          <w:lang w:val="es-ES"/>
        </w:rPr>
        <w:t>88.</w:t>
      </w:r>
      <w:r>
        <w:rPr>
          <w:spacing w:val="0"/>
          <w:lang w:val="es-ES"/>
        </w:rPr>
        <w:tab/>
        <w:t xml:space="preserve">El artículo 241 del Código del Trabajo, que prevé la prohibición del trabajo femenino en determinados puestos de trabajo y ocupaciones, en particular en trabajos pesados y en ocupaciones donde existan condiciones de trabajo peligrosas, también se elaboró teniendo en cuenta las características fisiológicas de la mujer y el hecho de que las condiciones de trabajo de la mujer deben ser seguras y no perjudicar su salud. </w:t>
      </w:r>
    </w:p>
    <w:p w:rsidR="001D2E73" w:rsidRDefault="001D2E73">
      <w:pPr>
        <w:pStyle w:val="SingleTxtGR"/>
        <w:rPr>
          <w:spacing w:val="0"/>
          <w:lang w:val="es-ES"/>
        </w:rPr>
      </w:pPr>
      <w:r>
        <w:rPr>
          <w:spacing w:val="0"/>
          <w:lang w:val="es-ES"/>
        </w:rPr>
        <w:t>89.</w:t>
      </w:r>
      <w:r>
        <w:rPr>
          <w:spacing w:val="0"/>
          <w:lang w:val="es-ES"/>
        </w:rPr>
        <w:tab/>
        <w:t>Por resolución del Consejo de Mini</w:t>
      </w:r>
      <w:r>
        <w:rPr>
          <w:spacing w:val="0"/>
          <w:lang w:val="es-ES"/>
        </w:rPr>
        <w:t>s</w:t>
      </w:r>
      <w:r>
        <w:rPr>
          <w:spacing w:val="0"/>
          <w:lang w:val="es-ES"/>
        </w:rPr>
        <w:t>tros de la República de Azerbaiyán de 20 de octubre de 1999 se aprobó la Lista de actividades y oficios (tareas) con condici</w:t>
      </w:r>
      <w:r>
        <w:rPr>
          <w:spacing w:val="0"/>
          <w:lang w:val="es-ES"/>
        </w:rPr>
        <w:t>o</w:t>
      </w:r>
      <w:r>
        <w:rPr>
          <w:spacing w:val="0"/>
          <w:lang w:val="es-ES"/>
        </w:rPr>
        <w:t>nes de trabajo difíciles y peligrosas, y de trabajos subterráneos, en los que se prohíbe emplear a la mujer, que también fue preparada considerando que los puestos de tr</w:t>
      </w:r>
      <w:r>
        <w:rPr>
          <w:spacing w:val="0"/>
          <w:lang w:val="es-ES"/>
        </w:rPr>
        <w:t>a</w:t>
      </w:r>
      <w:r>
        <w:rPr>
          <w:spacing w:val="0"/>
          <w:lang w:val="es-ES"/>
        </w:rPr>
        <w:t>bajo y los oficios no deben influir negativamente en la salud de la mujer ni menosc</w:t>
      </w:r>
      <w:r>
        <w:rPr>
          <w:spacing w:val="0"/>
          <w:lang w:val="es-ES"/>
        </w:rPr>
        <w:t>a</w:t>
      </w:r>
      <w:r>
        <w:rPr>
          <w:spacing w:val="0"/>
          <w:lang w:val="es-ES"/>
        </w:rPr>
        <w:t xml:space="preserve">bar su capacidad reproductiva. </w:t>
      </w:r>
    </w:p>
    <w:p w:rsidR="001D2E73" w:rsidRDefault="001D2E73">
      <w:pPr>
        <w:pStyle w:val="SingleTxtGR"/>
        <w:rPr>
          <w:spacing w:val="0"/>
          <w:lang w:val="es-ES"/>
        </w:rPr>
      </w:pPr>
      <w:r>
        <w:rPr>
          <w:spacing w:val="0"/>
          <w:lang w:val="es-ES"/>
        </w:rPr>
        <w:t>90.</w:t>
      </w:r>
      <w:r>
        <w:rPr>
          <w:spacing w:val="0"/>
          <w:lang w:val="es-ES"/>
        </w:rPr>
        <w:tab/>
        <w:t>En el párrafo 2 del artículo 16 del Código del Trabajo de Azerbaiyán se disp</w:t>
      </w:r>
      <w:r>
        <w:rPr>
          <w:spacing w:val="0"/>
          <w:lang w:val="es-ES"/>
        </w:rPr>
        <w:t>o</w:t>
      </w:r>
      <w:r>
        <w:rPr>
          <w:spacing w:val="0"/>
          <w:lang w:val="es-ES"/>
        </w:rPr>
        <w:t>ne que, en las relaciones laborales, no se consideran discriminación las ventajas, pr</w:t>
      </w:r>
      <w:r>
        <w:rPr>
          <w:spacing w:val="0"/>
          <w:lang w:val="es-ES"/>
        </w:rPr>
        <w:t>i</w:t>
      </w:r>
      <w:r>
        <w:rPr>
          <w:spacing w:val="0"/>
          <w:lang w:val="es-ES"/>
        </w:rPr>
        <w:t>vilegios y garantías adicionales que amparan a las mujeres, a las personas con discapacidad, a los menores de 18 años y otras personas que necesitan protección social. Se han e</w:t>
      </w:r>
      <w:r>
        <w:rPr>
          <w:spacing w:val="0"/>
          <w:lang w:val="es-ES"/>
        </w:rPr>
        <w:t>s</w:t>
      </w:r>
      <w:r>
        <w:rPr>
          <w:spacing w:val="0"/>
          <w:lang w:val="es-ES"/>
        </w:rPr>
        <w:t xml:space="preserve">tablecido determinadas restricciones solamente con el fin de asegurar la protección social de la mujer. </w:t>
      </w:r>
    </w:p>
    <w:p w:rsidR="001D2E73" w:rsidRDefault="001D2E73">
      <w:pPr>
        <w:pStyle w:val="SingleTxtGR"/>
        <w:spacing w:before="240" w:after="0"/>
        <w:jc w:val="left"/>
        <w:rPr>
          <w:b/>
          <w:bCs/>
          <w:spacing w:val="0"/>
          <w:lang w:val="es-ES"/>
        </w:rPr>
      </w:pPr>
      <w:r>
        <w:rPr>
          <w:spacing w:val="0"/>
          <w:lang w:val="es-ES"/>
        </w:rPr>
        <w:t>Cuadro 8</w:t>
      </w:r>
      <w:r>
        <w:rPr>
          <w:spacing w:val="0"/>
          <w:lang w:val="es-ES"/>
        </w:rPr>
        <w:br/>
      </w:r>
      <w:r>
        <w:rPr>
          <w:b/>
          <w:bCs/>
          <w:spacing w:val="0"/>
          <w:lang w:val="es-ES"/>
        </w:rPr>
        <w:t>Proporción de mujeres en el total general de la población económicamente</w:t>
      </w:r>
      <w:r>
        <w:rPr>
          <w:b/>
          <w:bCs/>
          <w:spacing w:val="0"/>
          <w:lang w:val="es-ES"/>
        </w:rPr>
        <w:br/>
        <w:t>act</w:t>
      </w:r>
      <w:r>
        <w:rPr>
          <w:b/>
          <w:bCs/>
          <w:spacing w:val="0"/>
          <w:lang w:val="es-ES"/>
        </w:rPr>
        <w:t>i</w:t>
      </w:r>
      <w:r>
        <w:rPr>
          <w:b/>
          <w:bCs/>
          <w:spacing w:val="0"/>
          <w:lang w:val="es-ES"/>
        </w:rPr>
        <w:t>va por actividad económica</w:t>
      </w:r>
    </w:p>
    <w:p w:rsidR="001D2E73" w:rsidRDefault="001D2E73">
      <w:pPr>
        <w:pStyle w:val="SingleTxtGR"/>
        <w:jc w:val="left"/>
        <w:rPr>
          <w:spacing w:val="0"/>
          <w:sz w:val="16"/>
          <w:szCs w:val="16"/>
          <w:lang w:val="es-ES"/>
        </w:rPr>
      </w:pPr>
      <w:r>
        <w:rPr>
          <w:iCs/>
          <w:spacing w:val="0"/>
          <w:sz w:val="16"/>
          <w:szCs w:val="16"/>
          <w:lang w:val="es-ES"/>
        </w:rPr>
        <w:t>(porcentaje)</w:t>
      </w:r>
    </w:p>
    <w:tbl>
      <w:tblPr>
        <w:tblW w:w="8561"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990"/>
        <w:gridCol w:w="761"/>
        <w:gridCol w:w="762"/>
        <w:gridCol w:w="762"/>
        <w:gridCol w:w="762"/>
        <w:gridCol w:w="762"/>
        <w:gridCol w:w="762"/>
      </w:tblGrid>
      <w:tr w:rsidR="001D2E73">
        <w:trPr>
          <w:trHeight w:val="375"/>
        </w:trPr>
        <w:tc>
          <w:tcPr>
            <w:tcW w:w="3990" w:type="dxa"/>
            <w:tcBorders>
              <w:top w:val="single" w:sz="4" w:space="0" w:color="auto"/>
              <w:bottom w:val="single" w:sz="12" w:space="0" w:color="auto"/>
            </w:tcBorders>
            <w:shd w:val="clear" w:color="auto" w:fill="auto"/>
          </w:tcPr>
          <w:p w:rsidR="001D2E73" w:rsidRDefault="001D2E73">
            <w:pPr>
              <w:spacing w:before="80" w:after="80" w:line="200" w:lineRule="exact"/>
              <w:rPr>
                <w:i/>
                <w:sz w:val="16"/>
                <w:szCs w:val="16"/>
              </w:rPr>
            </w:pPr>
            <w:r>
              <w:rPr>
                <w:i/>
                <w:sz w:val="16"/>
                <w:szCs w:val="16"/>
              </w:rPr>
              <w:t> </w:t>
            </w:r>
          </w:p>
        </w:tc>
        <w:tc>
          <w:tcPr>
            <w:tcW w:w="761"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6"/>
              </w:rPr>
            </w:pPr>
            <w:r>
              <w:rPr>
                <w:i/>
                <w:sz w:val="16"/>
                <w:szCs w:val="16"/>
              </w:rPr>
              <w:t>2003</w:t>
            </w:r>
          </w:p>
        </w:tc>
        <w:tc>
          <w:tcPr>
            <w:tcW w:w="762"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6"/>
              </w:rPr>
            </w:pPr>
            <w:r>
              <w:rPr>
                <w:i/>
                <w:sz w:val="16"/>
                <w:szCs w:val="16"/>
              </w:rPr>
              <w:t>2004</w:t>
            </w:r>
          </w:p>
        </w:tc>
        <w:tc>
          <w:tcPr>
            <w:tcW w:w="762"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6"/>
              </w:rPr>
            </w:pPr>
            <w:r>
              <w:rPr>
                <w:i/>
                <w:sz w:val="16"/>
                <w:szCs w:val="16"/>
              </w:rPr>
              <w:t>2005</w:t>
            </w:r>
          </w:p>
        </w:tc>
        <w:tc>
          <w:tcPr>
            <w:tcW w:w="762"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6"/>
              </w:rPr>
            </w:pPr>
            <w:r>
              <w:rPr>
                <w:i/>
                <w:sz w:val="16"/>
                <w:szCs w:val="16"/>
              </w:rPr>
              <w:t>2006</w:t>
            </w:r>
          </w:p>
        </w:tc>
        <w:tc>
          <w:tcPr>
            <w:tcW w:w="762"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6"/>
              </w:rPr>
            </w:pPr>
            <w:r>
              <w:rPr>
                <w:i/>
                <w:sz w:val="16"/>
                <w:szCs w:val="16"/>
              </w:rPr>
              <w:t>2007</w:t>
            </w:r>
          </w:p>
        </w:tc>
        <w:tc>
          <w:tcPr>
            <w:tcW w:w="762" w:type="dxa"/>
            <w:tcBorders>
              <w:top w:val="single" w:sz="4" w:space="0" w:color="auto"/>
              <w:left w:val="nil"/>
              <w:bottom w:val="single" w:sz="12" w:space="0" w:color="auto"/>
              <w:right w:val="nil"/>
              <w:tl2br w:val="nil"/>
              <w:tr2bl w:val="nil"/>
            </w:tcBorders>
            <w:shd w:val="clear" w:color="auto" w:fill="auto"/>
          </w:tcPr>
          <w:p w:rsidR="001D2E73" w:rsidRDefault="001D2E73">
            <w:pPr>
              <w:spacing w:before="80" w:after="80" w:line="200" w:lineRule="exact"/>
              <w:jc w:val="right"/>
              <w:rPr>
                <w:i/>
                <w:sz w:val="16"/>
                <w:szCs w:val="16"/>
              </w:rPr>
            </w:pPr>
            <w:r>
              <w:rPr>
                <w:i/>
                <w:sz w:val="16"/>
                <w:szCs w:val="16"/>
              </w:rPr>
              <w:t>2008</w:t>
            </w:r>
            <w:r>
              <w:rPr>
                <w:i/>
                <w:sz w:val="18"/>
                <w:szCs w:val="18"/>
                <w:vertAlign w:val="superscript"/>
              </w:rPr>
              <w:t>1</w:t>
            </w:r>
          </w:p>
        </w:tc>
      </w:tr>
      <w:tr w:rsidR="001D2E73">
        <w:trPr>
          <w:trHeight w:val="20"/>
        </w:trPr>
        <w:tc>
          <w:tcPr>
            <w:tcW w:w="3990" w:type="dxa"/>
            <w:tcBorders>
              <w:top w:val="single" w:sz="12" w:space="0" w:color="auto"/>
            </w:tcBorders>
          </w:tcPr>
          <w:p w:rsidR="001D2E73" w:rsidRDefault="001D2E73">
            <w:pPr>
              <w:spacing w:before="40" w:after="40" w:line="220" w:lineRule="exact"/>
              <w:rPr>
                <w:sz w:val="18"/>
                <w:szCs w:val="18"/>
              </w:rPr>
            </w:pPr>
            <w:r>
              <w:rPr>
                <w:sz w:val="18"/>
                <w:szCs w:val="18"/>
              </w:rPr>
              <w:t>Actividad económica total</w:t>
            </w:r>
          </w:p>
        </w:tc>
        <w:tc>
          <w:tcPr>
            <w:tcW w:w="761"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47,7</w:t>
            </w:r>
          </w:p>
        </w:tc>
        <w:tc>
          <w:tcPr>
            <w:tcW w:w="76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47,6</w:t>
            </w:r>
          </w:p>
        </w:tc>
        <w:tc>
          <w:tcPr>
            <w:tcW w:w="76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47,6</w:t>
            </w:r>
          </w:p>
        </w:tc>
        <w:tc>
          <w:tcPr>
            <w:tcW w:w="76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48,3</w:t>
            </w:r>
          </w:p>
        </w:tc>
        <w:tc>
          <w:tcPr>
            <w:tcW w:w="76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49,5</w:t>
            </w:r>
          </w:p>
        </w:tc>
        <w:tc>
          <w:tcPr>
            <w:tcW w:w="762" w:type="dxa"/>
            <w:tcBorders>
              <w:top w:val="single" w:sz="12" w:space="0" w:color="auto"/>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49,5</w:t>
            </w:r>
          </w:p>
        </w:tc>
      </w:tr>
      <w:tr w:rsidR="001D2E73">
        <w:trPr>
          <w:trHeight w:val="20"/>
        </w:trPr>
        <w:tc>
          <w:tcPr>
            <w:tcW w:w="3990" w:type="dxa"/>
          </w:tcPr>
          <w:p w:rsidR="001D2E73" w:rsidRDefault="001D2E73">
            <w:pPr>
              <w:spacing w:before="40" w:after="40" w:line="220" w:lineRule="exact"/>
              <w:rPr>
                <w:sz w:val="18"/>
                <w:szCs w:val="18"/>
              </w:rPr>
            </w:pPr>
            <w:r>
              <w:rPr>
                <w:sz w:val="18"/>
                <w:szCs w:val="18"/>
              </w:rPr>
              <w:t>Agricultura, caza e industria maderera</w:t>
            </w:r>
          </w:p>
        </w:tc>
        <w:tc>
          <w:tcPr>
            <w:tcW w:w="761" w:type="dxa"/>
            <w:vAlign w:val="bottom"/>
          </w:tcPr>
          <w:p w:rsidR="001D2E73" w:rsidRDefault="001D2E73">
            <w:pPr>
              <w:spacing w:before="40" w:after="40" w:line="220" w:lineRule="exact"/>
              <w:jc w:val="right"/>
              <w:rPr>
                <w:sz w:val="18"/>
                <w:szCs w:val="18"/>
              </w:rPr>
            </w:pPr>
            <w:r>
              <w:rPr>
                <w:sz w:val="18"/>
                <w:szCs w:val="18"/>
              </w:rPr>
              <w:t>46,6</w:t>
            </w:r>
          </w:p>
        </w:tc>
        <w:tc>
          <w:tcPr>
            <w:tcW w:w="762" w:type="dxa"/>
            <w:vAlign w:val="bottom"/>
          </w:tcPr>
          <w:p w:rsidR="001D2E73" w:rsidRDefault="001D2E73">
            <w:pPr>
              <w:spacing w:before="40" w:after="40" w:line="220" w:lineRule="exact"/>
              <w:jc w:val="right"/>
              <w:rPr>
                <w:sz w:val="18"/>
                <w:szCs w:val="18"/>
              </w:rPr>
            </w:pPr>
            <w:r>
              <w:rPr>
                <w:sz w:val="18"/>
                <w:szCs w:val="18"/>
              </w:rPr>
              <w:t>45,8</w:t>
            </w:r>
          </w:p>
        </w:tc>
        <w:tc>
          <w:tcPr>
            <w:tcW w:w="762" w:type="dxa"/>
            <w:vAlign w:val="bottom"/>
          </w:tcPr>
          <w:p w:rsidR="001D2E73" w:rsidRDefault="001D2E73">
            <w:pPr>
              <w:spacing w:before="40" w:after="40" w:line="220" w:lineRule="exact"/>
              <w:jc w:val="right"/>
              <w:rPr>
                <w:sz w:val="18"/>
                <w:szCs w:val="18"/>
              </w:rPr>
            </w:pPr>
            <w:r>
              <w:rPr>
                <w:sz w:val="18"/>
                <w:szCs w:val="18"/>
              </w:rPr>
              <w:t>45,2</w:t>
            </w:r>
          </w:p>
        </w:tc>
        <w:tc>
          <w:tcPr>
            <w:tcW w:w="762" w:type="dxa"/>
            <w:vAlign w:val="bottom"/>
          </w:tcPr>
          <w:p w:rsidR="001D2E73" w:rsidRDefault="001D2E73">
            <w:pPr>
              <w:spacing w:before="40" w:after="40" w:line="220" w:lineRule="exact"/>
              <w:jc w:val="right"/>
              <w:rPr>
                <w:sz w:val="18"/>
                <w:szCs w:val="18"/>
              </w:rPr>
            </w:pPr>
            <w:r>
              <w:rPr>
                <w:sz w:val="18"/>
                <w:szCs w:val="18"/>
              </w:rPr>
              <w:t>45,4</w:t>
            </w:r>
          </w:p>
        </w:tc>
        <w:tc>
          <w:tcPr>
            <w:tcW w:w="762" w:type="dxa"/>
            <w:vAlign w:val="bottom"/>
          </w:tcPr>
          <w:p w:rsidR="001D2E73" w:rsidRDefault="001D2E73">
            <w:pPr>
              <w:spacing w:before="40" w:after="40" w:line="220" w:lineRule="exact"/>
              <w:jc w:val="right"/>
              <w:rPr>
                <w:sz w:val="18"/>
                <w:szCs w:val="18"/>
              </w:rPr>
            </w:pPr>
            <w:r>
              <w:rPr>
                <w:sz w:val="18"/>
                <w:szCs w:val="18"/>
              </w:rPr>
              <w:t>48,5</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49,4</w:t>
            </w:r>
          </w:p>
        </w:tc>
      </w:tr>
      <w:tr w:rsidR="001D2E73">
        <w:trPr>
          <w:trHeight w:val="20"/>
        </w:trPr>
        <w:tc>
          <w:tcPr>
            <w:tcW w:w="3990" w:type="dxa"/>
          </w:tcPr>
          <w:p w:rsidR="001D2E73" w:rsidRDefault="001D2E73">
            <w:pPr>
              <w:spacing w:before="40" w:after="40" w:line="220" w:lineRule="exact"/>
              <w:rPr>
                <w:sz w:val="18"/>
                <w:szCs w:val="18"/>
              </w:rPr>
            </w:pPr>
            <w:r>
              <w:rPr>
                <w:sz w:val="18"/>
                <w:szCs w:val="18"/>
              </w:rPr>
              <w:t>Pesca y piscicultura</w:t>
            </w:r>
          </w:p>
        </w:tc>
        <w:tc>
          <w:tcPr>
            <w:tcW w:w="761" w:type="dxa"/>
            <w:vAlign w:val="bottom"/>
          </w:tcPr>
          <w:p w:rsidR="001D2E73" w:rsidRDefault="001D2E73">
            <w:pPr>
              <w:spacing w:before="40" w:after="40" w:line="220" w:lineRule="exact"/>
              <w:jc w:val="right"/>
              <w:rPr>
                <w:sz w:val="18"/>
                <w:szCs w:val="18"/>
              </w:rPr>
            </w:pPr>
            <w:r>
              <w:rPr>
                <w:sz w:val="18"/>
                <w:szCs w:val="18"/>
              </w:rPr>
              <w:t>14,3</w:t>
            </w:r>
          </w:p>
        </w:tc>
        <w:tc>
          <w:tcPr>
            <w:tcW w:w="762" w:type="dxa"/>
            <w:vAlign w:val="bottom"/>
          </w:tcPr>
          <w:p w:rsidR="001D2E73" w:rsidRDefault="001D2E73">
            <w:pPr>
              <w:spacing w:before="40" w:after="40" w:line="220" w:lineRule="exact"/>
              <w:jc w:val="right"/>
              <w:rPr>
                <w:sz w:val="18"/>
                <w:szCs w:val="18"/>
              </w:rPr>
            </w:pPr>
            <w:r>
              <w:rPr>
                <w:sz w:val="18"/>
                <w:szCs w:val="18"/>
              </w:rPr>
              <w:t>39,4</w:t>
            </w:r>
          </w:p>
        </w:tc>
        <w:tc>
          <w:tcPr>
            <w:tcW w:w="762" w:type="dxa"/>
            <w:vAlign w:val="bottom"/>
          </w:tcPr>
          <w:p w:rsidR="001D2E73" w:rsidRDefault="001D2E73">
            <w:pPr>
              <w:spacing w:before="40" w:after="40" w:line="220" w:lineRule="exact"/>
              <w:jc w:val="right"/>
              <w:rPr>
                <w:sz w:val="18"/>
                <w:szCs w:val="18"/>
              </w:rPr>
            </w:pPr>
            <w:r>
              <w:rPr>
                <w:sz w:val="18"/>
                <w:szCs w:val="18"/>
              </w:rPr>
              <w:t>44,7</w:t>
            </w:r>
          </w:p>
        </w:tc>
        <w:tc>
          <w:tcPr>
            <w:tcW w:w="762" w:type="dxa"/>
            <w:vAlign w:val="bottom"/>
          </w:tcPr>
          <w:p w:rsidR="001D2E73" w:rsidRDefault="001D2E73">
            <w:pPr>
              <w:spacing w:before="40" w:after="40" w:line="220" w:lineRule="exact"/>
              <w:jc w:val="right"/>
              <w:rPr>
                <w:sz w:val="18"/>
                <w:szCs w:val="18"/>
              </w:rPr>
            </w:pPr>
            <w:r>
              <w:rPr>
                <w:sz w:val="18"/>
                <w:szCs w:val="18"/>
              </w:rPr>
              <w:t>44,2</w:t>
            </w:r>
          </w:p>
        </w:tc>
        <w:tc>
          <w:tcPr>
            <w:tcW w:w="762" w:type="dxa"/>
            <w:vAlign w:val="bottom"/>
          </w:tcPr>
          <w:p w:rsidR="001D2E73" w:rsidRDefault="001D2E73">
            <w:pPr>
              <w:spacing w:before="40" w:after="40" w:line="220" w:lineRule="exact"/>
              <w:jc w:val="right"/>
              <w:rPr>
                <w:sz w:val="18"/>
                <w:szCs w:val="18"/>
              </w:rPr>
            </w:pPr>
            <w:r>
              <w:rPr>
                <w:sz w:val="18"/>
                <w:szCs w:val="18"/>
              </w:rPr>
              <w:t>62,8</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20,9</w:t>
            </w:r>
          </w:p>
        </w:tc>
      </w:tr>
      <w:tr w:rsidR="001D2E73">
        <w:trPr>
          <w:trHeight w:val="20"/>
        </w:trPr>
        <w:tc>
          <w:tcPr>
            <w:tcW w:w="3990" w:type="dxa"/>
          </w:tcPr>
          <w:p w:rsidR="001D2E73" w:rsidRDefault="001D2E73">
            <w:pPr>
              <w:spacing w:before="40" w:after="40" w:line="220" w:lineRule="exact"/>
              <w:rPr>
                <w:sz w:val="18"/>
                <w:szCs w:val="18"/>
              </w:rPr>
            </w:pPr>
            <w:r>
              <w:rPr>
                <w:sz w:val="18"/>
                <w:szCs w:val="18"/>
              </w:rPr>
              <w:t>Industria minera</w:t>
            </w:r>
          </w:p>
        </w:tc>
        <w:tc>
          <w:tcPr>
            <w:tcW w:w="761" w:type="dxa"/>
            <w:vAlign w:val="bottom"/>
          </w:tcPr>
          <w:p w:rsidR="001D2E73" w:rsidRDefault="001D2E73">
            <w:pPr>
              <w:spacing w:before="40" w:after="40" w:line="220" w:lineRule="exact"/>
              <w:jc w:val="right"/>
              <w:rPr>
                <w:sz w:val="18"/>
                <w:szCs w:val="18"/>
              </w:rPr>
            </w:pPr>
            <w:r>
              <w:rPr>
                <w:sz w:val="18"/>
                <w:szCs w:val="18"/>
              </w:rPr>
              <w:t>20,8</w:t>
            </w:r>
          </w:p>
        </w:tc>
        <w:tc>
          <w:tcPr>
            <w:tcW w:w="762" w:type="dxa"/>
            <w:vAlign w:val="bottom"/>
          </w:tcPr>
          <w:p w:rsidR="001D2E73" w:rsidRDefault="001D2E73">
            <w:pPr>
              <w:spacing w:before="40" w:after="40" w:line="220" w:lineRule="exact"/>
              <w:jc w:val="right"/>
              <w:rPr>
                <w:sz w:val="18"/>
                <w:szCs w:val="18"/>
              </w:rPr>
            </w:pPr>
            <w:r>
              <w:rPr>
                <w:sz w:val="18"/>
                <w:szCs w:val="18"/>
              </w:rPr>
              <w:t>19,1</w:t>
            </w:r>
          </w:p>
        </w:tc>
        <w:tc>
          <w:tcPr>
            <w:tcW w:w="762" w:type="dxa"/>
            <w:vAlign w:val="bottom"/>
          </w:tcPr>
          <w:p w:rsidR="001D2E73" w:rsidRDefault="001D2E73">
            <w:pPr>
              <w:spacing w:before="40" w:after="40" w:line="220" w:lineRule="exact"/>
              <w:jc w:val="right"/>
              <w:rPr>
                <w:sz w:val="18"/>
                <w:szCs w:val="18"/>
              </w:rPr>
            </w:pPr>
            <w:r>
              <w:rPr>
                <w:sz w:val="18"/>
                <w:szCs w:val="18"/>
              </w:rPr>
              <w:t>19,0</w:t>
            </w:r>
          </w:p>
        </w:tc>
        <w:tc>
          <w:tcPr>
            <w:tcW w:w="762" w:type="dxa"/>
            <w:vAlign w:val="bottom"/>
          </w:tcPr>
          <w:p w:rsidR="001D2E73" w:rsidRDefault="001D2E73">
            <w:pPr>
              <w:spacing w:before="40" w:after="40" w:line="220" w:lineRule="exact"/>
              <w:jc w:val="right"/>
              <w:rPr>
                <w:sz w:val="18"/>
                <w:szCs w:val="18"/>
              </w:rPr>
            </w:pPr>
            <w:r>
              <w:rPr>
                <w:sz w:val="18"/>
                <w:szCs w:val="18"/>
              </w:rPr>
              <w:t>22,0</w:t>
            </w:r>
          </w:p>
        </w:tc>
        <w:tc>
          <w:tcPr>
            <w:tcW w:w="762" w:type="dxa"/>
            <w:vAlign w:val="bottom"/>
          </w:tcPr>
          <w:p w:rsidR="001D2E73" w:rsidRDefault="001D2E73">
            <w:pPr>
              <w:spacing w:before="40" w:after="40" w:line="220" w:lineRule="exact"/>
              <w:jc w:val="right"/>
              <w:rPr>
                <w:sz w:val="18"/>
                <w:szCs w:val="18"/>
              </w:rPr>
            </w:pPr>
            <w:r>
              <w:rPr>
                <w:sz w:val="18"/>
                <w:szCs w:val="18"/>
              </w:rPr>
              <w:t>22,0</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22,7</w:t>
            </w:r>
          </w:p>
        </w:tc>
      </w:tr>
      <w:tr w:rsidR="001D2E73">
        <w:trPr>
          <w:trHeight w:val="20"/>
        </w:trPr>
        <w:tc>
          <w:tcPr>
            <w:tcW w:w="3990" w:type="dxa"/>
          </w:tcPr>
          <w:p w:rsidR="001D2E73" w:rsidRDefault="001D2E73">
            <w:pPr>
              <w:spacing w:before="40" w:after="40" w:line="220" w:lineRule="exact"/>
              <w:rPr>
                <w:sz w:val="18"/>
                <w:szCs w:val="18"/>
              </w:rPr>
            </w:pPr>
            <w:r>
              <w:rPr>
                <w:sz w:val="18"/>
                <w:szCs w:val="18"/>
              </w:rPr>
              <w:t>Manufactura</w:t>
            </w:r>
          </w:p>
        </w:tc>
        <w:tc>
          <w:tcPr>
            <w:tcW w:w="761" w:type="dxa"/>
            <w:vAlign w:val="bottom"/>
          </w:tcPr>
          <w:p w:rsidR="001D2E73" w:rsidRDefault="001D2E73">
            <w:pPr>
              <w:spacing w:before="40" w:after="40" w:line="220" w:lineRule="exact"/>
              <w:jc w:val="right"/>
              <w:rPr>
                <w:sz w:val="18"/>
                <w:szCs w:val="18"/>
              </w:rPr>
            </w:pPr>
            <w:r>
              <w:rPr>
                <w:sz w:val="18"/>
                <w:szCs w:val="18"/>
              </w:rPr>
              <w:t>56,1</w:t>
            </w:r>
          </w:p>
        </w:tc>
        <w:tc>
          <w:tcPr>
            <w:tcW w:w="762" w:type="dxa"/>
            <w:vAlign w:val="bottom"/>
          </w:tcPr>
          <w:p w:rsidR="001D2E73" w:rsidRDefault="001D2E73">
            <w:pPr>
              <w:spacing w:before="40" w:after="40" w:line="220" w:lineRule="exact"/>
              <w:jc w:val="right"/>
              <w:rPr>
                <w:sz w:val="18"/>
                <w:szCs w:val="18"/>
              </w:rPr>
            </w:pPr>
            <w:r>
              <w:rPr>
                <w:sz w:val="18"/>
                <w:szCs w:val="18"/>
              </w:rPr>
              <w:t>58,2</w:t>
            </w:r>
          </w:p>
        </w:tc>
        <w:tc>
          <w:tcPr>
            <w:tcW w:w="762" w:type="dxa"/>
            <w:vAlign w:val="bottom"/>
          </w:tcPr>
          <w:p w:rsidR="001D2E73" w:rsidRDefault="001D2E73">
            <w:pPr>
              <w:spacing w:before="40" w:after="40" w:line="220" w:lineRule="exact"/>
              <w:jc w:val="right"/>
              <w:rPr>
                <w:sz w:val="18"/>
                <w:szCs w:val="18"/>
              </w:rPr>
            </w:pPr>
            <w:r>
              <w:rPr>
                <w:sz w:val="18"/>
                <w:szCs w:val="18"/>
              </w:rPr>
              <w:t>59,6</w:t>
            </w:r>
          </w:p>
        </w:tc>
        <w:tc>
          <w:tcPr>
            <w:tcW w:w="762" w:type="dxa"/>
            <w:vAlign w:val="bottom"/>
          </w:tcPr>
          <w:p w:rsidR="001D2E73" w:rsidRDefault="001D2E73">
            <w:pPr>
              <w:spacing w:before="40" w:after="40" w:line="220" w:lineRule="exact"/>
              <w:jc w:val="right"/>
              <w:rPr>
                <w:sz w:val="18"/>
                <w:szCs w:val="18"/>
              </w:rPr>
            </w:pPr>
            <w:r>
              <w:rPr>
                <w:sz w:val="18"/>
                <w:szCs w:val="18"/>
              </w:rPr>
              <w:t>60,2</w:t>
            </w:r>
          </w:p>
        </w:tc>
        <w:tc>
          <w:tcPr>
            <w:tcW w:w="762" w:type="dxa"/>
            <w:vAlign w:val="bottom"/>
          </w:tcPr>
          <w:p w:rsidR="001D2E73" w:rsidRDefault="001D2E73">
            <w:pPr>
              <w:spacing w:before="40" w:after="40" w:line="220" w:lineRule="exact"/>
              <w:jc w:val="right"/>
              <w:rPr>
                <w:sz w:val="18"/>
                <w:szCs w:val="18"/>
              </w:rPr>
            </w:pPr>
            <w:r>
              <w:rPr>
                <w:sz w:val="18"/>
                <w:szCs w:val="18"/>
              </w:rPr>
              <w:t>59,6</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60,0</w:t>
            </w:r>
          </w:p>
        </w:tc>
      </w:tr>
      <w:tr w:rsidR="001D2E73">
        <w:trPr>
          <w:trHeight w:val="20"/>
        </w:trPr>
        <w:tc>
          <w:tcPr>
            <w:tcW w:w="3990" w:type="dxa"/>
          </w:tcPr>
          <w:p w:rsidR="001D2E73" w:rsidRDefault="001D2E73">
            <w:pPr>
              <w:spacing w:before="40" w:after="40" w:line="220" w:lineRule="exact"/>
              <w:rPr>
                <w:sz w:val="18"/>
                <w:szCs w:val="18"/>
              </w:rPr>
            </w:pPr>
            <w:r>
              <w:rPr>
                <w:sz w:val="18"/>
                <w:szCs w:val="18"/>
              </w:rPr>
              <w:t>Producción y suministro de energía eléctrica, gas y agua</w:t>
            </w:r>
          </w:p>
        </w:tc>
        <w:tc>
          <w:tcPr>
            <w:tcW w:w="761" w:type="dxa"/>
            <w:vAlign w:val="bottom"/>
          </w:tcPr>
          <w:p w:rsidR="001D2E73" w:rsidRDefault="001D2E73">
            <w:pPr>
              <w:spacing w:before="40" w:after="40" w:line="220" w:lineRule="exact"/>
              <w:jc w:val="right"/>
              <w:rPr>
                <w:sz w:val="18"/>
                <w:szCs w:val="18"/>
              </w:rPr>
            </w:pPr>
            <w:r>
              <w:rPr>
                <w:sz w:val="18"/>
                <w:szCs w:val="18"/>
              </w:rPr>
              <w:t>26,1</w:t>
            </w:r>
          </w:p>
        </w:tc>
        <w:tc>
          <w:tcPr>
            <w:tcW w:w="762" w:type="dxa"/>
            <w:vAlign w:val="bottom"/>
          </w:tcPr>
          <w:p w:rsidR="001D2E73" w:rsidRDefault="001D2E73">
            <w:pPr>
              <w:spacing w:before="40" w:after="40" w:line="220" w:lineRule="exact"/>
              <w:jc w:val="right"/>
              <w:rPr>
                <w:sz w:val="18"/>
                <w:szCs w:val="18"/>
              </w:rPr>
            </w:pPr>
            <w:r>
              <w:rPr>
                <w:sz w:val="18"/>
                <w:szCs w:val="18"/>
              </w:rPr>
              <w:t>24,9</w:t>
            </w:r>
          </w:p>
        </w:tc>
        <w:tc>
          <w:tcPr>
            <w:tcW w:w="762" w:type="dxa"/>
            <w:vAlign w:val="bottom"/>
          </w:tcPr>
          <w:p w:rsidR="001D2E73" w:rsidRDefault="001D2E73">
            <w:pPr>
              <w:spacing w:before="40" w:after="40" w:line="220" w:lineRule="exact"/>
              <w:jc w:val="right"/>
              <w:rPr>
                <w:sz w:val="18"/>
                <w:szCs w:val="18"/>
              </w:rPr>
            </w:pPr>
            <w:r>
              <w:rPr>
                <w:sz w:val="18"/>
                <w:szCs w:val="18"/>
              </w:rPr>
              <w:t>24,2</w:t>
            </w:r>
          </w:p>
        </w:tc>
        <w:tc>
          <w:tcPr>
            <w:tcW w:w="762" w:type="dxa"/>
            <w:vAlign w:val="bottom"/>
          </w:tcPr>
          <w:p w:rsidR="001D2E73" w:rsidRDefault="001D2E73">
            <w:pPr>
              <w:spacing w:before="40" w:after="40" w:line="220" w:lineRule="exact"/>
              <w:jc w:val="right"/>
              <w:rPr>
                <w:sz w:val="18"/>
                <w:szCs w:val="18"/>
              </w:rPr>
            </w:pPr>
            <w:r>
              <w:rPr>
                <w:sz w:val="18"/>
                <w:szCs w:val="18"/>
              </w:rPr>
              <w:t>34,9</w:t>
            </w:r>
          </w:p>
        </w:tc>
        <w:tc>
          <w:tcPr>
            <w:tcW w:w="762" w:type="dxa"/>
            <w:vAlign w:val="bottom"/>
          </w:tcPr>
          <w:p w:rsidR="001D2E73" w:rsidRDefault="001D2E73">
            <w:pPr>
              <w:spacing w:before="40" w:after="40" w:line="220" w:lineRule="exact"/>
              <w:jc w:val="right"/>
              <w:rPr>
                <w:sz w:val="18"/>
                <w:szCs w:val="18"/>
              </w:rPr>
            </w:pPr>
            <w:r>
              <w:rPr>
                <w:sz w:val="18"/>
                <w:szCs w:val="18"/>
              </w:rPr>
              <w:t>40,4</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33,2</w:t>
            </w:r>
          </w:p>
        </w:tc>
      </w:tr>
      <w:tr w:rsidR="001D2E73">
        <w:trPr>
          <w:trHeight w:val="20"/>
        </w:trPr>
        <w:tc>
          <w:tcPr>
            <w:tcW w:w="3990" w:type="dxa"/>
          </w:tcPr>
          <w:p w:rsidR="001D2E73" w:rsidRDefault="001D2E73">
            <w:pPr>
              <w:spacing w:before="40" w:after="40" w:line="220" w:lineRule="exact"/>
              <w:rPr>
                <w:sz w:val="18"/>
                <w:szCs w:val="18"/>
              </w:rPr>
            </w:pPr>
            <w:r>
              <w:rPr>
                <w:sz w:val="18"/>
                <w:szCs w:val="18"/>
              </w:rPr>
              <w:t>Construcción</w:t>
            </w:r>
          </w:p>
        </w:tc>
        <w:tc>
          <w:tcPr>
            <w:tcW w:w="761" w:type="dxa"/>
            <w:vAlign w:val="bottom"/>
          </w:tcPr>
          <w:p w:rsidR="001D2E73" w:rsidRDefault="001D2E73">
            <w:pPr>
              <w:spacing w:before="40" w:after="40" w:line="220" w:lineRule="exact"/>
              <w:jc w:val="right"/>
              <w:rPr>
                <w:sz w:val="18"/>
                <w:szCs w:val="18"/>
              </w:rPr>
            </w:pPr>
            <w:r>
              <w:rPr>
                <w:sz w:val="18"/>
                <w:szCs w:val="18"/>
              </w:rPr>
              <w:t>10,7</w:t>
            </w:r>
          </w:p>
        </w:tc>
        <w:tc>
          <w:tcPr>
            <w:tcW w:w="762" w:type="dxa"/>
            <w:vAlign w:val="bottom"/>
          </w:tcPr>
          <w:p w:rsidR="001D2E73" w:rsidRDefault="001D2E73">
            <w:pPr>
              <w:spacing w:before="40" w:after="40" w:line="220" w:lineRule="exact"/>
              <w:jc w:val="right"/>
              <w:rPr>
                <w:sz w:val="18"/>
                <w:szCs w:val="18"/>
              </w:rPr>
            </w:pPr>
            <w:r>
              <w:rPr>
                <w:sz w:val="18"/>
                <w:szCs w:val="18"/>
              </w:rPr>
              <w:t>14,1</w:t>
            </w:r>
          </w:p>
        </w:tc>
        <w:tc>
          <w:tcPr>
            <w:tcW w:w="762" w:type="dxa"/>
            <w:vAlign w:val="bottom"/>
          </w:tcPr>
          <w:p w:rsidR="001D2E73" w:rsidRDefault="001D2E73">
            <w:pPr>
              <w:spacing w:before="40" w:after="40" w:line="220" w:lineRule="exact"/>
              <w:jc w:val="right"/>
              <w:rPr>
                <w:sz w:val="18"/>
                <w:szCs w:val="18"/>
              </w:rPr>
            </w:pPr>
            <w:r>
              <w:rPr>
                <w:sz w:val="18"/>
                <w:szCs w:val="18"/>
              </w:rPr>
              <w:t>14,9</w:t>
            </w:r>
          </w:p>
        </w:tc>
        <w:tc>
          <w:tcPr>
            <w:tcW w:w="762" w:type="dxa"/>
            <w:vAlign w:val="bottom"/>
          </w:tcPr>
          <w:p w:rsidR="001D2E73" w:rsidRDefault="001D2E73">
            <w:pPr>
              <w:spacing w:before="40" w:after="40" w:line="220" w:lineRule="exact"/>
              <w:jc w:val="right"/>
              <w:rPr>
                <w:sz w:val="18"/>
                <w:szCs w:val="18"/>
              </w:rPr>
            </w:pPr>
            <w:r>
              <w:rPr>
                <w:sz w:val="18"/>
                <w:szCs w:val="18"/>
              </w:rPr>
              <w:t>13,8</w:t>
            </w:r>
          </w:p>
        </w:tc>
        <w:tc>
          <w:tcPr>
            <w:tcW w:w="762" w:type="dxa"/>
            <w:vAlign w:val="bottom"/>
          </w:tcPr>
          <w:p w:rsidR="001D2E73" w:rsidRDefault="001D2E73">
            <w:pPr>
              <w:spacing w:before="40" w:after="40" w:line="220" w:lineRule="exact"/>
              <w:jc w:val="right"/>
              <w:rPr>
                <w:sz w:val="18"/>
                <w:szCs w:val="18"/>
              </w:rPr>
            </w:pPr>
            <w:r>
              <w:rPr>
                <w:sz w:val="18"/>
                <w:szCs w:val="18"/>
              </w:rPr>
              <w:t>13,8</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17,1</w:t>
            </w:r>
          </w:p>
        </w:tc>
      </w:tr>
      <w:tr w:rsidR="001D2E73">
        <w:trPr>
          <w:trHeight w:val="20"/>
        </w:trPr>
        <w:tc>
          <w:tcPr>
            <w:tcW w:w="3990" w:type="dxa"/>
          </w:tcPr>
          <w:p w:rsidR="001D2E73" w:rsidRDefault="001D2E73">
            <w:pPr>
              <w:spacing w:before="40" w:after="40" w:line="220" w:lineRule="exact"/>
              <w:rPr>
                <w:sz w:val="18"/>
                <w:szCs w:val="18"/>
              </w:rPr>
            </w:pPr>
            <w:r>
              <w:rPr>
                <w:sz w:val="18"/>
                <w:szCs w:val="18"/>
              </w:rPr>
              <w:t>Comercio mayorista y minorista, reparación de automóviles, efectos electrodomésticos y artículos de uso personal</w:t>
            </w:r>
          </w:p>
        </w:tc>
        <w:tc>
          <w:tcPr>
            <w:tcW w:w="761" w:type="dxa"/>
            <w:vAlign w:val="bottom"/>
          </w:tcPr>
          <w:p w:rsidR="001D2E73" w:rsidRDefault="001D2E73">
            <w:pPr>
              <w:spacing w:before="40" w:after="40" w:line="220" w:lineRule="exact"/>
              <w:jc w:val="right"/>
              <w:rPr>
                <w:sz w:val="18"/>
                <w:szCs w:val="18"/>
              </w:rPr>
            </w:pPr>
            <w:r>
              <w:rPr>
                <w:sz w:val="18"/>
                <w:szCs w:val="18"/>
              </w:rPr>
              <w:t>62,3</w:t>
            </w:r>
          </w:p>
        </w:tc>
        <w:tc>
          <w:tcPr>
            <w:tcW w:w="762" w:type="dxa"/>
            <w:vAlign w:val="bottom"/>
          </w:tcPr>
          <w:p w:rsidR="001D2E73" w:rsidRDefault="001D2E73">
            <w:pPr>
              <w:spacing w:before="40" w:after="40" w:line="220" w:lineRule="exact"/>
              <w:jc w:val="right"/>
              <w:rPr>
                <w:sz w:val="18"/>
                <w:szCs w:val="18"/>
              </w:rPr>
            </w:pPr>
            <w:r>
              <w:rPr>
                <w:sz w:val="18"/>
                <w:szCs w:val="18"/>
              </w:rPr>
              <w:t>62,3</w:t>
            </w:r>
          </w:p>
        </w:tc>
        <w:tc>
          <w:tcPr>
            <w:tcW w:w="762" w:type="dxa"/>
            <w:vAlign w:val="bottom"/>
          </w:tcPr>
          <w:p w:rsidR="001D2E73" w:rsidRDefault="001D2E73">
            <w:pPr>
              <w:spacing w:before="40" w:after="40" w:line="220" w:lineRule="exact"/>
              <w:jc w:val="right"/>
              <w:rPr>
                <w:sz w:val="18"/>
                <w:szCs w:val="18"/>
              </w:rPr>
            </w:pPr>
            <w:r>
              <w:rPr>
                <w:sz w:val="18"/>
                <w:szCs w:val="18"/>
              </w:rPr>
              <w:t>62,7</w:t>
            </w:r>
          </w:p>
        </w:tc>
        <w:tc>
          <w:tcPr>
            <w:tcW w:w="762" w:type="dxa"/>
            <w:vAlign w:val="bottom"/>
          </w:tcPr>
          <w:p w:rsidR="001D2E73" w:rsidRDefault="001D2E73">
            <w:pPr>
              <w:spacing w:before="40" w:after="40" w:line="220" w:lineRule="exact"/>
              <w:jc w:val="right"/>
              <w:rPr>
                <w:sz w:val="18"/>
                <w:szCs w:val="18"/>
              </w:rPr>
            </w:pPr>
            <w:r>
              <w:rPr>
                <w:sz w:val="18"/>
                <w:szCs w:val="18"/>
              </w:rPr>
              <w:t>63,5</w:t>
            </w:r>
          </w:p>
        </w:tc>
        <w:tc>
          <w:tcPr>
            <w:tcW w:w="762" w:type="dxa"/>
            <w:vAlign w:val="bottom"/>
          </w:tcPr>
          <w:p w:rsidR="001D2E73" w:rsidRDefault="001D2E73">
            <w:pPr>
              <w:spacing w:before="40" w:after="40" w:line="220" w:lineRule="exact"/>
              <w:jc w:val="right"/>
              <w:rPr>
                <w:sz w:val="18"/>
                <w:szCs w:val="18"/>
              </w:rPr>
            </w:pPr>
            <w:r>
              <w:rPr>
                <w:sz w:val="18"/>
                <w:szCs w:val="18"/>
              </w:rPr>
              <w:t>63,4</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63,0</w:t>
            </w:r>
          </w:p>
        </w:tc>
      </w:tr>
      <w:tr w:rsidR="001D2E73">
        <w:trPr>
          <w:trHeight w:val="20"/>
        </w:trPr>
        <w:tc>
          <w:tcPr>
            <w:tcW w:w="3990" w:type="dxa"/>
          </w:tcPr>
          <w:p w:rsidR="001D2E73" w:rsidRDefault="001D2E73">
            <w:pPr>
              <w:spacing w:before="40" w:after="40" w:line="220" w:lineRule="exact"/>
              <w:rPr>
                <w:sz w:val="18"/>
                <w:szCs w:val="18"/>
              </w:rPr>
            </w:pPr>
            <w:r>
              <w:rPr>
                <w:sz w:val="18"/>
                <w:szCs w:val="18"/>
              </w:rPr>
              <w:t>Hoteles y restaurantes</w:t>
            </w:r>
          </w:p>
        </w:tc>
        <w:tc>
          <w:tcPr>
            <w:tcW w:w="761" w:type="dxa"/>
            <w:vAlign w:val="bottom"/>
          </w:tcPr>
          <w:p w:rsidR="001D2E73" w:rsidRDefault="001D2E73">
            <w:pPr>
              <w:spacing w:before="40" w:after="40" w:line="220" w:lineRule="exact"/>
              <w:jc w:val="right"/>
              <w:rPr>
                <w:sz w:val="18"/>
                <w:szCs w:val="18"/>
              </w:rPr>
            </w:pPr>
            <w:r>
              <w:rPr>
                <w:sz w:val="18"/>
                <w:szCs w:val="18"/>
              </w:rPr>
              <w:t>33,9</w:t>
            </w:r>
          </w:p>
        </w:tc>
        <w:tc>
          <w:tcPr>
            <w:tcW w:w="762" w:type="dxa"/>
            <w:vAlign w:val="bottom"/>
          </w:tcPr>
          <w:p w:rsidR="001D2E73" w:rsidRDefault="001D2E73">
            <w:pPr>
              <w:spacing w:before="40" w:after="40" w:line="220" w:lineRule="exact"/>
              <w:jc w:val="right"/>
              <w:rPr>
                <w:sz w:val="18"/>
                <w:szCs w:val="18"/>
              </w:rPr>
            </w:pPr>
            <w:r>
              <w:rPr>
                <w:sz w:val="18"/>
                <w:szCs w:val="18"/>
              </w:rPr>
              <w:t>35,5</w:t>
            </w:r>
          </w:p>
        </w:tc>
        <w:tc>
          <w:tcPr>
            <w:tcW w:w="762" w:type="dxa"/>
            <w:vAlign w:val="bottom"/>
          </w:tcPr>
          <w:p w:rsidR="001D2E73" w:rsidRDefault="001D2E73">
            <w:pPr>
              <w:spacing w:before="40" w:after="40" w:line="220" w:lineRule="exact"/>
              <w:jc w:val="right"/>
              <w:rPr>
                <w:sz w:val="18"/>
                <w:szCs w:val="18"/>
              </w:rPr>
            </w:pPr>
            <w:r>
              <w:rPr>
                <w:sz w:val="18"/>
                <w:szCs w:val="18"/>
              </w:rPr>
              <w:t>43,0</w:t>
            </w:r>
          </w:p>
        </w:tc>
        <w:tc>
          <w:tcPr>
            <w:tcW w:w="762" w:type="dxa"/>
            <w:vAlign w:val="bottom"/>
          </w:tcPr>
          <w:p w:rsidR="001D2E73" w:rsidRDefault="001D2E73">
            <w:pPr>
              <w:spacing w:before="40" w:after="40" w:line="220" w:lineRule="exact"/>
              <w:jc w:val="right"/>
              <w:rPr>
                <w:sz w:val="18"/>
                <w:szCs w:val="18"/>
              </w:rPr>
            </w:pPr>
            <w:r>
              <w:rPr>
                <w:sz w:val="18"/>
                <w:szCs w:val="18"/>
              </w:rPr>
              <w:t>49,5</w:t>
            </w:r>
          </w:p>
        </w:tc>
        <w:tc>
          <w:tcPr>
            <w:tcW w:w="762" w:type="dxa"/>
            <w:vAlign w:val="bottom"/>
          </w:tcPr>
          <w:p w:rsidR="001D2E73" w:rsidRDefault="001D2E73">
            <w:pPr>
              <w:spacing w:before="40" w:after="40" w:line="220" w:lineRule="exact"/>
              <w:jc w:val="right"/>
              <w:rPr>
                <w:sz w:val="18"/>
                <w:szCs w:val="18"/>
              </w:rPr>
            </w:pPr>
            <w:r>
              <w:rPr>
                <w:sz w:val="18"/>
                <w:szCs w:val="18"/>
              </w:rPr>
              <w:t>48,2</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50,2</w:t>
            </w:r>
          </w:p>
        </w:tc>
      </w:tr>
      <w:tr w:rsidR="001D2E73">
        <w:trPr>
          <w:trHeight w:val="20"/>
        </w:trPr>
        <w:tc>
          <w:tcPr>
            <w:tcW w:w="3990" w:type="dxa"/>
          </w:tcPr>
          <w:p w:rsidR="001D2E73" w:rsidRDefault="001D2E73">
            <w:pPr>
              <w:spacing w:before="40" w:after="40" w:line="220" w:lineRule="exact"/>
              <w:rPr>
                <w:sz w:val="18"/>
                <w:szCs w:val="18"/>
              </w:rPr>
            </w:pPr>
            <w:r>
              <w:rPr>
                <w:sz w:val="18"/>
                <w:szCs w:val="18"/>
              </w:rPr>
              <w:t>Transporte, almacenamiento y comunicaci</w:t>
            </w:r>
            <w:r>
              <w:rPr>
                <w:sz w:val="18"/>
                <w:szCs w:val="18"/>
              </w:rPr>
              <w:t>o</w:t>
            </w:r>
            <w:r>
              <w:rPr>
                <w:sz w:val="18"/>
                <w:szCs w:val="18"/>
              </w:rPr>
              <w:t>nes</w:t>
            </w:r>
          </w:p>
        </w:tc>
        <w:tc>
          <w:tcPr>
            <w:tcW w:w="761" w:type="dxa"/>
            <w:vAlign w:val="bottom"/>
          </w:tcPr>
          <w:p w:rsidR="001D2E73" w:rsidRDefault="001D2E73">
            <w:pPr>
              <w:spacing w:before="40" w:after="40" w:line="220" w:lineRule="exact"/>
              <w:jc w:val="right"/>
              <w:rPr>
                <w:sz w:val="18"/>
                <w:szCs w:val="18"/>
              </w:rPr>
            </w:pPr>
            <w:r>
              <w:rPr>
                <w:sz w:val="18"/>
                <w:szCs w:val="18"/>
              </w:rPr>
              <w:t>27,6</w:t>
            </w:r>
          </w:p>
        </w:tc>
        <w:tc>
          <w:tcPr>
            <w:tcW w:w="762" w:type="dxa"/>
            <w:vAlign w:val="bottom"/>
          </w:tcPr>
          <w:p w:rsidR="001D2E73" w:rsidRDefault="001D2E73">
            <w:pPr>
              <w:spacing w:before="40" w:after="40" w:line="220" w:lineRule="exact"/>
              <w:jc w:val="right"/>
              <w:rPr>
                <w:sz w:val="18"/>
                <w:szCs w:val="18"/>
              </w:rPr>
            </w:pPr>
            <w:r>
              <w:rPr>
                <w:sz w:val="18"/>
                <w:szCs w:val="18"/>
              </w:rPr>
              <w:t>30,9</w:t>
            </w:r>
          </w:p>
        </w:tc>
        <w:tc>
          <w:tcPr>
            <w:tcW w:w="762" w:type="dxa"/>
            <w:vAlign w:val="bottom"/>
          </w:tcPr>
          <w:p w:rsidR="001D2E73" w:rsidRDefault="001D2E73">
            <w:pPr>
              <w:spacing w:before="40" w:after="40" w:line="220" w:lineRule="exact"/>
              <w:jc w:val="right"/>
              <w:rPr>
                <w:sz w:val="18"/>
                <w:szCs w:val="18"/>
              </w:rPr>
            </w:pPr>
            <w:r>
              <w:rPr>
                <w:sz w:val="18"/>
                <w:szCs w:val="18"/>
              </w:rPr>
              <w:t>31,0</w:t>
            </w:r>
          </w:p>
        </w:tc>
        <w:tc>
          <w:tcPr>
            <w:tcW w:w="762" w:type="dxa"/>
            <w:vAlign w:val="bottom"/>
          </w:tcPr>
          <w:p w:rsidR="001D2E73" w:rsidRDefault="001D2E73">
            <w:pPr>
              <w:spacing w:before="40" w:after="40" w:line="220" w:lineRule="exact"/>
              <w:jc w:val="right"/>
              <w:rPr>
                <w:sz w:val="18"/>
                <w:szCs w:val="18"/>
              </w:rPr>
            </w:pPr>
            <w:r>
              <w:rPr>
                <w:sz w:val="18"/>
                <w:szCs w:val="18"/>
              </w:rPr>
              <w:t>29,8</w:t>
            </w:r>
          </w:p>
        </w:tc>
        <w:tc>
          <w:tcPr>
            <w:tcW w:w="762" w:type="dxa"/>
            <w:vAlign w:val="bottom"/>
          </w:tcPr>
          <w:p w:rsidR="001D2E73" w:rsidRDefault="001D2E73">
            <w:pPr>
              <w:spacing w:before="40" w:after="40" w:line="220" w:lineRule="exact"/>
              <w:jc w:val="right"/>
              <w:rPr>
                <w:sz w:val="18"/>
                <w:szCs w:val="18"/>
              </w:rPr>
            </w:pPr>
            <w:r>
              <w:rPr>
                <w:sz w:val="18"/>
                <w:szCs w:val="18"/>
              </w:rPr>
              <w:t>29,8</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30,4</w:t>
            </w:r>
          </w:p>
        </w:tc>
      </w:tr>
      <w:tr w:rsidR="001D2E73">
        <w:trPr>
          <w:trHeight w:val="20"/>
        </w:trPr>
        <w:tc>
          <w:tcPr>
            <w:tcW w:w="3990" w:type="dxa"/>
          </w:tcPr>
          <w:p w:rsidR="001D2E73" w:rsidRDefault="001D2E73">
            <w:pPr>
              <w:spacing w:before="40" w:after="40" w:line="220" w:lineRule="exact"/>
              <w:rPr>
                <w:sz w:val="18"/>
                <w:szCs w:val="18"/>
              </w:rPr>
            </w:pPr>
            <w:r>
              <w:rPr>
                <w:sz w:val="18"/>
                <w:szCs w:val="18"/>
              </w:rPr>
              <w:t>Actividad financiera</w:t>
            </w:r>
          </w:p>
        </w:tc>
        <w:tc>
          <w:tcPr>
            <w:tcW w:w="761" w:type="dxa"/>
            <w:vAlign w:val="bottom"/>
          </w:tcPr>
          <w:p w:rsidR="001D2E73" w:rsidRDefault="001D2E73">
            <w:pPr>
              <w:spacing w:before="40" w:after="40" w:line="220" w:lineRule="exact"/>
              <w:jc w:val="right"/>
              <w:rPr>
                <w:sz w:val="18"/>
                <w:szCs w:val="18"/>
              </w:rPr>
            </w:pPr>
            <w:r>
              <w:rPr>
                <w:sz w:val="18"/>
                <w:szCs w:val="18"/>
              </w:rPr>
              <w:t>37,7</w:t>
            </w:r>
          </w:p>
        </w:tc>
        <w:tc>
          <w:tcPr>
            <w:tcW w:w="762" w:type="dxa"/>
            <w:vAlign w:val="bottom"/>
          </w:tcPr>
          <w:p w:rsidR="001D2E73" w:rsidRDefault="001D2E73">
            <w:pPr>
              <w:spacing w:before="40" w:after="40" w:line="220" w:lineRule="exact"/>
              <w:jc w:val="right"/>
              <w:rPr>
                <w:sz w:val="18"/>
                <w:szCs w:val="18"/>
              </w:rPr>
            </w:pPr>
            <w:r>
              <w:rPr>
                <w:sz w:val="18"/>
                <w:szCs w:val="18"/>
              </w:rPr>
              <w:t>38,9</w:t>
            </w:r>
          </w:p>
        </w:tc>
        <w:tc>
          <w:tcPr>
            <w:tcW w:w="762" w:type="dxa"/>
            <w:vAlign w:val="bottom"/>
          </w:tcPr>
          <w:p w:rsidR="001D2E73" w:rsidRDefault="001D2E73">
            <w:pPr>
              <w:spacing w:before="40" w:after="40" w:line="220" w:lineRule="exact"/>
              <w:jc w:val="right"/>
              <w:rPr>
                <w:sz w:val="18"/>
                <w:szCs w:val="18"/>
              </w:rPr>
            </w:pPr>
            <w:r>
              <w:rPr>
                <w:sz w:val="18"/>
                <w:szCs w:val="18"/>
              </w:rPr>
              <w:t>38,6</w:t>
            </w:r>
          </w:p>
        </w:tc>
        <w:tc>
          <w:tcPr>
            <w:tcW w:w="762" w:type="dxa"/>
            <w:vAlign w:val="bottom"/>
          </w:tcPr>
          <w:p w:rsidR="001D2E73" w:rsidRDefault="001D2E73">
            <w:pPr>
              <w:spacing w:before="40" w:after="40" w:line="220" w:lineRule="exact"/>
              <w:jc w:val="right"/>
              <w:rPr>
                <w:sz w:val="18"/>
                <w:szCs w:val="18"/>
              </w:rPr>
            </w:pPr>
            <w:r>
              <w:rPr>
                <w:sz w:val="18"/>
                <w:szCs w:val="18"/>
              </w:rPr>
              <w:t>56,0</w:t>
            </w:r>
          </w:p>
        </w:tc>
        <w:tc>
          <w:tcPr>
            <w:tcW w:w="762" w:type="dxa"/>
            <w:vAlign w:val="bottom"/>
          </w:tcPr>
          <w:p w:rsidR="001D2E73" w:rsidRDefault="001D2E73">
            <w:pPr>
              <w:spacing w:before="40" w:after="40" w:line="220" w:lineRule="exact"/>
              <w:jc w:val="right"/>
              <w:rPr>
                <w:sz w:val="18"/>
                <w:szCs w:val="18"/>
              </w:rPr>
            </w:pPr>
            <w:r>
              <w:rPr>
                <w:sz w:val="18"/>
                <w:szCs w:val="18"/>
              </w:rPr>
              <w:t>57,7</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43,7</w:t>
            </w:r>
          </w:p>
        </w:tc>
      </w:tr>
      <w:tr w:rsidR="001D2E73">
        <w:trPr>
          <w:trHeight w:val="20"/>
        </w:trPr>
        <w:tc>
          <w:tcPr>
            <w:tcW w:w="3990" w:type="dxa"/>
          </w:tcPr>
          <w:p w:rsidR="001D2E73" w:rsidRDefault="001D2E73">
            <w:pPr>
              <w:spacing w:before="40" w:after="40" w:line="220" w:lineRule="exact"/>
              <w:rPr>
                <w:sz w:val="18"/>
                <w:szCs w:val="18"/>
              </w:rPr>
            </w:pPr>
            <w:r>
              <w:rPr>
                <w:sz w:val="18"/>
                <w:szCs w:val="18"/>
              </w:rPr>
              <w:t>Actividad inmobiliaria, arrendamiento y prest</w:t>
            </w:r>
            <w:r>
              <w:rPr>
                <w:sz w:val="18"/>
                <w:szCs w:val="18"/>
              </w:rPr>
              <w:t>a</w:t>
            </w:r>
            <w:r>
              <w:rPr>
                <w:sz w:val="18"/>
                <w:szCs w:val="18"/>
              </w:rPr>
              <w:t>ción de servicios a los usuarios</w:t>
            </w:r>
          </w:p>
        </w:tc>
        <w:tc>
          <w:tcPr>
            <w:tcW w:w="761" w:type="dxa"/>
            <w:vAlign w:val="bottom"/>
          </w:tcPr>
          <w:p w:rsidR="001D2E73" w:rsidRDefault="001D2E73">
            <w:pPr>
              <w:spacing w:before="40" w:after="40" w:line="220" w:lineRule="exact"/>
              <w:jc w:val="right"/>
              <w:rPr>
                <w:sz w:val="18"/>
                <w:szCs w:val="18"/>
              </w:rPr>
            </w:pPr>
            <w:r>
              <w:rPr>
                <w:sz w:val="18"/>
                <w:szCs w:val="18"/>
              </w:rPr>
              <w:t>39,7</w:t>
            </w:r>
          </w:p>
        </w:tc>
        <w:tc>
          <w:tcPr>
            <w:tcW w:w="762" w:type="dxa"/>
            <w:vAlign w:val="bottom"/>
          </w:tcPr>
          <w:p w:rsidR="001D2E73" w:rsidRDefault="001D2E73">
            <w:pPr>
              <w:spacing w:before="40" w:after="40" w:line="220" w:lineRule="exact"/>
              <w:jc w:val="right"/>
              <w:rPr>
                <w:sz w:val="18"/>
                <w:szCs w:val="18"/>
              </w:rPr>
            </w:pPr>
            <w:r>
              <w:rPr>
                <w:sz w:val="18"/>
                <w:szCs w:val="18"/>
              </w:rPr>
              <w:t>40,1</w:t>
            </w:r>
          </w:p>
        </w:tc>
        <w:tc>
          <w:tcPr>
            <w:tcW w:w="762" w:type="dxa"/>
            <w:vAlign w:val="bottom"/>
          </w:tcPr>
          <w:p w:rsidR="001D2E73" w:rsidRDefault="001D2E73">
            <w:pPr>
              <w:spacing w:before="40" w:after="40" w:line="220" w:lineRule="exact"/>
              <w:jc w:val="right"/>
              <w:rPr>
                <w:sz w:val="18"/>
                <w:szCs w:val="18"/>
              </w:rPr>
            </w:pPr>
            <w:r>
              <w:rPr>
                <w:sz w:val="18"/>
                <w:szCs w:val="18"/>
              </w:rPr>
              <w:t>39,9</w:t>
            </w:r>
          </w:p>
        </w:tc>
        <w:tc>
          <w:tcPr>
            <w:tcW w:w="762" w:type="dxa"/>
            <w:vAlign w:val="bottom"/>
          </w:tcPr>
          <w:p w:rsidR="001D2E73" w:rsidRDefault="001D2E73">
            <w:pPr>
              <w:spacing w:before="40" w:after="40" w:line="220" w:lineRule="exact"/>
              <w:jc w:val="right"/>
              <w:rPr>
                <w:sz w:val="18"/>
                <w:szCs w:val="18"/>
              </w:rPr>
            </w:pPr>
            <w:r>
              <w:rPr>
                <w:sz w:val="18"/>
                <w:szCs w:val="18"/>
              </w:rPr>
              <w:t>39,9</w:t>
            </w:r>
          </w:p>
        </w:tc>
        <w:tc>
          <w:tcPr>
            <w:tcW w:w="762" w:type="dxa"/>
            <w:vAlign w:val="bottom"/>
          </w:tcPr>
          <w:p w:rsidR="001D2E73" w:rsidRDefault="001D2E73">
            <w:pPr>
              <w:spacing w:before="40" w:after="40" w:line="220" w:lineRule="exact"/>
              <w:jc w:val="right"/>
              <w:rPr>
                <w:sz w:val="18"/>
                <w:szCs w:val="18"/>
              </w:rPr>
            </w:pPr>
            <w:r>
              <w:rPr>
                <w:sz w:val="18"/>
                <w:szCs w:val="18"/>
              </w:rPr>
              <w:t>39,9</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30,7</w:t>
            </w:r>
          </w:p>
        </w:tc>
      </w:tr>
      <w:tr w:rsidR="001D2E73">
        <w:trPr>
          <w:trHeight w:val="20"/>
        </w:trPr>
        <w:tc>
          <w:tcPr>
            <w:tcW w:w="3990" w:type="dxa"/>
          </w:tcPr>
          <w:p w:rsidR="001D2E73" w:rsidRDefault="001D2E73">
            <w:pPr>
              <w:spacing w:before="40" w:after="40" w:line="220" w:lineRule="exact"/>
              <w:rPr>
                <w:sz w:val="18"/>
                <w:szCs w:val="18"/>
              </w:rPr>
            </w:pPr>
            <w:r>
              <w:rPr>
                <w:sz w:val="18"/>
                <w:szCs w:val="18"/>
              </w:rPr>
              <w:t>Administración pública y defensa; seguridad s</w:t>
            </w:r>
            <w:r>
              <w:rPr>
                <w:sz w:val="18"/>
                <w:szCs w:val="18"/>
              </w:rPr>
              <w:t>o</w:t>
            </w:r>
            <w:r>
              <w:rPr>
                <w:sz w:val="18"/>
                <w:szCs w:val="18"/>
              </w:rPr>
              <w:t>cial obligatoria</w:t>
            </w:r>
          </w:p>
        </w:tc>
        <w:tc>
          <w:tcPr>
            <w:tcW w:w="761" w:type="dxa"/>
            <w:vAlign w:val="bottom"/>
          </w:tcPr>
          <w:p w:rsidR="001D2E73" w:rsidRDefault="001D2E73">
            <w:pPr>
              <w:spacing w:before="40" w:after="40" w:line="220" w:lineRule="exact"/>
              <w:jc w:val="right"/>
              <w:rPr>
                <w:sz w:val="18"/>
                <w:szCs w:val="18"/>
              </w:rPr>
            </w:pPr>
            <w:r>
              <w:rPr>
                <w:sz w:val="18"/>
                <w:szCs w:val="18"/>
              </w:rPr>
              <w:t>35,7</w:t>
            </w:r>
          </w:p>
        </w:tc>
        <w:tc>
          <w:tcPr>
            <w:tcW w:w="762" w:type="dxa"/>
            <w:vAlign w:val="bottom"/>
          </w:tcPr>
          <w:p w:rsidR="001D2E73" w:rsidRDefault="001D2E73">
            <w:pPr>
              <w:spacing w:before="40" w:after="40" w:line="220" w:lineRule="exact"/>
              <w:jc w:val="right"/>
              <w:rPr>
                <w:sz w:val="18"/>
                <w:szCs w:val="18"/>
              </w:rPr>
            </w:pPr>
            <w:r>
              <w:rPr>
                <w:sz w:val="18"/>
                <w:szCs w:val="18"/>
              </w:rPr>
              <w:t>35,6</w:t>
            </w:r>
          </w:p>
        </w:tc>
        <w:tc>
          <w:tcPr>
            <w:tcW w:w="762" w:type="dxa"/>
            <w:vAlign w:val="bottom"/>
          </w:tcPr>
          <w:p w:rsidR="001D2E73" w:rsidRDefault="001D2E73">
            <w:pPr>
              <w:spacing w:before="40" w:after="40" w:line="220" w:lineRule="exact"/>
              <w:jc w:val="right"/>
              <w:rPr>
                <w:sz w:val="18"/>
                <w:szCs w:val="18"/>
              </w:rPr>
            </w:pPr>
            <w:r>
              <w:rPr>
                <w:sz w:val="18"/>
                <w:szCs w:val="18"/>
              </w:rPr>
              <w:t>35,1</w:t>
            </w:r>
          </w:p>
        </w:tc>
        <w:tc>
          <w:tcPr>
            <w:tcW w:w="762" w:type="dxa"/>
            <w:vAlign w:val="bottom"/>
          </w:tcPr>
          <w:p w:rsidR="001D2E73" w:rsidRDefault="001D2E73">
            <w:pPr>
              <w:spacing w:before="40" w:after="40" w:line="220" w:lineRule="exact"/>
              <w:jc w:val="right"/>
              <w:rPr>
                <w:sz w:val="18"/>
                <w:szCs w:val="18"/>
              </w:rPr>
            </w:pPr>
            <w:r>
              <w:rPr>
                <w:sz w:val="18"/>
                <w:szCs w:val="18"/>
              </w:rPr>
              <w:t>35,2</w:t>
            </w:r>
          </w:p>
        </w:tc>
        <w:tc>
          <w:tcPr>
            <w:tcW w:w="762" w:type="dxa"/>
            <w:vAlign w:val="bottom"/>
          </w:tcPr>
          <w:p w:rsidR="001D2E73" w:rsidRDefault="001D2E73">
            <w:pPr>
              <w:spacing w:before="40" w:after="40" w:line="220" w:lineRule="exact"/>
              <w:jc w:val="right"/>
              <w:rPr>
                <w:sz w:val="18"/>
                <w:szCs w:val="18"/>
              </w:rPr>
            </w:pPr>
            <w:r>
              <w:rPr>
                <w:sz w:val="18"/>
                <w:szCs w:val="18"/>
              </w:rPr>
              <w:t>35,2</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27,7</w:t>
            </w:r>
          </w:p>
        </w:tc>
      </w:tr>
      <w:tr w:rsidR="001D2E73">
        <w:trPr>
          <w:trHeight w:val="20"/>
        </w:trPr>
        <w:tc>
          <w:tcPr>
            <w:tcW w:w="3990" w:type="dxa"/>
          </w:tcPr>
          <w:p w:rsidR="001D2E73" w:rsidRDefault="001D2E73">
            <w:pPr>
              <w:spacing w:before="40" w:after="40" w:line="220" w:lineRule="exact"/>
              <w:rPr>
                <w:sz w:val="18"/>
                <w:szCs w:val="18"/>
              </w:rPr>
            </w:pPr>
            <w:r>
              <w:rPr>
                <w:sz w:val="18"/>
                <w:szCs w:val="18"/>
              </w:rPr>
              <w:t>Educación</w:t>
            </w:r>
          </w:p>
        </w:tc>
        <w:tc>
          <w:tcPr>
            <w:tcW w:w="761" w:type="dxa"/>
            <w:vAlign w:val="bottom"/>
          </w:tcPr>
          <w:p w:rsidR="001D2E73" w:rsidRDefault="001D2E73">
            <w:pPr>
              <w:spacing w:before="40" w:after="40" w:line="220" w:lineRule="exact"/>
              <w:jc w:val="right"/>
              <w:rPr>
                <w:sz w:val="18"/>
                <w:szCs w:val="18"/>
              </w:rPr>
            </w:pPr>
            <w:r>
              <w:rPr>
                <w:sz w:val="18"/>
                <w:szCs w:val="18"/>
              </w:rPr>
              <w:t>69,1</w:t>
            </w:r>
          </w:p>
        </w:tc>
        <w:tc>
          <w:tcPr>
            <w:tcW w:w="762" w:type="dxa"/>
            <w:vAlign w:val="bottom"/>
          </w:tcPr>
          <w:p w:rsidR="001D2E73" w:rsidRDefault="001D2E73">
            <w:pPr>
              <w:spacing w:before="40" w:after="40" w:line="220" w:lineRule="exact"/>
              <w:jc w:val="right"/>
              <w:rPr>
                <w:sz w:val="18"/>
                <w:szCs w:val="18"/>
              </w:rPr>
            </w:pPr>
            <w:r>
              <w:rPr>
                <w:sz w:val="18"/>
                <w:szCs w:val="18"/>
              </w:rPr>
              <w:t>68,6</w:t>
            </w:r>
          </w:p>
        </w:tc>
        <w:tc>
          <w:tcPr>
            <w:tcW w:w="762" w:type="dxa"/>
            <w:vAlign w:val="bottom"/>
          </w:tcPr>
          <w:p w:rsidR="001D2E73" w:rsidRDefault="001D2E73">
            <w:pPr>
              <w:spacing w:before="40" w:after="40" w:line="220" w:lineRule="exact"/>
              <w:jc w:val="right"/>
              <w:rPr>
                <w:sz w:val="18"/>
                <w:szCs w:val="18"/>
              </w:rPr>
            </w:pPr>
            <w:r>
              <w:rPr>
                <w:sz w:val="18"/>
                <w:szCs w:val="18"/>
              </w:rPr>
              <w:t>69,0</w:t>
            </w:r>
          </w:p>
        </w:tc>
        <w:tc>
          <w:tcPr>
            <w:tcW w:w="762" w:type="dxa"/>
            <w:vAlign w:val="bottom"/>
          </w:tcPr>
          <w:p w:rsidR="001D2E73" w:rsidRDefault="001D2E73">
            <w:pPr>
              <w:spacing w:before="40" w:after="40" w:line="220" w:lineRule="exact"/>
              <w:jc w:val="right"/>
              <w:rPr>
                <w:sz w:val="18"/>
                <w:szCs w:val="18"/>
              </w:rPr>
            </w:pPr>
            <w:r>
              <w:rPr>
                <w:sz w:val="18"/>
                <w:szCs w:val="18"/>
              </w:rPr>
              <w:t>73,3</w:t>
            </w:r>
          </w:p>
        </w:tc>
        <w:tc>
          <w:tcPr>
            <w:tcW w:w="762" w:type="dxa"/>
            <w:vAlign w:val="bottom"/>
          </w:tcPr>
          <w:p w:rsidR="001D2E73" w:rsidRDefault="001D2E73">
            <w:pPr>
              <w:spacing w:before="40" w:after="40" w:line="220" w:lineRule="exact"/>
              <w:jc w:val="right"/>
              <w:rPr>
                <w:sz w:val="18"/>
                <w:szCs w:val="18"/>
              </w:rPr>
            </w:pPr>
            <w:r>
              <w:rPr>
                <w:sz w:val="18"/>
                <w:szCs w:val="18"/>
              </w:rPr>
              <w:t>73,4</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72,5</w:t>
            </w:r>
          </w:p>
        </w:tc>
      </w:tr>
      <w:tr w:rsidR="001D2E73">
        <w:trPr>
          <w:trHeight w:val="20"/>
        </w:trPr>
        <w:tc>
          <w:tcPr>
            <w:tcW w:w="3990" w:type="dxa"/>
          </w:tcPr>
          <w:p w:rsidR="001D2E73" w:rsidRDefault="001D2E73">
            <w:pPr>
              <w:spacing w:before="40" w:after="40" w:line="220" w:lineRule="exact"/>
              <w:rPr>
                <w:sz w:val="18"/>
                <w:szCs w:val="18"/>
              </w:rPr>
            </w:pPr>
            <w:r>
              <w:rPr>
                <w:sz w:val="18"/>
                <w:szCs w:val="18"/>
              </w:rPr>
              <w:t>Salud y prestación de servicios sociales</w:t>
            </w:r>
          </w:p>
        </w:tc>
        <w:tc>
          <w:tcPr>
            <w:tcW w:w="761" w:type="dxa"/>
            <w:vAlign w:val="bottom"/>
          </w:tcPr>
          <w:p w:rsidR="001D2E73" w:rsidRDefault="001D2E73">
            <w:pPr>
              <w:spacing w:before="40" w:after="40" w:line="220" w:lineRule="exact"/>
              <w:jc w:val="right"/>
              <w:rPr>
                <w:sz w:val="18"/>
                <w:szCs w:val="18"/>
              </w:rPr>
            </w:pPr>
            <w:r>
              <w:rPr>
                <w:sz w:val="18"/>
                <w:szCs w:val="18"/>
              </w:rPr>
              <w:t>60,5</w:t>
            </w:r>
          </w:p>
        </w:tc>
        <w:tc>
          <w:tcPr>
            <w:tcW w:w="762" w:type="dxa"/>
            <w:vAlign w:val="bottom"/>
          </w:tcPr>
          <w:p w:rsidR="001D2E73" w:rsidRDefault="001D2E73">
            <w:pPr>
              <w:spacing w:before="40" w:after="40" w:line="220" w:lineRule="exact"/>
              <w:jc w:val="right"/>
              <w:rPr>
                <w:sz w:val="18"/>
                <w:szCs w:val="18"/>
              </w:rPr>
            </w:pPr>
            <w:r>
              <w:rPr>
                <w:sz w:val="18"/>
                <w:szCs w:val="18"/>
              </w:rPr>
              <w:t>59,1</w:t>
            </w:r>
          </w:p>
        </w:tc>
        <w:tc>
          <w:tcPr>
            <w:tcW w:w="762" w:type="dxa"/>
            <w:vAlign w:val="bottom"/>
          </w:tcPr>
          <w:p w:rsidR="001D2E73" w:rsidRDefault="001D2E73">
            <w:pPr>
              <w:spacing w:before="40" w:after="40" w:line="220" w:lineRule="exact"/>
              <w:jc w:val="right"/>
              <w:rPr>
                <w:sz w:val="18"/>
                <w:szCs w:val="18"/>
              </w:rPr>
            </w:pPr>
            <w:r>
              <w:rPr>
                <w:sz w:val="18"/>
                <w:szCs w:val="18"/>
              </w:rPr>
              <w:t>59,2</w:t>
            </w:r>
          </w:p>
        </w:tc>
        <w:tc>
          <w:tcPr>
            <w:tcW w:w="762" w:type="dxa"/>
            <w:vAlign w:val="bottom"/>
          </w:tcPr>
          <w:p w:rsidR="001D2E73" w:rsidRDefault="001D2E73">
            <w:pPr>
              <w:spacing w:before="40" w:after="40" w:line="220" w:lineRule="exact"/>
              <w:jc w:val="right"/>
              <w:rPr>
                <w:sz w:val="18"/>
                <w:szCs w:val="18"/>
              </w:rPr>
            </w:pPr>
            <w:r>
              <w:rPr>
                <w:sz w:val="18"/>
                <w:szCs w:val="18"/>
              </w:rPr>
              <w:t>64,7</w:t>
            </w:r>
          </w:p>
        </w:tc>
        <w:tc>
          <w:tcPr>
            <w:tcW w:w="762" w:type="dxa"/>
            <w:vAlign w:val="bottom"/>
          </w:tcPr>
          <w:p w:rsidR="001D2E73" w:rsidRDefault="001D2E73">
            <w:pPr>
              <w:spacing w:before="40" w:after="40" w:line="220" w:lineRule="exact"/>
              <w:jc w:val="right"/>
              <w:rPr>
                <w:sz w:val="18"/>
                <w:szCs w:val="18"/>
              </w:rPr>
            </w:pPr>
            <w:r>
              <w:rPr>
                <w:sz w:val="18"/>
                <w:szCs w:val="18"/>
              </w:rPr>
              <w:t>64,7</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71,3</w:t>
            </w:r>
          </w:p>
        </w:tc>
      </w:tr>
      <w:tr w:rsidR="001D2E73">
        <w:trPr>
          <w:trHeight w:val="20"/>
        </w:trPr>
        <w:tc>
          <w:tcPr>
            <w:tcW w:w="3990" w:type="dxa"/>
          </w:tcPr>
          <w:p w:rsidR="001D2E73" w:rsidRDefault="001D2E73">
            <w:pPr>
              <w:spacing w:before="40" w:after="40" w:line="220" w:lineRule="exact"/>
              <w:rPr>
                <w:sz w:val="18"/>
                <w:szCs w:val="18"/>
              </w:rPr>
            </w:pPr>
            <w:r>
              <w:rPr>
                <w:sz w:val="18"/>
                <w:szCs w:val="18"/>
              </w:rPr>
              <w:t>Prestación de otros servicios comunitarios, soci</w:t>
            </w:r>
            <w:r>
              <w:rPr>
                <w:sz w:val="18"/>
                <w:szCs w:val="18"/>
              </w:rPr>
              <w:t>a</w:t>
            </w:r>
            <w:r>
              <w:rPr>
                <w:sz w:val="18"/>
                <w:szCs w:val="18"/>
              </w:rPr>
              <w:t>les y personales</w:t>
            </w:r>
          </w:p>
        </w:tc>
        <w:tc>
          <w:tcPr>
            <w:tcW w:w="761" w:type="dxa"/>
            <w:vAlign w:val="bottom"/>
          </w:tcPr>
          <w:p w:rsidR="001D2E73" w:rsidRDefault="001D2E73">
            <w:pPr>
              <w:spacing w:before="40" w:after="40" w:line="220" w:lineRule="exact"/>
              <w:jc w:val="right"/>
              <w:rPr>
                <w:sz w:val="18"/>
                <w:szCs w:val="18"/>
              </w:rPr>
            </w:pPr>
            <w:r>
              <w:rPr>
                <w:sz w:val="18"/>
                <w:szCs w:val="18"/>
              </w:rPr>
              <w:t>36,7</w:t>
            </w:r>
          </w:p>
        </w:tc>
        <w:tc>
          <w:tcPr>
            <w:tcW w:w="762" w:type="dxa"/>
            <w:vAlign w:val="bottom"/>
          </w:tcPr>
          <w:p w:rsidR="001D2E73" w:rsidRDefault="001D2E73">
            <w:pPr>
              <w:spacing w:before="40" w:after="40" w:line="220" w:lineRule="exact"/>
              <w:jc w:val="right"/>
              <w:rPr>
                <w:sz w:val="18"/>
                <w:szCs w:val="18"/>
              </w:rPr>
            </w:pPr>
            <w:r>
              <w:rPr>
                <w:sz w:val="18"/>
                <w:szCs w:val="18"/>
              </w:rPr>
              <w:t>35,7</w:t>
            </w:r>
          </w:p>
        </w:tc>
        <w:tc>
          <w:tcPr>
            <w:tcW w:w="762" w:type="dxa"/>
            <w:vAlign w:val="bottom"/>
          </w:tcPr>
          <w:p w:rsidR="001D2E73" w:rsidRDefault="001D2E73">
            <w:pPr>
              <w:spacing w:before="40" w:after="40" w:line="220" w:lineRule="exact"/>
              <w:jc w:val="right"/>
              <w:rPr>
                <w:sz w:val="18"/>
                <w:szCs w:val="18"/>
              </w:rPr>
            </w:pPr>
            <w:r>
              <w:rPr>
                <w:sz w:val="18"/>
                <w:szCs w:val="18"/>
              </w:rPr>
              <w:t>36,1</w:t>
            </w:r>
          </w:p>
        </w:tc>
        <w:tc>
          <w:tcPr>
            <w:tcW w:w="762" w:type="dxa"/>
            <w:vAlign w:val="bottom"/>
          </w:tcPr>
          <w:p w:rsidR="001D2E73" w:rsidRDefault="001D2E73">
            <w:pPr>
              <w:spacing w:before="40" w:after="40" w:line="220" w:lineRule="exact"/>
              <w:jc w:val="right"/>
              <w:rPr>
                <w:sz w:val="18"/>
                <w:szCs w:val="18"/>
              </w:rPr>
            </w:pPr>
            <w:r>
              <w:rPr>
                <w:sz w:val="18"/>
                <w:szCs w:val="18"/>
              </w:rPr>
              <w:t>36,3</w:t>
            </w:r>
          </w:p>
        </w:tc>
        <w:tc>
          <w:tcPr>
            <w:tcW w:w="762" w:type="dxa"/>
            <w:vAlign w:val="bottom"/>
          </w:tcPr>
          <w:p w:rsidR="001D2E73" w:rsidRDefault="001D2E73">
            <w:pPr>
              <w:spacing w:before="40" w:after="40" w:line="220" w:lineRule="exact"/>
              <w:jc w:val="right"/>
              <w:rPr>
                <w:sz w:val="18"/>
                <w:szCs w:val="18"/>
              </w:rPr>
            </w:pPr>
            <w:r>
              <w:rPr>
                <w:sz w:val="18"/>
                <w:szCs w:val="18"/>
              </w:rPr>
              <w:t>36,3</w:t>
            </w:r>
          </w:p>
        </w:tc>
        <w:tc>
          <w:tcPr>
            <w:tcW w:w="76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44,9</w:t>
            </w:r>
          </w:p>
        </w:tc>
      </w:tr>
      <w:tr w:rsidR="001D2E73">
        <w:trPr>
          <w:trHeight w:val="20"/>
        </w:trPr>
        <w:tc>
          <w:tcPr>
            <w:tcW w:w="3990" w:type="dxa"/>
          </w:tcPr>
          <w:p w:rsidR="001D2E73" w:rsidRDefault="001D2E73">
            <w:pPr>
              <w:spacing w:before="40" w:after="40" w:line="220" w:lineRule="exact"/>
              <w:rPr>
                <w:sz w:val="18"/>
                <w:szCs w:val="18"/>
              </w:rPr>
            </w:pPr>
            <w:r>
              <w:rPr>
                <w:sz w:val="18"/>
                <w:szCs w:val="18"/>
              </w:rPr>
              <w:t>Actividad de organizaciones extraterritoriales</w:t>
            </w:r>
          </w:p>
        </w:tc>
        <w:tc>
          <w:tcPr>
            <w:tcW w:w="761" w:type="dxa"/>
            <w:vAlign w:val="bottom"/>
          </w:tcPr>
          <w:p w:rsidR="001D2E73" w:rsidRDefault="001D2E73">
            <w:pPr>
              <w:spacing w:before="40" w:after="40" w:line="220" w:lineRule="exact"/>
              <w:jc w:val="right"/>
              <w:rPr>
                <w:sz w:val="18"/>
                <w:szCs w:val="18"/>
              </w:rPr>
            </w:pPr>
            <w:r>
              <w:rPr>
                <w:sz w:val="18"/>
                <w:szCs w:val="18"/>
              </w:rPr>
              <w:t>20,0</w:t>
            </w:r>
          </w:p>
        </w:tc>
        <w:tc>
          <w:tcPr>
            <w:tcW w:w="762" w:type="dxa"/>
            <w:vAlign w:val="bottom"/>
          </w:tcPr>
          <w:p w:rsidR="001D2E73" w:rsidRDefault="001D2E73">
            <w:pPr>
              <w:spacing w:before="40" w:after="40" w:line="220" w:lineRule="exact"/>
              <w:jc w:val="right"/>
              <w:rPr>
                <w:sz w:val="18"/>
                <w:szCs w:val="18"/>
              </w:rPr>
            </w:pPr>
            <w:r>
              <w:rPr>
                <w:sz w:val="18"/>
                <w:szCs w:val="18"/>
              </w:rPr>
              <w:t>-</w:t>
            </w:r>
          </w:p>
        </w:tc>
        <w:tc>
          <w:tcPr>
            <w:tcW w:w="762" w:type="dxa"/>
            <w:vAlign w:val="bottom"/>
          </w:tcPr>
          <w:p w:rsidR="001D2E73" w:rsidRDefault="001D2E73">
            <w:pPr>
              <w:spacing w:before="40" w:after="40" w:line="220" w:lineRule="exact"/>
              <w:jc w:val="right"/>
              <w:rPr>
                <w:sz w:val="18"/>
                <w:szCs w:val="18"/>
              </w:rPr>
            </w:pPr>
            <w:r>
              <w:rPr>
                <w:sz w:val="18"/>
                <w:szCs w:val="18"/>
              </w:rPr>
              <w:t>16,7</w:t>
            </w:r>
          </w:p>
        </w:tc>
        <w:tc>
          <w:tcPr>
            <w:tcW w:w="762" w:type="dxa"/>
            <w:vAlign w:val="bottom"/>
          </w:tcPr>
          <w:p w:rsidR="001D2E73" w:rsidRDefault="001D2E73">
            <w:pPr>
              <w:spacing w:before="40" w:after="40" w:line="220" w:lineRule="exact"/>
              <w:jc w:val="right"/>
              <w:rPr>
                <w:sz w:val="18"/>
                <w:szCs w:val="18"/>
              </w:rPr>
            </w:pPr>
            <w:r>
              <w:rPr>
                <w:sz w:val="18"/>
                <w:szCs w:val="18"/>
              </w:rPr>
              <w:t>16,7</w:t>
            </w:r>
          </w:p>
        </w:tc>
        <w:tc>
          <w:tcPr>
            <w:tcW w:w="762" w:type="dxa"/>
            <w:vAlign w:val="bottom"/>
          </w:tcPr>
          <w:p w:rsidR="001D2E73" w:rsidRDefault="001D2E73">
            <w:pPr>
              <w:spacing w:before="40" w:after="40" w:line="220" w:lineRule="exact"/>
              <w:jc w:val="right"/>
              <w:rPr>
                <w:sz w:val="18"/>
                <w:szCs w:val="18"/>
              </w:rPr>
            </w:pPr>
            <w:r>
              <w:rPr>
                <w:sz w:val="18"/>
                <w:szCs w:val="18"/>
              </w:rPr>
              <w:t>16,7</w:t>
            </w:r>
          </w:p>
        </w:tc>
        <w:tc>
          <w:tcPr>
            <w:tcW w:w="762" w:type="dxa"/>
            <w:tcBorders>
              <w:left w:val="nil"/>
              <w:bottom w:val="single" w:sz="12" w:space="0" w:color="auto"/>
              <w:right w:val="nil"/>
              <w:tl2br w:val="nil"/>
              <w:tr2bl w:val="nil"/>
            </w:tcBorders>
            <w:vAlign w:val="bottom"/>
          </w:tcPr>
          <w:p w:rsidR="001D2E73" w:rsidRDefault="001D2E73">
            <w:pPr>
              <w:spacing w:before="40" w:after="40" w:line="220" w:lineRule="exact"/>
              <w:jc w:val="right"/>
              <w:rPr>
                <w:sz w:val="18"/>
                <w:szCs w:val="18"/>
              </w:rPr>
            </w:pPr>
            <w:r>
              <w:rPr>
                <w:sz w:val="18"/>
                <w:szCs w:val="18"/>
              </w:rPr>
              <w:t>16,7</w:t>
            </w:r>
          </w:p>
        </w:tc>
      </w:tr>
    </w:tbl>
    <w:p w:rsidR="001D2E73" w:rsidRDefault="001D2E73">
      <w:pPr>
        <w:tabs>
          <w:tab w:val="left" w:pos="1304"/>
        </w:tabs>
        <w:spacing w:before="120"/>
        <w:rPr>
          <w:sz w:val="18"/>
          <w:szCs w:val="18"/>
        </w:rPr>
      </w:pPr>
      <w:r>
        <w:rPr>
          <w:sz w:val="18"/>
          <w:szCs w:val="18"/>
        </w:rPr>
        <w:tab/>
      </w:r>
      <w:r>
        <w:rPr>
          <w:i/>
          <w:sz w:val="18"/>
          <w:szCs w:val="18"/>
          <w:vertAlign w:val="superscript"/>
        </w:rPr>
        <w:t>1</w:t>
      </w:r>
      <w:r>
        <w:rPr>
          <w:sz w:val="18"/>
          <w:szCs w:val="18"/>
        </w:rPr>
        <w:t xml:space="preserve">  Datos preliminares.</w:t>
      </w:r>
    </w:p>
    <w:p w:rsidR="001D2E73" w:rsidRDefault="001D2E73">
      <w:pPr>
        <w:pStyle w:val="SingleTxtGR"/>
        <w:spacing w:before="240"/>
        <w:rPr>
          <w:spacing w:val="0"/>
          <w:lang w:val="es-ES"/>
        </w:rPr>
      </w:pPr>
      <w:r>
        <w:rPr>
          <w:spacing w:val="0"/>
          <w:lang w:val="es-ES"/>
        </w:rPr>
        <w:t>91.</w:t>
      </w:r>
      <w:r>
        <w:rPr>
          <w:spacing w:val="0"/>
          <w:lang w:val="es-ES"/>
        </w:rPr>
        <w:tab/>
        <w:t>En el marco del Programa estatal de aplicación de la Estrategia de empleo de la República de Azerbaiyán (2006-2010), aprobado por Decreto presidencial de 15 de mayo de 2007, se aplican medidas para garantizar la igualdad entre hombres y mujeres en cuestiones de empleo, el aumento de la competitividad de la mujer en el mercado de trabajo, el cumplimiento de las medidas correspondientes encaminadas a la formación y el readiestramiento de las mujeres desempleadas y que buscan trab</w:t>
      </w:r>
      <w:r>
        <w:rPr>
          <w:spacing w:val="0"/>
          <w:lang w:val="es-ES"/>
        </w:rPr>
        <w:t>a</w:t>
      </w:r>
      <w:r>
        <w:rPr>
          <w:spacing w:val="0"/>
          <w:lang w:val="es-ES"/>
        </w:rPr>
        <w:t>jo en distintos oficios, el desarrollo de tipos de artes aplicadas nacionales y populares con el fin de aumentar el porcentaje de mujeres que trabajan y la realización de los estudios necesarios para determinar las causas del problema del desempleo entre las m</w:t>
      </w:r>
      <w:r>
        <w:rPr>
          <w:spacing w:val="0"/>
          <w:lang w:val="es-ES"/>
        </w:rPr>
        <w:t>u</w:t>
      </w:r>
      <w:r>
        <w:rPr>
          <w:spacing w:val="0"/>
          <w:lang w:val="es-ES"/>
        </w:rPr>
        <w:t>jeres, etc.</w:t>
      </w:r>
    </w:p>
    <w:p w:rsidR="001D2E73" w:rsidRDefault="001D2E73">
      <w:pPr>
        <w:pStyle w:val="SingleTxtGR"/>
        <w:rPr>
          <w:spacing w:val="0"/>
          <w:lang w:val="es-ES"/>
        </w:rPr>
      </w:pPr>
      <w:r>
        <w:rPr>
          <w:spacing w:val="0"/>
          <w:lang w:val="es-ES"/>
        </w:rPr>
        <w:t>92.</w:t>
      </w:r>
      <w:r>
        <w:rPr>
          <w:spacing w:val="0"/>
          <w:lang w:val="es-ES"/>
        </w:rPr>
        <w:tab/>
        <w:t xml:space="preserve">Paralelamente, con arreglo al Programa de trabajo digno en el marco de la colaboración con </w:t>
      </w:r>
      <w:smartTag w:uri="urn:schemas-microsoft-com:office:smarttags" w:element="PersonName">
        <w:smartTagPr>
          <w:attr w:name="ProductID" w:val="la Organizaci￳n Internacional"/>
        </w:smartTagPr>
        <w:r>
          <w:rPr>
            <w:spacing w:val="0"/>
            <w:lang w:val="es-ES"/>
          </w:rPr>
          <w:t>la Organización Internacional</w:t>
        </w:r>
      </w:smartTag>
      <w:r>
        <w:rPr>
          <w:spacing w:val="0"/>
          <w:lang w:val="es-ES"/>
        </w:rPr>
        <w:t xml:space="preserve"> del Trabajo para 2006-2009, fi</w:t>
      </w:r>
      <w:r>
        <w:rPr>
          <w:spacing w:val="0"/>
          <w:lang w:val="es-ES"/>
        </w:rPr>
        <w:t>r</w:t>
      </w:r>
      <w:r>
        <w:rPr>
          <w:spacing w:val="0"/>
          <w:lang w:val="es-ES"/>
        </w:rPr>
        <w:t>mado entre esta organización y la República de Azerbaiyán, se llevan a cabo actividades enc</w:t>
      </w:r>
      <w:r>
        <w:rPr>
          <w:spacing w:val="0"/>
          <w:lang w:val="es-ES"/>
        </w:rPr>
        <w:t>a</w:t>
      </w:r>
      <w:r>
        <w:rPr>
          <w:spacing w:val="0"/>
          <w:lang w:val="es-ES"/>
        </w:rPr>
        <w:t xml:space="preserve">minadas a la elaboración e introducción de programas de estudio especiales para las mujeres desempleadas y se ejecutan proyectos piloto de estímulo al empleo por cuenta propia entre las mujeres y de fomento de la actividad empresarial de la mujer.  </w:t>
      </w:r>
    </w:p>
    <w:p w:rsidR="001D2E73" w:rsidRDefault="001D2E73">
      <w:pPr>
        <w:pStyle w:val="SingleTxtGR"/>
        <w:rPr>
          <w:spacing w:val="0"/>
          <w:lang w:val="es-ES"/>
        </w:rPr>
      </w:pPr>
      <w:r>
        <w:rPr>
          <w:spacing w:val="0"/>
          <w:lang w:val="es-ES"/>
        </w:rPr>
        <w:t>93.</w:t>
      </w:r>
      <w:r>
        <w:rPr>
          <w:spacing w:val="0"/>
          <w:lang w:val="es-ES"/>
        </w:rPr>
        <w:tab/>
        <w:t xml:space="preserve">Por iniciativa de la esposa del Presidente de Azerbaiyán, presidenta del Fondo Gaidar Aliev, embajadora de buena voluntad de la Organización de las Naciones Unidas para la Educación, la Ciencia y la Cultura (UNESCO) y de la Organización de </w:t>
      </w:r>
      <w:smartTag w:uri="urn:schemas-microsoft-com:office:smarttags" w:element="PersonName">
        <w:smartTagPr>
          <w:attr w:name="ProductID" w:val="la Conferencia Isl￡mica"/>
        </w:smartTagPr>
        <w:r>
          <w:rPr>
            <w:spacing w:val="0"/>
            <w:lang w:val="es-ES"/>
          </w:rPr>
          <w:t>la Conferencia Islámica</w:t>
        </w:r>
      </w:smartTag>
      <w:r>
        <w:rPr>
          <w:spacing w:val="0"/>
          <w:lang w:val="es-ES"/>
        </w:rPr>
        <w:t xml:space="preserve"> para la Educación, la Ciencia y la Cultura (ISESCO) y diputada del Parlamento nacional (Milli Meylis), los días 10 y 11 de junio de 2008 se c</w:t>
      </w:r>
      <w:r>
        <w:rPr>
          <w:spacing w:val="0"/>
          <w:lang w:val="es-ES"/>
        </w:rPr>
        <w:t>e</w:t>
      </w:r>
      <w:r>
        <w:rPr>
          <w:spacing w:val="0"/>
          <w:lang w:val="es-ES"/>
        </w:rPr>
        <w:t>lebró un foro internacional con el título "Fortalecimiento del papel de la mujer en el diálogo intercultural ", cuyo objetivo era examinar la cuestión del fortalecimiento del papel de la mujer en el diálogo intercultural y proclamar la solidaridad de las primeras damas de algunos países con el movimiento internacional de la mujer.</w:t>
      </w:r>
    </w:p>
    <w:p w:rsidR="001D2E73" w:rsidRDefault="001D2E73">
      <w:pPr>
        <w:pStyle w:val="H1G"/>
        <w:rPr>
          <w:lang w:val="es-ES"/>
        </w:rPr>
      </w:pPr>
      <w:r>
        <w:rPr>
          <w:lang w:val="es-ES"/>
        </w:rPr>
        <w:tab/>
      </w:r>
      <w:r>
        <w:rPr>
          <w:lang w:val="es-ES"/>
        </w:rPr>
        <w:tab/>
        <w:t>Artículos 4 y 5</w:t>
      </w:r>
    </w:p>
    <w:p w:rsidR="001D2E73" w:rsidRDefault="001D2E73">
      <w:pPr>
        <w:pStyle w:val="SingleTxtGR"/>
        <w:rPr>
          <w:spacing w:val="0"/>
          <w:lang w:val="es-ES"/>
        </w:rPr>
      </w:pPr>
      <w:r>
        <w:rPr>
          <w:spacing w:val="0"/>
          <w:lang w:val="es-ES"/>
        </w:rPr>
        <w:t>94.</w:t>
      </w:r>
      <w:r>
        <w:rPr>
          <w:spacing w:val="0"/>
          <w:lang w:val="es-ES"/>
        </w:rPr>
        <w:tab/>
        <w:t>La información relativa a estos artículos figura en el documento básico, que forma parte del presente informe (</w:t>
      </w:r>
      <w:bookmarkStart w:id="2" w:name="OLE_LINK1"/>
      <w:bookmarkStart w:id="3" w:name="OLE_LINK2"/>
      <w:r>
        <w:rPr>
          <w:spacing w:val="0"/>
          <w:lang w:val="es-ES"/>
        </w:rPr>
        <w:t>HRI/CORE/AZE/2008</w:t>
      </w:r>
      <w:bookmarkEnd w:id="2"/>
      <w:bookmarkEnd w:id="3"/>
      <w:r>
        <w:rPr>
          <w:spacing w:val="0"/>
          <w:lang w:val="es-ES"/>
        </w:rPr>
        <w:t>).</w:t>
      </w:r>
    </w:p>
    <w:p w:rsidR="001D2E73" w:rsidRDefault="001D2E73">
      <w:pPr>
        <w:pStyle w:val="H1G"/>
        <w:rPr>
          <w:lang w:val="es-ES"/>
        </w:rPr>
      </w:pPr>
      <w:r>
        <w:rPr>
          <w:lang w:val="es-ES"/>
        </w:rPr>
        <w:tab/>
      </w:r>
      <w:r>
        <w:rPr>
          <w:lang w:val="es-ES"/>
        </w:rPr>
        <w:tab/>
        <w:t>Artículo 6</w:t>
      </w:r>
    </w:p>
    <w:p w:rsidR="001D2E73" w:rsidRDefault="001D2E73">
      <w:pPr>
        <w:pStyle w:val="SingleTxtGR"/>
        <w:rPr>
          <w:spacing w:val="0"/>
          <w:lang w:val="es-ES"/>
        </w:rPr>
      </w:pPr>
      <w:r>
        <w:rPr>
          <w:spacing w:val="0"/>
          <w:lang w:val="es-ES"/>
        </w:rPr>
        <w:t>95.</w:t>
      </w:r>
      <w:r>
        <w:rPr>
          <w:spacing w:val="0"/>
          <w:lang w:val="es-ES"/>
        </w:rPr>
        <w:tab/>
        <w:t>De conformidad con el artículo 35 de la Constitución de Azerbaiyán, el trabajo es el fundamento del bienestar personal y social. Todos tienen derecho a elegir l</w:t>
      </w:r>
      <w:r>
        <w:rPr>
          <w:spacing w:val="0"/>
          <w:lang w:val="es-ES"/>
        </w:rPr>
        <w:t>i</w:t>
      </w:r>
      <w:r>
        <w:rPr>
          <w:spacing w:val="0"/>
          <w:lang w:val="es-ES"/>
        </w:rPr>
        <w:t xml:space="preserve">bremente, según su capacidad laboral, el tipo de actividad, profesión, ocupación y lugar de trabajo y nadie puede ser obligado a trabajar. Los convenios laborales se suscriben libremente. Nadie puede ser obligado a firmar un convenio laboral. </w:t>
      </w:r>
    </w:p>
    <w:p w:rsidR="001D2E73" w:rsidRDefault="001D2E73">
      <w:pPr>
        <w:pStyle w:val="SingleTxtGR"/>
        <w:rPr>
          <w:spacing w:val="0"/>
          <w:lang w:val="es-ES"/>
        </w:rPr>
      </w:pPr>
      <w:r>
        <w:rPr>
          <w:spacing w:val="0"/>
          <w:lang w:val="es-ES"/>
        </w:rPr>
        <w:t>96.</w:t>
      </w:r>
      <w:r>
        <w:rPr>
          <w:spacing w:val="0"/>
          <w:lang w:val="es-ES"/>
        </w:rPr>
        <w:tab/>
        <w:t>Solo se admite el trabajo forzoso por fallo judicial, en las condiciones y los plazos establecidos por ley, así como obligar a trabajar en relación con el cumpl</w:t>
      </w:r>
      <w:r>
        <w:rPr>
          <w:spacing w:val="0"/>
          <w:lang w:val="es-ES"/>
        </w:rPr>
        <w:t>i</w:t>
      </w:r>
      <w:r>
        <w:rPr>
          <w:spacing w:val="0"/>
          <w:lang w:val="es-ES"/>
        </w:rPr>
        <w:t>miento de órdenes superiores durante el servicio militar u obligar a trabajar a los ciudadanos en determinadas tareas durante situaciones de emergencia o de conflicto militar.</w:t>
      </w:r>
    </w:p>
    <w:p w:rsidR="001D2E73" w:rsidRDefault="001D2E73">
      <w:pPr>
        <w:pStyle w:val="SingleTxtGR"/>
        <w:rPr>
          <w:spacing w:val="0"/>
          <w:lang w:val="es-ES"/>
        </w:rPr>
      </w:pPr>
      <w:r>
        <w:rPr>
          <w:spacing w:val="0"/>
          <w:lang w:val="es-ES"/>
        </w:rPr>
        <w:t>97.</w:t>
      </w:r>
      <w:r>
        <w:rPr>
          <w:spacing w:val="0"/>
          <w:lang w:val="es-ES"/>
        </w:rPr>
        <w:tab/>
        <w:t>Además, según ese artículo de la Constitución, toda persona tiene derecho a trabajar en condiciones seguras e higiénicas, a recibir remuneración por su trabajo sin ningún tipo de discriminación y no menos del salario mínimo establecido por el Estado y los desempleados tienen derecho a recibir una prestación social del Estado. El Estado utiliza todas sus p</w:t>
      </w:r>
      <w:r>
        <w:rPr>
          <w:spacing w:val="0"/>
          <w:lang w:val="es-ES"/>
        </w:rPr>
        <w:t>o</w:t>
      </w:r>
      <w:r>
        <w:rPr>
          <w:spacing w:val="0"/>
          <w:lang w:val="es-ES"/>
        </w:rPr>
        <w:t>sibilidades para eliminar el desempleo.</w:t>
      </w:r>
    </w:p>
    <w:p w:rsidR="001D2E73" w:rsidRDefault="001D2E73">
      <w:pPr>
        <w:pStyle w:val="SingleTxtGR"/>
        <w:rPr>
          <w:spacing w:val="0"/>
          <w:lang w:val="es-ES"/>
        </w:rPr>
      </w:pPr>
      <w:r>
        <w:rPr>
          <w:spacing w:val="0"/>
          <w:lang w:val="es-ES"/>
        </w:rPr>
        <w:t>98.</w:t>
      </w:r>
      <w:r>
        <w:rPr>
          <w:spacing w:val="0"/>
          <w:lang w:val="es-ES"/>
        </w:rPr>
        <w:tab/>
        <w:t>El Código del Trabajo de Azerbaiyán establece las normas mínimas que gara</w:t>
      </w:r>
      <w:r>
        <w:rPr>
          <w:spacing w:val="0"/>
          <w:lang w:val="es-ES"/>
        </w:rPr>
        <w:t>n</w:t>
      </w:r>
      <w:r>
        <w:rPr>
          <w:spacing w:val="0"/>
          <w:lang w:val="es-ES"/>
        </w:rPr>
        <w:t xml:space="preserve">tizan los derechos laborales de las personas físicas y la aplicación de esas normas. </w:t>
      </w:r>
    </w:p>
    <w:p w:rsidR="001D2E73" w:rsidRDefault="001D2E73">
      <w:pPr>
        <w:pStyle w:val="SingleTxtGR"/>
        <w:rPr>
          <w:spacing w:val="0"/>
          <w:lang w:val="es-ES"/>
        </w:rPr>
      </w:pPr>
      <w:r>
        <w:rPr>
          <w:spacing w:val="0"/>
          <w:lang w:val="es-ES"/>
        </w:rPr>
        <w:t>99.</w:t>
      </w:r>
      <w:r>
        <w:rPr>
          <w:spacing w:val="0"/>
          <w:lang w:val="es-ES"/>
        </w:rPr>
        <w:tab/>
        <w:t xml:space="preserve">Según el Código del Trabajo, </w:t>
      </w:r>
      <w:r>
        <w:rPr>
          <w:snapToGrid w:val="0"/>
          <w:spacing w:val="0"/>
          <w:lang w:val="es-ES"/>
        </w:rPr>
        <w:t>se prohíbe la discriminación entre trabajadores por razón de ciudadanía, género, raza, religión, etnia, idioma, lugar de residencia, situación económica, origen social, edad, situación familiar, creencias, opiniones pol</w:t>
      </w:r>
      <w:r>
        <w:rPr>
          <w:snapToGrid w:val="0"/>
          <w:spacing w:val="0"/>
          <w:lang w:val="es-ES"/>
        </w:rPr>
        <w:t>í</w:t>
      </w:r>
      <w:r>
        <w:rPr>
          <w:snapToGrid w:val="0"/>
          <w:spacing w:val="0"/>
          <w:lang w:val="es-ES"/>
        </w:rPr>
        <w:t>ticas, afiliación a sindicatos u otras asociaciones públicas, situación en la empresa, así como otros factores no relacionados con sus cualidades profesionales, aptitudes profesionales o resultados de su trabajo así como el otorgamiento, directo o indire</w:t>
      </w:r>
      <w:r>
        <w:rPr>
          <w:snapToGrid w:val="0"/>
          <w:spacing w:val="0"/>
          <w:lang w:val="es-ES"/>
        </w:rPr>
        <w:t>c</w:t>
      </w:r>
      <w:r>
        <w:rPr>
          <w:snapToGrid w:val="0"/>
          <w:spacing w:val="0"/>
          <w:lang w:val="es-ES"/>
        </w:rPr>
        <w:t>to, por estos factores de ventajas o privilegios o la restricción de derechos</w:t>
      </w:r>
      <w:r>
        <w:rPr>
          <w:spacing w:val="0"/>
          <w:lang w:val="es-ES"/>
        </w:rPr>
        <w:t>.</w:t>
      </w:r>
    </w:p>
    <w:p w:rsidR="001D2E73" w:rsidRDefault="001D2E73">
      <w:pPr>
        <w:pStyle w:val="SingleTxtGR"/>
        <w:rPr>
          <w:spacing w:val="0"/>
          <w:lang w:val="es-ES"/>
        </w:rPr>
      </w:pPr>
      <w:r>
        <w:rPr>
          <w:spacing w:val="0"/>
          <w:lang w:val="es-ES"/>
        </w:rPr>
        <w:t>100.</w:t>
      </w:r>
      <w:r>
        <w:rPr>
          <w:spacing w:val="0"/>
          <w:lang w:val="es-ES"/>
        </w:rPr>
        <w:tab/>
        <w:t xml:space="preserve">En el párrafo 2 del artículo 16 del Código del Trabajo de la República de Azerbaiyán se </w:t>
      </w:r>
      <w:r>
        <w:rPr>
          <w:snapToGrid w:val="0"/>
          <w:spacing w:val="0"/>
          <w:lang w:val="es-ES"/>
        </w:rPr>
        <w:t>establece que no se considera discriminación las ventajas y garantías otorgadas a las mujeres en las relaciones laborales para asegurar su protección social.</w:t>
      </w:r>
      <w:r>
        <w:rPr>
          <w:spacing w:val="0"/>
          <w:lang w:val="es-ES"/>
        </w:rPr>
        <w:t xml:space="preserve"> </w:t>
      </w:r>
    </w:p>
    <w:p w:rsidR="001D2E73" w:rsidRDefault="001D2E73">
      <w:pPr>
        <w:pStyle w:val="SingleTxtGR"/>
        <w:rPr>
          <w:spacing w:val="0"/>
          <w:lang w:val="es-ES"/>
        </w:rPr>
      </w:pPr>
      <w:r>
        <w:rPr>
          <w:spacing w:val="0"/>
          <w:lang w:val="es-ES"/>
        </w:rPr>
        <w:t>101.</w:t>
      </w:r>
      <w:r>
        <w:rPr>
          <w:spacing w:val="0"/>
          <w:lang w:val="es-ES"/>
        </w:rPr>
        <w:tab/>
        <w:t>La Ley de empleo de 2 de julio de 2001 establece los fundamentos jurídicos, económicos y organizativos de la política estatal en materia de promoción del e</w:t>
      </w:r>
      <w:r>
        <w:rPr>
          <w:spacing w:val="0"/>
          <w:lang w:val="es-ES"/>
        </w:rPr>
        <w:t>m</w:t>
      </w:r>
      <w:r>
        <w:rPr>
          <w:spacing w:val="0"/>
          <w:lang w:val="es-ES"/>
        </w:rPr>
        <w:t>pleo, así como las garantías estatales para los ciudadanos en la esfera del trabajo y la protección social de los desempleados.</w:t>
      </w:r>
    </w:p>
    <w:p w:rsidR="001D2E73" w:rsidRDefault="001D2E73">
      <w:pPr>
        <w:pStyle w:val="SingleTxtGR"/>
        <w:rPr>
          <w:spacing w:val="0"/>
          <w:lang w:val="es-ES"/>
        </w:rPr>
      </w:pPr>
      <w:r>
        <w:rPr>
          <w:spacing w:val="0"/>
          <w:lang w:val="es-ES"/>
        </w:rPr>
        <w:t>102.</w:t>
      </w:r>
      <w:r>
        <w:rPr>
          <w:spacing w:val="0"/>
          <w:lang w:val="es-ES"/>
        </w:rPr>
        <w:tab/>
        <w:t xml:space="preserve">De conformidad con el artículo 6.2.1 de </w:t>
      </w:r>
      <w:smartTag w:uri="urn:schemas-microsoft-com:office:smarttags" w:element="PersonName">
        <w:smartTagPr>
          <w:attr w:name="ProductID" w:val="la mencionada Ley"/>
        </w:smartTagPr>
        <w:r>
          <w:rPr>
            <w:spacing w:val="0"/>
            <w:lang w:val="es-ES"/>
          </w:rPr>
          <w:t>la mencionada Ley</w:t>
        </w:r>
      </w:smartTag>
      <w:r>
        <w:rPr>
          <w:spacing w:val="0"/>
          <w:lang w:val="es-ES"/>
        </w:rPr>
        <w:t>, una de las finalidades fundamentales de la política estatal en materia de empleo es garantizar a todos los ciudadanos, independientemente de su raza, nacionalidad, religión, idioma, sexo, situación familiar, origen social, lugar de residencia, patrimonio, creencias o afiliación a partidos políticos, sindicatos u otras organizaciones sociales, la igualdad de oportunidades para el ejercicio de derechos laborales y para elegir libremente su empleo.</w:t>
      </w:r>
    </w:p>
    <w:p w:rsidR="001D2E73" w:rsidRDefault="001D2E73">
      <w:pPr>
        <w:pStyle w:val="SingleTxtGR"/>
        <w:rPr>
          <w:bCs/>
          <w:spacing w:val="0"/>
          <w:lang w:val="es-ES"/>
        </w:rPr>
      </w:pPr>
      <w:r>
        <w:rPr>
          <w:spacing w:val="0"/>
          <w:lang w:val="es-ES"/>
        </w:rPr>
        <w:t>103.</w:t>
      </w:r>
      <w:r>
        <w:rPr>
          <w:spacing w:val="0"/>
          <w:lang w:val="es-ES"/>
        </w:rPr>
        <w:tab/>
        <w:t>Los ritmos estables de aumento de los indicadores macroeconómicos que se observan en el país crearon condiciones propicias para garantizar el desarrollo social, elevar el nivel de vida de la población, crear nuevos puestos de trabajo y aumentar el empleo. Según datos del Comité Estatal de Estadística, como resultado de la ejecución del Programa estatal de desarrollo socioeconómico de las regiones de la R</w:t>
      </w:r>
      <w:r>
        <w:rPr>
          <w:spacing w:val="0"/>
          <w:lang w:val="es-ES"/>
        </w:rPr>
        <w:t>e</w:t>
      </w:r>
      <w:r>
        <w:rPr>
          <w:spacing w:val="0"/>
          <w:lang w:val="es-ES"/>
        </w:rPr>
        <w:t>pública de Azerbaiyán (2004-2008)</w:t>
      </w:r>
      <w:r>
        <w:rPr>
          <w:iCs/>
          <w:spacing w:val="0"/>
          <w:lang w:val="es-ES"/>
        </w:rPr>
        <w:t>, aprobado por Decreto presidencial de 11 de febrero de 2004,</w:t>
      </w:r>
      <w:r>
        <w:rPr>
          <w:spacing w:val="0"/>
          <w:lang w:val="es-ES"/>
        </w:rPr>
        <w:t xml:space="preserve"> entre octubre de </w:t>
      </w:r>
      <w:r>
        <w:rPr>
          <w:bCs/>
          <w:spacing w:val="0"/>
          <w:lang w:val="es-ES"/>
        </w:rPr>
        <w:t>2003 y el 1º de enero de 2009 se crearon 766.277 nuevos puestos de trabajo, de ellos 547.573 permanentes. El 80% de esos nuevos puestos de trabajo se crearon en las regiones y 86,1% en el sector no e</w:t>
      </w:r>
      <w:r>
        <w:rPr>
          <w:bCs/>
          <w:spacing w:val="0"/>
          <w:lang w:val="es-ES"/>
        </w:rPr>
        <w:t>s</w:t>
      </w:r>
      <w:r>
        <w:rPr>
          <w:bCs/>
          <w:spacing w:val="0"/>
          <w:lang w:val="es-ES"/>
        </w:rPr>
        <w:t>tatal.</w:t>
      </w:r>
    </w:p>
    <w:p w:rsidR="001D2E73" w:rsidRDefault="001D2E73">
      <w:pPr>
        <w:pStyle w:val="SingleTxtGR"/>
        <w:rPr>
          <w:spacing w:val="0"/>
          <w:lang w:val="es-ES"/>
        </w:rPr>
      </w:pPr>
      <w:r>
        <w:rPr>
          <w:spacing w:val="0"/>
          <w:lang w:val="es-ES"/>
        </w:rPr>
        <w:t>104.</w:t>
      </w:r>
      <w:r>
        <w:rPr>
          <w:spacing w:val="0"/>
          <w:lang w:val="es-ES"/>
        </w:rPr>
        <w:tab/>
        <w:t>La aplicación con éxito de la política socioeconómica permitió reducir susta</w:t>
      </w:r>
      <w:r>
        <w:rPr>
          <w:spacing w:val="0"/>
          <w:lang w:val="es-ES"/>
        </w:rPr>
        <w:t>n</w:t>
      </w:r>
      <w:r>
        <w:rPr>
          <w:spacing w:val="0"/>
          <w:lang w:val="es-ES"/>
        </w:rPr>
        <w:t>cialmente el porcentaje de desempleo durante el período 1995-2008. Si en 1995 el nivel de desempleo alcanzaba el 17,2%, en 2003 fue del 10,7%, y en 2007 se había reducido a 6,5% (a 5,6% entre las mujeres). Al 1º de enero de 2009, se registraba 6,1% en todo el país. La cifra de desempleados inscritos en 2008 era de 44.481, de los cuales el 46,9% eran mujeres.</w:t>
      </w:r>
    </w:p>
    <w:p w:rsidR="001D2E73" w:rsidRDefault="001D2E73">
      <w:pPr>
        <w:pStyle w:val="SingleTxtGR"/>
        <w:spacing w:before="240"/>
        <w:rPr>
          <w:b/>
          <w:bCs/>
          <w:spacing w:val="0"/>
          <w:lang w:val="es-ES"/>
        </w:rPr>
      </w:pPr>
      <w:r>
        <w:rPr>
          <w:spacing w:val="0"/>
          <w:lang w:val="es-ES"/>
        </w:rPr>
        <w:t>Cuadro 9</w:t>
      </w:r>
      <w:r>
        <w:rPr>
          <w:spacing w:val="0"/>
          <w:lang w:val="es-ES"/>
        </w:rPr>
        <w:br/>
      </w:r>
      <w:r>
        <w:rPr>
          <w:b/>
          <w:bCs/>
          <w:spacing w:val="0"/>
          <w:lang w:val="es-ES"/>
        </w:rPr>
        <w:t>Indicadores fundamentales de los servicios de empleo</w:t>
      </w:r>
    </w:p>
    <w:tbl>
      <w:tblPr>
        <w:tblpPr w:leftFromText="180" w:rightFromText="180" w:vertAnchor="text" w:tblpX="1204" w:tblpY="1"/>
        <w:tblOverlap w:val="never"/>
        <w:tblW w:w="7300"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658"/>
        <w:gridCol w:w="773"/>
        <w:gridCol w:w="774"/>
        <w:gridCol w:w="774"/>
        <w:gridCol w:w="773"/>
        <w:gridCol w:w="774"/>
        <w:gridCol w:w="774"/>
      </w:tblGrid>
      <w:tr w:rsidR="001D2E73">
        <w:trPr>
          <w:trHeight w:val="315"/>
        </w:trPr>
        <w:tc>
          <w:tcPr>
            <w:tcW w:w="2658" w:type="dxa"/>
            <w:tcBorders>
              <w:top w:val="single" w:sz="4" w:space="0" w:color="auto"/>
              <w:bottom w:val="single" w:sz="12" w:space="0" w:color="auto"/>
            </w:tcBorders>
            <w:shd w:val="clear" w:color="auto" w:fill="auto"/>
          </w:tcPr>
          <w:p w:rsidR="001D2E73" w:rsidRDefault="001D2E73">
            <w:pPr>
              <w:spacing w:before="80" w:after="80" w:line="200" w:lineRule="exact"/>
              <w:rPr>
                <w:i/>
                <w:sz w:val="16"/>
                <w:szCs w:val="18"/>
              </w:rPr>
            </w:pPr>
            <w:r>
              <w:rPr>
                <w:i/>
                <w:sz w:val="16"/>
                <w:szCs w:val="18"/>
              </w:rPr>
              <w:t> </w:t>
            </w:r>
          </w:p>
        </w:tc>
        <w:tc>
          <w:tcPr>
            <w:tcW w:w="773"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8"/>
              </w:rPr>
            </w:pPr>
            <w:r>
              <w:rPr>
                <w:i/>
                <w:sz w:val="16"/>
                <w:szCs w:val="18"/>
              </w:rPr>
              <w:t>2003</w:t>
            </w:r>
          </w:p>
        </w:tc>
        <w:tc>
          <w:tcPr>
            <w:tcW w:w="774"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8"/>
              </w:rPr>
            </w:pPr>
            <w:r>
              <w:rPr>
                <w:i/>
                <w:sz w:val="16"/>
                <w:szCs w:val="18"/>
              </w:rPr>
              <w:t>2004</w:t>
            </w:r>
          </w:p>
        </w:tc>
        <w:tc>
          <w:tcPr>
            <w:tcW w:w="774"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8"/>
              </w:rPr>
            </w:pPr>
            <w:r>
              <w:rPr>
                <w:i/>
                <w:sz w:val="16"/>
                <w:szCs w:val="18"/>
              </w:rPr>
              <w:t>2005</w:t>
            </w:r>
          </w:p>
        </w:tc>
        <w:tc>
          <w:tcPr>
            <w:tcW w:w="773"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8"/>
              </w:rPr>
            </w:pPr>
            <w:r>
              <w:rPr>
                <w:i/>
                <w:sz w:val="16"/>
                <w:szCs w:val="18"/>
              </w:rPr>
              <w:t>2006</w:t>
            </w:r>
          </w:p>
        </w:tc>
        <w:tc>
          <w:tcPr>
            <w:tcW w:w="774"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8"/>
              </w:rPr>
            </w:pPr>
            <w:r>
              <w:rPr>
                <w:i/>
                <w:sz w:val="16"/>
                <w:szCs w:val="18"/>
              </w:rPr>
              <w:t>2007</w:t>
            </w:r>
          </w:p>
        </w:tc>
        <w:tc>
          <w:tcPr>
            <w:tcW w:w="774" w:type="dxa"/>
            <w:tcBorders>
              <w:top w:val="single" w:sz="4" w:space="0" w:color="auto"/>
              <w:left w:val="nil"/>
              <w:bottom w:val="single" w:sz="12" w:space="0" w:color="auto"/>
              <w:right w:val="nil"/>
              <w:tl2br w:val="nil"/>
              <w:tr2bl w:val="nil"/>
            </w:tcBorders>
            <w:shd w:val="clear" w:color="auto" w:fill="auto"/>
          </w:tcPr>
          <w:p w:rsidR="001D2E73" w:rsidRDefault="001D2E73">
            <w:pPr>
              <w:spacing w:before="80" w:after="80" w:line="200" w:lineRule="exact"/>
              <w:jc w:val="right"/>
              <w:rPr>
                <w:i/>
                <w:sz w:val="16"/>
                <w:szCs w:val="18"/>
              </w:rPr>
            </w:pPr>
            <w:r>
              <w:rPr>
                <w:i/>
                <w:sz w:val="16"/>
                <w:szCs w:val="18"/>
              </w:rPr>
              <w:t>2008</w:t>
            </w:r>
          </w:p>
        </w:tc>
      </w:tr>
      <w:tr w:rsidR="001D2E73">
        <w:trPr>
          <w:trHeight w:val="945"/>
        </w:trPr>
        <w:tc>
          <w:tcPr>
            <w:tcW w:w="2658" w:type="dxa"/>
            <w:vAlign w:val="bottom"/>
          </w:tcPr>
          <w:p w:rsidR="001D2E73" w:rsidRDefault="001D2E73">
            <w:pPr>
              <w:spacing w:before="40" w:after="40" w:line="220" w:lineRule="exact"/>
              <w:rPr>
                <w:sz w:val="18"/>
                <w:szCs w:val="18"/>
              </w:rPr>
            </w:pPr>
            <w:r>
              <w:rPr>
                <w:sz w:val="18"/>
                <w:szCs w:val="18"/>
              </w:rPr>
              <w:t>Cantidad de personas inscritas como desempleadas en los órg</w:t>
            </w:r>
            <w:r>
              <w:rPr>
                <w:sz w:val="18"/>
                <w:szCs w:val="18"/>
              </w:rPr>
              <w:t>a</w:t>
            </w:r>
            <w:r>
              <w:rPr>
                <w:sz w:val="18"/>
                <w:szCs w:val="18"/>
              </w:rPr>
              <w:t xml:space="preserve">nos del servicio de empleo </w:t>
            </w:r>
            <w:r>
              <w:rPr>
                <w:sz w:val="18"/>
                <w:szCs w:val="18"/>
              </w:rPr>
              <w:br/>
              <w:t>(al final del año, personas)</w:t>
            </w:r>
          </w:p>
        </w:tc>
        <w:tc>
          <w:tcPr>
            <w:tcW w:w="773" w:type="dxa"/>
            <w:vAlign w:val="bottom"/>
          </w:tcPr>
          <w:p w:rsidR="001D2E73" w:rsidRDefault="001D2E73">
            <w:pPr>
              <w:spacing w:before="40" w:after="40" w:line="220" w:lineRule="exact"/>
              <w:jc w:val="right"/>
              <w:rPr>
                <w:sz w:val="18"/>
                <w:szCs w:val="18"/>
              </w:rPr>
            </w:pPr>
            <w:r>
              <w:rPr>
                <w:sz w:val="18"/>
                <w:szCs w:val="18"/>
              </w:rPr>
              <w:t>54 365</w:t>
            </w:r>
          </w:p>
        </w:tc>
        <w:tc>
          <w:tcPr>
            <w:tcW w:w="774" w:type="dxa"/>
            <w:vAlign w:val="bottom"/>
          </w:tcPr>
          <w:p w:rsidR="001D2E73" w:rsidRDefault="001D2E73">
            <w:pPr>
              <w:spacing w:before="40" w:after="40" w:line="220" w:lineRule="exact"/>
              <w:jc w:val="right"/>
              <w:rPr>
                <w:sz w:val="18"/>
                <w:szCs w:val="18"/>
              </w:rPr>
            </w:pPr>
            <w:r>
              <w:rPr>
                <w:sz w:val="18"/>
                <w:szCs w:val="18"/>
              </w:rPr>
              <w:t>55 945</w:t>
            </w:r>
          </w:p>
        </w:tc>
        <w:tc>
          <w:tcPr>
            <w:tcW w:w="774" w:type="dxa"/>
            <w:vAlign w:val="bottom"/>
          </w:tcPr>
          <w:p w:rsidR="001D2E73" w:rsidRDefault="001D2E73">
            <w:pPr>
              <w:spacing w:before="40" w:after="40" w:line="220" w:lineRule="exact"/>
              <w:jc w:val="right"/>
              <w:rPr>
                <w:sz w:val="18"/>
                <w:szCs w:val="18"/>
              </w:rPr>
            </w:pPr>
            <w:r>
              <w:rPr>
                <w:sz w:val="18"/>
                <w:szCs w:val="18"/>
              </w:rPr>
              <w:t>56 343</w:t>
            </w:r>
          </w:p>
        </w:tc>
        <w:tc>
          <w:tcPr>
            <w:tcW w:w="773" w:type="dxa"/>
            <w:vAlign w:val="bottom"/>
          </w:tcPr>
          <w:p w:rsidR="001D2E73" w:rsidRDefault="001D2E73">
            <w:pPr>
              <w:spacing w:before="40" w:after="40" w:line="220" w:lineRule="exact"/>
              <w:jc w:val="right"/>
              <w:rPr>
                <w:sz w:val="18"/>
                <w:szCs w:val="18"/>
              </w:rPr>
            </w:pPr>
            <w:r>
              <w:rPr>
                <w:sz w:val="18"/>
                <w:szCs w:val="18"/>
              </w:rPr>
              <w:t>53 862</w:t>
            </w:r>
          </w:p>
        </w:tc>
        <w:tc>
          <w:tcPr>
            <w:tcW w:w="774" w:type="dxa"/>
            <w:vAlign w:val="bottom"/>
          </w:tcPr>
          <w:p w:rsidR="001D2E73" w:rsidRDefault="001D2E73">
            <w:pPr>
              <w:spacing w:before="40" w:after="40" w:line="220" w:lineRule="exact"/>
              <w:jc w:val="right"/>
              <w:rPr>
                <w:sz w:val="18"/>
                <w:szCs w:val="18"/>
              </w:rPr>
            </w:pPr>
            <w:r>
              <w:rPr>
                <w:sz w:val="18"/>
                <w:szCs w:val="18"/>
              </w:rPr>
              <w:t>50 651</w:t>
            </w:r>
          </w:p>
        </w:tc>
        <w:tc>
          <w:tcPr>
            <w:tcW w:w="774"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44 481</w:t>
            </w:r>
          </w:p>
        </w:tc>
      </w:tr>
      <w:tr w:rsidR="001D2E73">
        <w:trPr>
          <w:trHeight w:val="315"/>
        </w:trPr>
        <w:tc>
          <w:tcPr>
            <w:tcW w:w="2658" w:type="dxa"/>
            <w:tcBorders>
              <w:bottom w:val="nil"/>
            </w:tcBorders>
            <w:vAlign w:val="bottom"/>
          </w:tcPr>
          <w:p w:rsidR="001D2E73" w:rsidRDefault="001D2E73">
            <w:pPr>
              <w:spacing w:before="40" w:after="40" w:line="220" w:lineRule="exact"/>
              <w:rPr>
                <w:sz w:val="18"/>
                <w:szCs w:val="18"/>
              </w:rPr>
            </w:pPr>
            <w:r>
              <w:rPr>
                <w:sz w:val="18"/>
                <w:szCs w:val="18"/>
              </w:rPr>
              <w:t>Trabajadores en activo</w:t>
            </w:r>
            <w:r>
              <w:rPr>
                <w:sz w:val="18"/>
                <w:szCs w:val="18"/>
              </w:rPr>
              <w:br/>
              <w:t>(anual, personas)</w:t>
            </w:r>
          </w:p>
        </w:tc>
        <w:tc>
          <w:tcPr>
            <w:tcW w:w="773" w:type="dxa"/>
            <w:tcBorders>
              <w:bottom w:val="nil"/>
            </w:tcBorders>
            <w:vAlign w:val="bottom"/>
          </w:tcPr>
          <w:p w:rsidR="001D2E73" w:rsidRDefault="001D2E73">
            <w:pPr>
              <w:spacing w:before="40" w:after="40" w:line="220" w:lineRule="exact"/>
              <w:jc w:val="right"/>
              <w:rPr>
                <w:sz w:val="18"/>
                <w:szCs w:val="18"/>
              </w:rPr>
            </w:pPr>
            <w:r>
              <w:rPr>
                <w:sz w:val="18"/>
                <w:szCs w:val="18"/>
              </w:rPr>
              <w:t>18 272</w:t>
            </w:r>
          </w:p>
        </w:tc>
        <w:tc>
          <w:tcPr>
            <w:tcW w:w="774" w:type="dxa"/>
            <w:tcBorders>
              <w:bottom w:val="nil"/>
            </w:tcBorders>
            <w:vAlign w:val="bottom"/>
          </w:tcPr>
          <w:p w:rsidR="001D2E73" w:rsidRDefault="001D2E73">
            <w:pPr>
              <w:spacing w:before="40" w:after="40" w:line="220" w:lineRule="exact"/>
              <w:jc w:val="right"/>
              <w:rPr>
                <w:sz w:val="18"/>
                <w:szCs w:val="18"/>
              </w:rPr>
            </w:pPr>
            <w:r>
              <w:rPr>
                <w:sz w:val="18"/>
                <w:szCs w:val="18"/>
              </w:rPr>
              <w:t>21 662</w:t>
            </w:r>
          </w:p>
        </w:tc>
        <w:tc>
          <w:tcPr>
            <w:tcW w:w="774" w:type="dxa"/>
            <w:tcBorders>
              <w:bottom w:val="nil"/>
            </w:tcBorders>
            <w:vAlign w:val="bottom"/>
          </w:tcPr>
          <w:p w:rsidR="001D2E73" w:rsidRDefault="001D2E73">
            <w:pPr>
              <w:spacing w:before="40" w:after="40" w:line="220" w:lineRule="exact"/>
              <w:jc w:val="right"/>
              <w:rPr>
                <w:sz w:val="18"/>
                <w:szCs w:val="18"/>
              </w:rPr>
            </w:pPr>
            <w:r>
              <w:rPr>
                <w:sz w:val="18"/>
                <w:szCs w:val="18"/>
              </w:rPr>
              <w:t>25 299</w:t>
            </w:r>
          </w:p>
        </w:tc>
        <w:tc>
          <w:tcPr>
            <w:tcW w:w="773" w:type="dxa"/>
            <w:tcBorders>
              <w:bottom w:val="nil"/>
            </w:tcBorders>
            <w:vAlign w:val="bottom"/>
          </w:tcPr>
          <w:p w:rsidR="001D2E73" w:rsidRDefault="001D2E73">
            <w:pPr>
              <w:spacing w:before="40" w:after="40" w:line="220" w:lineRule="exact"/>
              <w:jc w:val="right"/>
              <w:rPr>
                <w:sz w:val="18"/>
                <w:szCs w:val="18"/>
              </w:rPr>
            </w:pPr>
            <w:r>
              <w:rPr>
                <w:sz w:val="18"/>
                <w:szCs w:val="18"/>
              </w:rPr>
              <w:t>28 076</w:t>
            </w:r>
          </w:p>
        </w:tc>
        <w:tc>
          <w:tcPr>
            <w:tcW w:w="774" w:type="dxa"/>
            <w:tcBorders>
              <w:bottom w:val="nil"/>
            </w:tcBorders>
            <w:vAlign w:val="bottom"/>
          </w:tcPr>
          <w:p w:rsidR="001D2E73" w:rsidRDefault="001D2E73">
            <w:pPr>
              <w:spacing w:before="40" w:after="40" w:line="220" w:lineRule="exact"/>
              <w:jc w:val="right"/>
              <w:rPr>
                <w:sz w:val="18"/>
                <w:szCs w:val="18"/>
              </w:rPr>
            </w:pPr>
            <w:r>
              <w:rPr>
                <w:sz w:val="18"/>
                <w:szCs w:val="18"/>
              </w:rPr>
              <w:t>30 700</w:t>
            </w:r>
          </w:p>
        </w:tc>
        <w:tc>
          <w:tcPr>
            <w:tcW w:w="774"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31 144</w:t>
            </w:r>
          </w:p>
        </w:tc>
      </w:tr>
      <w:tr w:rsidR="001D2E73">
        <w:trPr>
          <w:trHeight w:val="510"/>
        </w:trPr>
        <w:tc>
          <w:tcPr>
            <w:tcW w:w="2658" w:type="dxa"/>
            <w:tcBorders>
              <w:top w:val="nil"/>
              <w:bottom w:val="nil"/>
            </w:tcBorders>
            <w:vAlign w:val="bottom"/>
          </w:tcPr>
          <w:p w:rsidR="001D2E73" w:rsidRDefault="001D2E73">
            <w:pPr>
              <w:spacing w:before="40" w:after="40" w:line="220" w:lineRule="exact"/>
              <w:rPr>
                <w:sz w:val="18"/>
                <w:szCs w:val="18"/>
              </w:rPr>
            </w:pPr>
            <w:r>
              <w:rPr>
                <w:sz w:val="18"/>
                <w:szCs w:val="18"/>
              </w:rPr>
              <w:t>Remitidos a la capacitación de oficios (anual, personas)</w:t>
            </w:r>
          </w:p>
        </w:tc>
        <w:tc>
          <w:tcPr>
            <w:tcW w:w="773" w:type="dxa"/>
            <w:tcBorders>
              <w:top w:val="nil"/>
              <w:bottom w:val="nil"/>
            </w:tcBorders>
            <w:vAlign w:val="bottom"/>
          </w:tcPr>
          <w:p w:rsidR="001D2E73" w:rsidRDefault="001D2E73">
            <w:pPr>
              <w:spacing w:before="40" w:after="40" w:line="220" w:lineRule="exact"/>
              <w:jc w:val="right"/>
              <w:rPr>
                <w:sz w:val="18"/>
                <w:szCs w:val="18"/>
              </w:rPr>
            </w:pPr>
            <w:r>
              <w:rPr>
                <w:sz w:val="18"/>
                <w:szCs w:val="18"/>
              </w:rPr>
              <w:t>2 206</w:t>
            </w:r>
          </w:p>
        </w:tc>
        <w:tc>
          <w:tcPr>
            <w:tcW w:w="774" w:type="dxa"/>
            <w:tcBorders>
              <w:top w:val="nil"/>
              <w:bottom w:val="nil"/>
            </w:tcBorders>
            <w:vAlign w:val="bottom"/>
          </w:tcPr>
          <w:p w:rsidR="001D2E73" w:rsidRDefault="001D2E73">
            <w:pPr>
              <w:spacing w:before="40" w:after="40" w:line="220" w:lineRule="exact"/>
              <w:jc w:val="right"/>
              <w:rPr>
                <w:sz w:val="18"/>
                <w:szCs w:val="18"/>
              </w:rPr>
            </w:pPr>
            <w:r>
              <w:rPr>
                <w:sz w:val="18"/>
                <w:szCs w:val="18"/>
              </w:rPr>
              <w:t>2 111</w:t>
            </w:r>
          </w:p>
        </w:tc>
        <w:tc>
          <w:tcPr>
            <w:tcW w:w="774" w:type="dxa"/>
            <w:tcBorders>
              <w:top w:val="nil"/>
              <w:bottom w:val="nil"/>
            </w:tcBorders>
            <w:vAlign w:val="bottom"/>
          </w:tcPr>
          <w:p w:rsidR="001D2E73" w:rsidRDefault="001D2E73">
            <w:pPr>
              <w:spacing w:before="40" w:after="40" w:line="220" w:lineRule="exact"/>
              <w:jc w:val="right"/>
              <w:rPr>
                <w:sz w:val="18"/>
                <w:szCs w:val="18"/>
              </w:rPr>
            </w:pPr>
            <w:r>
              <w:rPr>
                <w:sz w:val="18"/>
                <w:szCs w:val="18"/>
              </w:rPr>
              <w:t>1 542</w:t>
            </w:r>
          </w:p>
        </w:tc>
        <w:tc>
          <w:tcPr>
            <w:tcW w:w="773" w:type="dxa"/>
            <w:tcBorders>
              <w:top w:val="nil"/>
              <w:bottom w:val="nil"/>
            </w:tcBorders>
            <w:vAlign w:val="bottom"/>
          </w:tcPr>
          <w:p w:rsidR="001D2E73" w:rsidRDefault="001D2E73">
            <w:pPr>
              <w:spacing w:before="40" w:after="40" w:line="220" w:lineRule="exact"/>
              <w:jc w:val="right"/>
              <w:rPr>
                <w:sz w:val="18"/>
                <w:szCs w:val="18"/>
              </w:rPr>
            </w:pPr>
            <w:r>
              <w:rPr>
                <w:sz w:val="18"/>
                <w:szCs w:val="18"/>
              </w:rPr>
              <w:t>577</w:t>
            </w:r>
          </w:p>
        </w:tc>
        <w:tc>
          <w:tcPr>
            <w:tcW w:w="774" w:type="dxa"/>
            <w:tcBorders>
              <w:top w:val="nil"/>
              <w:bottom w:val="nil"/>
            </w:tcBorders>
            <w:vAlign w:val="bottom"/>
          </w:tcPr>
          <w:p w:rsidR="001D2E73" w:rsidRDefault="001D2E73">
            <w:pPr>
              <w:spacing w:before="40" w:after="40" w:line="220" w:lineRule="exact"/>
              <w:jc w:val="right"/>
              <w:rPr>
                <w:sz w:val="18"/>
                <w:szCs w:val="18"/>
              </w:rPr>
            </w:pPr>
            <w:r>
              <w:rPr>
                <w:sz w:val="18"/>
                <w:szCs w:val="18"/>
              </w:rPr>
              <w:t>2 623</w:t>
            </w:r>
          </w:p>
        </w:tc>
        <w:tc>
          <w:tcPr>
            <w:tcW w:w="774" w:type="dxa"/>
            <w:tcBorders>
              <w:top w:val="nil"/>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3 393</w:t>
            </w:r>
          </w:p>
        </w:tc>
      </w:tr>
    </w:tbl>
    <w:p w:rsidR="001D2E73" w:rsidRDefault="001D2E73">
      <w:r>
        <w:br w:type="page"/>
      </w:r>
    </w:p>
    <w:tbl>
      <w:tblPr>
        <w:tblpPr w:leftFromText="180" w:rightFromText="180" w:vertAnchor="text" w:tblpX="1204" w:tblpY="1"/>
        <w:tblOverlap w:val="never"/>
        <w:tblW w:w="7300"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658"/>
        <w:gridCol w:w="773"/>
        <w:gridCol w:w="774"/>
        <w:gridCol w:w="774"/>
        <w:gridCol w:w="773"/>
        <w:gridCol w:w="774"/>
        <w:gridCol w:w="774"/>
      </w:tblGrid>
      <w:tr w:rsidR="001D2E73">
        <w:trPr>
          <w:trHeight w:val="340"/>
        </w:trPr>
        <w:tc>
          <w:tcPr>
            <w:tcW w:w="2658" w:type="dxa"/>
            <w:tcBorders>
              <w:top w:val="single" w:sz="4" w:space="0" w:color="auto"/>
              <w:bottom w:val="single" w:sz="12" w:space="0" w:color="auto"/>
            </w:tcBorders>
          </w:tcPr>
          <w:p w:rsidR="001D2E73" w:rsidRDefault="001D2E73">
            <w:pPr>
              <w:spacing w:before="80" w:after="80" w:line="200" w:lineRule="exact"/>
              <w:rPr>
                <w:i/>
                <w:sz w:val="16"/>
                <w:szCs w:val="18"/>
              </w:rPr>
            </w:pPr>
            <w:r>
              <w:rPr>
                <w:i/>
                <w:sz w:val="16"/>
                <w:szCs w:val="18"/>
              </w:rPr>
              <w:t> </w:t>
            </w:r>
          </w:p>
        </w:tc>
        <w:tc>
          <w:tcPr>
            <w:tcW w:w="773" w:type="dxa"/>
            <w:tcBorders>
              <w:top w:val="single" w:sz="4" w:space="0" w:color="auto"/>
              <w:bottom w:val="single" w:sz="12" w:space="0" w:color="auto"/>
            </w:tcBorders>
          </w:tcPr>
          <w:p w:rsidR="001D2E73" w:rsidRDefault="001D2E73">
            <w:pPr>
              <w:spacing w:before="80" w:after="80" w:line="200" w:lineRule="exact"/>
              <w:jc w:val="right"/>
              <w:rPr>
                <w:i/>
                <w:sz w:val="16"/>
                <w:szCs w:val="18"/>
              </w:rPr>
            </w:pPr>
            <w:r>
              <w:rPr>
                <w:i/>
                <w:sz w:val="16"/>
                <w:szCs w:val="18"/>
              </w:rPr>
              <w:t>2003</w:t>
            </w:r>
          </w:p>
        </w:tc>
        <w:tc>
          <w:tcPr>
            <w:tcW w:w="774" w:type="dxa"/>
            <w:tcBorders>
              <w:top w:val="single" w:sz="4" w:space="0" w:color="auto"/>
              <w:bottom w:val="single" w:sz="12" w:space="0" w:color="auto"/>
            </w:tcBorders>
          </w:tcPr>
          <w:p w:rsidR="001D2E73" w:rsidRDefault="001D2E73">
            <w:pPr>
              <w:spacing w:before="80" w:after="80" w:line="200" w:lineRule="exact"/>
              <w:jc w:val="right"/>
              <w:rPr>
                <w:i/>
                <w:sz w:val="16"/>
                <w:szCs w:val="18"/>
              </w:rPr>
            </w:pPr>
            <w:r>
              <w:rPr>
                <w:i/>
                <w:sz w:val="16"/>
                <w:szCs w:val="18"/>
              </w:rPr>
              <w:t>2004</w:t>
            </w:r>
          </w:p>
        </w:tc>
        <w:tc>
          <w:tcPr>
            <w:tcW w:w="774" w:type="dxa"/>
            <w:tcBorders>
              <w:top w:val="single" w:sz="4" w:space="0" w:color="auto"/>
              <w:bottom w:val="single" w:sz="12" w:space="0" w:color="auto"/>
            </w:tcBorders>
          </w:tcPr>
          <w:p w:rsidR="001D2E73" w:rsidRDefault="001D2E73">
            <w:pPr>
              <w:spacing w:before="80" w:after="80" w:line="200" w:lineRule="exact"/>
              <w:jc w:val="right"/>
              <w:rPr>
                <w:i/>
                <w:sz w:val="16"/>
                <w:szCs w:val="18"/>
              </w:rPr>
            </w:pPr>
            <w:r>
              <w:rPr>
                <w:i/>
                <w:sz w:val="16"/>
                <w:szCs w:val="18"/>
              </w:rPr>
              <w:t>2005</w:t>
            </w:r>
          </w:p>
        </w:tc>
        <w:tc>
          <w:tcPr>
            <w:tcW w:w="773" w:type="dxa"/>
            <w:tcBorders>
              <w:top w:val="single" w:sz="4" w:space="0" w:color="auto"/>
              <w:bottom w:val="single" w:sz="12" w:space="0" w:color="auto"/>
            </w:tcBorders>
          </w:tcPr>
          <w:p w:rsidR="001D2E73" w:rsidRDefault="001D2E73">
            <w:pPr>
              <w:spacing w:before="80" w:after="80" w:line="200" w:lineRule="exact"/>
              <w:jc w:val="right"/>
              <w:rPr>
                <w:i/>
                <w:sz w:val="16"/>
                <w:szCs w:val="18"/>
              </w:rPr>
            </w:pPr>
            <w:r>
              <w:rPr>
                <w:i/>
                <w:sz w:val="16"/>
                <w:szCs w:val="18"/>
              </w:rPr>
              <w:t>2006</w:t>
            </w:r>
          </w:p>
        </w:tc>
        <w:tc>
          <w:tcPr>
            <w:tcW w:w="774" w:type="dxa"/>
            <w:tcBorders>
              <w:top w:val="single" w:sz="4" w:space="0" w:color="auto"/>
              <w:bottom w:val="single" w:sz="12" w:space="0" w:color="auto"/>
            </w:tcBorders>
          </w:tcPr>
          <w:p w:rsidR="001D2E73" w:rsidRDefault="001D2E73">
            <w:pPr>
              <w:spacing w:before="80" w:after="80" w:line="200" w:lineRule="exact"/>
              <w:jc w:val="right"/>
              <w:rPr>
                <w:i/>
                <w:sz w:val="16"/>
                <w:szCs w:val="18"/>
              </w:rPr>
            </w:pPr>
            <w:r>
              <w:rPr>
                <w:i/>
                <w:sz w:val="16"/>
                <w:szCs w:val="18"/>
              </w:rPr>
              <w:t>2007</w:t>
            </w:r>
          </w:p>
        </w:tc>
        <w:tc>
          <w:tcPr>
            <w:tcW w:w="774" w:type="dxa"/>
            <w:tcBorders>
              <w:top w:val="single" w:sz="4" w:space="0" w:color="auto"/>
              <w:left w:val="nil"/>
              <w:bottom w:val="single" w:sz="12" w:space="0" w:color="auto"/>
              <w:right w:val="nil"/>
              <w:tl2br w:val="nil"/>
              <w:tr2bl w:val="nil"/>
            </w:tcBorders>
          </w:tcPr>
          <w:p w:rsidR="001D2E73" w:rsidRDefault="001D2E73">
            <w:pPr>
              <w:spacing w:before="80" w:after="80" w:line="200" w:lineRule="exact"/>
              <w:jc w:val="right"/>
              <w:rPr>
                <w:i/>
                <w:sz w:val="16"/>
                <w:szCs w:val="18"/>
              </w:rPr>
            </w:pPr>
            <w:r>
              <w:rPr>
                <w:i/>
                <w:sz w:val="16"/>
                <w:szCs w:val="18"/>
              </w:rPr>
              <w:t>2008</w:t>
            </w:r>
          </w:p>
        </w:tc>
      </w:tr>
      <w:tr w:rsidR="001D2E73">
        <w:trPr>
          <w:trHeight w:val="454"/>
        </w:trPr>
        <w:tc>
          <w:tcPr>
            <w:tcW w:w="2658" w:type="dxa"/>
            <w:tcBorders>
              <w:top w:val="single" w:sz="12" w:space="0" w:color="auto"/>
              <w:bottom w:val="nil"/>
            </w:tcBorders>
            <w:vAlign w:val="bottom"/>
          </w:tcPr>
          <w:p w:rsidR="001D2E73" w:rsidRDefault="001D2E73">
            <w:pPr>
              <w:keepNext/>
              <w:keepLines/>
              <w:spacing w:before="40" w:after="40" w:line="220" w:lineRule="exact"/>
              <w:rPr>
                <w:sz w:val="18"/>
                <w:szCs w:val="18"/>
              </w:rPr>
            </w:pPr>
            <w:r>
              <w:rPr>
                <w:sz w:val="18"/>
                <w:szCs w:val="18"/>
              </w:rPr>
              <w:t>Incorporados al trabajo social (anual, personas)</w:t>
            </w:r>
          </w:p>
        </w:tc>
        <w:tc>
          <w:tcPr>
            <w:tcW w:w="773" w:type="dxa"/>
            <w:tcBorders>
              <w:top w:val="single" w:sz="12" w:space="0" w:color="auto"/>
              <w:bottom w:val="nil"/>
            </w:tcBorders>
            <w:vAlign w:val="bottom"/>
          </w:tcPr>
          <w:p w:rsidR="001D2E73" w:rsidRDefault="001D2E73">
            <w:pPr>
              <w:keepNext/>
              <w:keepLines/>
              <w:spacing w:before="40" w:after="40" w:line="220" w:lineRule="exact"/>
              <w:jc w:val="right"/>
              <w:rPr>
                <w:sz w:val="18"/>
                <w:szCs w:val="18"/>
              </w:rPr>
            </w:pPr>
            <w:r>
              <w:rPr>
                <w:sz w:val="18"/>
                <w:szCs w:val="18"/>
              </w:rPr>
              <w:t>2 138</w:t>
            </w:r>
          </w:p>
        </w:tc>
        <w:tc>
          <w:tcPr>
            <w:tcW w:w="774" w:type="dxa"/>
            <w:tcBorders>
              <w:top w:val="single" w:sz="12" w:space="0" w:color="auto"/>
              <w:bottom w:val="nil"/>
            </w:tcBorders>
            <w:vAlign w:val="bottom"/>
          </w:tcPr>
          <w:p w:rsidR="001D2E73" w:rsidRDefault="001D2E73">
            <w:pPr>
              <w:keepNext/>
              <w:keepLines/>
              <w:spacing w:before="40" w:after="40" w:line="220" w:lineRule="exact"/>
              <w:jc w:val="right"/>
              <w:rPr>
                <w:sz w:val="18"/>
                <w:szCs w:val="18"/>
              </w:rPr>
            </w:pPr>
            <w:r>
              <w:rPr>
                <w:sz w:val="18"/>
                <w:szCs w:val="18"/>
              </w:rPr>
              <w:t>1 966</w:t>
            </w:r>
          </w:p>
        </w:tc>
        <w:tc>
          <w:tcPr>
            <w:tcW w:w="774" w:type="dxa"/>
            <w:tcBorders>
              <w:top w:val="single" w:sz="12" w:space="0" w:color="auto"/>
              <w:bottom w:val="nil"/>
            </w:tcBorders>
            <w:vAlign w:val="bottom"/>
          </w:tcPr>
          <w:p w:rsidR="001D2E73" w:rsidRDefault="001D2E73">
            <w:pPr>
              <w:keepNext/>
              <w:keepLines/>
              <w:spacing w:before="40" w:after="40" w:line="220" w:lineRule="exact"/>
              <w:jc w:val="right"/>
              <w:rPr>
                <w:sz w:val="18"/>
                <w:szCs w:val="18"/>
              </w:rPr>
            </w:pPr>
            <w:r>
              <w:rPr>
                <w:sz w:val="18"/>
                <w:szCs w:val="18"/>
              </w:rPr>
              <w:t>2 521</w:t>
            </w:r>
          </w:p>
        </w:tc>
        <w:tc>
          <w:tcPr>
            <w:tcW w:w="773" w:type="dxa"/>
            <w:tcBorders>
              <w:top w:val="single" w:sz="12" w:space="0" w:color="auto"/>
              <w:bottom w:val="nil"/>
            </w:tcBorders>
            <w:vAlign w:val="bottom"/>
          </w:tcPr>
          <w:p w:rsidR="001D2E73" w:rsidRDefault="001D2E73">
            <w:pPr>
              <w:keepNext/>
              <w:keepLines/>
              <w:spacing w:before="40" w:after="40" w:line="220" w:lineRule="exact"/>
              <w:jc w:val="right"/>
              <w:rPr>
                <w:sz w:val="18"/>
                <w:szCs w:val="18"/>
              </w:rPr>
            </w:pPr>
            <w:r>
              <w:rPr>
                <w:sz w:val="18"/>
                <w:szCs w:val="18"/>
              </w:rPr>
              <w:t>1 462</w:t>
            </w:r>
          </w:p>
        </w:tc>
        <w:tc>
          <w:tcPr>
            <w:tcW w:w="774" w:type="dxa"/>
            <w:tcBorders>
              <w:top w:val="single" w:sz="12" w:space="0" w:color="auto"/>
              <w:bottom w:val="nil"/>
            </w:tcBorders>
            <w:vAlign w:val="bottom"/>
          </w:tcPr>
          <w:p w:rsidR="001D2E73" w:rsidRDefault="001D2E73">
            <w:pPr>
              <w:keepNext/>
              <w:keepLines/>
              <w:spacing w:before="40" w:after="40" w:line="220" w:lineRule="exact"/>
              <w:jc w:val="right"/>
              <w:rPr>
                <w:sz w:val="18"/>
                <w:szCs w:val="18"/>
              </w:rPr>
            </w:pPr>
            <w:r>
              <w:rPr>
                <w:sz w:val="18"/>
                <w:szCs w:val="18"/>
              </w:rPr>
              <w:t>1 832</w:t>
            </w:r>
          </w:p>
        </w:tc>
        <w:tc>
          <w:tcPr>
            <w:tcW w:w="774" w:type="dxa"/>
            <w:tcBorders>
              <w:top w:val="single" w:sz="12" w:space="0" w:color="auto"/>
              <w:left w:val="nil"/>
              <w:bottom w:val="nil"/>
              <w:right w:val="nil"/>
              <w:tl2br w:val="nil"/>
              <w:tr2bl w:val="nil"/>
            </w:tcBorders>
            <w:vAlign w:val="bottom"/>
          </w:tcPr>
          <w:p w:rsidR="001D2E73" w:rsidRDefault="001D2E73">
            <w:pPr>
              <w:keepNext/>
              <w:keepLines/>
              <w:spacing w:before="40" w:after="40" w:line="220" w:lineRule="exact"/>
              <w:jc w:val="right"/>
              <w:rPr>
                <w:sz w:val="18"/>
                <w:szCs w:val="18"/>
              </w:rPr>
            </w:pPr>
            <w:r>
              <w:rPr>
                <w:sz w:val="18"/>
                <w:szCs w:val="18"/>
              </w:rPr>
              <w:t>1 907</w:t>
            </w:r>
          </w:p>
        </w:tc>
      </w:tr>
      <w:tr w:rsidR="001D2E73">
        <w:trPr>
          <w:trHeight w:val="454"/>
        </w:trPr>
        <w:tc>
          <w:tcPr>
            <w:tcW w:w="2658" w:type="dxa"/>
            <w:tcBorders>
              <w:top w:val="nil"/>
              <w:bottom w:val="nil"/>
            </w:tcBorders>
            <w:vAlign w:val="bottom"/>
          </w:tcPr>
          <w:p w:rsidR="001D2E73" w:rsidRDefault="001D2E73">
            <w:pPr>
              <w:keepNext/>
              <w:keepLines/>
              <w:spacing w:before="40" w:after="40" w:line="220" w:lineRule="exact"/>
              <w:rPr>
                <w:sz w:val="18"/>
                <w:szCs w:val="18"/>
              </w:rPr>
            </w:pPr>
            <w:r>
              <w:rPr>
                <w:sz w:val="18"/>
                <w:szCs w:val="18"/>
              </w:rPr>
              <w:t>Cantidad de beneficiarios de prestaciones por de</w:t>
            </w:r>
            <w:r>
              <w:rPr>
                <w:sz w:val="18"/>
                <w:szCs w:val="18"/>
              </w:rPr>
              <w:t>s</w:t>
            </w:r>
            <w:r>
              <w:rPr>
                <w:sz w:val="18"/>
                <w:szCs w:val="18"/>
              </w:rPr>
              <w:t xml:space="preserve">empleo </w:t>
            </w:r>
            <w:r>
              <w:rPr>
                <w:sz w:val="18"/>
                <w:szCs w:val="18"/>
              </w:rPr>
              <w:br/>
              <w:t>(al final del año, personas)</w:t>
            </w:r>
          </w:p>
        </w:tc>
        <w:tc>
          <w:tcPr>
            <w:tcW w:w="773" w:type="dxa"/>
            <w:tcBorders>
              <w:top w:val="nil"/>
              <w:bottom w:val="nil"/>
            </w:tcBorders>
            <w:vAlign w:val="bottom"/>
          </w:tcPr>
          <w:p w:rsidR="001D2E73" w:rsidRDefault="001D2E73">
            <w:pPr>
              <w:keepNext/>
              <w:keepLines/>
              <w:spacing w:before="40" w:after="40" w:line="220" w:lineRule="exact"/>
              <w:jc w:val="right"/>
              <w:rPr>
                <w:sz w:val="18"/>
                <w:szCs w:val="18"/>
              </w:rPr>
            </w:pPr>
            <w:r>
              <w:rPr>
                <w:sz w:val="18"/>
                <w:szCs w:val="18"/>
              </w:rPr>
              <w:t>3 111</w:t>
            </w:r>
          </w:p>
        </w:tc>
        <w:tc>
          <w:tcPr>
            <w:tcW w:w="774" w:type="dxa"/>
            <w:tcBorders>
              <w:top w:val="nil"/>
              <w:bottom w:val="nil"/>
            </w:tcBorders>
            <w:vAlign w:val="bottom"/>
          </w:tcPr>
          <w:p w:rsidR="001D2E73" w:rsidRDefault="001D2E73">
            <w:pPr>
              <w:keepNext/>
              <w:keepLines/>
              <w:spacing w:before="40" w:after="40" w:line="220" w:lineRule="exact"/>
              <w:jc w:val="right"/>
              <w:rPr>
                <w:sz w:val="18"/>
                <w:szCs w:val="18"/>
              </w:rPr>
            </w:pPr>
            <w:r>
              <w:rPr>
                <w:sz w:val="18"/>
                <w:szCs w:val="18"/>
              </w:rPr>
              <w:t>3 084</w:t>
            </w:r>
          </w:p>
        </w:tc>
        <w:tc>
          <w:tcPr>
            <w:tcW w:w="774" w:type="dxa"/>
            <w:tcBorders>
              <w:top w:val="nil"/>
              <w:bottom w:val="nil"/>
            </w:tcBorders>
            <w:vAlign w:val="bottom"/>
          </w:tcPr>
          <w:p w:rsidR="001D2E73" w:rsidRDefault="001D2E73">
            <w:pPr>
              <w:keepNext/>
              <w:keepLines/>
              <w:spacing w:before="40" w:after="40" w:line="220" w:lineRule="exact"/>
              <w:jc w:val="right"/>
              <w:rPr>
                <w:sz w:val="18"/>
                <w:szCs w:val="18"/>
              </w:rPr>
            </w:pPr>
            <w:r>
              <w:rPr>
                <w:sz w:val="18"/>
                <w:szCs w:val="18"/>
              </w:rPr>
              <w:t>2 087</w:t>
            </w:r>
          </w:p>
        </w:tc>
        <w:tc>
          <w:tcPr>
            <w:tcW w:w="773" w:type="dxa"/>
            <w:tcBorders>
              <w:top w:val="nil"/>
              <w:bottom w:val="nil"/>
            </w:tcBorders>
            <w:vAlign w:val="bottom"/>
          </w:tcPr>
          <w:p w:rsidR="001D2E73" w:rsidRDefault="001D2E73">
            <w:pPr>
              <w:keepNext/>
              <w:keepLines/>
              <w:spacing w:before="40" w:after="40" w:line="220" w:lineRule="exact"/>
              <w:jc w:val="right"/>
              <w:rPr>
                <w:sz w:val="18"/>
                <w:szCs w:val="18"/>
              </w:rPr>
            </w:pPr>
            <w:r>
              <w:rPr>
                <w:sz w:val="18"/>
                <w:szCs w:val="18"/>
              </w:rPr>
              <w:t>2 281</w:t>
            </w:r>
          </w:p>
        </w:tc>
        <w:tc>
          <w:tcPr>
            <w:tcW w:w="774" w:type="dxa"/>
            <w:tcBorders>
              <w:top w:val="nil"/>
              <w:bottom w:val="nil"/>
            </w:tcBorders>
            <w:vAlign w:val="bottom"/>
          </w:tcPr>
          <w:p w:rsidR="001D2E73" w:rsidRDefault="001D2E73">
            <w:pPr>
              <w:keepNext/>
              <w:keepLines/>
              <w:spacing w:before="40" w:after="40" w:line="220" w:lineRule="exact"/>
              <w:jc w:val="right"/>
              <w:rPr>
                <w:sz w:val="18"/>
                <w:szCs w:val="18"/>
              </w:rPr>
            </w:pPr>
            <w:r>
              <w:rPr>
                <w:sz w:val="18"/>
                <w:szCs w:val="18"/>
              </w:rPr>
              <w:t>2 523</w:t>
            </w:r>
          </w:p>
        </w:tc>
        <w:tc>
          <w:tcPr>
            <w:tcW w:w="774" w:type="dxa"/>
            <w:tcBorders>
              <w:top w:val="nil"/>
              <w:left w:val="nil"/>
              <w:bottom w:val="nil"/>
              <w:right w:val="nil"/>
              <w:tl2br w:val="nil"/>
              <w:tr2bl w:val="nil"/>
            </w:tcBorders>
            <w:vAlign w:val="bottom"/>
          </w:tcPr>
          <w:p w:rsidR="001D2E73" w:rsidRDefault="001D2E73">
            <w:pPr>
              <w:keepNext/>
              <w:keepLines/>
              <w:spacing w:before="40" w:after="40" w:line="220" w:lineRule="exact"/>
              <w:jc w:val="right"/>
              <w:rPr>
                <w:sz w:val="18"/>
                <w:szCs w:val="18"/>
              </w:rPr>
            </w:pPr>
            <w:r>
              <w:rPr>
                <w:sz w:val="18"/>
                <w:szCs w:val="18"/>
              </w:rPr>
              <w:t>2 109</w:t>
            </w:r>
          </w:p>
        </w:tc>
      </w:tr>
      <w:tr w:rsidR="001D2E73">
        <w:trPr>
          <w:trHeight w:val="454"/>
        </w:trPr>
        <w:tc>
          <w:tcPr>
            <w:tcW w:w="2658" w:type="dxa"/>
            <w:tcBorders>
              <w:top w:val="nil"/>
              <w:bottom w:val="single" w:sz="12" w:space="0" w:color="auto"/>
            </w:tcBorders>
            <w:vAlign w:val="bottom"/>
          </w:tcPr>
          <w:p w:rsidR="001D2E73" w:rsidRDefault="001D2E73">
            <w:pPr>
              <w:keepNext/>
              <w:keepLines/>
              <w:spacing w:before="40" w:after="40" w:line="220" w:lineRule="exact"/>
              <w:rPr>
                <w:sz w:val="18"/>
                <w:szCs w:val="18"/>
              </w:rPr>
            </w:pPr>
            <w:r>
              <w:rPr>
                <w:sz w:val="18"/>
                <w:szCs w:val="18"/>
              </w:rPr>
              <w:t>Importe medio de la prestación por desempleo (anual, manat)</w:t>
            </w:r>
          </w:p>
        </w:tc>
        <w:tc>
          <w:tcPr>
            <w:tcW w:w="773" w:type="dxa"/>
            <w:tcBorders>
              <w:top w:val="nil"/>
              <w:bottom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23,51</w:t>
            </w:r>
          </w:p>
        </w:tc>
        <w:tc>
          <w:tcPr>
            <w:tcW w:w="774" w:type="dxa"/>
            <w:tcBorders>
              <w:top w:val="nil"/>
              <w:bottom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27,34</w:t>
            </w:r>
          </w:p>
        </w:tc>
        <w:tc>
          <w:tcPr>
            <w:tcW w:w="774" w:type="dxa"/>
            <w:tcBorders>
              <w:top w:val="nil"/>
              <w:bottom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40,17</w:t>
            </w:r>
          </w:p>
        </w:tc>
        <w:tc>
          <w:tcPr>
            <w:tcW w:w="773" w:type="dxa"/>
            <w:tcBorders>
              <w:top w:val="nil"/>
              <w:bottom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52,03</w:t>
            </w:r>
          </w:p>
        </w:tc>
        <w:tc>
          <w:tcPr>
            <w:tcW w:w="774" w:type="dxa"/>
            <w:tcBorders>
              <w:top w:val="nil"/>
              <w:bottom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70,24</w:t>
            </w:r>
          </w:p>
        </w:tc>
        <w:tc>
          <w:tcPr>
            <w:tcW w:w="774" w:type="dxa"/>
            <w:tcBorders>
              <w:top w:val="nil"/>
              <w:left w:val="nil"/>
              <w:bottom w:val="single" w:sz="12" w:space="0" w:color="auto"/>
              <w:right w:val="nil"/>
              <w:tl2br w:val="nil"/>
              <w:tr2bl w:val="nil"/>
            </w:tcBorders>
            <w:vAlign w:val="bottom"/>
          </w:tcPr>
          <w:p w:rsidR="001D2E73" w:rsidRDefault="001D2E73">
            <w:pPr>
              <w:keepNext/>
              <w:keepLines/>
              <w:spacing w:before="40" w:after="40" w:line="220" w:lineRule="exact"/>
              <w:jc w:val="right"/>
              <w:rPr>
                <w:sz w:val="18"/>
                <w:szCs w:val="18"/>
              </w:rPr>
            </w:pPr>
            <w:r>
              <w:rPr>
                <w:sz w:val="18"/>
                <w:szCs w:val="18"/>
              </w:rPr>
              <w:t>114,58</w:t>
            </w:r>
          </w:p>
        </w:tc>
      </w:tr>
    </w:tbl>
    <w:p w:rsidR="001D2E73" w:rsidRDefault="001D2E73">
      <w:pPr>
        <w:keepNext/>
        <w:keepLines/>
        <w:framePr w:hSpace="180" w:wrap="around" w:vAnchor="text" w:hAnchor="text" w:x="1204" w:y="1"/>
        <w:tabs>
          <w:tab w:val="left" w:pos="2658"/>
          <w:tab w:val="left" w:pos="3431"/>
          <w:tab w:val="left" w:pos="4205"/>
          <w:tab w:val="left" w:pos="4979"/>
          <w:tab w:val="left" w:pos="5752"/>
          <w:tab w:val="left" w:pos="6526"/>
        </w:tabs>
        <w:suppressOverlap/>
        <w:cnfStyle w:val="000100000000" w:firstRow="0" w:lastRow="0" w:firstColumn="0" w:lastColumn="1" w:oddVBand="0" w:evenVBand="0" w:oddHBand="0" w:evenHBand="0" w:firstRowFirstColumn="0" w:firstRowLastColumn="0" w:lastRowFirstColumn="0" w:lastRowLastColumn="0"/>
        <w:rPr>
          <w:sz w:val="18"/>
          <w:szCs w:val="18"/>
        </w:rPr>
      </w:pPr>
      <w:r>
        <w:rPr>
          <w:sz w:val="18"/>
          <w:szCs w:val="18"/>
        </w:rPr>
        <w:tab/>
      </w:r>
    </w:p>
    <w:p w:rsidR="001D2E73" w:rsidRDefault="001D2E73">
      <w:pPr>
        <w:pStyle w:val="SingleTxtGR"/>
        <w:keepNext/>
        <w:keepLines/>
        <w:spacing w:before="240"/>
        <w:rPr>
          <w:spacing w:val="0"/>
          <w:lang w:val="es-ES"/>
        </w:rPr>
      </w:pPr>
      <w:r>
        <w:rPr>
          <w:spacing w:val="0"/>
          <w:lang w:val="es-ES"/>
        </w:rPr>
        <w:br w:type="textWrapping" w:clear="all"/>
        <w:t>105.</w:t>
      </w:r>
      <w:r>
        <w:rPr>
          <w:spacing w:val="0"/>
          <w:lang w:val="es-ES"/>
        </w:rPr>
        <w:tab/>
        <w:t>Con el fin de obtener información básica sobre el porcentaje y la estructura de la fuerza de trabajo de Azerbaiyán, en 2003 con el apoyo financiero del Programa de las Naciones Unidas para el Desarrollo (PNUD) y la ayuda técnica de la OIT, el país realizó un estudio de la actividad económica de la población que quedó reflej</w:t>
      </w:r>
      <w:r>
        <w:rPr>
          <w:spacing w:val="0"/>
          <w:lang w:val="es-ES"/>
        </w:rPr>
        <w:t>a</w:t>
      </w:r>
      <w:r>
        <w:rPr>
          <w:spacing w:val="0"/>
          <w:lang w:val="es-ES"/>
        </w:rPr>
        <w:t>do en la práctica estadística de Azerbaiyán. En el marco del proyecto conjunto con el PNUD, en 2006 se realizó un segundo estudio de la actividad económica de la p</w:t>
      </w:r>
      <w:r>
        <w:rPr>
          <w:spacing w:val="0"/>
          <w:lang w:val="es-ES"/>
        </w:rPr>
        <w:t>o</w:t>
      </w:r>
      <w:r>
        <w:rPr>
          <w:spacing w:val="0"/>
          <w:lang w:val="es-ES"/>
        </w:rPr>
        <w:t>blación.</w:t>
      </w:r>
    </w:p>
    <w:p w:rsidR="001D2E73" w:rsidRDefault="001D2E73">
      <w:pPr>
        <w:pStyle w:val="SingleTxtGR"/>
        <w:spacing w:before="240"/>
        <w:rPr>
          <w:spacing w:val="0"/>
          <w:lang w:val="es-ES"/>
        </w:rPr>
      </w:pPr>
      <w:r>
        <w:rPr>
          <w:spacing w:val="0"/>
          <w:lang w:val="es-ES"/>
        </w:rPr>
        <w:t>106.</w:t>
      </w:r>
      <w:r>
        <w:rPr>
          <w:spacing w:val="0"/>
          <w:lang w:val="es-ES"/>
        </w:rPr>
        <w:tab/>
        <w:t>Según datos del Comité Estatal de Estadística al 1º de enero de 2009, el total de la población económicamente activa del país había aumentado 13,6% en comp</w:t>
      </w:r>
      <w:r>
        <w:rPr>
          <w:spacing w:val="0"/>
          <w:lang w:val="es-ES"/>
        </w:rPr>
        <w:t>a</w:t>
      </w:r>
      <w:r>
        <w:rPr>
          <w:spacing w:val="0"/>
          <w:lang w:val="es-ES"/>
        </w:rPr>
        <w:t xml:space="preserve">ración con 2003 y ascendía a 4.318.200 personas. Además el número de empleados había aumentado en 8,2% en comparación con el mismo período y ascendía a 4.056.100 personas. </w:t>
      </w:r>
    </w:p>
    <w:p w:rsidR="001D2E73" w:rsidRDefault="001D2E73">
      <w:pPr>
        <w:pStyle w:val="SingleTxtGR"/>
        <w:spacing w:before="240"/>
        <w:rPr>
          <w:spacing w:val="0"/>
          <w:lang w:val="es-ES"/>
        </w:rPr>
      </w:pPr>
      <w:r>
        <w:rPr>
          <w:spacing w:val="0"/>
          <w:lang w:val="es-ES"/>
        </w:rPr>
        <w:t>Cuadro 10</w:t>
      </w:r>
      <w:r>
        <w:rPr>
          <w:spacing w:val="0"/>
          <w:lang w:val="es-ES"/>
        </w:rPr>
        <w:br/>
      </w:r>
      <w:r>
        <w:rPr>
          <w:b/>
          <w:spacing w:val="0"/>
          <w:lang w:val="es-ES"/>
        </w:rPr>
        <w:t>Población económicamente activa</w:t>
      </w:r>
    </w:p>
    <w:tbl>
      <w:tblPr>
        <w:tblW w:w="8504"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394"/>
        <w:gridCol w:w="774"/>
        <w:gridCol w:w="889"/>
        <w:gridCol w:w="906"/>
        <w:gridCol w:w="882"/>
        <w:gridCol w:w="822"/>
        <w:gridCol w:w="837"/>
      </w:tblGrid>
      <w:tr w:rsidR="001D2E73">
        <w:trPr>
          <w:trHeight w:val="371"/>
          <w:tblHeader/>
        </w:trPr>
        <w:tc>
          <w:tcPr>
            <w:tcW w:w="3394" w:type="dxa"/>
            <w:tcBorders>
              <w:top w:val="single" w:sz="4" w:space="0" w:color="auto"/>
              <w:left w:val="nil"/>
              <w:bottom w:val="single" w:sz="12" w:space="0" w:color="auto"/>
              <w:right w:val="nil"/>
              <w:tl2br w:val="nil"/>
              <w:tr2bl w:val="nil"/>
            </w:tcBorders>
            <w:shd w:val="clear" w:color="auto" w:fill="auto"/>
            <w:vAlign w:val="bottom"/>
          </w:tcPr>
          <w:p w:rsidR="001D2E73" w:rsidRDefault="001D2E73">
            <w:pPr>
              <w:spacing w:before="80" w:after="80" w:line="200" w:lineRule="exact"/>
              <w:rPr>
                <w:i/>
                <w:sz w:val="16"/>
              </w:rPr>
            </w:pPr>
            <w:r>
              <w:rPr>
                <w:i/>
                <w:sz w:val="16"/>
              </w:rPr>
              <w:t> </w:t>
            </w:r>
          </w:p>
        </w:tc>
        <w:tc>
          <w:tcPr>
            <w:tcW w:w="774"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2003</w:t>
            </w:r>
          </w:p>
        </w:tc>
        <w:tc>
          <w:tcPr>
            <w:tcW w:w="889"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2004</w:t>
            </w:r>
          </w:p>
        </w:tc>
        <w:tc>
          <w:tcPr>
            <w:tcW w:w="906"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2005</w:t>
            </w:r>
          </w:p>
        </w:tc>
        <w:tc>
          <w:tcPr>
            <w:tcW w:w="882"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2006</w:t>
            </w:r>
          </w:p>
        </w:tc>
        <w:tc>
          <w:tcPr>
            <w:tcW w:w="822"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2007</w:t>
            </w:r>
          </w:p>
        </w:tc>
        <w:tc>
          <w:tcPr>
            <w:tcW w:w="837"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2008</w:t>
            </w:r>
            <w:r>
              <w:rPr>
                <w:i/>
                <w:sz w:val="18"/>
                <w:szCs w:val="18"/>
                <w:vertAlign w:val="superscript"/>
              </w:rPr>
              <w:t>b</w:t>
            </w:r>
          </w:p>
        </w:tc>
      </w:tr>
      <w:tr w:rsidR="001D2E73">
        <w:trPr>
          <w:trHeight w:val="454"/>
        </w:trPr>
        <w:tc>
          <w:tcPr>
            <w:tcW w:w="3394" w:type="dxa"/>
            <w:tcBorders>
              <w:top w:val="single" w:sz="12" w:space="0" w:color="auto"/>
              <w:left w:val="nil"/>
              <w:bottom w:val="single" w:sz="4" w:space="0" w:color="auto"/>
              <w:right w:val="nil"/>
              <w:tl2br w:val="nil"/>
              <w:tr2bl w:val="nil"/>
            </w:tcBorders>
            <w:vAlign w:val="bottom"/>
          </w:tcPr>
          <w:p w:rsidR="001D2E73" w:rsidRDefault="001D2E73">
            <w:pPr>
              <w:spacing w:before="80" w:after="80" w:line="220" w:lineRule="exact"/>
              <w:ind w:left="284"/>
              <w:rPr>
                <w:b/>
                <w:sz w:val="18"/>
                <w:szCs w:val="18"/>
              </w:rPr>
            </w:pPr>
            <w:r>
              <w:rPr>
                <w:b/>
                <w:sz w:val="18"/>
                <w:szCs w:val="18"/>
              </w:rPr>
              <w:t>Población económicamente activa – Total, miles de personas</w:t>
            </w:r>
          </w:p>
        </w:tc>
        <w:tc>
          <w:tcPr>
            <w:tcW w:w="774" w:type="dxa"/>
            <w:tcBorders>
              <w:top w:val="single" w:sz="12"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4 147,9</w:t>
            </w:r>
          </w:p>
        </w:tc>
        <w:tc>
          <w:tcPr>
            <w:tcW w:w="889" w:type="dxa"/>
            <w:tcBorders>
              <w:top w:val="single" w:sz="12"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4 157,8</w:t>
            </w:r>
          </w:p>
        </w:tc>
        <w:tc>
          <w:tcPr>
            <w:tcW w:w="906" w:type="dxa"/>
            <w:tcBorders>
              <w:top w:val="single" w:sz="12"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4 168,0</w:t>
            </w:r>
          </w:p>
        </w:tc>
        <w:tc>
          <w:tcPr>
            <w:tcW w:w="882" w:type="dxa"/>
            <w:tcBorders>
              <w:top w:val="single" w:sz="12"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4 264,2</w:t>
            </w:r>
          </w:p>
        </w:tc>
        <w:tc>
          <w:tcPr>
            <w:tcW w:w="822" w:type="dxa"/>
            <w:tcBorders>
              <w:top w:val="single" w:sz="12"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4 295,2</w:t>
            </w:r>
          </w:p>
        </w:tc>
        <w:tc>
          <w:tcPr>
            <w:tcW w:w="837" w:type="dxa"/>
            <w:tcBorders>
              <w:top w:val="single" w:sz="12"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4 318,2</w:t>
            </w:r>
          </w:p>
        </w:tc>
      </w:tr>
      <w:tr w:rsidR="001D2E73">
        <w:trPr>
          <w:trHeight w:val="312"/>
        </w:trPr>
        <w:tc>
          <w:tcPr>
            <w:tcW w:w="3394" w:type="dxa"/>
            <w:tcBorders>
              <w:top w:val="single" w:sz="4" w:space="0" w:color="auto"/>
              <w:left w:val="nil"/>
              <w:bottom w:val="nil"/>
              <w:right w:val="nil"/>
              <w:tl2br w:val="nil"/>
              <w:tr2bl w:val="nil"/>
            </w:tcBorders>
            <w:vAlign w:val="bottom"/>
          </w:tcPr>
          <w:p w:rsidR="001D2E73" w:rsidRDefault="001D2E73">
            <w:pPr>
              <w:spacing w:before="40" w:after="40" w:line="220" w:lineRule="exact"/>
              <w:rPr>
                <w:sz w:val="18"/>
                <w:szCs w:val="18"/>
              </w:rPr>
            </w:pPr>
            <w:r>
              <w:rPr>
                <w:sz w:val="18"/>
                <w:szCs w:val="18"/>
              </w:rPr>
              <w:t>Hombres</w:t>
            </w:r>
          </w:p>
        </w:tc>
        <w:tc>
          <w:tcPr>
            <w:tcW w:w="774"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2 165,9</w:t>
            </w:r>
          </w:p>
        </w:tc>
        <w:tc>
          <w:tcPr>
            <w:tcW w:w="889"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2 175,6</w:t>
            </w:r>
          </w:p>
        </w:tc>
        <w:tc>
          <w:tcPr>
            <w:tcW w:w="906"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2 181,5</w:t>
            </w:r>
          </w:p>
        </w:tc>
        <w:tc>
          <w:tcPr>
            <w:tcW w:w="882"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2 211,1</w:t>
            </w:r>
          </w:p>
        </w:tc>
        <w:tc>
          <w:tcPr>
            <w:tcW w:w="822"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2 192,4</w:t>
            </w:r>
          </w:p>
        </w:tc>
        <w:tc>
          <w:tcPr>
            <w:tcW w:w="837"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2 190,7</w:t>
            </w:r>
          </w:p>
        </w:tc>
      </w:tr>
      <w:tr w:rsidR="001D2E73">
        <w:trPr>
          <w:trHeight w:val="312"/>
        </w:trPr>
        <w:tc>
          <w:tcPr>
            <w:tcW w:w="3394" w:type="dxa"/>
            <w:tcBorders>
              <w:left w:val="nil"/>
              <w:bottom w:val="single" w:sz="4" w:space="0" w:color="auto"/>
              <w:right w:val="nil"/>
              <w:tl2br w:val="nil"/>
              <w:tr2bl w:val="nil"/>
            </w:tcBorders>
            <w:vAlign w:val="bottom"/>
          </w:tcPr>
          <w:p w:rsidR="001D2E73" w:rsidRDefault="001D2E73">
            <w:pPr>
              <w:spacing w:before="40" w:after="40" w:line="220" w:lineRule="exact"/>
              <w:rPr>
                <w:sz w:val="18"/>
                <w:szCs w:val="18"/>
              </w:rPr>
            </w:pPr>
            <w:r>
              <w:rPr>
                <w:sz w:val="18"/>
                <w:szCs w:val="18"/>
              </w:rPr>
              <w:t>Mujeres</w:t>
            </w:r>
          </w:p>
        </w:tc>
        <w:tc>
          <w:tcPr>
            <w:tcW w:w="774"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1 982,0</w:t>
            </w:r>
          </w:p>
        </w:tc>
        <w:tc>
          <w:tcPr>
            <w:tcW w:w="889"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1 982,2</w:t>
            </w:r>
          </w:p>
        </w:tc>
        <w:tc>
          <w:tcPr>
            <w:tcW w:w="906"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1 986,5</w:t>
            </w:r>
          </w:p>
        </w:tc>
        <w:tc>
          <w:tcPr>
            <w:tcW w:w="882"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2 053,1</w:t>
            </w:r>
          </w:p>
        </w:tc>
        <w:tc>
          <w:tcPr>
            <w:tcW w:w="822"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2 102,8</w:t>
            </w:r>
          </w:p>
        </w:tc>
        <w:tc>
          <w:tcPr>
            <w:tcW w:w="837"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2 127,5</w:t>
            </w:r>
          </w:p>
        </w:tc>
      </w:tr>
      <w:tr w:rsidR="001D2E73">
        <w:trPr>
          <w:trHeight w:val="479"/>
        </w:trPr>
        <w:tc>
          <w:tcPr>
            <w:tcW w:w="3394" w:type="dxa"/>
            <w:tcBorders>
              <w:top w:val="single" w:sz="4" w:space="0" w:color="auto"/>
              <w:left w:val="nil"/>
              <w:bottom w:val="single" w:sz="4" w:space="0" w:color="auto"/>
              <w:right w:val="nil"/>
              <w:tl2br w:val="nil"/>
              <w:tr2bl w:val="nil"/>
            </w:tcBorders>
            <w:vAlign w:val="bottom"/>
          </w:tcPr>
          <w:p w:rsidR="001D2E73" w:rsidRDefault="001D2E73">
            <w:pPr>
              <w:spacing w:before="80" w:after="80" w:line="220" w:lineRule="exact"/>
              <w:ind w:left="284"/>
              <w:rPr>
                <w:b/>
                <w:sz w:val="18"/>
                <w:szCs w:val="18"/>
              </w:rPr>
            </w:pPr>
            <w:r>
              <w:rPr>
                <w:b/>
                <w:sz w:val="18"/>
                <w:szCs w:val="18"/>
              </w:rPr>
              <w:t xml:space="preserve">Población empleada – Total, </w:t>
            </w:r>
            <w:r>
              <w:rPr>
                <w:b/>
                <w:sz w:val="18"/>
                <w:szCs w:val="18"/>
              </w:rPr>
              <w:br/>
              <w:t>miles de personas</w:t>
            </w:r>
          </w:p>
        </w:tc>
        <w:tc>
          <w:tcPr>
            <w:tcW w:w="774"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3 747,0</w:t>
            </w:r>
          </w:p>
        </w:tc>
        <w:tc>
          <w:tcPr>
            <w:tcW w:w="889"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3 809,1</w:t>
            </w:r>
          </w:p>
        </w:tc>
        <w:tc>
          <w:tcPr>
            <w:tcW w:w="906"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3 850,2</w:t>
            </w:r>
          </w:p>
        </w:tc>
        <w:tc>
          <w:tcPr>
            <w:tcW w:w="882"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3 973,0</w:t>
            </w:r>
          </w:p>
        </w:tc>
        <w:tc>
          <w:tcPr>
            <w:tcW w:w="822"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4 014,1</w:t>
            </w:r>
          </w:p>
        </w:tc>
        <w:tc>
          <w:tcPr>
            <w:tcW w:w="837"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4 056,0</w:t>
            </w:r>
          </w:p>
        </w:tc>
      </w:tr>
      <w:tr w:rsidR="001D2E73">
        <w:trPr>
          <w:trHeight w:val="312"/>
        </w:trPr>
        <w:tc>
          <w:tcPr>
            <w:tcW w:w="3394" w:type="dxa"/>
            <w:tcBorders>
              <w:top w:val="single" w:sz="4" w:space="0" w:color="auto"/>
              <w:left w:val="nil"/>
              <w:bottom w:val="nil"/>
              <w:right w:val="nil"/>
              <w:tl2br w:val="nil"/>
              <w:tr2bl w:val="nil"/>
            </w:tcBorders>
            <w:vAlign w:val="bottom"/>
          </w:tcPr>
          <w:p w:rsidR="001D2E73" w:rsidRDefault="001D2E73">
            <w:pPr>
              <w:spacing w:before="40" w:after="40" w:line="220" w:lineRule="exact"/>
              <w:rPr>
                <w:sz w:val="18"/>
                <w:szCs w:val="18"/>
              </w:rPr>
            </w:pPr>
            <w:r>
              <w:rPr>
                <w:sz w:val="18"/>
                <w:szCs w:val="18"/>
              </w:rPr>
              <w:t>Hombres</w:t>
            </w:r>
          </w:p>
        </w:tc>
        <w:tc>
          <w:tcPr>
            <w:tcW w:w="774"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1 959,7</w:t>
            </w:r>
          </w:p>
        </w:tc>
        <w:tc>
          <w:tcPr>
            <w:tcW w:w="889"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1 995,8</w:t>
            </w:r>
          </w:p>
        </w:tc>
        <w:tc>
          <w:tcPr>
            <w:tcW w:w="906"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2 017,4</w:t>
            </w:r>
          </w:p>
        </w:tc>
        <w:tc>
          <w:tcPr>
            <w:tcW w:w="882"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2 054,1</w:t>
            </w:r>
          </w:p>
        </w:tc>
        <w:tc>
          <w:tcPr>
            <w:tcW w:w="822"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2 028,5</w:t>
            </w:r>
          </w:p>
        </w:tc>
        <w:tc>
          <w:tcPr>
            <w:tcW w:w="837"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2 048,3</w:t>
            </w:r>
          </w:p>
        </w:tc>
      </w:tr>
      <w:tr w:rsidR="001D2E73">
        <w:trPr>
          <w:trHeight w:val="312"/>
        </w:trPr>
        <w:tc>
          <w:tcPr>
            <w:tcW w:w="3394" w:type="dxa"/>
            <w:tcBorders>
              <w:top w:val="nil"/>
              <w:left w:val="nil"/>
              <w:bottom w:val="single" w:sz="4" w:space="0" w:color="auto"/>
              <w:right w:val="nil"/>
              <w:tl2br w:val="nil"/>
              <w:tr2bl w:val="nil"/>
            </w:tcBorders>
            <w:vAlign w:val="bottom"/>
          </w:tcPr>
          <w:p w:rsidR="001D2E73" w:rsidRDefault="001D2E73">
            <w:pPr>
              <w:spacing w:before="40" w:after="40" w:line="220" w:lineRule="exact"/>
              <w:rPr>
                <w:sz w:val="18"/>
                <w:szCs w:val="18"/>
              </w:rPr>
            </w:pPr>
            <w:r>
              <w:rPr>
                <w:sz w:val="18"/>
                <w:szCs w:val="18"/>
              </w:rPr>
              <w:t>Mujeres</w:t>
            </w:r>
          </w:p>
        </w:tc>
        <w:tc>
          <w:tcPr>
            <w:tcW w:w="774"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1 787,3</w:t>
            </w:r>
          </w:p>
        </w:tc>
        <w:tc>
          <w:tcPr>
            <w:tcW w:w="889"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1 813,3</w:t>
            </w:r>
          </w:p>
        </w:tc>
        <w:tc>
          <w:tcPr>
            <w:tcW w:w="906"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1 832,8</w:t>
            </w:r>
          </w:p>
        </w:tc>
        <w:tc>
          <w:tcPr>
            <w:tcW w:w="882"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1 918,9</w:t>
            </w:r>
          </w:p>
        </w:tc>
        <w:tc>
          <w:tcPr>
            <w:tcW w:w="822"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1 985,6</w:t>
            </w:r>
          </w:p>
        </w:tc>
        <w:tc>
          <w:tcPr>
            <w:tcW w:w="837"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2 007,7</w:t>
            </w:r>
          </w:p>
        </w:tc>
      </w:tr>
      <w:tr w:rsidR="001D2E73">
        <w:trPr>
          <w:trHeight w:val="326"/>
        </w:trPr>
        <w:tc>
          <w:tcPr>
            <w:tcW w:w="3394" w:type="dxa"/>
            <w:tcBorders>
              <w:top w:val="single" w:sz="4" w:space="0" w:color="auto"/>
              <w:left w:val="nil"/>
              <w:bottom w:val="single" w:sz="4" w:space="0" w:color="auto"/>
              <w:right w:val="nil"/>
              <w:tl2br w:val="nil"/>
              <w:tr2bl w:val="nil"/>
            </w:tcBorders>
            <w:vAlign w:val="bottom"/>
          </w:tcPr>
          <w:p w:rsidR="001D2E73" w:rsidRDefault="001D2E73">
            <w:pPr>
              <w:spacing w:before="80" w:after="80" w:line="220" w:lineRule="exact"/>
              <w:ind w:left="284"/>
              <w:rPr>
                <w:b/>
                <w:sz w:val="18"/>
                <w:szCs w:val="18"/>
              </w:rPr>
            </w:pPr>
            <w:r>
              <w:rPr>
                <w:b/>
                <w:sz w:val="18"/>
                <w:szCs w:val="18"/>
              </w:rPr>
              <w:t>Desempleados</w:t>
            </w:r>
            <w:r>
              <w:rPr>
                <w:i/>
                <w:sz w:val="18"/>
                <w:szCs w:val="18"/>
                <w:vertAlign w:val="superscript"/>
              </w:rPr>
              <w:t>a</w:t>
            </w:r>
            <w:r>
              <w:rPr>
                <w:b/>
                <w:sz w:val="18"/>
                <w:szCs w:val="18"/>
              </w:rPr>
              <w:t xml:space="preserve"> — Total, miles de personas</w:t>
            </w:r>
          </w:p>
        </w:tc>
        <w:tc>
          <w:tcPr>
            <w:tcW w:w="774"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400,9</w:t>
            </w:r>
          </w:p>
        </w:tc>
        <w:tc>
          <w:tcPr>
            <w:tcW w:w="889"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348,7</w:t>
            </w:r>
          </w:p>
        </w:tc>
        <w:tc>
          <w:tcPr>
            <w:tcW w:w="906"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317,8</w:t>
            </w:r>
          </w:p>
        </w:tc>
        <w:tc>
          <w:tcPr>
            <w:tcW w:w="882"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291,2</w:t>
            </w:r>
          </w:p>
        </w:tc>
        <w:tc>
          <w:tcPr>
            <w:tcW w:w="822"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281,1</w:t>
            </w:r>
          </w:p>
        </w:tc>
        <w:tc>
          <w:tcPr>
            <w:tcW w:w="837"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262,2</w:t>
            </w:r>
          </w:p>
        </w:tc>
      </w:tr>
      <w:tr w:rsidR="001D2E73">
        <w:trPr>
          <w:trHeight w:val="312"/>
        </w:trPr>
        <w:tc>
          <w:tcPr>
            <w:tcW w:w="3394" w:type="dxa"/>
            <w:tcBorders>
              <w:top w:val="single" w:sz="4" w:space="0" w:color="auto"/>
              <w:left w:val="nil"/>
              <w:bottom w:val="nil"/>
              <w:right w:val="nil"/>
              <w:tl2br w:val="nil"/>
              <w:tr2bl w:val="nil"/>
            </w:tcBorders>
            <w:vAlign w:val="bottom"/>
          </w:tcPr>
          <w:p w:rsidR="001D2E73" w:rsidRDefault="001D2E73">
            <w:pPr>
              <w:spacing w:before="40" w:after="40" w:line="220" w:lineRule="exact"/>
              <w:rPr>
                <w:sz w:val="18"/>
                <w:szCs w:val="18"/>
              </w:rPr>
            </w:pPr>
            <w:r>
              <w:rPr>
                <w:sz w:val="18"/>
                <w:szCs w:val="18"/>
              </w:rPr>
              <w:t>Hombres</w:t>
            </w:r>
          </w:p>
        </w:tc>
        <w:tc>
          <w:tcPr>
            <w:tcW w:w="774"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206,2</w:t>
            </w:r>
          </w:p>
        </w:tc>
        <w:tc>
          <w:tcPr>
            <w:tcW w:w="889"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179,8</w:t>
            </w:r>
          </w:p>
        </w:tc>
        <w:tc>
          <w:tcPr>
            <w:tcW w:w="906"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164,1</w:t>
            </w:r>
          </w:p>
        </w:tc>
        <w:tc>
          <w:tcPr>
            <w:tcW w:w="882"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157,0</w:t>
            </w:r>
          </w:p>
        </w:tc>
        <w:tc>
          <w:tcPr>
            <w:tcW w:w="822"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163,9</w:t>
            </w:r>
          </w:p>
        </w:tc>
        <w:tc>
          <w:tcPr>
            <w:tcW w:w="837" w:type="dxa"/>
            <w:tcBorders>
              <w:top w:val="single" w:sz="4" w:space="0" w:color="auto"/>
              <w:bottom w:val="nil"/>
            </w:tcBorders>
            <w:vAlign w:val="bottom"/>
          </w:tcPr>
          <w:p w:rsidR="001D2E73" w:rsidRDefault="001D2E73">
            <w:pPr>
              <w:spacing w:before="40" w:after="40" w:line="220" w:lineRule="exact"/>
              <w:jc w:val="right"/>
              <w:rPr>
                <w:sz w:val="18"/>
                <w:szCs w:val="18"/>
              </w:rPr>
            </w:pPr>
            <w:r>
              <w:rPr>
                <w:sz w:val="18"/>
                <w:szCs w:val="18"/>
              </w:rPr>
              <w:t>142,4</w:t>
            </w:r>
          </w:p>
        </w:tc>
      </w:tr>
      <w:tr w:rsidR="001D2E73">
        <w:trPr>
          <w:trHeight w:val="312"/>
        </w:trPr>
        <w:tc>
          <w:tcPr>
            <w:tcW w:w="3394" w:type="dxa"/>
            <w:tcBorders>
              <w:left w:val="nil"/>
              <w:bottom w:val="nil"/>
              <w:right w:val="nil"/>
              <w:tl2br w:val="nil"/>
              <w:tr2bl w:val="nil"/>
            </w:tcBorders>
            <w:vAlign w:val="bottom"/>
          </w:tcPr>
          <w:p w:rsidR="001D2E73" w:rsidRDefault="001D2E73">
            <w:pPr>
              <w:spacing w:before="40" w:after="40" w:line="220" w:lineRule="exact"/>
              <w:rPr>
                <w:sz w:val="18"/>
                <w:szCs w:val="18"/>
              </w:rPr>
            </w:pPr>
            <w:r>
              <w:rPr>
                <w:sz w:val="18"/>
                <w:szCs w:val="18"/>
              </w:rPr>
              <w:t>Mujeres</w:t>
            </w:r>
          </w:p>
        </w:tc>
        <w:tc>
          <w:tcPr>
            <w:tcW w:w="774" w:type="dxa"/>
            <w:tcBorders>
              <w:top w:val="nil"/>
              <w:bottom w:val="nil"/>
            </w:tcBorders>
            <w:vAlign w:val="bottom"/>
          </w:tcPr>
          <w:p w:rsidR="001D2E73" w:rsidRDefault="001D2E73">
            <w:pPr>
              <w:spacing w:before="40" w:after="40" w:line="220" w:lineRule="exact"/>
              <w:jc w:val="right"/>
              <w:rPr>
                <w:sz w:val="18"/>
                <w:szCs w:val="18"/>
              </w:rPr>
            </w:pPr>
            <w:r>
              <w:rPr>
                <w:sz w:val="18"/>
                <w:szCs w:val="18"/>
              </w:rPr>
              <w:t>194,7</w:t>
            </w:r>
          </w:p>
        </w:tc>
        <w:tc>
          <w:tcPr>
            <w:tcW w:w="889" w:type="dxa"/>
            <w:tcBorders>
              <w:top w:val="nil"/>
              <w:bottom w:val="nil"/>
            </w:tcBorders>
            <w:vAlign w:val="bottom"/>
          </w:tcPr>
          <w:p w:rsidR="001D2E73" w:rsidRDefault="001D2E73">
            <w:pPr>
              <w:spacing w:before="40" w:after="40" w:line="220" w:lineRule="exact"/>
              <w:jc w:val="right"/>
              <w:rPr>
                <w:sz w:val="18"/>
                <w:szCs w:val="18"/>
              </w:rPr>
            </w:pPr>
            <w:r>
              <w:rPr>
                <w:sz w:val="18"/>
                <w:szCs w:val="18"/>
              </w:rPr>
              <w:t>168,9</w:t>
            </w:r>
          </w:p>
        </w:tc>
        <w:tc>
          <w:tcPr>
            <w:tcW w:w="906" w:type="dxa"/>
            <w:tcBorders>
              <w:top w:val="nil"/>
              <w:bottom w:val="nil"/>
            </w:tcBorders>
            <w:vAlign w:val="bottom"/>
          </w:tcPr>
          <w:p w:rsidR="001D2E73" w:rsidRDefault="001D2E73">
            <w:pPr>
              <w:spacing w:before="40" w:after="40" w:line="220" w:lineRule="exact"/>
              <w:jc w:val="right"/>
              <w:rPr>
                <w:sz w:val="18"/>
                <w:szCs w:val="18"/>
              </w:rPr>
            </w:pPr>
            <w:r>
              <w:rPr>
                <w:sz w:val="18"/>
                <w:szCs w:val="18"/>
              </w:rPr>
              <w:t>153,7</w:t>
            </w:r>
          </w:p>
        </w:tc>
        <w:tc>
          <w:tcPr>
            <w:tcW w:w="882" w:type="dxa"/>
            <w:tcBorders>
              <w:top w:val="nil"/>
              <w:bottom w:val="nil"/>
            </w:tcBorders>
            <w:vAlign w:val="bottom"/>
          </w:tcPr>
          <w:p w:rsidR="001D2E73" w:rsidRDefault="001D2E73">
            <w:pPr>
              <w:spacing w:before="40" w:after="40" w:line="220" w:lineRule="exact"/>
              <w:jc w:val="right"/>
              <w:rPr>
                <w:sz w:val="18"/>
                <w:szCs w:val="18"/>
              </w:rPr>
            </w:pPr>
            <w:r>
              <w:rPr>
                <w:sz w:val="18"/>
                <w:szCs w:val="18"/>
              </w:rPr>
              <w:t>134,2</w:t>
            </w:r>
          </w:p>
        </w:tc>
        <w:tc>
          <w:tcPr>
            <w:tcW w:w="822" w:type="dxa"/>
            <w:tcBorders>
              <w:top w:val="nil"/>
              <w:bottom w:val="nil"/>
            </w:tcBorders>
            <w:vAlign w:val="bottom"/>
          </w:tcPr>
          <w:p w:rsidR="001D2E73" w:rsidRDefault="001D2E73">
            <w:pPr>
              <w:spacing w:before="40" w:after="40" w:line="220" w:lineRule="exact"/>
              <w:jc w:val="right"/>
              <w:rPr>
                <w:sz w:val="18"/>
                <w:szCs w:val="18"/>
              </w:rPr>
            </w:pPr>
            <w:r>
              <w:rPr>
                <w:sz w:val="18"/>
                <w:szCs w:val="18"/>
              </w:rPr>
              <w:t>117,2</w:t>
            </w:r>
          </w:p>
        </w:tc>
        <w:tc>
          <w:tcPr>
            <w:tcW w:w="837" w:type="dxa"/>
            <w:tcBorders>
              <w:top w:val="nil"/>
              <w:bottom w:val="nil"/>
            </w:tcBorders>
            <w:vAlign w:val="bottom"/>
          </w:tcPr>
          <w:p w:rsidR="001D2E73" w:rsidRDefault="001D2E73">
            <w:pPr>
              <w:spacing w:before="40" w:after="40" w:line="220" w:lineRule="exact"/>
              <w:jc w:val="right"/>
              <w:rPr>
                <w:sz w:val="18"/>
                <w:szCs w:val="18"/>
              </w:rPr>
            </w:pPr>
            <w:r>
              <w:rPr>
                <w:sz w:val="18"/>
                <w:szCs w:val="18"/>
              </w:rPr>
              <w:t>119,8</w:t>
            </w:r>
          </w:p>
        </w:tc>
      </w:tr>
      <w:tr w:rsidR="001D2E73">
        <w:trPr>
          <w:trHeight w:val="312"/>
        </w:trPr>
        <w:tc>
          <w:tcPr>
            <w:tcW w:w="3394" w:type="dxa"/>
            <w:tcBorders>
              <w:left w:val="nil"/>
              <w:bottom w:val="single" w:sz="4" w:space="0" w:color="auto"/>
              <w:right w:val="nil"/>
              <w:tl2br w:val="nil"/>
              <w:tr2bl w:val="nil"/>
            </w:tcBorders>
            <w:vAlign w:val="bottom"/>
          </w:tcPr>
          <w:p w:rsidR="001D2E73" w:rsidRDefault="001D2E73">
            <w:pPr>
              <w:spacing w:before="40" w:after="40" w:line="220" w:lineRule="exact"/>
              <w:rPr>
                <w:i/>
                <w:sz w:val="18"/>
                <w:szCs w:val="18"/>
              </w:rPr>
            </w:pPr>
            <w:r>
              <w:rPr>
                <w:i/>
                <w:sz w:val="18"/>
                <w:szCs w:val="18"/>
              </w:rPr>
              <w:t>De ellas:</w:t>
            </w:r>
          </w:p>
        </w:tc>
        <w:tc>
          <w:tcPr>
            <w:tcW w:w="774" w:type="dxa"/>
            <w:tcBorders>
              <w:top w:val="nil"/>
              <w:bottom w:val="single" w:sz="4" w:space="0" w:color="auto"/>
            </w:tcBorders>
            <w:vAlign w:val="bottom"/>
          </w:tcPr>
          <w:p w:rsidR="001D2E73" w:rsidRDefault="001D2E73">
            <w:pPr>
              <w:spacing w:before="40" w:after="40" w:line="220" w:lineRule="exact"/>
              <w:jc w:val="right"/>
              <w:rPr>
                <w:sz w:val="18"/>
                <w:szCs w:val="18"/>
              </w:rPr>
            </w:pPr>
          </w:p>
        </w:tc>
        <w:tc>
          <w:tcPr>
            <w:tcW w:w="889" w:type="dxa"/>
            <w:tcBorders>
              <w:top w:val="nil"/>
              <w:bottom w:val="single" w:sz="4" w:space="0" w:color="auto"/>
            </w:tcBorders>
            <w:vAlign w:val="bottom"/>
          </w:tcPr>
          <w:p w:rsidR="001D2E73" w:rsidRDefault="001D2E73">
            <w:pPr>
              <w:spacing w:before="40" w:after="40" w:line="220" w:lineRule="exact"/>
              <w:jc w:val="right"/>
              <w:rPr>
                <w:sz w:val="18"/>
                <w:szCs w:val="18"/>
              </w:rPr>
            </w:pPr>
          </w:p>
        </w:tc>
        <w:tc>
          <w:tcPr>
            <w:tcW w:w="906" w:type="dxa"/>
            <w:tcBorders>
              <w:top w:val="nil"/>
              <w:bottom w:val="single" w:sz="4" w:space="0" w:color="auto"/>
            </w:tcBorders>
            <w:vAlign w:val="bottom"/>
          </w:tcPr>
          <w:p w:rsidR="001D2E73" w:rsidRDefault="001D2E73">
            <w:pPr>
              <w:spacing w:before="40" w:after="40" w:line="220" w:lineRule="exact"/>
              <w:jc w:val="right"/>
              <w:rPr>
                <w:sz w:val="18"/>
                <w:szCs w:val="18"/>
              </w:rPr>
            </w:pPr>
          </w:p>
        </w:tc>
        <w:tc>
          <w:tcPr>
            <w:tcW w:w="882" w:type="dxa"/>
            <w:tcBorders>
              <w:top w:val="nil"/>
              <w:bottom w:val="single" w:sz="4" w:space="0" w:color="auto"/>
            </w:tcBorders>
            <w:vAlign w:val="bottom"/>
          </w:tcPr>
          <w:p w:rsidR="001D2E73" w:rsidRDefault="001D2E73">
            <w:pPr>
              <w:spacing w:before="40" w:after="40" w:line="220" w:lineRule="exact"/>
              <w:jc w:val="right"/>
              <w:rPr>
                <w:sz w:val="18"/>
                <w:szCs w:val="18"/>
              </w:rPr>
            </w:pPr>
          </w:p>
        </w:tc>
        <w:tc>
          <w:tcPr>
            <w:tcW w:w="822" w:type="dxa"/>
            <w:tcBorders>
              <w:top w:val="nil"/>
              <w:bottom w:val="single" w:sz="4" w:space="0" w:color="auto"/>
            </w:tcBorders>
            <w:vAlign w:val="bottom"/>
          </w:tcPr>
          <w:p w:rsidR="001D2E73" w:rsidRDefault="001D2E73">
            <w:pPr>
              <w:spacing w:before="40" w:after="40" w:line="220" w:lineRule="exact"/>
              <w:jc w:val="right"/>
              <w:rPr>
                <w:sz w:val="18"/>
                <w:szCs w:val="18"/>
              </w:rPr>
            </w:pPr>
          </w:p>
        </w:tc>
        <w:tc>
          <w:tcPr>
            <w:tcW w:w="837" w:type="dxa"/>
            <w:tcBorders>
              <w:top w:val="nil"/>
              <w:bottom w:val="single" w:sz="4" w:space="0" w:color="auto"/>
            </w:tcBorders>
            <w:vAlign w:val="bottom"/>
          </w:tcPr>
          <w:p w:rsidR="001D2E73" w:rsidRDefault="001D2E73">
            <w:pPr>
              <w:spacing w:before="40" w:after="40" w:line="220" w:lineRule="exact"/>
              <w:jc w:val="right"/>
              <w:rPr>
                <w:sz w:val="18"/>
                <w:szCs w:val="18"/>
              </w:rPr>
            </w:pPr>
          </w:p>
        </w:tc>
      </w:tr>
      <w:tr w:rsidR="001D2E73">
        <w:trPr>
          <w:trHeight w:val="633"/>
        </w:trPr>
        <w:tc>
          <w:tcPr>
            <w:tcW w:w="3394" w:type="dxa"/>
            <w:tcBorders>
              <w:top w:val="single" w:sz="4" w:space="0" w:color="auto"/>
              <w:left w:val="nil"/>
              <w:bottom w:val="single" w:sz="4" w:space="0" w:color="auto"/>
              <w:right w:val="nil"/>
              <w:tl2br w:val="nil"/>
              <w:tr2bl w:val="nil"/>
            </w:tcBorders>
            <w:vAlign w:val="bottom"/>
          </w:tcPr>
          <w:p w:rsidR="001D2E73" w:rsidRDefault="001D2E73">
            <w:pPr>
              <w:spacing w:before="80" w:after="80" w:line="220" w:lineRule="exact"/>
              <w:ind w:left="284"/>
              <w:rPr>
                <w:b/>
                <w:sz w:val="18"/>
                <w:szCs w:val="18"/>
              </w:rPr>
            </w:pPr>
            <w:r>
              <w:rPr>
                <w:b/>
                <w:sz w:val="18"/>
                <w:szCs w:val="18"/>
              </w:rPr>
              <w:t>Cantidad de personas inscritas como de</w:t>
            </w:r>
            <w:r>
              <w:rPr>
                <w:b/>
                <w:sz w:val="18"/>
                <w:szCs w:val="18"/>
              </w:rPr>
              <w:t>s</w:t>
            </w:r>
            <w:r>
              <w:rPr>
                <w:b/>
                <w:sz w:val="18"/>
                <w:szCs w:val="18"/>
              </w:rPr>
              <w:t>empleadas en los órganos del servicio de empleo – Total, pe</w:t>
            </w:r>
            <w:r>
              <w:rPr>
                <w:b/>
                <w:sz w:val="18"/>
                <w:szCs w:val="18"/>
              </w:rPr>
              <w:t>r</w:t>
            </w:r>
            <w:r>
              <w:rPr>
                <w:b/>
                <w:sz w:val="18"/>
                <w:szCs w:val="18"/>
              </w:rPr>
              <w:t>sonas</w:t>
            </w:r>
          </w:p>
        </w:tc>
        <w:tc>
          <w:tcPr>
            <w:tcW w:w="774"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54 365</w:t>
            </w:r>
          </w:p>
        </w:tc>
        <w:tc>
          <w:tcPr>
            <w:tcW w:w="889"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55 945</w:t>
            </w:r>
          </w:p>
        </w:tc>
        <w:tc>
          <w:tcPr>
            <w:tcW w:w="906"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56 343</w:t>
            </w:r>
          </w:p>
        </w:tc>
        <w:tc>
          <w:tcPr>
            <w:tcW w:w="882"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53 862</w:t>
            </w:r>
          </w:p>
        </w:tc>
        <w:tc>
          <w:tcPr>
            <w:tcW w:w="822"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50 651</w:t>
            </w:r>
          </w:p>
        </w:tc>
        <w:tc>
          <w:tcPr>
            <w:tcW w:w="837"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44 481</w:t>
            </w:r>
          </w:p>
        </w:tc>
      </w:tr>
      <w:tr w:rsidR="001D2E73">
        <w:trPr>
          <w:trHeight w:val="312"/>
        </w:trPr>
        <w:tc>
          <w:tcPr>
            <w:tcW w:w="3394" w:type="dxa"/>
            <w:tcBorders>
              <w:top w:val="single" w:sz="4" w:space="0" w:color="auto"/>
              <w:left w:val="nil"/>
              <w:bottom w:val="nil"/>
              <w:right w:val="nil"/>
              <w:tl2br w:val="nil"/>
              <w:tr2bl w:val="nil"/>
            </w:tcBorders>
            <w:vAlign w:val="bottom"/>
          </w:tcPr>
          <w:p w:rsidR="001D2E73" w:rsidRDefault="001D2E73">
            <w:pPr>
              <w:spacing w:before="40" w:after="40" w:line="220" w:lineRule="exact"/>
              <w:rPr>
                <w:sz w:val="18"/>
                <w:szCs w:val="18"/>
              </w:rPr>
            </w:pPr>
            <w:r>
              <w:rPr>
                <w:sz w:val="18"/>
                <w:szCs w:val="18"/>
              </w:rPr>
              <w:t>Hombres</w:t>
            </w:r>
          </w:p>
        </w:tc>
        <w:tc>
          <w:tcPr>
            <w:tcW w:w="774"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25 313</w:t>
            </w:r>
          </w:p>
        </w:tc>
        <w:tc>
          <w:tcPr>
            <w:tcW w:w="889"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26 669</w:t>
            </w:r>
          </w:p>
        </w:tc>
        <w:tc>
          <w:tcPr>
            <w:tcW w:w="906"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27 265</w:t>
            </w:r>
          </w:p>
        </w:tc>
        <w:tc>
          <w:tcPr>
            <w:tcW w:w="882"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26 323</w:t>
            </w:r>
          </w:p>
        </w:tc>
        <w:tc>
          <w:tcPr>
            <w:tcW w:w="822"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25 322</w:t>
            </w:r>
          </w:p>
        </w:tc>
        <w:tc>
          <w:tcPr>
            <w:tcW w:w="837"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23 608</w:t>
            </w:r>
          </w:p>
        </w:tc>
      </w:tr>
      <w:tr w:rsidR="001D2E73">
        <w:trPr>
          <w:trHeight w:val="312"/>
        </w:trPr>
        <w:tc>
          <w:tcPr>
            <w:tcW w:w="3394" w:type="dxa"/>
            <w:tcBorders>
              <w:left w:val="nil"/>
              <w:bottom w:val="nil"/>
              <w:right w:val="nil"/>
              <w:tl2br w:val="nil"/>
              <w:tr2bl w:val="nil"/>
            </w:tcBorders>
            <w:vAlign w:val="bottom"/>
          </w:tcPr>
          <w:p w:rsidR="001D2E73" w:rsidRDefault="001D2E73">
            <w:pPr>
              <w:spacing w:before="40" w:after="40" w:line="220" w:lineRule="exact"/>
              <w:rPr>
                <w:sz w:val="18"/>
                <w:szCs w:val="18"/>
              </w:rPr>
            </w:pPr>
            <w:r>
              <w:rPr>
                <w:sz w:val="18"/>
                <w:szCs w:val="18"/>
              </w:rPr>
              <w:t>Mujeres</w:t>
            </w:r>
          </w:p>
        </w:tc>
        <w:tc>
          <w:tcPr>
            <w:tcW w:w="774" w:type="dxa"/>
            <w:tcBorders>
              <w:bottom w:val="nil"/>
            </w:tcBorders>
            <w:vAlign w:val="bottom"/>
          </w:tcPr>
          <w:p w:rsidR="001D2E73" w:rsidRDefault="001D2E73">
            <w:pPr>
              <w:spacing w:before="40" w:after="40" w:line="220" w:lineRule="exact"/>
              <w:jc w:val="right"/>
              <w:rPr>
                <w:sz w:val="18"/>
                <w:szCs w:val="18"/>
              </w:rPr>
            </w:pPr>
            <w:r>
              <w:rPr>
                <w:sz w:val="18"/>
                <w:szCs w:val="18"/>
              </w:rPr>
              <w:t>29 052</w:t>
            </w:r>
          </w:p>
        </w:tc>
        <w:tc>
          <w:tcPr>
            <w:tcW w:w="889" w:type="dxa"/>
            <w:tcBorders>
              <w:bottom w:val="nil"/>
            </w:tcBorders>
            <w:vAlign w:val="bottom"/>
          </w:tcPr>
          <w:p w:rsidR="001D2E73" w:rsidRDefault="001D2E73">
            <w:pPr>
              <w:spacing w:before="40" w:after="40" w:line="220" w:lineRule="exact"/>
              <w:jc w:val="right"/>
              <w:rPr>
                <w:sz w:val="18"/>
                <w:szCs w:val="18"/>
              </w:rPr>
            </w:pPr>
            <w:r>
              <w:rPr>
                <w:sz w:val="18"/>
                <w:szCs w:val="18"/>
              </w:rPr>
              <w:t>29 276</w:t>
            </w:r>
          </w:p>
        </w:tc>
        <w:tc>
          <w:tcPr>
            <w:tcW w:w="906" w:type="dxa"/>
            <w:tcBorders>
              <w:bottom w:val="nil"/>
            </w:tcBorders>
            <w:vAlign w:val="bottom"/>
          </w:tcPr>
          <w:p w:rsidR="001D2E73" w:rsidRDefault="001D2E73">
            <w:pPr>
              <w:spacing w:before="40" w:after="40" w:line="220" w:lineRule="exact"/>
              <w:jc w:val="right"/>
              <w:rPr>
                <w:sz w:val="18"/>
                <w:szCs w:val="18"/>
              </w:rPr>
            </w:pPr>
            <w:r>
              <w:rPr>
                <w:sz w:val="18"/>
                <w:szCs w:val="18"/>
              </w:rPr>
              <w:t>29 078</w:t>
            </w:r>
          </w:p>
        </w:tc>
        <w:tc>
          <w:tcPr>
            <w:tcW w:w="882" w:type="dxa"/>
            <w:tcBorders>
              <w:bottom w:val="nil"/>
            </w:tcBorders>
            <w:vAlign w:val="bottom"/>
          </w:tcPr>
          <w:p w:rsidR="001D2E73" w:rsidRDefault="001D2E73">
            <w:pPr>
              <w:spacing w:before="40" w:after="40" w:line="220" w:lineRule="exact"/>
              <w:jc w:val="right"/>
              <w:rPr>
                <w:sz w:val="18"/>
                <w:szCs w:val="18"/>
              </w:rPr>
            </w:pPr>
            <w:r>
              <w:rPr>
                <w:sz w:val="18"/>
                <w:szCs w:val="18"/>
              </w:rPr>
              <w:t>27 539</w:t>
            </w:r>
          </w:p>
        </w:tc>
        <w:tc>
          <w:tcPr>
            <w:tcW w:w="822" w:type="dxa"/>
            <w:tcBorders>
              <w:bottom w:val="nil"/>
            </w:tcBorders>
            <w:vAlign w:val="bottom"/>
          </w:tcPr>
          <w:p w:rsidR="001D2E73" w:rsidRDefault="001D2E73">
            <w:pPr>
              <w:spacing w:before="40" w:after="40" w:line="220" w:lineRule="exact"/>
              <w:jc w:val="right"/>
              <w:rPr>
                <w:sz w:val="18"/>
                <w:szCs w:val="18"/>
              </w:rPr>
            </w:pPr>
            <w:r>
              <w:rPr>
                <w:sz w:val="18"/>
                <w:szCs w:val="18"/>
              </w:rPr>
              <w:t>25 329</w:t>
            </w:r>
          </w:p>
        </w:tc>
        <w:tc>
          <w:tcPr>
            <w:tcW w:w="837" w:type="dxa"/>
            <w:tcBorders>
              <w:bottom w:val="nil"/>
            </w:tcBorders>
            <w:vAlign w:val="bottom"/>
          </w:tcPr>
          <w:p w:rsidR="001D2E73" w:rsidRDefault="001D2E73">
            <w:pPr>
              <w:spacing w:before="40" w:after="40" w:line="220" w:lineRule="exact"/>
              <w:jc w:val="right"/>
              <w:rPr>
                <w:sz w:val="18"/>
                <w:szCs w:val="18"/>
              </w:rPr>
            </w:pPr>
            <w:r>
              <w:rPr>
                <w:sz w:val="18"/>
                <w:szCs w:val="18"/>
              </w:rPr>
              <w:t>20 873</w:t>
            </w:r>
          </w:p>
        </w:tc>
      </w:tr>
      <w:tr w:rsidR="001D2E73">
        <w:trPr>
          <w:trHeight w:val="312"/>
        </w:trPr>
        <w:tc>
          <w:tcPr>
            <w:tcW w:w="3394" w:type="dxa"/>
            <w:tcBorders>
              <w:top w:val="nil"/>
              <w:left w:val="nil"/>
              <w:bottom w:val="nil"/>
              <w:right w:val="nil"/>
              <w:tl2br w:val="nil"/>
              <w:tr2bl w:val="nil"/>
            </w:tcBorders>
            <w:vAlign w:val="bottom"/>
          </w:tcPr>
          <w:p w:rsidR="001D2E73" w:rsidRDefault="001D2E73" w:rsidP="0094705E">
            <w:pPr>
              <w:keepNext/>
              <w:spacing w:before="40" w:after="40" w:line="220" w:lineRule="exact"/>
              <w:rPr>
                <w:i/>
                <w:sz w:val="18"/>
                <w:szCs w:val="18"/>
              </w:rPr>
            </w:pPr>
            <w:r>
              <w:rPr>
                <w:i/>
                <w:sz w:val="18"/>
                <w:szCs w:val="18"/>
              </w:rPr>
              <w:t>De ellas:</w:t>
            </w:r>
          </w:p>
        </w:tc>
        <w:tc>
          <w:tcPr>
            <w:tcW w:w="774" w:type="dxa"/>
            <w:tcBorders>
              <w:top w:val="nil"/>
              <w:bottom w:val="nil"/>
            </w:tcBorders>
            <w:vAlign w:val="bottom"/>
          </w:tcPr>
          <w:p w:rsidR="001D2E73" w:rsidRDefault="001D2E73" w:rsidP="0094705E">
            <w:pPr>
              <w:keepNext/>
              <w:spacing w:before="40" w:after="40" w:line="220" w:lineRule="exact"/>
              <w:jc w:val="right"/>
              <w:rPr>
                <w:sz w:val="18"/>
                <w:szCs w:val="18"/>
              </w:rPr>
            </w:pPr>
          </w:p>
        </w:tc>
        <w:tc>
          <w:tcPr>
            <w:tcW w:w="889" w:type="dxa"/>
            <w:tcBorders>
              <w:top w:val="nil"/>
              <w:bottom w:val="nil"/>
            </w:tcBorders>
            <w:vAlign w:val="bottom"/>
          </w:tcPr>
          <w:p w:rsidR="001D2E73" w:rsidRDefault="001D2E73" w:rsidP="0094705E">
            <w:pPr>
              <w:keepNext/>
              <w:spacing w:before="40" w:after="40" w:line="220" w:lineRule="exact"/>
              <w:jc w:val="right"/>
              <w:rPr>
                <w:sz w:val="18"/>
                <w:szCs w:val="18"/>
              </w:rPr>
            </w:pPr>
          </w:p>
        </w:tc>
        <w:tc>
          <w:tcPr>
            <w:tcW w:w="906" w:type="dxa"/>
            <w:tcBorders>
              <w:top w:val="nil"/>
              <w:bottom w:val="nil"/>
            </w:tcBorders>
            <w:vAlign w:val="bottom"/>
          </w:tcPr>
          <w:p w:rsidR="001D2E73" w:rsidRDefault="001D2E73" w:rsidP="0094705E">
            <w:pPr>
              <w:keepNext/>
              <w:spacing w:before="40" w:after="40" w:line="220" w:lineRule="exact"/>
              <w:jc w:val="right"/>
              <w:rPr>
                <w:sz w:val="18"/>
                <w:szCs w:val="18"/>
              </w:rPr>
            </w:pPr>
          </w:p>
        </w:tc>
        <w:tc>
          <w:tcPr>
            <w:tcW w:w="882" w:type="dxa"/>
            <w:tcBorders>
              <w:top w:val="nil"/>
              <w:bottom w:val="nil"/>
            </w:tcBorders>
            <w:vAlign w:val="bottom"/>
          </w:tcPr>
          <w:p w:rsidR="001D2E73" w:rsidRDefault="001D2E73" w:rsidP="0094705E">
            <w:pPr>
              <w:keepNext/>
              <w:spacing w:before="40" w:after="40" w:line="220" w:lineRule="exact"/>
              <w:jc w:val="right"/>
              <w:rPr>
                <w:sz w:val="18"/>
                <w:szCs w:val="18"/>
              </w:rPr>
            </w:pPr>
          </w:p>
        </w:tc>
        <w:tc>
          <w:tcPr>
            <w:tcW w:w="822" w:type="dxa"/>
            <w:tcBorders>
              <w:top w:val="nil"/>
              <w:bottom w:val="nil"/>
            </w:tcBorders>
            <w:vAlign w:val="bottom"/>
          </w:tcPr>
          <w:p w:rsidR="001D2E73" w:rsidRDefault="001D2E73" w:rsidP="0094705E">
            <w:pPr>
              <w:keepNext/>
              <w:spacing w:before="40" w:after="40" w:line="220" w:lineRule="exact"/>
              <w:jc w:val="right"/>
              <w:rPr>
                <w:sz w:val="18"/>
                <w:szCs w:val="18"/>
              </w:rPr>
            </w:pPr>
          </w:p>
        </w:tc>
        <w:tc>
          <w:tcPr>
            <w:tcW w:w="837" w:type="dxa"/>
            <w:tcBorders>
              <w:top w:val="nil"/>
              <w:bottom w:val="nil"/>
            </w:tcBorders>
            <w:vAlign w:val="bottom"/>
          </w:tcPr>
          <w:p w:rsidR="001D2E73" w:rsidRDefault="001D2E73" w:rsidP="0094705E">
            <w:pPr>
              <w:keepNext/>
              <w:spacing w:before="40" w:after="40" w:line="220" w:lineRule="exact"/>
              <w:jc w:val="right"/>
              <w:rPr>
                <w:sz w:val="18"/>
                <w:szCs w:val="18"/>
              </w:rPr>
            </w:pPr>
          </w:p>
        </w:tc>
      </w:tr>
      <w:tr w:rsidR="001D2E73">
        <w:trPr>
          <w:trHeight w:val="521"/>
        </w:trPr>
        <w:tc>
          <w:tcPr>
            <w:tcW w:w="3394" w:type="dxa"/>
            <w:tcBorders>
              <w:top w:val="nil"/>
              <w:left w:val="nil"/>
              <w:bottom w:val="single" w:sz="4" w:space="0" w:color="auto"/>
              <w:right w:val="nil"/>
              <w:tl2br w:val="nil"/>
              <w:tr2bl w:val="nil"/>
            </w:tcBorders>
            <w:vAlign w:val="bottom"/>
          </w:tcPr>
          <w:p w:rsidR="001D2E73" w:rsidRDefault="001D2E73">
            <w:pPr>
              <w:spacing w:before="80" w:after="80" w:line="220" w:lineRule="exact"/>
              <w:ind w:left="284"/>
              <w:rPr>
                <w:b/>
                <w:sz w:val="18"/>
                <w:szCs w:val="18"/>
              </w:rPr>
            </w:pPr>
            <w:r>
              <w:rPr>
                <w:b/>
                <w:sz w:val="18"/>
                <w:szCs w:val="18"/>
              </w:rPr>
              <w:t>Cantidad de personas que reciben prest</w:t>
            </w:r>
            <w:r>
              <w:rPr>
                <w:b/>
                <w:sz w:val="18"/>
                <w:szCs w:val="18"/>
              </w:rPr>
              <w:t>a</w:t>
            </w:r>
            <w:r>
              <w:rPr>
                <w:b/>
                <w:sz w:val="18"/>
                <w:szCs w:val="18"/>
              </w:rPr>
              <w:t>ciones por desempleo – Total, personas</w:t>
            </w:r>
          </w:p>
        </w:tc>
        <w:tc>
          <w:tcPr>
            <w:tcW w:w="774" w:type="dxa"/>
            <w:tcBorders>
              <w:top w:val="nil"/>
              <w:bottom w:val="single" w:sz="4" w:space="0" w:color="auto"/>
            </w:tcBorders>
            <w:vAlign w:val="bottom"/>
          </w:tcPr>
          <w:p w:rsidR="001D2E73" w:rsidRDefault="001D2E73">
            <w:pPr>
              <w:spacing w:before="80" w:after="80" w:line="220" w:lineRule="exact"/>
              <w:jc w:val="right"/>
              <w:rPr>
                <w:b/>
                <w:sz w:val="18"/>
                <w:szCs w:val="18"/>
              </w:rPr>
            </w:pPr>
            <w:r>
              <w:rPr>
                <w:b/>
                <w:sz w:val="18"/>
                <w:szCs w:val="18"/>
              </w:rPr>
              <w:t>3 111</w:t>
            </w:r>
          </w:p>
        </w:tc>
        <w:tc>
          <w:tcPr>
            <w:tcW w:w="889" w:type="dxa"/>
            <w:tcBorders>
              <w:top w:val="nil"/>
              <w:bottom w:val="single" w:sz="4" w:space="0" w:color="auto"/>
            </w:tcBorders>
            <w:vAlign w:val="bottom"/>
          </w:tcPr>
          <w:p w:rsidR="001D2E73" w:rsidRDefault="001D2E73">
            <w:pPr>
              <w:spacing w:before="80" w:after="80" w:line="220" w:lineRule="exact"/>
              <w:jc w:val="right"/>
              <w:rPr>
                <w:b/>
                <w:sz w:val="18"/>
                <w:szCs w:val="18"/>
              </w:rPr>
            </w:pPr>
            <w:r>
              <w:rPr>
                <w:b/>
                <w:sz w:val="18"/>
                <w:szCs w:val="18"/>
              </w:rPr>
              <w:t>3 084</w:t>
            </w:r>
          </w:p>
        </w:tc>
        <w:tc>
          <w:tcPr>
            <w:tcW w:w="906" w:type="dxa"/>
            <w:tcBorders>
              <w:top w:val="nil"/>
              <w:bottom w:val="single" w:sz="4" w:space="0" w:color="auto"/>
            </w:tcBorders>
            <w:vAlign w:val="bottom"/>
          </w:tcPr>
          <w:p w:rsidR="001D2E73" w:rsidRDefault="001D2E73">
            <w:pPr>
              <w:spacing w:before="80" w:after="80" w:line="220" w:lineRule="exact"/>
              <w:jc w:val="right"/>
              <w:rPr>
                <w:b/>
                <w:sz w:val="18"/>
                <w:szCs w:val="18"/>
              </w:rPr>
            </w:pPr>
            <w:r>
              <w:rPr>
                <w:b/>
                <w:sz w:val="18"/>
                <w:szCs w:val="18"/>
              </w:rPr>
              <w:t>2 087</w:t>
            </w:r>
          </w:p>
        </w:tc>
        <w:tc>
          <w:tcPr>
            <w:tcW w:w="882" w:type="dxa"/>
            <w:tcBorders>
              <w:top w:val="nil"/>
              <w:bottom w:val="single" w:sz="4" w:space="0" w:color="auto"/>
            </w:tcBorders>
            <w:vAlign w:val="bottom"/>
          </w:tcPr>
          <w:p w:rsidR="001D2E73" w:rsidRDefault="001D2E73">
            <w:pPr>
              <w:spacing w:before="80" w:after="80" w:line="220" w:lineRule="exact"/>
              <w:jc w:val="right"/>
              <w:rPr>
                <w:b/>
                <w:sz w:val="18"/>
                <w:szCs w:val="18"/>
              </w:rPr>
            </w:pPr>
            <w:r>
              <w:rPr>
                <w:b/>
                <w:sz w:val="18"/>
                <w:szCs w:val="18"/>
              </w:rPr>
              <w:t>2 281</w:t>
            </w:r>
          </w:p>
        </w:tc>
        <w:tc>
          <w:tcPr>
            <w:tcW w:w="822" w:type="dxa"/>
            <w:tcBorders>
              <w:top w:val="nil"/>
              <w:bottom w:val="single" w:sz="4" w:space="0" w:color="auto"/>
            </w:tcBorders>
            <w:vAlign w:val="bottom"/>
          </w:tcPr>
          <w:p w:rsidR="001D2E73" w:rsidRDefault="001D2E73">
            <w:pPr>
              <w:spacing w:before="80" w:after="80" w:line="220" w:lineRule="exact"/>
              <w:jc w:val="right"/>
              <w:rPr>
                <w:b/>
                <w:sz w:val="18"/>
                <w:szCs w:val="18"/>
              </w:rPr>
            </w:pPr>
            <w:r>
              <w:rPr>
                <w:b/>
                <w:sz w:val="18"/>
                <w:szCs w:val="18"/>
              </w:rPr>
              <w:t>2 523</w:t>
            </w:r>
          </w:p>
        </w:tc>
        <w:tc>
          <w:tcPr>
            <w:tcW w:w="837" w:type="dxa"/>
            <w:tcBorders>
              <w:top w:val="nil"/>
              <w:bottom w:val="single" w:sz="4" w:space="0" w:color="auto"/>
            </w:tcBorders>
            <w:vAlign w:val="bottom"/>
          </w:tcPr>
          <w:p w:rsidR="001D2E73" w:rsidRDefault="001D2E73">
            <w:pPr>
              <w:spacing w:before="80" w:after="80" w:line="220" w:lineRule="exact"/>
              <w:jc w:val="right"/>
              <w:rPr>
                <w:b/>
                <w:sz w:val="18"/>
                <w:szCs w:val="18"/>
              </w:rPr>
            </w:pPr>
            <w:r>
              <w:rPr>
                <w:b/>
                <w:sz w:val="18"/>
                <w:szCs w:val="18"/>
              </w:rPr>
              <w:t>2 109</w:t>
            </w:r>
          </w:p>
        </w:tc>
      </w:tr>
      <w:tr w:rsidR="001D2E73">
        <w:trPr>
          <w:trHeight w:val="312"/>
        </w:trPr>
        <w:tc>
          <w:tcPr>
            <w:tcW w:w="3394" w:type="dxa"/>
            <w:tcBorders>
              <w:top w:val="single" w:sz="4" w:space="0" w:color="auto"/>
              <w:left w:val="nil"/>
              <w:bottom w:val="nil"/>
              <w:right w:val="nil"/>
              <w:tl2br w:val="nil"/>
              <w:tr2bl w:val="nil"/>
            </w:tcBorders>
            <w:vAlign w:val="bottom"/>
          </w:tcPr>
          <w:p w:rsidR="001D2E73" w:rsidRDefault="001D2E73">
            <w:pPr>
              <w:spacing w:before="40" w:after="40" w:line="220" w:lineRule="exact"/>
              <w:rPr>
                <w:sz w:val="18"/>
                <w:szCs w:val="18"/>
              </w:rPr>
            </w:pPr>
            <w:r>
              <w:rPr>
                <w:sz w:val="18"/>
                <w:szCs w:val="18"/>
              </w:rPr>
              <w:t>Hombres</w:t>
            </w:r>
          </w:p>
        </w:tc>
        <w:tc>
          <w:tcPr>
            <w:tcW w:w="774"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1 808</w:t>
            </w:r>
          </w:p>
        </w:tc>
        <w:tc>
          <w:tcPr>
            <w:tcW w:w="889"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1 887</w:t>
            </w:r>
          </w:p>
        </w:tc>
        <w:tc>
          <w:tcPr>
            <w:tcW w:w="906"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1 316</w:t>
            </w:r>
          </w:p>
        </w:tc>
        <w:tc>
          <w:tcPr>
            <w:tcW w:w="882"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1 488</w:t>
            </w:r>
          </w:p>
        </w:tc>
        <w:tc>
          <w:tcPr>
            <w:tcW w:w="822"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1 655</w:t>
            </w:r>
          </w:p>
        </w:tc>
        <w:tc>
          <w:tcPr>
            <w:tcW w:w="837" w:type="dxa"/>
            <w:tcBorders>
              <w:top w:val="single" w:sz="4" w:space="0" w:color="auto"/>
            </w:tcBorders>
            <w:vAlign w:val="bottom"/>
          </w:tcPr>
          <w:p w:rsidR="001D2E73" w:rsidRDefault="001D2E73">
            <w:pPr>
              <w:spacing w:before="40" w:after="40" w:line="220" w:lineRule="exact"/>
              <w:jc w:val="right"/>
              <w:rPr>
                <w:sz w:val="18"/>
                <w:szCs w:val="18"/>
              </w:rPr>
            </w:pPr>
            <w:r>
              <w:rPr>
                <w:sz w:val="18"/>
                <w:szCs w:val="18"/>
              </w:rPr>
              <w:t>1 350</w:t>
            </w:r>
          </w:p>
        </w:tc>
      </w:tr>
      <w:tr w:rsidR="001D2E73">
        <w:trPr>
          <w:trHeight w:val="312"/>
        </w:trPr>
        <w:tc>
          <w:tcPr>
            <w:tcW w:w="3394" w:type="dxa"/>
            <w:tcBorders>
              <w:left w:val="nil"/>
              <w:bottom w:val="single" w:sz="12" w:space="0" w:color="auto"/>
              <w:right w:val="nil"/>
              <w:tl2br w:val="nil"/>
              <w:tr2bl w:val="nil"/>
            </w:tcBorders>
            <w:vAlign w:val="bottom"/>
          </w:tcPr>
          <w:p w:rsidR="001D2E73" w:rsidRDefault="001D2E73">
            <w:pPr>
              <w:spacing w:before="40" w:after="40" w:line="220" w:lineRule="exact"/>
              <w:rPr>
                <w:sz w:val="18"/>
                <w:szCs w:val="18"/>
              </w:rPr>
            </w:pPr>
            <w:r>
              <w:rPr>
                <w:sz w:val="18"/>
                <w:szCs w:val="18"/>
              </w:rPr>
              <w:t>Mujeres</w:t>
            </w:r>
          </w:p>
        </w:tc>
        <w:tc>
          <w:tcPr>
            <w:tcW w:w="774" w:type="dxa"/>
            <w:vAlign w:val="bottom"/>
          </w:tcPr>
          <w:p w:rsidR="001D2E73" w:rsidRDefault="001D2E73">
            <w:pPr>
              <w:spacing w:before="40" w:after="40" w:line="220" w:lineRule="exact"/>
              <w:jc w:val="right"/>
              <w:rPr>
                <w:sz w:val="18"/>
                <w:szCs w:val="18"/>
              </w:rPr>
            </w:pPr>
            <w:r>
              <w:rPr>
                <w:sz w:val="18"/>
                <w:szCs w:val="18"/>
              </w:rPr>
              <w:t>1 303</w:t>
            </w:r>
          </w:p>
        </w:tc>
        <w:tc>
          <w:tcPr>
            <w:tcW w:w="889" w:type="dxa"/>
            <w:vAlign w:val="bottom"/>
          </w:tcPr>
          <w:p w:rsidR="001D2E73" w:rsidRDefault="001D2E73">
            <w:pPr>
              <w:spacing w:before="40" w:after="40" w:line="220" w:lineRule="exact"/>
              <w:jc w:val="right"/>
              <w:rPr>
                <w:sz w:val="18"/>
                <w:szCs w:val="18"/>
              </w:rPr>
            </w:pPr>
            <w:r>
              <w:rPr>
                <w:sz w:val="18"/>
                <w:szCs w:val="18"/>
              </w:rPr>
              <w:t>1 197</w:t>
            </w:r>
          </w:p>
        </w:tc>
        <w:tc>
          <w:tcPr>
            <w:tcW w:w="906" w:type="dxa"/>
            <w:vAlign w:val="bottom"/>
          </w:tcPr>
          <w:p w:rsidR="001D2E73" w:rsidRDefault="001D2E73">
            <w:pPr>
              <w:spacing w:before="40" w:after="40" w:line="220" w:lineRule="exact"/>
              <w:jc w:val="right"/>
              <w:rPr>
                <w:sz w:val="18"/>
                <w:szCs w:val="18"/>
              </w:rPr>
            </w:pPr>
            <w:r>
              <w:rPr>
                <w:sz w:val="18"/>
                <w:szCs w:val="18"/>
              </w:rPr>
              <w:t>771</w:t>
            </w:r>
          </w:p>
        </w:tc>
        <w:tc>
          <w:tcPr>
            <w:tcW w:w="882" w:type="dxa"/>
            <w:vAlign w:val="bottom"/>
          </w:tcPr>
          <w:p w:rsidR="001D2E73" w:rsidRDefault="001D2E73">
            <w:pPr>
              <w:spacing w:before="40" w:after="40" w:line="220" w:lineRule="exact"/>
              <w:jc w:val="right"/>
              <w:rPr>
                <w:sz w:val="18"/>
                <w:szCs w:val="18"/>
              </w:rPr>
            </w:pPr>
            <w:r>
              <w:rPr>
                <w:sz w:val="18"/>
                <w:szCs w:val="18"/>
              </w:rPr>
              <w:t>793</w:t>
            </w:r>
          </w:p>
        </w:tc>
        <w:tc>
          <w:tcPr>
            <w:tcW w:w="822" w:type="dxa"/>
            <w:vAlign w:val="bottom"/>
          </w:tcPr>
          <w:p w:rsidR="001D2E73" w:rsidRDefault="001D2E73">
            <w:pPr>
              <w:spacing w:before="40" w:after="40" w:line="220" w:lineRule="exact"/>
              <w:jc w:val="right"/>
              <w:rPr>
                <w:sz w:val="18"/>
                <w:szCs w:val="18"/>
              </w:rPr>
            </w:pPr>
            <w:r>
              <w:rPr>
                <w:sz w:val="18"/>
                <w:szCs w:val="18"/>
              </w:rPr>
              <w:t>868</w:t>
            </w:r>
          </w:p>
        </w:tc>
        <w:tc>
          <w:tcPr>
            <w:tcW w:w="837" w:type="dxa"/>
            <w:vAlign w:val="bottom"/>
          </w:tcPr>
          <w:p w:rsidR="001D2E73" w:rsidRDefault="001D2E73">
            <w:pPr>
              <w:spacing w:before="40" w:after="40" w:line="220" w:lineRule="exact"/>
              <w:jc w:val="right"/>
              <w:rPr>
                <w:sz w:val="18"/>
                <w:szCs w:val="18"/>
              </w:rPr>
            </w:pPr>
            <w:r>
              <w:rPr>
                <w:sz w:val="18"/>
                <w:szCs w:val="18"/>
              </w:rPr>
              <w:t>759</w:t>
            </w:r>
          </w:p>
        </w:tc>
      </w:tr>
    </w:tbl>
    <w:p w:rsidR="001D2E73" w:rsidRDefault="001D2E73">
      <w:pPr>
        <w:pStyle w:val="SingleTxtGR"/>
        <w:tabs>
          <w:tab w:val="clear" w:pos="1701"/>
          <w:tab w:val="left" w:pos="1260"/>
        </w:tabs>
        <w:spacing w:before="120"/>
        <w:jc w:val="left"/>
        <w:rPr>
          <w:spacing w:val="0"/>
          <w:sz w:val="18"/>
          <w:szCs w:val="18"/>
          <w:lang w:val="es-ES"/>
        </w:rPr>
      </w:pPr>
      <w:r>
        <w:rPr>
          <w:spacing w:val="0"/>
          <w:sz w:val="18"/>
          <w:szCs w:val="18"/>
          <w:lang w:val="es-ES"/>
        </w:rPr>
        <w:tab/>
      </w:r>
      <w:r>
        <w:rPr>
          <w:i/>
          <w:spacing w:val="0"/>
          <w:sz w:val="18"/>
          <w:szCs w:val="18"/>
          <w:vertAlign w:val="superscript"/>
          <w:lang w:val="es-ES"/>
        </w:rPr>
        <w:t>a</w:t>
      </w:r>
      <w:r>
        <w:rPr>
          <w:spacing w:val="0"/>
          <w:sz w:val="18"/>
          <w:szCs w:val="18"/>
          <w:lang w:val="es-ES"/>
        </w:rPr>
        <w:t xml:space="preserve">  Basada en la metodología de la OIT (se incluye a los inscritos como desempleados).</w:t>
      </w:r>
      <w:r>
        <w:rPr>
          <w:spacing w:val="0"/>
          <w:sz w:val="18"/>
          <w:szCs w:val="18"/>
          <w:lang w:val="es-ES"/>
        </w:rPr>
        <w:br/>
      </w:r>
      <w:r>
        <w:rPr>
          <w:spacing w:val="0"/>
          <w:sz w:val="18"/>
          <w:szCs w:val="18"/>
          <w:lang w:val="es-ES"/>
        </w:rPr>
        <w:tab/>
      </w:r>
      <w:r>
        <w:rPr>
          <w:i/>
          <w:spacing w:val="0"/>
          <w:sz w:val="18"/>
          <w:szCs w:val="18"/>
          <w:vertAlign w:val="superscript"/>
          <w:lang w:val="es-ES"/>
        </w:rPr>
        <w:t>b</w:t>
      </w:r>
      <w:r>
        <w:rPr>
          <w:spacing w:val="0"/>
          <w:sz w:val="18"/>
          <w:szCs w:val="18"/>
          <w:lang w:val="es-ES"/>
        </w:rPr>
        <w:t xml:space="preserve">  Datos preliminares.</w:t>
      </w:r>
    </w:p>
    <w:p w:rsidR="001D2E73" w:rsidRDefault="001D2E73">
      <w:pPr>
        <w:pStyle w:val="SingleTxtGR"/>
        <w:spacing w:before="240"/>
        <w:rPr>
          <w:spacing w:val="0"/>
          <w:lang w:val="es-ES"/>
        </w:rPr>
      </w:pPr>
      <w:r>
        <w:rPr>
          <w:spacing w:val="0"/>
          <w:lang w:val="es-ES"/>
        </w:rPr>
        <w:t>107.</w:t>
      </w:r>
      <w:r>
        <w:rPr>
          <w:spacing w:val="0"/>
          <w:lang w:val="es-ES"/>
        </w:rPr>
        <w:tab/>
        <w:t>Con el fin de obtener información estadística sobre la cantidad de trabajadores en el sector no estructurado de la economía, en 2005 se realizó una encuesta por hogares de una sola vez entre m</w:t>
      </w:r>
      <w:r>
        <w:rPr>
          <w:spacing w:val="0"/>
          <w:lang w:val="es-ES"/>
        </w:rPr>
        <w:t>a</w:t>
      </w:r>
      <w:r>
        <w:rPr>
          <w:spacing w:val="0"/>
          <w:lang w:val="es-ES"/>
        </w:rPr>
        <w:t xml:space="preserve">yores de 15 años. </w:t>
      </w:r>
    </w:p>
    <w:p w:rsidR="001D2E73" w:rsidRDefault="001D2E73">
      <w:pPr>
        <w:pStyle w:val="SingleTxtGR"/>
        <w:rPr>
          <w:spacing w:val="0"/>
          <w:lang w:val="es-ES"/>
        </w:rPr>
      </w:pPr>
      <w:r>
        <w:rPr>
          <w:spacing w:val="0"/>
          <w:lang w:val="es-ES"/>
        </w:rPr>
        <w:t>108.</w:t>
      </w:r>
      <w:r>
        <w:rPr>
          <w:spacing w:val="0"/>
          <w:lang w:val="es-ES"/>
        </w:rPr>
        <w:tab/>
        <w:t>Según los resultados del muestreo en el sector no estructurado había 186,3 m</w:t>
      </w:r>
      <w:r>
        <w:rPr>
          <w:spacing w:val="0"/>
          <w:lang w:val="es-ES"/>
        </w:rPr>
        <w:t>i</w:t>
      </w:r>
      <w:r>
        <w:rPr>
          <w:spacing w:val="0"/>
          <w:lang w:val="es-ES"/>
        </w:rPr>
        <w:t>les de personas o 4,8% de la población empleada. Entre los empleados del sector no estructurado, 88,0% trabajaban por contrata, 8,7% eran empleados por cuenta propia y miembros de cooperativas de producción, 0,2% eran personas físicas que realiz</w:t>
      </w:r>
      <w:r>
        <w:rPr>
          <w:spacing w:val="0"/>
          <w:lang w:val="es-ES"/>
        </w:rPr>
        <w:t>a</w:t>
      </w:r>
      <w:r>
        <w:rPr>
          <w:spacing w:val="0"/>
          <w:lang w:val="es-ES"/>
        </w:rPr>
        <w:t xml:space="preserve">ban una actividad empresarial y 3,1% trabajaban en la agricultura. </w:t>
      </w:r>
    </w:p>
    <w:p w:rsidR="001D2E73" w:rsidRDefault="001D2E73">
      <w:pPr>
        <w:pStyle w:val="SingleTxtGR"/>
        <w:rPr>
          <w:spacing w:val="0"/>
          <w:lang w:val="es-ES"/>
        </w:rPr>
      </w:pPr>
      <w:r>
        <w:rPr>
          <w:spacing w:val="0"/>
          <w:lang w:val="es-ES"/>
        </w:rPr>
        <w:t>109.</w:t>
      </w:r>
      <w:r>
        <w:rPr>
          <w:spacing w:val="0"/>
          <w:lang w:val="es-ES"/>
        </w:rPr>
        <w:tab/>
        <w:t>Los resultados de la encuesta demuestran que la mayor parte de las personas que trabajan en el sector no estructurado se concentra en el comercio, la constru</w:t>
      </w:r>
      <w:r>
        <w:rPr>
          <w:spacing w:val="0"/>
          <w:lang w:val="es-ES"/>
        </w:rPr>
        <w:t>c</w:t>
      </w:r>
      <w:r>
        <w:rPr>
          <w:spacing w:val="0"/>
          <w:lang w:val="es-ES"/>
        </w:rPr>
        <w:t>ción, la industria de transformación y el transporte.</w:t>
      </w:r>
    </w:p>
    <w:p w:rsidR="001D2E73" w:rsidRDefault="001D2E73">
      <w:pPr>
        <w:pStyle w:val="SingleTxtGR"/>
        <w:rPr>
          <w:spacing w:val="0"/>
          <w:lang w:val="es-ES"/>
        </w:rPr>
      </w:pPr>
      <w:r>
        <w:rPr>
          <w:spacing w:val="0"/>
          <w:lang w:val="es-ES"/>
        </w:rPr>
        <w:t>110.</w:t>
      </w:r>
      <w:r>
        <w:rPr>
          <w:spacing w:val="0"/>
          <w:lang w:val="es-ES"/>
        </w:rPr>
        <w:tab/>
        <w:t>Además, con el fin de simplificar la inscripción de las empresas comerciales, el 30 de abril de 2007 se dictó un decreto presidencial que contenía medidas de fomento de las empresas mediante el establecimiento de un procedimiento de ventan</w:t>
      </w:r>
      <w:r>
        <w:rPr>
          <w:spacing w:val="0"/>
          <w:lang w:val="es-ES"/>
        </w:rPr>
        <w:t>i</w:t>
      </w:r>
      <w:r>
        <w:rPr>
          <w:spacing w:val="0"/>
          <w:lang w:val="es-ES"/>
        </w:rPr>
        <w:t xml:space="preserve">lla única en virtud del cual todos los documentos necesarios podrían ser presentados a un único organismo estatal que procedería a su rápida tramitación. El Ministerio de Hacienda se encarga de inscribir en un registro a todas las empresas. </w:t>
      </w:r>
    </w:p>
    <w:p w:rsidR="001D2E73" w:rsidRDefault="001D2E73">
      <w:pPr>
        <w:pStyle w:val="SingleTxtGR"/>
        <w:rPr>
          <w:spacing w:val="0"/>
          <w:lang w:val="es-ES"/>
        </w:rPr>
      </w:pPr>
      <w:r>
        <w:rPr>
          <w:spacing w:val="0"/>
          <w:lang w:val="es-ES"/>
        </w:rPr>
        <w:t>111.</w:t>
      </w:r>
      <w:r>
        <w:rPr>
          <w:spacing w:val="0"/>
          <w:lang w:val="es-ES"/>
        </w:rPr>
        <w:tab/>
        <w:t>Solamente durante la primera semana de inicio del sistema se inscribieron 572 empresas.</w:t>
      </w:r>
    </w:p>
    <w:p w:rsidR="001D2E73" w:rsidRDefault="001D2E73">
      <w:pPr>
        <w:pStyle w:val="SingleTxtGR"/>
        <w:rPr>
          <w:spacing w:val="0"/>
          <w:lang w:val="es-ES"/>
        </w:rPr>
      </w:pPr>
      <w:r>
        <w:rPr>
          <w:spacing w:val="0"/>
          <w:lang w:val="es-ES"/>
        </w:rPr>
        <w:t>112.</w:t>
      </w:r>
      <w:r>
        <w:rPr>
          <w:spacing w:val="0"/>
          <w:lang w:val="es-ES"/>
        </w:rPr>
        <w:tab/>
        <w:t>Por otra parte, Fondo Nacional de Ayuda a las Empresas se aprobaron prést</w:t>
      </w:r>
      <w:r>
        <w:rPr>
          <w:spacing w:val="0"/>
          <w:lang w:val="es-ES"/>
        </w:rPr>
        <w:t>a</w:t>
      </w:r>
      <w:r>
        <w:rPr>
          <w:spacing w:val="0"/>
          <w:lang w:val="es-ES"/>
        </w:rPr>
        <w:t xml:space="preserve">mos con cargo al presupuesto estatal durante el período 2003-2008 por la suma de 293.420 miles de manat (366.775 miles de dólares de los Estados Unidos). </w:t>
      </w:r>
    </w:p>
    <w:p w:rsidR="001D2E73" w:rsidRDefault="001D2E73">
      <w:pPr>
        <w:pStyle w:val="SingleTxtGR"/>
        <w:rPr>
          <w:spacing w:val="0"/>
          <w:lang w:val="es-ES"/>
        </w:rPr>
      </w:pPr>
      <w:r>
        <w:rPr>
          <w:spacing w:val="0"/>
          <w:lang w:val="es-ES"/>
        </w:rPr>
        <w:t>113.</w:t>
      </w:r>
      <w:r>
        <w:rPr>
          <w:spacing w:val="0"/>
          <w:lang w:val="es-ES"/>
        </w:rPr>
        <w:tab/>
        <w:t>A fin de optimizar el aprovechamiento de los recursos humanos y asegurar el empleo racional de la población, con arreglo a una instrucción del Presidente de 26 de octubre de 2005 se aprobó la Estrategia de Empleo de la República de Azerbaiyán (2006-2015). El objetivo fundamental de la Estrategia es determinar las prioridades en la aplicación de la política de ocupación sobre la base de las reformas socioeconómicas, desarrollar las relaciones de mercado, perfeccionar la política fiscal, i</w:t>
      </w:r>
      <w:r>
        <w:rPr>
          <w:spacing w:val="0"/>
          <w:lang w:val="es-ES"/>
        </w:rPr>
        <w:t>n</w:t>
      </w:r>
      <w:r>
        <w:rPr>
          <w:spacing w:val="0"/>
          <w:lang w:val="es-ES"/>
        </w:rPr>
        <w:t>versionista y aduanera, así como la política en la esfera de la educación y el fomento institucionalizado de un mercado de trabajo que estimule la creación de nuevos pue</w:t>
      </w:r>
      <w:r>
        <w:rPr>
          <w:spacing w:val="0"/>
          <w:lang w:val="es-ES"/>
        </w:rPr>
        <w:t>s</w:t>
      </w:r>
      <w:r>
        <w:rPr>
          <w:spacing w:val="0"/>
          <w:lang w:val="es-ES"/>
        </w:rPr>
        <w:t>tos de trabajo.</w:t>
      </w:r>
    </w:p>
    <w:p w:rsidR="001D2E73" w:rsidRDefault="001D2E73">
      <w:pPr>
        <w:pStyle w:val="SingleTxtGR"/>
        <w:rPr>
          <w:spacing w:val="0"/>
          <w:lang w:val="es-ES"/>
        </w:rPr>
      </w:pPr>
      <w:r>
        <w:rPr>
          <w:spacing w:val="0"/>
          <w:lang w:val="es-ES"/>
        </w:rPr>
        <w:t>114.</w:t>
      </w:r>
      <w:r>
        <w:rPr>
          <w:spacing w:val="0"/>
          <w:lang w:val="es-ES"/>
        </w:rPr>
        <w:tab/>
        <w:t>Se ha previsto aplicar la Estrategia de empleo en dos etapas vinculadas entre sí. En la primera etapa, que abarca de 2006 a 2010, se prevé reducir al máximo p</w:t>
      </w:r>
      <w:r>
        <w:rPr>
          <w:spacing w:val="0"/>
          <w:lang w:val="es-ES"/>
        </w:rPr>
        <w:t>o</w:t>
      </w:r>
      <w:r>
        <w:rPr>
          <w:spacing w:val="0"/>
          <w:lang w:val="es-ES"/>
        </w:rPr>
        <w:t>sible el nivel de desempleo, mejorar la protección social de los desempleados y los grupos de la población menos favorecidos, mejorar el mercado de trabajo y la calidad de los recursos humanos y aumentar su competitividad, así como crear condici</w:t>
      </w:r>
      <w:r>
        <w:rPr>
          <w:spacing w:val="0"/>
          <w:lang w:val="es-ES"/>
        </w:rPr>
        <w:t>o</w:t>
      </w:r>
      <w:r>
        <w:rPr>
          <w:spacing w:val="0"/>
          <w:lang w:val="es-ES"/>
        </w:rPr>
        <w:t>nes favorables para aumentar la población económicamente activa.</w:t>
      </w:r>
    </w:p>
    <w:p w:rsidR="001D2E73" w:rsidRDefault="001D2E73">
      <w:pPr>
        <w:pStyle w:val="SingleTxtGR"/>
        <w:rPr>
          <w:spacing w:val="0"/>
          <w:lang w:val="es-ES"/>
        </w:rPr>
      </w:pPr>
      <w:r>
        <w:rPr>
          <w:spacing w:val="0"/>
          <w:lang w:val="es-ES"/>
        </w:rPr>
        <w:t>115.</w:t>
      </w:r>
      <w:r>
        <w:rPr>
          <w:spacing w:val="0"/>
          <w:lang w:val="es-ES"/>
        </w:rPr>
        <w:tab/>
        <w:t>En la segunda etapa, que abarcará de 2011 a 2015, la actividad se orientará fundamentalmente a crear un entorno propicio que estimule las necesidades de fuerza de trabajo en correspondencia con las normas internacionales, profundizar las reformas estructurales, aumentar la actividad de los inversionistas y garantizar un alto n</w:t>
      </w:r>
      <w:r>
        <w:rPr>
          <w:spacing w:val="0"/>
          <w:lang w:val="es-ES"/>
        </w:rPr>
        <w:t>i</w:t>
      </w:r>
      <w:r>
        <w:rPr>
          <w:spacing w:val="0"/>
          <w:lang w:val="es-ES"/>
        </w:rPr>
        <w:t>vel de desarrollo del capital humano.</w:t>
      </w:r>
    </w:p>
    <w:p w:rsidR="001D2E73" w:rsidRDefault="001D2E73">
      <w:pPr>
        <w:pStyle w:val="SingleTxtGR"/>
        <w:rPr>
          <w:spacing w:val="0"/>
          <w:lang w:val="es-ES"/>
        </w:rPr>
      </w:pPr>
      <w:r>
        <w:rPr>
          <w:spacing w:val="0"/>
          <w:lang w:val="es-ES"/>
        </w:rPr>
        <w:t>116.</w:t>
      </w:r>
      <w:r>
        <w:rPr>
          <w:spacing w:val="0"/>
          <w:lang w:val="es-ES"/>
        </w:rPr>
        <w:tab/>
        <w:t xml:space="preserve">Para llevar a cabo la primera etapa de la Estrategia de empleo, por instrucción del Presidente de 15 de mayo de 2007 se aprobó el Programa estatal de aplicación de la estrategia de empleo de la República de Azerbaiyán. </w:t>
      </w:r>
    </w:p>
    <w:p w:rsidR="001D2E73" w:rsidRDefault="001D2E73">
      <w:pPr>
        <w:pStyle w:val="SingleTxtGR"/>
        <w:rPr>
          <w:spacing w:val="0"/>
          <w:lang w:val="es-ES"/>
        </w:rPr>
      </w:pPr>
      <w:r>
        <w:rPr>
          <w:spacing w:val="0"/>
          <w:lang w:val="es-ES"/>
        </w:rPr>
        <w:t>117.</w:t>
      </w:r>
      <w:r>
        <w:rPr>
          <w:spacing w:val="0"/>
          <w:lang w:val="es-ES"/>
        </w:rPr>
        <w:tab/>
        <w:t>El objetivo fundamental de ese Programa estatal es garantizar la puesta en práctica de las tareas prioritarias previstas hasta 2011 en la Estrategia de empleo de la República de Azerbaiyán (2006-2015), mediante la creación de las condiciones políticas, económicas e institucionales pertinentes para el fomento del empleo raci</w:t>
      </w:r>
      <w:r>
        <w:rPr>
          <w:spacing w:val="0"/>
          <w:lang w:val="es-ES"/>
        </w:rPr>
        <w:t>o</w:t>
      </w:r>
      <w:r>
        <w:rPr>
          <w:spacing w:val="0"/>
          <w:lang w:val="es-ES"/>
        </w:rPr>
        <w:t>nal de la población.</w:t>
      </w:r>
    </w:p>
    <w:p w:rsidR="001D2E73" w:rsidRDefault="001D2E73">
      <w:pPr>
        <w:pStyle w:val="SingleTxtGR"/>
        <w:rPr>
          <w:spacing w:val="0"/>
          <w:lang w:val="es-ES"/>
        </w:rPr>
      </w:pPr>
      <w:r>
        <w:rPr>
          <w:spacing w:val="0"/>
          <w:lang w:val="es-ES"/>
        </w:rPr>
        <w:t>118.</w:t>
      </w:r>
      <w:r>
        <w:rPr>
          <w:spacing w:val="0"/>
          <w:lang w:val="es-ES"/>
        </w:rPr>
        <w:tab/>
        <w:t>Mediante la realización de las medidas previstas en el Programa estatal para 2007-2010, cabe esperar que se logren los siguientes resultados: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Creación de un entorno propicio para materializar la política de ocup</w:t>
      </w:r>
      <w:r>
        <w:rPr>
          <w:spacing w:val="0"/>
          <w:lang w:val="es-ES"/>
        </w:rPr>
        <w:t>a</w:t>
      </w:r>
      <w:r>
        <w:rPr>
          <w:spacing w:val="0"/>
          <w:lang w:val="es-ES"/>
        </w:rPr>
        <w:t>ción racional;</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Perfeccionamiento de la base legislativa en materia de empleo;</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Creación de un entorno propicio para aumentar la calidad de los recu</w:t>
      </w:r>
      <w:r>
        <w:rPr>
          <w:spacing w:val="0"/>
          <w:lang w:val="es-ES"/>
        </w:rPr>
        <w:t>r</w:t>
      </w:r>
      <w:r>
        <w:rPr>
          <w:spacing w:val="0"/>
          <w:lang w:val="es-ES"/>
        </w:rPr>
        <w:t>sos laborales, mejorar su competitividad y la actividad económica, perfeccionar la actividad del sistema de preparación de cuadros, en particular la formación profesi</w:t>
      </w:r>
      <w:r>
        <w:rPr>
          <w:spacing w:val="0"/>
          <w:lang w:val="es-ES"/>
        </w:rPr>
        <w:t>o</w:t>
      </w:r>
      <w:r>
        <w:rPr>
          <w:spacing w:val="0"/>
          <w:lang w:val="es-ES"/>
        </w:rPr>
        <w:t>nal y el aumento de la calificación con el fin de que esté a la altura de las necesid</w:t>
      </w:r>
      <w:r>
        <w:rPr>
          <w:spacing w:val="0"/>
          <w:lang w:val="es-ES"/>
        </w:rPr>
        <w:t>a</w:t>
      </w:r>
      <w:r>
        <w:rPr>
          <w:spacing w:val="0"/>
          <w:lang w:val="es-ES"/>
        </w:rPr>
        <w:t>des de un mercado de trabajo que se amplía en forma dinámica;</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Formación del entorno institucional destinado a desarrollar el mercado de trabajo en las regiones;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e)</w:t>
      </w:r>
      <w:r>
        <w:rPr>
          <w:spacing w:val="0"/>
          <w:lang w:val="es-ES"/>
        </w:rPr>
        <w:tab/>
        <w:t>Reducción del porcentaje de desempleados;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f)</w:t>
      </w:r>
      <w:r>
        <w:rPr>
          <w:spacing w:val="0"/>
          <w:lang w:val="es-ES"/>
        </w:rPr>
        <w:tab/>
        <w:t>Fortalecimiento de la protección social de los desempleados y de las personas que buscan trabajo.</w:t>
      </w:r>
    </w:p>
    <w:p w:rsidR="001D2E73" w:rsidRDefault="001D2E73">
      <w:pPr>
        <w:pStyle w:val="SingleTxtGR"/>
        <w:rPr>
          <w:spacing w:val="0"/>
          <w:lang w:val="es-ES"/>
        </w:rPr>
      </w:pPr>
      <w:r>
        <w:rPr>
          <w:spacing w:val="0"/>
          <w:lang w:val="es-ES"/>
        </w:rPr>
        <w:t>119.</w:t>
      </w:r>
      <w:r>
        <w:rPr>
          <w:spacing w:val="0"/>
          <w:lang w:val="es-ES"/>
        </w:rPr>
        <w:tab/>
        <w:t>Junto con las medidas antes señaladas, en el marco del Programa estatal para garantizar la igualdad entre hombres y mujeres en el empleo se han fortalecido los controles para garantizar el trabajo de los ciudadanos que más necesitan de protección social, en particular para dar empleo a la mujer en las empresas, las instituci</w:t>
      </w:r>
      <w:r>
        <w:rPr>
          <w:spacing w:val="0"/>
          <w:lang w:val="es-ES"/>
        </w:rPr>
        <w:t>o</w:t>
      </w:r>
      <w:r>
        <w:rPr>
          <w:spacing w:val="0"/>
          <w:lang w:val="es-ES"/>
        </w:rPr>
        <w:t>nes y las organizaciones conforme a los cupos establecidos, desarrollar la actividad empresarial de la mujer, aumentar su competitividad en el mercado de trabajo, llevar a la práctica las medidas correspondientes encaminadas a la capacitación de oficios y al readiestramiento de los desempleados y de las mujeres que buscan empleo, de</w:t>
      </w:r>
      <w:r>
        <w:rPr>
          <w:spacing w:val="0"/>
          <w:lang w:val="es-ES"/>
        </w:rPr>
        <w:t>s</w:t>
      </w:r>
      <w:r>
        <w:rPr>
          <w:spacing w:val="0"/>
          <w:lang w:val="es-ES"/>
        </w:rPr>
        <w:t>arrollar tipos de artes aplicadas nacionales y populares con el fin de aumentar el po</w:t>
      </w:r>
      <w:r>
        <w:rPr>
          <w:spacing w:val="0"/>
          <w:lang w:val="es-ES"/>
        </w:rPr>
        <w:t>r</w:t>
      </w:r>
      <w:r>
        <w:rPr>
          <w:spacing w:val="0"/>
          <w:lang w:val="es-ES"/>
        </w:rPr>
        <w:t>centaje de mujeres empleadas y realizar los estudios necesarios para determinar las causas del problema del desempleo entre las mujeres.</w:t>
      </w:r>
    </w:p>
    <w:p w:rsidR="001D2E73" w:rsidRDefault="001D2E73">
      <w:pPr>
        <w:pStyle w:val="SingleTxtGR"/>
        <w:rPr>
          <w:spacing w:val="0"/>
          <w:lang w:val="es-ES"/>
        </w:rPr>
      </w:pPr>
      <w:r>
        <w:rPr>
          <w:spacing w:val="0"/>
          <w:lang w:val="es-ES"/>
        </w:rPr>
        <w:t>120.</w:t>
      </w:r>
      <w:r>
        <w:rPr>
          <w:spacing w:val="0"/>
          <w:lang w:val="es-ES"/>
        </w:rPr>
        <w:tab/>
        <w:t>Además, con el fin de aumentar el nivel de empleo de los jóvenes, en el marco del Programa se llevan a cabo actividades encaminadas a la preparación y cumpl</w:t>
      </w:r>
      <w:r>
        <w:rPr>
          <w:spacing w:val="0"/>
          <w:lang w:val="es-ES"/>
        </w:rPr>
        <w:t>i</w:t>
      </w:r>
      <w:r>
        <w:rPr>
          <w:spacing w:val="0"/>
          <w:lang w:val="es-ES"/>
        </w:rPr>
        <w:t>miento del plan de acción para garantizar el empleo de los jóvenes mediante la cre</w:t>
      </w:r>
      <w:r>
        <w:rPr>
          <w:spacing w:val="0"/>
          <w:lang w:val="es-ES"/>
        </w:rPr>
        <w:t>a</w:t>
      </w:r>
      <w:r>
        <w:rPr>
          <w:spacing w:val="0"/>
          <w:lang w:val="es-ES"/>
        </w:rPr>
        <w:t>ción de posibilidades para conceder microcréditos a los desempleados y a los que buscan trabajo, en particular los jóvenes, para el empleo en pequeñas empresas, i</w:t>
      </w:r>
      <w:r>
        <w:rPr>
          <w:spacing w:val="0"/>
          <w:lang w:val="es-ES"/>
        </w:rPr>
        <w:t>n</w:t>
      </w:r>
      <w:r>
        <w:rPr>
          <w:spacing w:val="0"/>
          <w:lang w:val="es-ES"/>
        </w:rPr>
        <w:t>formar a los jóvenes estudiantes que desean realizar una actividad laboral durante las vacaciones, dar a conocer los empleos por temporada y el trabajo social y las organ</w:t>
      </w:r>
      <w:r>
        <w:rPr>
          <w:spacing w:val="0"/>
          <w:lang w:val="es-ES"/>
        </w:rPr>
        <w:t>i</w:t>
      </w:r>
      <w:r>
        <w:rPr>
          <w:spacing w:val="0"/>
          <w:lang w:val="es-ES"/>
        </w:rPr>
        <w:t>zaciones que ofrecen esos trabajos, ofrecer posibilidades de crédito en condiciones favorables para crear talleres y empresas de producción de distintos tipos de arte p</w:t>
      </w:r>
      <w:r>
        <w:rPr>
          <w:spacing w:val="0"/>
          <w:lang w:val="es-ES"/>
        </w:rPr>
        <w:t>o</w:t>
      </w:r>
      <w:r>
        <w:rPr>
          <w:spacing w:val="0"/>
          <w:lang w:val="es-ES"/>
        </w:rPr>
        <w:t>pular e incorporar a la juventud y a las mujeres, estudiar la experiencia de los países más avanzados con el fin de aumentar el nivel de empleo de la juventud, preparar manuales metodológicos y programas de estudio para que la juventud adquiera exp</w:t>
      </w:r>
      <w:r>
        <w:rPr>
          <w:spacing w:val="0"/>
          <w:lang w:val="es-ES"/>
        </w:rPr>
        <w:t>e</w:t>
      </w:r>
      <w:r>
        <w:rPr>
          <w:spacing w:val="0"/>
          <w:lang w:val="es-ES"/>
        </w:rPr>
        <w:t>riencia laboral y aprenda los fundamentos de la actividad económica.</w:t>
      </w:r>
    </w:p>
    <w:p w:rsidR="001D2E73" w:rsidRDefault="001D2E73">
      <w:pPr>
        <w:pStyle w:val="SingleTxtGR"/>
        <w:rPr>
          <w:spacing w:val="0"/>
          <w:lang w:val="es-ES"/>
        </w:rPr>
      </w:pPr>
      <w:r>
        <w:rPr>
          <w:spacing w:val="0"/>
          <w:lang w:val="es-ES"/>
        </w:rPr>
        <w:t>121.</w:t>
      </w:r>
      <w:r>
        <w:rPr>
          <w:spacing w:val="0"/>
          <w:lang w:val="es-ES"/>
        </w:rPr>
        <w:tab/>
        <w:t>Para intensificar la actividad encaminada a aumentar el porcentaje de emple</w:t>
      </w:r>
      <w:r>
        <w:rPr>
          <w:spacing w:val="0"/>
          <w:lang w:val="es-ES"/>
        </w:rPr>
        <w:t>a</w:t>
      </w:r>
      <w:r>
        <w:rPr>
          <w:spacing w:val="0"/>
          <w:lang w:val="es-ES"/>
        </w:rPr>
        <w:t>dos entre los refugiados y desplazados forzosos, en el marco del Programa estatal se llevan a cabo actividades para la creación de nuevos puestos de trabajos en lugares de residencia mayoritaria y temporal de esas personas, así como en los asentamie</w:t>
      </w:r>
      <w:r>
        <w:rPr>
          <w:spacing w:val="0"/>
          <w:lang w:val="es-ES"/>
        </w:rPr>
        <w:t>n</w:t>
      </w:r>
      <w:r>
        <w:rPr>
          <w:spacing w:val="0"/>
          <w:lang w:val="es-ES"/>
        </w:rPr>
        <w:t>tos recién construidos para los desplazados forzosos, el establecimiento y la aplicación de un mecanismo de incentivación a los empleadores que asignen puestos de trabajo para emplear a refugiados y desplazados forzosos, la garantía de la capacitación de oficios para los refugiados y desplazados internos, la prestación de la ayuda corre</w:t>
      </w:r>
      <w:r>
        <w:rPr>
          <w:spacing w:val="0"/>
          <w:lang w:val="es-ES"/>
        </w:rPr>
        <w:t>s</w:t>
      </w:r>
      <w:r>
        <w:rPr>
          <w:spacing w:val="0"/>
          <w:lang w:val="es-ES"/>
        </w:rPr>
        <w:t>pondiente para aumentar el empleo por cuenta propia entre ellos, el establec</w:t>
      </w:r>
      <w:r>
        <w:rPr>
          <w:spacing w:val="0"/>
          <w:lang w:val="es-ES"/>
        </w:rPr>
        <w:t>i</w:t>
      </w:r>
      <w:r>
        <w:rPr>
          <w:spacing w:val="0"/>
          <w:lang w:val="es-ES"/>
        </w:rPr>
        <w:t>miento de una red de tecnologías modernas en el territorio donde residen los desplazados forzosos con el fin de aumentar sus posibilidad de utilizar la tecnología de la info</w:t>
      </w:r>
      <w:r>
        <w:rPr>
          <w:spacing w:val="0"/>
          <w:lang w:val="es-ES"/>
        </w:rPr>
        <w:t>r</w:t>
      </w:r>
      <w:r>
        <w:rPr>
          <w:spacing w:val="0"/>
          <w:lang w:val="es-ES"/>
        </w:rPr>
        <w:t>mación y otras.</w:t>
      </w:r>
    </w:p>
    <w:p w:rsidR="001D2E73" w:rsidRDefault="001D2E73">
      <w:pPr>
        <w:pStyle w:val="SingleTxtGR"/>
        <w:rPr>
          <w:spacing w:val="0"/>
          <w:lang w:val="es-ES"/>
        </w:rPr>
      </w:pPr>
      <w:r>
        <w:rPr>
          <w:spacing w:val="0"/>
          <w:lang w:val="es-ES"/>
        </w:rPr>
        <w:t>122.</w:t>
      </w:r>
      <w:r>
        <w:rPr>
          <w:spacing w:val="0"/>
          <w:lang w:val="es-ES"/>
        </w:rPr>
        <w:tab/>
        <w:t>Con arreglo al artículo 78 del Código del Trabajo, el artículo 7 de la Ley de protección social de los desplazados forzosos y personas que se encuentran en situ</w:t>
      </w:r>
      <w:r>
        <w:rPr>
          <w:spacing w:val="0"/>
          <w:lang w:val="es-ES"/>
        </w:rPr>
        <w:t>a</w:t>
      </w:r>
      <w:r>
        <w:rPr>
          <w:spacing w:val="0"/>
          <w:lang w:val="es-ES"/>
        </w:rPr>
        <w:t>ción parecida, de 21 de mayo de 1999, y la instrucción del Presidente, de 1º de julio de 2004, por la que se aprobó el Programa nacional de mejora de las condiciones de vivienda y aumento del porcentaje de empleo entre los refugiados y los desplazados forzosos, cuando se reduce la plantilla y el número de trabajadores en las organizaciones, estas personas tienen derecho preferente a conservar sus puestos de trabajo.</w:t>
      </w:r>
    </w:p>
    <w:p w:rsidR="001D2E73" w:rsidRDefault="001D2E73">
      <w:pPr>
        <w:pStyle w:val="SingleTxtGR"/>
        <w:rPr>
          <w:b/>
          <w:bCs/>
          <w:spacing w:val="0"/>
          <w:lang w:val="es-ES"/>
        </w:rPr>
      </w:pPr>
      <w:r>
        <w:rPr>
          <w:bCs/>
          <w:spacing w:val="0"/>
          <w:lang w:val="es-ES"/>
        </w:rPr>
        <w:t>123.</w:t>
      </w:r>
      <w:r>
        <w:rPr>
          <w:bCs/>
          <w:spacing w:val="0"/>
          <w:lang w:val="es-ES"/>
        </w:rPr>
        <w:tab/>
        <w:t>Desde 2004 se ejecutan programas de microcrédito para 6.000 desplazados forzosos que recibieron este apoyo y se crearon las condiciones para que establezcan pequeñas empresas. Durante el mismo período se han llevado a cabo 220 micropr</w:t>
      </w:r>
      <w:r>
        <w:rPr>
          <w:bCs/>
          <w:spacing w:val="0"/>
          <w:lang w:val="es-ES"/>
        </w:rPr>
        <w:t>o</w:t>
      </w:r>
      <w:r>
        <w:rPr>
          <w:bCs/>
          <w:spacing w:val="0"/>
          <w:lang w:val="es-ES"/>
        </w:rPr>
        <w:t>yectos, con cargo a la ayuda financiera prestada por el Banco Mundial (por un total de 12,7 millones de dólares de los Estados Unidos), que permitieron prestar ayuda material a 142.900 desplaz</w:t>
      </w:r>
      <w:r>
        <w:rPr>
          <w:bCs/>
          <w:spacing w:val="0"/>
          <w:lang w:val="es-ES"/>
        </w:rPr>
        <w:t>a</w:t>
      </w:r>
      <w:r>
        <w:rPr>
          <w:bCs/>
          <w:spacing w:val="0"/>
          <w:lang w:val="es-ES"/>
        </w:rPr>
        <w:t>dos forzosos.</w:t>
      </w:r>
    </w:p>
    <w:p w:rsidR="001D2E73" w:rsidRDefault="001D2E73">
      <w:pPr>
        <w:pStyle w:val="SingleTxtGR"/>
        <w:rPr>
          <w:spacing w:val="0"/>
          <w:lang w:val="es-ES"/>
        </w:rPr>
      </w:pPr>
      <w:r>
        <w:rPr>
          <w:spacing w:val="0"/>
          <w:lang w:val="es-ES"/>
        </w:rPr>
        <w:t>124.</w:t>
      </w:r>
      <w:r>
        <w:rPr>
          <w:spacing w:val="0"/>
          <w:lang w:val="es-ES"/>
        </w:rPr>
        <w:tab/>
        <w:t>Además, de conformidad con el párrafo 1.9 de dicho Programa, con la participación y el apoyo financiero de las instituciones financieras internacionales, los o</w:t>
      </w:r>
      <w:r>
        <w:rPr>
          <w:spacing w:val="0"/>
          <w:lang w:val="es-ES"/>
        </w:rPr>
        <w:t>r</w:t>
      </w:r>
      <w:r>
        <w:rPr>
          <w:spacing w:val="0"/>
          <w:lang w:val="es-ES"/>
        </w:rPr>
        <w:t xml:space="preserve">ganismos de las Naciones Unidas y las organizaciones humanitarias internacionales y locales se proyecta la preparación del Programa de </w:t>
      </w:r>
      <w:smartTag w:uri="urn:schemas-microsoft-com:office:smarttags" w:element="PersonName">
        <w:smartTagPr>
          <w:attr w:name="ProductID" w:val="la Gran Repatriaci￳n"/>
        </w:smartTagPr>
        <w:r>
          <w:rPr>
            <w:spacing w:val="0"/>
            <w:lang w:val="es-ES"/>
          </w:rPr>
          <w:t>la Gran Repatriación</w:t>
        </w:r>
      </w:smartTag>
      <w:r>
        <w:rPr>
          <w:spacing w:val="0"/>
          <w:lang w:val="es-ES"/>
        </w:rPr>
        <w:t xml:space="preserve"> (el Gran Retorno) con el fin de cumplir las tareas de hacer regresas a los desplazados forzosos a sus lugares de residencia original. En ese Programa se prevén actividades de de</w:t>
      </w:r>
      <w:r>
        <w:rPr>
          <w:spacing w:val="0"/>
          <w:lang w:val="es-ES"/>
        </w:rPr>
        <w:t>s</w:t>
      </w:r>
      <w:r>
        <w:rPr>
          <w:spacing w:val="0"/>
          <w:lang w:val="es-ES"/>
        </w:rPr>
        <w:t>minado del territorio ocupado, la forma de asegurar el regreso voluntario y en cond</w:t>
      </w:r>
      <w:r>
        <w:rPr>
          <w:spacing w:val="0"/>
          <w:lang w:val="es-ES"/>
        </w:rPr>
        <w:t>i</w:t>
      </w:r>
      <w:r>
        <w:rPr>
          <w:spacing w:val="0"/>
          <w:lang w:val="es-ES"/>
        </w:rPr>
        <w:t>ciones de seguridad a la patria de los que se vieron obligados a desplazarse, un m</w:t>
      </w:r>
      <w:r>
        <w:rPr>
          <w:spacing w:val="0"/>
          <w:lang w:val="es-ES"/>
        </w:rPr>
        <w:t>e</w:t>
      </w:r>
      <w:r>
        <w:rPr>
          <w:spacing w:val="0"/>
          <w:lang w:val="es-ES"/>
        </w:rPr>
        <w:t>canismo para la devolución de los bienes, la reparación e indemnización, la reint</w:t>
      </w:r>
      <w:r>
        <w:rPr>
          <w:spacing w:val="0"/>
          <w:lang w:val="es-ES"/>
        </w:rPr>
        <w:t>e</w:t>
      </w:r>
      <w:r>
        <w:rPr>
          <w:spacing w:val="0"/>
          <w:lang w:val="es-ES"/>
        </w:rPr>
        <w:t xml:space="preserve">gración, la planificación y realización de los procesos de retorno. </w:t>
      </w:r>
    </w:p>
    <w:p w:rsidR="001D2E73" w:rsidRDefault="001D2E73">
      <w:pPr>
        <w:pStyle w:val="SingleTxtGR"/>
        <w:rPr>
          <w:spacing w:val="0"/>
          <w:lang w:val="es-ES"/>
        </w:rPr>
      </w:pPr>
      <w:r>
        <w:rPr>
          <w:spacing w:val="0"/>
          <w:lang w:val="es-ES"/>
        </w:rPr>
        <w:t>125.</w:t>
      </w:r>
      <w:r>
        <w:rPr>
          <w:spacing w:val="0"/>
          <w:lang w:val="es-ES"/>
        </w:rPr>
        <w:tab/>
        <w:t>Cabe destacar que las medidas previstas en el proceso de ejecución del pr</w:t>
      </w:r>
      <w:r>
        <w:rPr>
          <w:spacing w:val="0"/>
          <w:lang w:val="es-ES"/>
        </w:rPr>
        <w:t>o</w:t>
      </w:r>
      <w:r>
        <w:rPr>
          <w:spacing w:val="0"/>
          <w:lang w:val="es-ES"/>
        </w:rPr>
        <w:t>grama del Gran Retorno comenzarán a aplicarse tan pronto Armenia se retire de los territorios que ocupa en la República de Azerbaiyán.</w:t>
      </w:r>
    </w:p>
    <w:p w:rsidR="001D2E73" w:rsidRDefault="001D2E73">
      <w:pPr>
        <w:pStyle w:val="SingleTxtGR"/>
        <w:rPr>
          <w:bCs/>
          <w:spacing w:val="0"/>
          <w:lang w:val="es-ES"/>
        </w:rPr>
      </w:pPr>
      <w:r>
        <w:rPr>
          <w:spacing w:val="0"/>
          <w:lang w:val="es-ES"/>
        </w:rPr>
        <w:t>126.</w:t>
      </w:r>
      <w:r>
        <w:rPr>
          <w:spacing w:val="0"/>
          <w:lang w:val="es-ES"/>
        </w:rPr>
        <w:tab/>
        <w:t xml:space="preserve">Gracias a las medidas adoptadas, el nivel de pobreza entre los desplazados forzosos se redujo de 74% a 35%. En los últimos cinco años, </w:t>
      </w:r>
      <w:r>
        <w:rPr>
          <w:bCs/>
          <w:spacing w:val="0"/>
          <w:lang w:val="es-ES"/>
        </w:rPr>
        <w:t xml:space="preserve">72.647 refugiados y desplazados forzosos encontraron empleo. </w:t>
      </w:r>
    </w:p>
    <w:p w:rsidR="001D2E73" w:rsidRDefault="001D2E73">
      <w:pPr>
        <w:pStyle w:val="SingleTxtGR"/>
        <w:rPr>
          <w:spacing w:val="0"/>
          <w:lang w:val="es-ES"/>
        </w:rPr>
      </w:pPr>
      <w:r>
        <w:rPr>
          <w:spacing w:val="0"/>
          <w:lang w:val="es-ES"/>
        </w:rPr>
        <w:t>127.</w:t>
      </w:r>
      <w:r>
        <w:rPr>
          <w:spacing w:val="0"/>
          <w:lang w:val="es-ES"/>
        </w:rPr>
        <w:tab/>
        <w:t>La intención fundamental de la gestión del Estado al garantizar la protección social de los ciudadanos que necesitan de protección social especial, en particular las personas con discapacidad, es contribuir a que encuentren empleo. La finalidad fundamental de la política en esa dirección es crear las condiciones necesarias para el aprovech</w:t>
      </w:r>
      <w:r>
        <w:rPr>
          <w:spacing w:val="0"/>
          <w:lang w:val="es-ES"/>
        </w:rPr>
        <w:t>a</w:t>
      </w:r>
      <w:r>
        <w:rPr>
          <w:spacing w:val="0"/>
          <w:lang w:val="es-ES"/>
        </w:rPr>
        <w:t>miento pleno de las posibles oportunidades de esta categoría de personas en el me</w:t>
      </w:r>
      <w:r>
        <w:rPr>
          <w:spacing w:val="0"/>
          <w:lang w:val="es-ES"/>
        </w:rPr>
        <w:t>r</w:t>
      </w:r>
      <w:r>
        <w:rPr>
          <w:spacing w:val="0"/>
          <w:lang w:val="es-ES"/>
        </w:rPr>
        <w:t xml:space="preserve">cado de trabajo. </w:t>
      </w:r>
    </w:p>
    <w:p w:rsidR="001D2E73" w:rsidRDefault="001D2E73">
      <w:pPr>
        <w:pStyle w:val="SingleTxtGR"/>
        <w:rPr>
          <w:spacing w:val="0"/>
          <w:lang w:val="es-ES"/>
        </w:rPr>
      </w:pPr>
      <w:r>
        <w:rPr>
          <w:spacing w:val="0"/>
          <w:lang w:val="es-ES"/>
        </w:rPr>
        <w:t>128.</w:t>
      </w:r>
      <w:r>
        <w:rPr>
          <w:spacing w:val="0"/>
          <w:lang w:val="es-ES"/>
        </w:rPr>
        <w:tab/>
        <w:t>El 2 de octubre de 2008, Azerbaiyán se adhirió a la Convención sobre los d</w:t>
      </w:r>
      <w:r>
        <w:rPr>
          <w:spacing w:val="0"/>
          <w:lang w:val="es-ES"/>
        </w:rPr>
        <w:t>e</w:t>
      </w:r>
      <w:r>
        <w:rPr>
          <w:spacing w:val="0"/>
          <w:lang w:val="es-ES"/>
        </w:rPr>
        <w:t>rechos de las personas con discapacidad y al Protocolo Facultativo de esa Convención.</w:t>
      </w:r>
    </w:p>
    <w:p w:rsidR="001D2E73" w:rsidRDefault="001D2E73">
      <w:pPr>
        <w:pStyle w:val="SingleTxtGR"/>
        <w:rPr>
          <w:spacing w:val="0"/>
          <w:lang w:val="es-ES"/>
        </w:rPr>
      </w:pPr>
      <w:r>
        <w:rPr>
          <w:spacing w:val="0"/>
          <w:lang w:val="es-ES"/>
        </w:rPr>
        <w:t>129.</w:t>
      </w:r>
      <w:r>
        <w:rPr>
          <w:spacing w:val="0"/>
          <w:lang w:val="es-ES"/>
        </w:rPr>
        <w:tab/>
        <w:t>Paralelamente, en la república está vigente una base jurídica y normativa que garantiza a las personas con discapacidad el acceso al empleo y al mercado de trabajo y además crea ventajas adicionales para que puedan encontrar empleo.</w:t>
      </w:r>
    </w:p>
    <w:p w:rsidR="001D2E73" w:rsidRDefault="001D2E73">
      <w:pPr>
        <w:pStyle w:val="SingleTxtGR"/>
        <w:rPr>
          <w:spacing w:val="0"/>
          <w:lang w:val="es-ES"/>
        </w:rPr>
      </w:pPr>
      <w:r>
        <w:rPr>
          <w:spacing w:val="0"/>
          <w:lang w:val="es-ES"/>
        </w:rPr>
        <w:t>130.</w:t>
      </w:r>
      <w:r>
        <w:rPr>
          <w:spacing w:val="0"/>
          <w:lang w:val="es-ES"/>
        </w:rPr>
        <w:tab/>
        <w:t>En una resolución del Consejo de Ministros de la República de Azerbaiyán, de 22 de noviembre de 2005, quedaron aprobados el Procedimiento para aplicar los cupos de</w:t>
      </w:r>
      <w:r>
        <w:rPr>
          <w:spacing w:val="0"/>
          <w:lang w:val="es-ES"/>
        </w:rPr>
        <w:t>s</w:t>
      </w:r>
      <w:r>
        <w:rPr>
          <w:spacing w:val="0"/>
          <w:lang w:val="es-ES"/>
        </w:rPr>
        <w:t xml:space="preserve">tinados a ciudadanos que requieren protección social especial y tienen dificultades para hallar empleo y la Lista de empresas donde no se aplican los cupos. </w:t>
      </w:r>
    </w:p>
    <w:p w:rsidR="001D2E73" w:rsidRDefault="001D2E73">
      <w:pPr>
        <w:pStyle w:val="SingleTxtGR"/>
        <w:rPr>
          <w:spacing w:val="0"/>
          <w:lang w:val="es-ES"/>
        </w:rPr>
      </w:pPr>
      <w:r>
        <w:rPr>
          <w:spacing w:val="0"/>
          <w:lang w:val="es-ES"/>
        </w:rPr>
        <w:t>131.</w:t>
      </w:r>
      <w:r>
        <w:rPr>
          <w:spacing w:val="0"/>
          <w:lang w:val="es-ES"/>
        </w:rPr>
        <w:tab/>
        <w:t xml:space="preserve">Paralelamente, de conformidad con </w:t>
      </w:r>
      <w:smartTag w:uri="urn:schemas-microsoft-com:office:smarttags" w:element="PersonName">
        <w:smartTagPr>
          <w:attr w:name="ProductID" w:val="la mencionada Estrategia"/>
        </w:smartTagPr>
        <w:r>
          <w:rPr>
            <w:spacing w:val="0"/>
            <w:lang w:val="es-ES"/>
          </w:rPr>
          <w:t>la mencionada Estrategia</w:t>
        </w:r>
      </w:smartTag>
      <w:r>
        <w:rPr>
          <w:spacing w:val="0"/>
          <w:lang w:val="es-ES"/>
        </w:rPr>
        <w:t xml:space="preserve"> de empleo de la República de Azerbaiyán (2006-2015), aprobada por Decreto presidencial de 26 de octubre de 2005, así como el Programa estatal para aplicar la Estrategia de empleo de la República de Azerbaiyán (2007-2010), aprobado por Decreto presidencial de 15 de mayo de 2007, se llevan a cabo medidas encaminadas a fortalecer la protección social de las capas de la población menos favorecidas, en particular las personas con discapacidad. </w:t>
      </w:r>
    </w:p>
    <w:p w:rsidR="001D2E73" w:rsidRDefault="001D2E73">
      <w:pPr>
        <w:pStyle w:val="SingleTxtGR"/>
        <w:rPr>
          <w:spacing w:val="0"/>
          <w:lang w:val="es-ES"/>
        </w:rPr>
      </w:pPr>
      <w:r>
        <w:rPr>
          <w:spacing w:val="0"/>
          <w:lang w:val="es-ES"/>
        </w:rPr>
        <w:t>132.</w:t>
      </w:r>
      <w:r>
        <w:rPr>
          <w:spacing w:val="0"/>
          <w:lang w:val="es-ES"/>
        </w:rPr>
        <w:tab/>
        <w:t>Con arreglo a los documentos antes mencionados se llevan a cabo actividades encaminadas a la creación de las condiciones pertinentes para garantizar la integr</w:t>
      </w:r>
      <w:r>
        <w:rPr>
          <w:spacing w:val="0"/>
          <w:lang w:val="es-ES"/>
        </w:rPr>
        <w:t>a</w:t>
      </w:r>
      <w:r>
        <w:rPr>
          <w:spacing w:val="0"/>
          <w:lang w:val="es-ES"/>
        </w:rPr>
        <w:t>ción de las personas con discapacidad en la sociedad y aumentar el porcentaje de empleo, prep</w:t>
      </w:r>
      <w:r>
        <w:rPr>
          <w:spacing w:val="0"/>
          <w:lang w:val="es-ES"/>
        </w:rPr>
        <w:t>a</w:t>
      </w:r>
      <w:r>
        <w:rPr>
          <w:spacing w:val="0"/>
          <w:lang w:val="es-ES"/>
        </w:rPr>
        <w:t>rar el plan de acción con el fin de ampliar el empleo de las personas con discapacidad, preparar textos psicológicos y profesionales para garantizar el empleo de los desempleados, incluidos las personas con discapacidad, definir el procedimiento establecido en la legislación para asignar cupos de puestos de trabajo que garanticen el empleo de personas que necesitan protección social especial y de las personas con discapacidad, crear incentivos para que los empleadores apliquen plenamente esos cupos, aplicar las medidas de respo</w:t>
      </w:r>
      <w:r>
        <w:rPr>
          <w:spacing w:val="0"/>
          <w:lang w:val="es-ES"/>
        </w:rPr>
        <w:t>n</w:t>
      </w:r>
      <w:r>
        <w:rPr>
          <w:spacing w:val="0"/>
          <w:lang w:val="es-ES"/>
        </w:rPr>
        <w:t>sabilidad administrativas previstas en la ley a las empresas, instituciones y organiz</w:t>
      </w:r>
      <w:r>
        <w:rPr>
          <w:spacing w:val="0"/>
          <w:lang w:val="es-ES"/>
        </w:rPr>
        <w:t>a</w:t>
      </w:r>
      <w:r>
        <w:rPr>
          <w:spacing w:val="0"/>
          <w:lang w:val="es-ES"/>
        </w:rPr>
        <w:t>ciones que no cumplan los cupos o que se nieguen a contratar a personas con neces</w:t>
      </w:r>
      <w:r>
        <w:rPr>
          <w:spacing w:val="0"/>
          <w:lang w:val="es-ES"/>
        </w:rPr>
        <w:t>i</w:t>
      </w:r>
      <w:r>
        <w:rPr>
          <w:spacing w:val="0"/>
          <w:lang w:val="es-ES"/>
        </w:rPr>
        <w:t>dades de protección social especiales y con discapacidad.</w:t>
      </w:r>
    </w:p>
    <w:p w:rsidR="001D2E73" w:rsidRDefault="001D2E73">
      <w:pPr>
        <w:pStyle w:val="SingleTxtGR"/>
        <w:rPr>
          <w:spacing w:val="0"/>
          <w:lang w:val="es-ES"/>
        </w:rPr>
      </w:pPr>
      <w:r>
        <w:rPr>
          <w:spacing w:val="0"/>
          <w:lang w:val="es-ES"/>
        </w:rPr>
        <w:t>133.</w:t>
      </w:r>
      <w:r>
        <w:rPr>
          <w:spacing w:val="0"/>
          <w:lang w:val="es-ES"/>
        </w:rPr>
        <w:tab/>
        <w:t>La República de Azerbaiyán es la única entre los países de la Comunidad de Estados Independientes que fue incluida por la OIT en la lista de 10 países que ma</w:t>
      </w:r>
      <w:r>
        <w:rPr>
          <w:spacing w:val="0"/>
          <w:lang w:val="es-ES"/>
        </w:rPr>
        <w:t>r</w:t>
      </w:r>
      <w:r>
        <w:rPr>
          <w:spacing w:val="0"/>
          <w:lang w:val="es-ES"/>
        </w:rPr>
        <w:t>chan a la cabeza en la solución de las cuestiones relacionadas con el empleo de los jóvenes. En el marco de dicho Programa se están elaborando y ejecutando progr</w:t>
      </w:r>
      <w:r>
        <w:rPr>
          <w:spacing w:val="0"/>
          <w:lang w:val="es-ES"/>
        </w:rPr>
        <w:t>a</w:t>
      </w:r>
      <w:r>
        <w:rPr>
          <w:spacing w:val="0"/>
          <w:lang w:val="es-ES"/>
        </w:rPr>
        <w:t>mas especiales encaminados a garantizar el empleo de las personas con discapacidad, aumentar su integración en los mercados de trabajo y garantizarles un trabajo digno; además se están elaborando y ejecutando los programas ed</w:t>
      </w:r>
      <w:r>
        <w:rPr>
          <w:spacing w:val="0"/>
          <w:lang w:val="es-ES"/>
        </w:rPr>
        <w:t>u</w:t>
      </w:r>
      <w:r>
        <w:rPr>
          <w:spacing w:val="0"/>
          <w:lang w:val="es-ES"/>
        </w:rPr>
        <w:t xml:space="preserve">cativos especiales </w:t>
      </w:r>
      <w:r>
        <w:rPr>
          <w:i/>
          <w:spacing w:val="0"/>
          <w:lang w:val="es-ES"/>
        </w:rPr>
        <w:t>Encuentra tu oficio y supérate</w:t>
      </w:r>
      <w:r>
        <w:rPr>
          <w:spacing w:val="0"/>
          <w:lang w:val="es-ES"/>
        </w:rPr>
        <w:t xml:space="preserve"> para los grupos menos favorecidos de la población. </w:t>
      </w:r>
    </w:p>
    <w:p w:rsidR="001D2E73" w:rsidRDefault="001D2E73">
      <w:pPr>
        <w:pStyle w:val="SingleTxtGR"/>
        <w:rPr>
          <w:spacing w:val="0"/>
          <w:lang w:val="es-ES"/>
        </w:rPr>
      </w:pPr>
      <w:r>
        <w:rPr>
          <w:spacing w:val="0"/>
          <w:lang w:val="es-ES"/>
        </w:rPr>
        <w:t>134.</w:t>
      </w:r>
      <w:r>
        <w:rPr>
          <w:spacing w:val="0"/>
          <w:lang w:val="es-ES"/>
        </w:rPr>
        <w:tab/>
        <w:t>Los resultados de la investigación sociológica llevada a cabo en 2006 por el Comité Estatal de Estadística, con el apoyo técnico de la OIT, indicaron que un total de 191.580 jóvenes entre la población joven económicamente activa con edades entre 15 y 34 años buscaban empleo. Este indicador había disminuido en 88.000 pe</w:t>
      </w:r>
      <w:r>
        <w:rPr>
          <w:spacing w:val="0"/>
          <w:lang w:val="es-ES"/>
        </w:rPr>
        <w:t>r</w:t>
      </w:r>
      <w:r>
        <w:rPr>
          <w:spacing w:val="0"/>
          <w:lang w:val="es-ES"/>
        </w:rPr>
        <w:t xml:space="preserve">sonas en comparación con 2003. </w:t>
      </w:r>
    </w:p>
    <w:p w:rsidR="001D2E73" w:rsidRDefault="001D2E73">
      <w:pPr>
        <w:pStyle w:val="SingleTxtGR"/>
        <w:rPr>
          <w:spacing w:val="0"/>
          <w:lang w:val="es-ES"/>
        </w:rPr>
      </w:pPr>
      <w:r>
        <w:rPr>
          <w:spacing w:val="0"/>
          <w:lang w:val="es-ES"/>
        </w:rPr>
        <w:t>135.</w:t>
      </w:r>
      <w:r>
        <w:rPr>
          <w:spacing w:val="0"/>
          <w:lang w:val="es-ES"/>
        </w:rPr>
        <w:tab/>
        <w:t>Para estimular la actividad empresarial de la juventud, el Ministerio de la J</w:t>
      </w:r>
      <w:r>
        <w:rPr>
          <w:spacing w:val="0"/>
          <w:lang w:val="es-ES"/>
        </w:rPr>
        <w:t>u</w:t>
      </w:r>
      <w:r>
        <w:rPr>
          <w:spacing w:val="0"/>
          <w:lang w:val="es-ES"/>
        </w:rPr>
        <w:t>ventud y el Deporte de Azerbaiyán organiza desde 2006 un campeonato nacional en el marco del programa internacional Los estudiantes en la libre empresa. En el marco de este programa, los estudiantes ejecutan anualmente unos 40 proyectos empresari</w:t>
      </w:r>
      <w:r>
        <w:rPr>
          <w:spacing w:val="0"/>
          <w:lang w:val="es-ES"/>
        </w:rPr>
        <w:t>a</w:t>
      </w:r>
      <w:r>
        <w:rPr>
          <w:spacing w:val="0"/>
          <w:lang w:val="es-ES"/>
        </w:rPr>
        <w:t>les. Durante la ejecución de este programa en Bakú y en las regiones se han ejecut</w:t>
      </w:r>
      <w:r>
        <w:rPr>
          <w:spacing w:val="0"/>
          <w:lang w:val="es-ES"/>
        </w:rPr>
        <w:t>a</w:t>
      </w:r>
      <w:r>
        <w:rPr>
          <w:spacing w:val="0"/>
          <w:lang w:val="es-ES"/>
        </w:rPr>
        <w:t>do unos 120 proyectos, en los que más de 1.200 jóvenes se han empleado por cuenta propia temporalmente.</w:t>
      </w:r>
    </w:p>
    <w:p w:rsidR="001D2E73" w:rsidRDefault="001D2E73">
      <w:pPr>
        <w:pStyle w:val="SingleTxtGR"/>
        <w:rPr>
          <w:spacing w:val="0"/>
          <w:lang w:val="es-ES"/>
        </w:rPr>
      </w:pPr>
      <w:r>
        <w:rPr>
          <w:spacing w:val="0"/>
          <w:lang w:val="es-ES"/>
        </w:rPr>
        <w:t>136.</w:t>
      </w:r>
      <w:r>
        <w:rPr>
          <w:spacing w:val="0"/>
          <w:lang w:val="es-ES"/>
        </w:rPr>
        <w:tab/>
        <w:t xml:space="preserve">Del 24 al 27 de septiembre de 2008, se celebró en Bakú </w:t>
      </w:r>
      <w:smartTag w:uri="urn:schemas-microsoft-com:office:smarttags" w:element="PersonName">
        <w:smartTagPr>
          <w:attr w:name="ProductID" w:val="la cuarta Cumbre Mundial"/>
        </w:smartTagPr>
        <w:r>
          <w:rPr>
            <w:spacing w:val="0"/>
            <w:lang w:val="es-ES"/>
          </w:rPr>
          <w:t>la cuarta Cumbre Mundial</w:t>
        </w:r>
      </w:smartTag>
      <w:r>
        <w:rPr>
          <w:spacing w:val="0"/>
          <w:lang w:val="es-ES"/>
        </w:rPr>
        <w:t xml:space="preserve"> de Empleo Juvenil, que fue organizada por el Ministerio de la Juventud y el Deporte, el Fondo Gaidar Aliev y la organización internacional Yes Incorporated.</w:t>
      </w:r>
    </w:p>
    <w:p w:rsidR="001D2E73" w:rsidRDefault="001D2E73">
      <w:pPr>
        <w:pStyle w:val="SingleTxtGR"/>
        <w:rPr>
          <w:bCs/>
          <w:spacing w:val="0"/>
          <w:lang w:val="es-ES"/>
        </w:rPr>
      </w:pPr>
      <w:r>
        <w:rPr>
          <w:spacing w:val="0"/>
          <w:lang w:val="es-ES"/>
        </w:rPr>
        <w:t>137.</w:t>
      </w:r>
      <w:r>
        <w:rPr>
          <w:spacing w:val="0"/>
          <w:lang w:val="es-ES"/>
        </w:rPr>
        <w:tab/>
      </w:r>
      <w:smartTag w:uri="urn:schemas-microsoft-com:office:smarttags" w:element="PersonName">
        <w:smartTagPr>
          <w:attr w:name="ProductID" w:val="La Cumbre Mundial"/>
        </w:smartTagPr>
        <w:r>
          <w:rPr>
            <w:spacing w:val="0"/>
            <w:lang w:val="es-ES"/>
          </w:rPr>
          <w:t>La Cumbre Mundial</w:t>
        </w:r>
      </w:smartTag>
      <w:r>
        <w:rPr>
          <w:spacing w:val="0"/>
          <w:lang w:val="es-ES"/>
        </w:rPr>
        <w:t xml:space="preserve"> de Empleo Juvenil se organiza cada dos años en el marco de la campaña </w:t>
      </w:r>
      <w:r>
        <w:rPr>
          <w:bCs/>
          <w:spacing w:val="0"/>
          <w:lang w:val="es-ES"/>
        </w:rPr>
        <w:t>global de acciones por el empleo juvenil (2002-2012). El objetivo fundamental de las cumbres que se realizan es crear condiciones propicias para el empleo juvenil. En la Cumbre se elabora un plan de acción y una estrategia de des</w:t>
      </w:r>
      <w:r>
        <w:rPr>
          <w:bCs/>
          <w:spacing w:val="0"/>
          <w:lang w:val="es-ES"/>
        </w:rPr>
        <w:t>a</w:t>
      </w:r>
      <w:r>
        <w:rPr>
          <w:bCs/>
          <w:spacing w:val="0"/>
          <w:lang w:val="es-ES"/>
        </w:rPr>
        <w:t>rrollo del empleo juvenil, se organiza un foro de ministros encargados de la política juvenil y laboral. Los principales participantes en las cumbres son representantes de organizaciones juveniles, organizaciones internacionales, instituciones estatales, e</w:t>
      </w:r>
      <w:r>
        <w:rPr>
          <w:bCs/>
          <w:spacing w:val="0"/>
          <w:lang w:val="es-ES"/>
        </w:rPr>
        <w:t>m</w:t>
      </w:r>
      <w:r>
        <w:rPr>
          <w:bCs/>
          <w:spacing w:val="0"/>
          <w:lang w:val="es-ES"/>
        </w:rPr>
        <w:t>presas transnacionales, personalidades públicas y políticos.</w:t>
      </w:r>
    </w:p>
    <w:p w:rsidR="001D2E73" w:rsidRDefault="001D2E73">
      <w:pPr>
        <w:pStyle w:val="SingleTxtGR"/>
        <w:rPr>
          <w:bCs/>
          <w:spacing w:val="0"/>
          <w:lang w:val="es-ES"/>
        </w:rPr>
      </w:pPr>
      <w:r>
        <w:rPr>
          <w:bCs/>
          <w:spacing w:val="0"/>
          <w:lang w:val="es-ES"/>
        </w:rPr>
        <w:t>138.</w:t>
      </w:r>
      <w:r>
        <w:rPr>
          <w:bCs/>
          <w:spacing w:val="0"/>
          <w:lang w:val="es-ES"/>
        </w:rPr>
        <w:tab/>
        <w:t xml:space="preserve">Presidieron la Cumbre </w:t>
      </w:r>
      <w:smartTag w:uri="urn:schemas-microsoft-com:office:smarttags" w:element="PersonName">
        <w:smartTagPr>
          <w:attr w:name="ProductID" w:val="la Sra. Mejrivan Aliev"/>
        </w:smartTagPr>
        <w:r>
          <w:rPr>
            <w:bCs/>
            <w:spacing w:val="0"/>
            <w:lang w:val="es-ES"/>
          </w:rPr>
          <w:t>la Sra. Mejrivan Aliev</w:t>
        </w:r>
      </w:smartTag>
      <w:r>
        <w:rPr>
          <w:bCs/>
          <w:spacing w:val="0"/>
          <w:lang w:val="es-ES"/>
        </w:rPr>
        <w:t>, Primera Dama de la República de Azerbaiyán, embajadora de buena voluntad de la UNESCO y la ISESCO, pres</w:t>
      </w:r>
      <w:r>
        <w:rPr>
          <w:bCs/>
          <w:spacing w:val="0"/>
          <w:lang w:val="es-ES"/>
        </w:rPr>
        <w:t>i</w:t>
      </w:r>
      <w:r>
        <w:rPr>
          <w:bCs/>
          <w:spacing w:val="0"/>
          <w:lang w:val="es-ES"/>
        </w:rPr>
        <w:t xml:space="preserve">denta del Fondo Gaidar Aliev y </w:t>
      </w:r>
      <w:smartTag w:uri="urn:schemas-microsoft-com:office:smarttags" w:element="PersonName">
        <w:smartTagPr>
          <w:attr w:name="ProductID" w:val="la Sra. Susan Mubarak"/>
        </w:smartTagPr>
        <w:r>
          <w:rPr>
            <w:bCs/>
            <w:spacing w:val="0"/>
            <w:lang w:val="es-ES"/>
          </w:rPr>
          <w:t>la Sra. Susan Mubarak</w:t>
        </w:r>
      </w:smartTag>
      <w:r>
        <w:rPr>
          <w:bCs/>
          <w:spacing w:val="0"/>
          <w:lang w:val="es-ES"/>
        </w:rPr>
        <w:t>, Primera Dama de Egipto y presidenta de la Junta de Consejeros de la Biblioteca de Alejandría.</w:t>
      </w:r>
    </w:p>
    <w:p w:rsidR="001D2E73" w:rsidRDefault="001D2E73">
      <w:pPr>
        <w:pStyle w:val="SingleTxtGR"/>
        <w:rPr>
          <w:spacing w:val="0"/>
          <w:lang w:val="es-ES"/>
        </w:rPr>
      </w:pPr>
      <w:r>
        <w:rPr>
          <w:bCs/>
          <w:spacing w:val="0"/>
          <w:lang w:val="es-ES"/>
        </w:rPr>
        <w:t>139.</w:t>
      </w:r>
      <w:r>
        <w:rPr>
          <w:bCs/>
          <w:spacing w:val="0"/>
          <w:lang w:val="es-ES"/>
        </w:rPr>
        <w:tab/>
        <w:t xml:space="preserve">En el marco del proyecto </w:t>
      </w:r>
      <w:r>
        <w:rPr>
          <w:spacing w:val="0"/>
          <w:lang w:val="es-ES"/>
        </w:rPr>
        <w:t xml:space="preserve">Promoción del empleo juvenil se organizaron ciclos de seminarios, mesas redondas y cursos de capacitación sobre cuestiones del empleo juvenil. En noviembre de 2008 se instituyó el Centro de Carreras para los Jóvenes, con la participación del Ministerio de la Juventud y el Deporta, </w:t>
      </w:r>
      <w:smartTag w:uri="urn:schemas-microsoft-com:office:smarttags" w:element="PersonName">
        <w:smartTagPr>
          <w:attr w:name="ProductID" w:val="la Universidad Estatal"/>
        </w:smartTagPr>
        <w:r>
          <w:rPr>
            <w:spacing w:val="0"/>
            <w:lang w:val="es-ES"/>
          </w:rPr>
          <w:t>la Universidad Estatal</w:t>
        </w:r>
      </w:smartTag>
      <w:r>
        <w:rPr>
          <w:spacing w:val="0"/>
          <w:lang w:val="es-ES"/>
        </w:rPr>
        <w:t xml:space="preserve"> de Economía y </w:t>
      </w:r>
      <w:smartTag w:uri="urn:schemas-microsoft-com:office:smarttags" w:element="PersonName">
        <w:smartTagPr>
          <w:attr w:name="ProductID" w:val="la OIT. En"/>
        </w:smartTagPr>
        <w:r>
          <w:rPr>
            <w:spacing w:val="0"/>
            <w:lang w:val="es-ES"/>
          </w:rPr>
          <w:t>la OIT. En</w:t>
        </w:r>
      </w:smartTag>
      <w:r>
        <w:rPr>
          <w:spacing w:val="0"/>
          <w:lang w:val="es-ES"/>
        </w:rPr>
        <w:t xml:space="preserve"> el Centro se organizaron más de 10 cursos de capac</w:t>
      </w:r>
      <w:r>
        <w:rPr>
          <w:spacing w:val="0"/>
          <w:lang w:val="es-ES"/>
        </w:rPr>
        <w:t>i</w:t>
      </w:r>
      <w:r>
        <w:rPr>
          <w:spacing w:val="0"/>
          <w:lang w:val="es-ES"/>
        </w:rPr>
        <w:t>tación con los siguientes temas Gestión de la calidad, Gestión de los recursos hum</w:t>
      </w:r>
      <w:r>
        <w:rPr>
          <w:spacing w:val="0"/>
          <w:lang w:val="es-ES"/>
        </w:rPr>
        <w:t>a</w:t>
      </w:r>
      <w:r>
        <w:rPr>
          <w:spacing w:val="0"/>
          <w:lang w:val="es-ES"/>
        </w:rPr>
        <w:t xml:space="preserve">nos, Administración de proyectos, Normas internacionales de contabilidad, Inicia y perfecciona tu negocio, y también se organizaron encuentros con grandes empresas comerciales y bancos de Azerbaiyán para darlos a conocer. </w:t>
      </w:r>
    </w:p>
    <w:p w:rsidR="001D2E73" w:rsidRDefault="001D2E73">
      <w:pPr>
        <w:pStyle w:val="SingleTxtGR"/>
        <w:rPr>
          <w:spacing w:val="0"/>
          <w:lang w:val="es-ES"/>
        </w:rPr>
      </w:pPr>
      <w:r>
        <w:rPr>
          <w:spacing w:val="0"/>
          <w:lang w:val="es-ES"/>
        </w:rPr>
        <w:t>140.</w:t>
      </w:r>
      <w:r>
        <w:rPr>
          <w:spacing w:val="0"/>
          <w:lang w:val="es-ES"/>
        </w:rPr>
        <w:tab/>
        <w:t xml:space="preserve">Anualmente en Azerbaiyán </w:t>
      </w:r>
      <w:smartTag w:uri="urn:schemas-microsoft-com:office:smarttags" w:element="PersonName">
        <w:smartTagPr>
          <w:attr w:name="ProductID" w:val="la Universidad Estatal"/>
        </w:smartTagPr>
        <w:r>
          <w:rPr>
            <w:spacing w:val="0"/>
            <w:lang w:val="es-ES"/>
          </w:rPr>
          <w:t>la Universidad Estatal</w:t>
        </w:r>
      </w:smartTag>
      <w:r>
        <w:rPr>
          <w:spacing w:val="0"/>
          <w:lang w:val="es-ES"/>
        </w:rPr>
        <w:t xml:space="preserve"> de Economía organiza la feria del trabajo Graduado. De 2006 a 2008 encontraron empleo según sus especial</w:t>
      </w:r>
      <w:r>
        <w:rPr>
          <w:spacing w:val="0"/>
          <w:lang w:val="es-ES"/>
        </w:rPr>
        <w:t>i</w:t>
      </w:r>
      <w:r>
        <w:rPr>
          <w:spacing w:val="0"/>
          <w:lang w:val="es-ES"/>
        </w:rPr>
        <w:t>dades más de 1.100 jóvenes.</w:t>
      </w:r>
    </w:p>
    <w:p w:rsidR="001D2E73" w:rsidRDefault="001D2E73">
      <w:pPr>
        <w:pStyle w:val="SingleTxtGR"/>
        <w:rPr>
          <w:spacing w:val="0"/>
          <w:lang w:val="es-ES"/>
        </w:rPr>
      </w:pPr>
      <w:r>
        <w:rPr>
          <w:spacing w:val="0"/>
          <w:lang w:val="es-ES"/>
        </w:rPr>
        <w:t>141.</w:t>
      </w:r>
      <w:r>
        <w:rPr>
          <w:spacing w:val="0"/>
          <w:lang w:val="es-ES"/>
        </w:rPr>
        <w:tab/>
        <w:t xml:space="preserve">Una de las finalidades prioritarias de la colaboración entre el Ministerio y la OIT es la preparación de un Plan nacional de promoción del empleo juvenil. </w:t>
      </w:r>
    </w:p>
    <w:p w:rsidR="001D2E73" w:rsidRDefault="001D2E73">
      <w:pPr>
        <w:pStyle w:val="SingleTxtGR"/>
        <w:rPr>
          <w:spacing w:val="0"/>
          <w:lang w:val="es-ES"/>
        </w:rPr>
      </w:pPr>
      <w:r>
        <w:rPr>
          <w:spacing w:val="0"/>
          <w:lang w:val="es-ES"/>
        </w:rPr>
        <w:t>142.</w:t>
      </w:r>
      <w:r>
        <w:rPr>
          <w:spacing w:val="0"/>
          <w:lang w:val="es-ES"/>
        </w:rPr>
        <w:tab/>
        <w:t>El Ministerio de la Juventud y los Deportes financia proyectos de las organ</w:t>
      </w:r>
      <w:r>
        <w:rPr>
          <w:spacing w:val="0"/>
          <w:lang w:val="es-ES"/>
        </w:rPr>
        <w:t>i</w:t>
      </w:r>
      <w:r>
        <w:rPr>
          <w:spacing w:val="0"/>
          <w:lang w:val="es-ES"/>
        </w:rPr>
        <w:t>zaciones juveniles que ejecutan proyectos de desarrollo de la capacidad empresarial de los jóvenes y de empleo juvenil. De esta forma fueron financiados proyectos c</w:t>
      </w:r>
      <w:r>
        <w:rPr>
          <w:spacing w:val="0"/>
          <w:lang w:val="es-ES"/>
        </w:rPr>
        <w:t>o</w:t>
      </w:r>
      <w:r>
        <w:rPr>
          <w:spacing w:val="0"/>
          <w:lang w:val="es-ES"/>
        </w:rPr>
        <w:t>mo Celebración de días de la carrera, Promoción de las perspectivas de carrera, Creación de un Centro de información sobre el empleo para la juventud y otros. En el marco de estos proyectos, más de 1.500 jóvenes adquirieron experiencia laboral y conocimientos que les ayudaron a buscar un puesto de trabajo y a avanzar en su c</w:t>
      </w:r>
      <w:r>
        <w:rPr>
          <w:spacing w:val="0"/>
          <w:lang w:val="es-ES"/>
        </w:rPr>
        <w:t>a</w:t>
      </w:r>
      <w:r>
        <w:rPr>
          <w:spacing w:val="0"/>
          <w:lang w:val="es-ES"/>
        </w:rPr>
        <w:t>rrera. Además, anualmente, el Ministerio organiza cursos de capacitación especiales para los jóvenes que se desmovilizan del ejército.</w:t>
      </w:r>
    </w:p>
    <w:p w:rsidR="001D2E73" w:rsidRDefault="001D2E73">
      <w:pPr>
        <w:pStyle w:val="H1G"/>
        <w:rPr>
          <w:lang w:val="es-ES"/>
        </w:rPr>
      </w:pPr>
      <w:r>
        <w:rPr>
          <w:lang w:val="es-ES"/>
        </w:rPr>
        <w:tab/>
      </w:r>
      <w:r>
        <w:rPr>
          <w:lang w:val="es-ES"/>
        </w:rPr>
        <w:tab/>
        <w:t>Artículo 7</w:t>
      </w:r>
    </w:p>
    <w:p w:rsidR="001D2E73" w:rsidRDefault="001D2E73">
      <w:pPr>
        <w:pStyle w:val="SingleTxtGR"/>
        <w:rPr>
          <w:spacing w:val="0"/>
          <w:lang w:val="es-ES"/>
        </w:rPr>
      </w:pPr>
      <w:r>
        <w:rPr>
          <w:spacing w:val="0"/>
          <w:lang w:val="es-ES"/>
        </w:rPr>
        <w:t>143.</w:t>
      </w:r>
      <w:r>
        <w:rPr>
          <w:spacing w:val="0"/>
          <w:lang w:val="es-ES"/>
        </w:rPr>
        <w:tab/>
        <w:t>En el Código del Trabajo de Azerbaiyán se establece el sistema de pago del trabajo en todos sus aspectos y el sistema de salario mínimo.</w:t>
      </w:r>
    </w:p>
    <w:p w:rsidR="001D2E73" w:rsidRDefault="001D2E73">
      <w:pPr>
        <w:pStyle w:val="SingleTxtGR"/>
        <w:rPr>
          <w:spacing w:val="0"/>
          <w:lang w:val="es-ES"/>
        </w:rPr>
      </w:pPr>
      <w:r>
        <w:rPr>
          <w:spacing w:val="0"/>
          <w:lang w:val="es-ES"/>
        </w:rPr>
        <w:t>144.</w:t>
      </w:r>
      <w:r>
        <w:rPr>
          <w:spacing w:val="0"/>
          <w:lang w:val="es-ES"/>
        </w:rPr>
        <w:tab/>
        <w:t>De conformidad con el artículo 154 del Código del Trabajo, el salario es el total de haberes diarios o mensuales pagados al trabajador en forma monetaria o natural por la realización de un trabajo (prestación de un servicio), definido en un contr</w:t>
      </w:r>
      <w:r>
        <w:rPr>
          <w:spacing w:val="0"/>
          <w:lang w:val="es-ES"/>
        </w:rPr>
        <w:t>a</w:t>
      </w:r>
      <w:r>
        <w:rPr>
          <w:spacing w:val="0"/>
          <w:lang w:val="es-ES"/>
        </w:rPr>
        <w:t>to de trabajo para realizar una función laboral durante una jornada laboral establec</w:t>
      </w:r>
      <w:r>
        <w:rPr>
          <w:spacing w:val="0"/>
          <w:lang w:val="es-ES"/>
        </w:rPr>
        <w:t>i</w:t>
      </w:r>
      <w:r>
        <w:rPr>
          <w:spacing w:val="0"/>
          <w:lang w:val="es-ES"/>
        </w:rPr>
        <w:t>da, así como los suplementos, las primas y otros emolumentos.</w:t>
      </w:r>
    </w:p>
    <w:p w:rsidR="001D2E73" w:rsidRDefault="001D2E73">
      <w:pPr>
        <w:pStyle w:val="SingleTxtGR"/>
        <w:rPr>
          <w:spacing w:val="0"/>
          <w:lang w:val="es-ES"/>
        </w:rPr>
      </w:pPr>
      <w:r>
        <w:rPr>
          <w:spacing w:val="0"/>
          <w:lang w:val="es-ES"/>
        </w:rPr>
        <w:t>145.</w:t>
      </w:r>
      <w:r>
        <w:rPr>
          <w:spacing w:val="0"/>
          <w:lang w:val="es-ES"/>
        </w:rPr>
        <w:tab/>
        <w:t>Se prohíbe reducir de la forma que sea el monto del salario de los trabajad</w:t>
      </w:r>
      <w:r>
        <w:rPr>
          <w:spacing w:val="0"/>
          <w:lang w:val="es-ES"/>
        </w:rPr>
        <w:t>o</w:t>
      </w:r>
      <w:r>
        <w:rPr>
          <w:spacing w:val="0"/>
          <w:lang w:val="es-ES"/>
        </w:rPr>
        <w:t>res, lo que sería una violación de los principios de inadmisibilidad de la discrimin</w:t>
      </w:r>
      <w:r>
        <w:rPr>
          <w:spacing w:val="0"/>
          <w:lang w:val="es-ES"/>
        </w:rPr>
        <w:t>a</w:t>
      </w:r>
      <w:r>
        <w:rPr>
          <w:spacing w:val="0"/>
          <w:lang w:val="es-ES"/>
        </w:rPr>
        <w:t>ción, previstos en el artículo 16 de dicho Código y fijar un salario por debajo del mínimo establecido por el Estado.</w:t>
      </w:r>
    </w:p>
    <w:p w:rsidR="001D2E73" w:rsidRDefault="001D2E73">
      <w:pPr>
        <w:pStyle w:val="SingleTxtGR"/>
        <w:rPr>
          <w:spacing w:val="0"/>
          <w:lang w:val="es-ES"/>
        </w:rPr>
      </w:pPr>
      <w:r>
        <w:rPr>
          <w:spacing w:val="0"/>
          <w:lang w:val="es-ES"/>
        </w:rPr>
        <w:t>146.</w:t>
      </w:r>
      <w:r>
        <w:rPr>
          <w:spacing w:val="0"/>
          <w:lang w:val="es-ES"/>
        </w:rPr>
        <w:tab/>
        <w:t>Con arreglo al artículo 155 del Código del Trabajo, el trabajador tiene derecho a recibir por su trabajo, sin ningún tipo de discriminación, no menos del monto del salario mínimo establecido por el Estado. El salario mínimo es una normativa social que determina por ley, teniendo en cuenta las condiciones económicas y sociales, el nivel más bajo de salario mensual que se debe percibir por un trabajo no calificado o por la prestación de un servicio. El sueldo mensual de un trabajador, que cumple la norma mensual de su jornada laboral y realiza una función no puede ser inferior al monto del salario mínimo establecido por el Estado. En los convenios colectivos se podrán prever sumas más altas que el salario mínimo. Las primas, suplementos del salario, aumentos previstos en el sistema salarial, así como el pago de horas extrao</w:t>
      </w:r>
      <w:r>
        <w:rPr>
          <w:spacing w:val="0"/>
          <w:lang w:val="es-ES"/>
        </w:rPr>
        <w:t>r</w:t>
      </w:r>
      <w:r>
        <w:rPr>
          <w:spacing w:val="0"/>
          <w:lang w:val="es-ES"/>
        </w:rPr>
        <w:t>dinarias no se incluyen en el salario mínimo. El monto del salario mínimo se ratifica por Decreto presidencial.</w:t>
      </w:r>
    </w:p>
    <w:p w:rsidR="001D2E73" w:rsidRDefault="001D2E73">
      <w:pPr>
        <w:pStyle w:val="SingleTxtGR"/>
        <w:rPr>
          <w:spacing w:val="0"/>
          <w:lang w:val="es-ES"/>
        </w:rPr>
      </w:pPr>
      <w:r>
        <w:rPr>
          <w:spacing w:val="0"/>
          <w:lang w:val="es-ES"/>
        </w:rPr>
        <w:t>147.</w:t>
      </w:r>
      <w:r>
        <w:rPr>
          <w:spacing w:val="0"/>
          <w:lang w:val="es-ES"/>
        </w:rPr>
        <w:tab/>
        <w:t xml:space="preserve">Desde 2001, se firma un acuerdo colectivo tripartito entre el Consejo de Ministros de la República de Azerbaiyán, </w:t>
      </w:r>
      <w:smartTag w:uri="urn:schemas-microsoft-com:office:smarttags" w:element="PersonName">
        <w:smartTagPr>
          <w:attr w:name="ProductID" w:val="la Confederaci￳n Sindical"/>
        </w:smartTagPr>
        <w:r>
          <w:rPr>
            <w:spacing w:val="0"/>
            <w:lang w:val="es-ES"/>
          </w:rPr>
          <w:t>la Confederación Sind</w:t>
        </w:r>
        <w:r>
          <w:rPr>
            <w:spacing w:val="0"/>
            <w:lang w:val="es-ES"/>
          </w:rPr>
          <w:t>i</w:t>
        </w:r>
        <w:r>
          <w:rPr>
            <w:spacing w:val="0"/>
            <w:lang w:val="es-ES"/>
          </w:rPr>
          <w:t>cal</w:t>
        </w:r>
      </w:smartTag>
      <w:r>
        <w:rPr>
          <w:spacing w:val="0"/>
          <w:lang w:val="es-ES"/>
        </w:rPr>
        <w:t xml:space="preserve"> de Azerbaiyán y </w:t>
      </w:r>
      <w:smartTag w:uri="urn:schemas-microsoft-com:office:smarttags" w:element="PersonName">
        <w:smartTagPr>
          <w:attr w:name="ProductID" w:val="la Carta Social Europea."/>
        </w:smartTagPr>
        <w:r>
          <w:rPr>
            <w:spacing w:val="0"/>
            <w:lang w:val="es-ES"/>
          </w:rPr>
          <w:t>la Confederación Nacional</w:t>
        </w:r>
      </w:smartTag>
      <w:r>
        <w:rPr>
          <w:spacing w:val="0"/>
          <w:lang w:val="es-ES"/>
        </w:rPr>
        <w:t xml:space="preserve"> de Organizaciones de Empresarios (empleadores) de la R</w:t>
      </w:r>
      <w:r>
        <w:rPr>
          <w:spacing w:val="0"/>
          <w:lang w:val="es-ES"/>
        </w:rPr>
        <w:t>e</w:t>
      </w:r>
      <w:r>
        <w:rPr>
          <w:spacing w:val="0"/>
          <w:lang w:val="es-ES"/>
        </w:rPr>
        <w:t>pública de Azerbaiyán. En estos momentos está vigente el convenio colectivo para 2008-2009, en el que se prevé la necesidad de adoptar medidas para llevar gradua</w:t>
      </w:r>
      <w:r>
        <w:rPr>
          <w:spacing w:val="0"/>
          <w:lang w:val="es-ES"/>
        </w:rPr>
        <w:t>l</w:t>
      </w:r>
      <w:r>
        <w:rPr>
          <w:spacing w:val="0"/>
          <w:lang w:val="es-ES"/>
        </w:rPr>
        <w:t xml:space="preserve">mente el salario mínimo a la suma establecida en el presupuesto como consumo mínimo, así como la necesidad de que el nivel de salario mínimo cumpla los requisitos previstos en </w:t>
      </w:r>
      <w:smartTag w:uri="urn:schemas-microsoft-com:office:smarttags" w:element="PersonName">
        <w:smartTagPr>
          <w:attr w:name="ProductID" w:val="la Carta Social Europea."/>
        </w:smartTagPr>
        <w:r>
          <w:rPr>
            <w:spacing w:val="0"/>
            <w:lang w:val="es-ES"/>
          </w:rPr>
          <w:t>la Ca</w:t>
        </w:r>
        <w:r>
          <w:rPr>
            <w:spacing w:val="0"/>
            <w:lang w:val="es-ES"/>
          </w:rPr>
          <w:t>r</w:t>
        </w:r>
        <w:r>
          <w:rPr>
            <w:spacing w:val="0"/>
            <w:lang w:val="es-ES"/>
          </w:rPr>
          <w:t>ta Social Europea.</w:t>
        </w:r>
      </w:smartTag>
      <w:r>
        <w:rPr>
          <w:spacing w:val="0"/>
          <w:lang w:val="es-ES"/>
        </w:rPr>
        <w:t xml:space="preserve"> </w:t>
      </w:r>
    </w:p>
    <w:p w:rsidR="001D2E73" w:rsidRDefault="001D2E73">
      <w:pPr>
        <w:pStyle w:val="SingleTxtGR"/>
        <w:rPr>
          <w:spacing w:val="0"/>
          <w:lang w:val="es-ES"/>
        </w:rPr>
      </w:pPr>
      <w:r>
        <w:rPr>
          <w:spacing w:val="0"/>
          <w:lang w:val="es-ES"/>
        </w:rPr>
        <w:t>148.</w:t>
      </w:r>
      <w:r>
        <w:rPr>
          <w:spacing w:val="0"/>
          <w:lang w:val="es-ES"/>
        </w:rPr>
        <w:tab/>
        <w:t>Debido a que el sistema de salario mínimo ampara a todas las categorías de trabajadores, incluidos los empleados con cargo al presupuesto estatal, cuya cifra ascienda a cerca de 600.000, cuando se determina el importe del salario mínimo se ti</w:t>
      </w:r>
      <w:r>
        <w:rPr>
          <w:spacing w:val="0"/>
          <w:lang w:val="es-ES"/>
        </w:rPr>
        <w:t>e</w:t>
      </w:r>
      <w:r>
        <w:rPr>
          <w:spacing w:val="0"/>
          <w:lang w:val="es-ES"/>
        </w:rPr>
        <w:t>nen en cuenta las posibilidades del presupuesto estatal.</w:t>
      </w:r>
    </w:p>
    <w:p w:rsidR="001D2E73" w:rsidRDefault="001D2E73">
      <w:pPr>
        <w:pStyle w:val="SingleTxtGR"/>
        <w:rPr>
          <w:spacing w:val="0"/>
          <w:lang w:val="es-ES"/>
        </w:rPr>
      </w:pPr>
      <w:r>
        <w:rPr>
          <w:spacing w:val="0"/>
          <w:lang w:val="es-ES"/>
        </w:rPr>
        <w:t>149.</w:t>
      </w:r>
      <w:r>
        <w:rPr>
          <w:spacing w:val="0"/>
          <w:lang w:val="es-ES"/>
        </w:rPr>
        <w:tab/>
        <w:t>Con el objeto de establecer el salario mínimo, al principio se lleva a cabo un análisis de la situación financiera y económica, que incluye el nivel de salarios del país, el grado de inflación, la cuantía del presupuesto mínimo de los consumidores, las prestaciones sociales y las pensiones.</w:t>
      </w:r>
    </w:p>
    <w:p w:rsidR="001D2E73" w:rsidRDefault="001D2E73">
      <w:pPr>
        <w:pStyle w:val="SingleTxtGR"/>
        <w:rPr>
          <w:spacing w:val="0"/>
          <w:lang w:val="es-ES"/>
        </w:rPr>
      </w:pPr>
      <w:r>
        <w:rPr>
          <w:spacing w:val="0"/>
          <w:lang w:val="es-ES"/>
        </w:rPr>
        <w:t>150.</w:t>
      </w:r>
      <w:r>
        <w:rPr>
          <w:spacing w:val="0"/>
          <w:lang w:val="es-ES"/>
        </w:rPr>
        <w:tab/>
        <w:t>Los resultados del análisis realizado por el Ministerio de Trabajo y Protección social de la Población, el Ministerio de Finanzas, el Ministerio de Desarrollo Económico y el Fondo Estatal de Protección Social se presentan al Consejo de Ministros de Azerbaiyán. Además, se celebran consultas con los sindicatos y los e</w:t>
      </w:r>
      <w:r>
        <w:rPr>
          <w:spacing w:val="0"/>
          <w:lang w:val="es-ES"/>
        </w:rPr>
        <w:t>m</w:t>
      </w:r>
      <w:r>
        <w:rPr>
          <w:spacing w:val="0"/>
          <w:lang w:val="es-ES"/>
        </w:rPr>
        <w:t>pleadores.</w:t>
      </w:r>
    </w:p>
    <w:p w:rsidR="001D2E73" w:rsidRDefault="001D2E73">
      <w:pPr>
        <w:pStyle w:val="SingleTxtGR"/>
        <w:rPr>
          <w:spacing w:val="0"/>
          <w:lang w:val="es-ES"/>
        </w:rPr>
      </w:pPr>
      <w:r>
        <w:rPr>
          <w:spacing w:val="0"/>
          <w:lang w:val="es-ES"/>
        </w:rPr>
        <w:t>151.</w:t>
      </w:r>
      <w:r>
        <w:rPr>
          <w:spacing w:val="0"/>
          <w:lang w:val="es-ES"/>
        </w:rPr>
        <w:tab/>
        <w:t>El Consejo de Ministros presenta las propuestas formuladas a la Oficina del Presidente de la República.</w:t>
      </w:r>
    </w:p>
    <w:p w:rsidR="001D2E73" w:rsidRDefault="001D2E73">
      <w:pPr>
        <w:pStyle w:val="SingleTxtGR"/>
        <w:rPr>
          <w:spacing w:val="0"/>
          <w:lang w:val="es-ES"/>
        </w:rPr>
      </w:pPr>
      <w:r>
        <w:rPr>
          <w:spacing w:val="0"/>
          <w:lang w:val="es-ES"/>
        </w:rPr>
        <w:t>152.</w:t>
      </w:r>
      <w:r>
        <w:rPr>
          <w:spacing w:val="0"/>
          <w:lang w:val="es-ES"/>
        </w:rPr>
        <w:tab/>
        <w:t>El Cuerpo Estatal de Inspectores del Trabajo del Ministerio de Trabajo y Protección Social de la Población ejerce el control sobre la aplicación del salario mín</w:t>
      </w:r>
      <w:r>
        <w:rPr>
          <w:spacing w:val="0"/>
          <w:lang w:val="es-ES"/>
        </w:rPr>
        <w:t>i</w:t>
      </w:r>
      <w:r>
        <w:rPr>
          <w:spacing w:val="0"/>
          <w:lang w:val="es-ES"/>
        </w:rPr>
        <w:t>mo.</w:t>
      </w:r>
    </w:p>
    <w:p w:rsidR="001D2E73" w:rsidRDefault="001D2E73">
      <w:pPr>
        <w:pStyle w:val="SingleTxtGR"/>
        <w:spacing w:before="240"/>
        <w:rPr>
          <w:b/>
          <w:spacing w:val="0"/>
          <w:lang w:val="es-ES"/>
        </w:rPr>
      </w:pPr>
      <w:r>
        <w:rPr>
          <w:spacing w:val="0"/>
          <w:lang w:val="es-ES"/>
        </w:rPr>
        <w:t>Cuadro 11</w:t>
      </w:r>
      <w:r>
        <w:rPr>
          <w:spacing w:val="0"/>
          <w:lang w:val="es-ES"/>
        </w:rPr>
        <w:br/>
      </w:r>
      <w:r>
        <w:rPr>
          <w:b/>
          <w:spacing w:val="0"/>
          <w:lang w:val="es-ES"/>
        </w:rPr>
        <w:t>Salario medio mensual a nivel de país</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148"/>
        <w:gridCol w:w="3038"/>
        <w:gridCol w:w="3184"/>
      </w:tblGrid>
      <w:tr w:rsidR="001D2E73" w:rsidTr="0094705E">
        <w:trPr>
          <w:trHeight w:val="497"/>
          <w:tblHeader/>
        </w:trPr>
        <w:tc>
          <w:tcPr>
            <w:tcW w:w="1148" w:type="dxa"/>
            <w:tcBorders>
              <w:top w:val="single" w:sz="4" w:space="0" w:color="auto"/>
              <w:bottom w:val="single" w:sz="12" w:space="0" w:color="auto"/>
            </w:tcBorders>
            <w:shd w:val="clear" w:color="auto" w:fill="auto"/>
            <w:vAlign w:val="bottom"/>
          </w:tcPr>
          <w:p w:rsidR="001D2E73" w:rsidRDefault="001D2E73">
            <w:pPr>
              <w:spacing w:before="80" w:after="80" w:line="200" w:lineRule="exact"/>
              <w:rPr>
                <w:i/>
                <w:sz w:val="16"/>
              </w:rPr>
            </w:pPr>
            <w:r>
              <w:rPr>
                <w:i/>
                <w:sz w:val="16"/>
              </w:rPr>
              <w:t>Años</w:t>
            </w:r>
          </w:p>
        </w:tc>
        <w:tc>
          <w:tcPr>
            <w:tcW w:w="3038"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Salario medio mensual,</w:t>
            </w:r>
            <w:r>
              <w:rPr>
                <w:i/>
                <w:sz w:val="16"/>
              </w:rPr>
              <w:br/>
              <w:t>en nuevos manat (AZN)</w:t>
            </w:r>
          </w:p>
        </w:tc>
        <w:tc>
          <w:tcPr>
            <w:tcW w:w="3184" w:type="dxa"/>
            <w:tcBorders>
              <w:top w:val="single" w:sz="4" w:space="0" w:color="auto"/>
              <w:left w:val="nil"/>
              <w:bottom w:val="single" w:sz="12" w:space="0" w:color="auto"/>
              <w:right w:val="nil"/>
              <w:tl2br w:val="nil"/>
              <w:tr2bl w:val="nil"/>
            </w:tcBorders>
            <w:shd w:val="clear" w:color="auto" w:fill="auto"/>
          </w:tcPr>
          <w:p w:rsidR="001D2E73" w:rsidRDefault="001D2E73">
            <w:pPr>
              <w:spacing w:before="80" w:after="80" w:line="200" w:lineRule="exact"/>
              <w:jc w:val="right"/>
              <w:rPr>
                <w:i/>
                <w:sz w:val="16"/>
              </w:rPr>
            </w:pPr>
            <w:r>
              <w:rPr>
                <w:i/>
                <w:sz w:val="16"/>
              </w:rPr>
              <w:t>Salario medio mensual,</w:t>
            </w:r>
            <w:r>
              <w:rPr>
                <w:i/>
                <w:sz w:val="16"/>
              </w:rPr>
              <w:br/>
              <w:t>en dólares EE.UU.</w:t>
            </w:r>
          </w:p>
        </w:tc>
      </w:tr>
      <w:tr w:rsidR="001D2E73">
        <w:trPr>
          <w:trHeight w:val="20"/>
        </w:trPr>
        <w:tc>
          <w:tcPr>
            <w:tcW w:w="1148" w:type="dxa"/>
            <w:tcBorders>
              <w:top w:val="single" w:sz="12" w:space="0" w:color="auto"/>
            </w:tcBorders>
          </w:tcPr>
          <w:p w:rsidR="001D2E73" w:rsidRDefault="001D2E73">
            <w:pPr>
              <w:spacing w:before="40" w:after="40" w:line="220" w:lineRule="exact"/>
              <w:rPr>
                <w:sz w:val="18"/>
                <w:szCs w:val="18"/>
              </w:rPr>
            </w:pPr>
            <w:r>
              <w:rPr>
                <w:sz w:val="18"/>
                <w:szCs w:val="18"/>
              </w:rPr>
              <w:t>1995</w:t>
            </w:r>
          </w:p>
        </w:tc>
        <w:tc>
          <w:tcPr>
            <w:tcW w:w="3038" w:type="dxa"/>
            <w:tcBorders>
              <w:top w:val="single" w:sz="12" w:space="0" w:color="auto"/>
            </w:tcBorders>
          </w:tcPr>
          <w:p w:rsidR="001D2E73" w:rsidRDefault="001D2E73">
            <w:pPr>
              <w:tabs>
                <w:tab w:val="decimal" w:pos="1770"/>
              </w:tabs>
              <w:spacing w:before="40" w:after="40" w:line="220" w:lineRule="exact"/>
              <w:jc w:val="right"/>
              <w:rPr>
                <w:sz w:val="18"/>
                <w:szCs w:val="18"/>
              </w:rPr>
            </w:pPr>
            <w:r>
              <w:rPr>
                <w:sz w:val="18"/>
                <w:szCs w:val="18"/>
              </w:rPr>
              <w:t>12,5</w:t>
            </w:r>
          </w:p>
        </w:tc>
        <w:tc>
          <w:tcPr>
            <w:tcW w:w="3184" w:type="dxa"/>
            <w:tcBorders>
              <w:top w:val="single" w:sz="12" w:space="0" w:color="auto"/>
              <w:left w:val="nil"/>
              <w:bottom w:val="nil"/>
              <w:right w:val="nil"/>
              <w:tl2br w:val="nil"/>
              <w:tr2bl w:val="nil"/>
            </w:tcBorders>
          </w:tcPr>
          <w:p w:rsidR="001D2E73" w:rsidRDefault="001D2E73">
            <w:pPr>
              <w:tabs>
                <w:tab w:val="decimal" w:pos="1770"/>
              </w:tabs>
              <w:spacing w:before="40" w:after="40" w:line="220" w:lineRule="exact"/>
              <w:jc w:val="right"/>
              <w:rPr>
                <w:sz w:val="18"/>
                <w:szCs w:val="18"/>
              </w:rPr>
            </w:pPr>
            <w:r>
              <w:rPr>
                <w:sz w:val="18"/>
                <w:szCs w:val="18"/>
              </w:rPr>
              <w:t>15,63</w:t>
            </w:r>
          </w:p>
        </w:tc>
      </w:tr>
      <w:tr w:rsidR="001D2E73" w:rsidTr="0094705E">
        <w:trPr>
          <w:trHeight w:val="20"/>
        </w:trPr>
        <w:tc>
          <w:tcPr>
            <w:tcW w:w="1148" w:type="dxa"/>
            <w:tcBorders>
              <w:bottom w:val="nil"/>
            </w:tcBorders>
          </w:tcPr>
          <w:p w:rsidR="001D2E73" w:rsidRDefault="001D2E73">
            <w:pPr>
              <w:spacing w:before="40" w:after="40" w:line="220" w:lineRule="exact"/>
              <w:rPr>
                <w:sz w:val="18"/>
                <w:szCs w:val="18"/>
              </w:rPr>
            </w:pPr>
            <w:r>
              <w:rPr>
                <w:sz w:val="18"/>
                <w:szCs w:val="18"/>
              </w:rPr>
              <w:t>2001</w:t>
            </w:r>
          </w:p>
        </w:tc>
        <w:tc>
          <w:tcPr>
            <w:tcW w:w="3038" w:type="dxa"/>
            <w:tcBorders>
              <w:bottom w:val="nil"/>
            </w:tcBorders>
          </w:tcPr>
          <w:p w:rsidR="001D2E73" w:rsidRDefault="001D2E73">
            <w:pPr>
              <w:tabs>
                <w:tab w:val="decimal" w:pos="1770"/>
              </w:tabs>
              <w:spacing w:before="40" w:after="40" w:line="220" w:lineRule="exact"/>
              <w:jc w:val="right"/>
              <w:rPr>
                <w:sz w:val="18"/>
                <w:szCs w:val="18"/>
              </w:rPr>
            </w:pPr>
            <w:r>
              <w:rPr>
                <w:sz w:val="18"/>
                <w:szCs w:val="18"/>
              </w:rPr>
              <w:t xml:space="preserve"> 52,0</w:t>
            </w:r>
          </w:p>
        </w:tc>
        <w:tc>
          <w:tcPr>
            <w:tcW w:w="3184" w:type="dxa"/>
            <w:tcBorders>
              <w:left w:val="nil"/>
              <w:bottom w:val="nil"/>
              <w:right w:val="nil"/>
              <w:tl2br w:val="nil"/>
              <w:tr2bl w:val="nil"/>
            </w:tcBorders>
          </w:tcPr>
          <w:p w:rsidR="001D2E73" w:rsidRDefault="001D2E73">
            <w:pPr>
              <w:tabs>
                <w:tab w:val="decimal" w:pos="1770"/>
              </w:tabs>
              <w:spacing w:before="40" w:after="40" w:line="220" w:lineRule="exact"/>
              <w:jc w:val="right"/>
              <w:rPr>
                <w:sz w:val="18"/>
                <w:szCs w:val="18"/>
              </w:rPr>
            </w:pPr>
            <w:r>
              <w:rPr>
                <w:sz w:val="18"/>
                <w:szCs w:val="18"/>
              </w:rPr>
              <w:t>22,37</w:t>
            </w:r>
          </w:p>
        </w:tc>
      </w:tr>
      <w:tr w:rsidR="001D2E73" w:rsidTr="0094705E">
        <w:trPr>
          <w:trHeight w:val="20"/>
        </w:trPr>
        <w:tc>
          <w:tcPr>
            <w:tcW w:w="1148" w:type="dxa"/>
            <w:tcBorders>
              <w:top w:val="nil"/>
              <w:bottom w:val="nil"/>
            </w:tcBorders>
          </w:tcPr>
          <w:p w:rsidR="001D2E73" w:rsidRDefault="001D2E73">
            <w:pPr>
              <w:spacing w:before="40" w:after="40" w:line="220" w:lineRule="exact"/>
              <w:rPr>
                <w:sz w:val="18"/>
                <w:szCs w:val="18"/>
              </w:rPr>
            </w:pPr>
            <w:r>
              <w:rPr>
                <w:sz w:val="18"/>
                <w:szCs w:val="18"/>
              </w:rPr>
              <w:t>2002</w:t>
            </w:r>
          </w:p>
        </w:tc>
        <w:tc>
          <w:tcPr>
            <w:tcW w:w="3038" w:type="dxa"/>
            <w:tcBorders>
              <w:top w:val="nil"/>
              <w:bottom w:val="nil"/>
            </w:tcBorders>
          </w:tcPr>
          <w:p w:rsidR="001D2E73" w:rsidRDefault="001D2E73">
            <w:pPr>
              <w:tabs>
                <w:tab w:val="decimal" w:pos="1770"/>
              </w:tabs>
              <w:spacing w:before="40" w:after="40" w:line="220" w:lineRule="exact"/>
              <w:jc w:val="right"/>
              <w:rPr>
                <w:sz w:val="18"/>
                <w:szCs w:val="18"/>
              </w:rPr>
            </w:pPr>
            <w:r>
              <w:rPr>
                <w:sz w:val="18"/>
                <w:szCs w:val="18"/>
              </w:rPr>
              <w:t xml:space="preserve"> 63,1</w:t>
            </w:r>
          </w:p>
        </w:tc>
        <w:tc>
          <w:tcPr>
            <w:tcW w:w="3184" w:type="dxa"/>
            <w:tcBorders>
              <w:top w:val="nil"/>
              <w:left w:val="nil"/>
              <w:bottom w:val="nil"/>
              <w:right w:val="nil"/>
              <w:tl2br w:val="nil"/>
              <w:tr2bl w:val="nil"/>
            </w:tcBorders>
          </w:tcPr>
          <w:p w:rsidR="001D2E73" w:rsidRDefault="001D2E73">
            <w:pPr>
              <w:tabs>
                <w:tab w:val="decimal" w:pos="1770"/>
              </w:tabs>
              <w:spacing w:before="40" w:after="40" w:line="220" w:lineRule="exact"/>
              <w:jc w:val="right"/>
              <w:rPr>
                <w:sz w:val="18"/>
                <w:szCs w:val="18"/>
              </w:rPr>
            </w:pPr>
            <w:r>
              <w:rPr>
                <w:sz w:val="18"/>
                <w:szCs w:val="18"/>
              </w:rPr>
              <w:t>78,88</w:t>
            </w:r>
          </w:p>
        </w:tc>
      </w:tr>
      <w:tr w:rsidR="001D2E73" w:rsidTr="0094705E">
        <w:trPr>
          <w:trHeight w:val="20"/>
        </w:trPr>
        <w:tc>
          <w:tcPr>
            <w:tcW w:w="1148" w:type="dxa"/>
            <w:tcBorders>
              <w:top w:val="nil"/>
            </w:tcBorders>
          </w:tcPr>
          <w:p w:rsidR="001D2E73" w:rsidRDefault="001D2E73">
            <w:pPr>
              <w:spacing w:before="40" w:after="40" w:line="220" w:lineRule="exact"/>
              <w:rPr>
                <w:sz w:val="18"/>
                <w:szCs w:val="18"/>
              </w:rPr>
            </w:pPr>
            <w:r>
              <w:rPr>
                <w:sz w:val="18"/>
                <w:szCs w:val="18"/>
              </w:rPr>
              <w:t>2003</w:t>
            </w:r>
          </w:p>
        </w:tc>
        <w:tc>
          <w:tcPr>
            <w:tcW w:w="3038" w:type="dxa"/>
            <w:tcBorders>
              <w:top w:val="nil"/>
            </w:tcBorders>
          </w:tcPr>
          <w:p w:rsidR="001D2E73" w:rsidRDefault="001D2E73">
            <w:pPr>
              <w:tabs>
                <w:tab w:val="decimal" w:pos="1770"/>
              </w:tabs>
              <w:spacing w:before="40" w:after="40" w:line="220" w:lineRule="exact"/>
              <w:jc w:val="right"/>
              <w:rPr>
                <w:sz w:val="18"/>
                <w:szCs w:val="18"/>
              </w:rPr>
            </w:pPr>
            <w:r>
              <w:rPr>
                <w:sz w:val="18"/>
                <w:szCs w:val="18"/>
              </w:rPr>
              <w:t>77,4</w:t>
            </w:r>
          </w:p>
        </w:tc>
        <w:tc>
          <w:tcPr>
            <w:tcW w:w="3184" w:type="dxa"/>
            <w:tcBorders>
              <w:top w:val="nil"/>
              <w:left w:val="nil"/>
              <w:bottom w:val="nil"/>
              <w:right w:val="nil"/>
              <w:tl2br w:val="nil"/>
              <w:tr2bl w:val="nil"/>
            </w:tcBorders>
          </w:tcPr>
          <w:p w:rsidR="001D2E73" w:rsidRDefault="001D2E73">
            <w:pPr>
              <w:tabs>
                <w:tab w:val="decimal" w:pos="1770"/>
              </w:tabs>
              <w:spacing w:before="40" w:after="40" w:line="220" w:lineRule="exact"/>
              <w:jc w:val="right"/>
              <w:rPr>
                <w:sz w:val="18"/>
                <w:szCs w:val="18"/>
              </w:rPr>
            </w:pPr>
            <w:r>
              <w:rPr>
                <w:sz w:val="18"/>
                <w:szCs w:val="18"/>
              </w:rPr>
              <w:t>96,75</w:t>
            </w:r>
          </w:p>
        </w:tc>
      </w:tr>
      <w:tr w:rsidR="001D2E73">
        <w:trPr>
          <w:trHeight w:val="20"/>
        </w:trPr>
        <w:tc>
          <w:tcPr>
            <w:tcW w:w="1148" w:type="dxa"/>
          </w:tcPr>
          <w:p w:rsidR="001D2E73" w:rsidRDefault="001D2E73">
            <w:pPr>
              <w:spacing w:before="40" w:after="40" w:line="220" w:lineRule="exact"/>
              <w:rPr>
                <w:sz w:val="18"/>
                <w:szCs w:val="18"/>
              </w:rPr>
            </w:pPr>
            <w:r>
              <w:rPr>
                <w:sz w:val="18"/>
                <w:szCs w:val="18"/>
              </w:rPr>
              <w:t>2004</w:t>
            </w:r>
          </w:p>
        </w:tc>
        <w:tc>
          <w:tcPr>
            <w:tcW w:w="3038" w:type="dxa"/>
          </w:tcPr>
          <w:p w:rsidR="001D2E73" w:rsidRDefault="001D2E73">
            <w:pPr>
              <w:tabs>
                <w:tab w:val="decimal" w:pos="1770"/>
              </w:tabs>
              <w:spacing w:before="40" w:after="40" w:line="220" w:lineRule="exact"/>
              <w:jc w:val="right"/>
              <w:rPr>
                <w:sz w:val="18"/>
                <w:szCs w:val="18"/>
              </w:rPr>
            </w:pPr>
            <w:r>
              <w:rPr>
                <w:sz w:val="18"/>
                <w:szCs w:val="18"/>
              </w:rPr>
              <w:t xml:space="preserve">99,4 </w:t>
            </w:r>
          </w:p>
        </w:tc>
        <w:tc>
          <w:tcPr>
            <w:tcW w:w="3184" w:type="dxa"/>
            <w:tcBorders>
              <w:left w:val="nil"/>
              <w:bottom w:val="nil"/>
              <w:right w:val="nil"/>
              <w:tl2br w:val="nil"/>
              <w:tr2bl w:val="nil"/>
            </w:tcBorders>
          </w:tcPr>
          <w:p w:rsidR="001D2E73" w:rsidRDefault="001D2E73">
            <w:pPr>
              <w:tabs>
                <w:tab w:val="decimal" w:pos="1770"/>
              </w:tabs>
              <w:spacing w:before="40" w:after="40" w:line="220" w:lineRule="exact"/>
              <w:jc w:val="right"/>
              <w:rPr>
                <w:sz w:val="18"/>
                <w:szCs w:val="18"/>
              </w:rPr>
            </w:pPr>
            <w:r>
              <w:rPr>
                <w:sz w:val="18"/>
                <w:szCs w:val="18"/>
              </w:rPr>
              <w:t>120,5</w:t>
            </w:r>
          </w:p>
        </w:tc>
      </w:tr>
      <w:tr w:rsidR="001D2E73">
        <w:trPr>
          <w:trHeight w:val="20"/>
        </w:trPr>
        <w:tc>
          <w:tcPr>
            <w:tcW w:w="1148" w:type="dxa"/>
          </w:tcPr>
          <w:p w:rsidR="001D2E73" w:rsidRDefault="001D2E73">
            <w:pPr>
              <w:spacing w:before="40" w:after="40" w:line="220" w:lineRule="exact"/>
              <w:rPr>
                <w:sz w:val="18"/>
                <w:szCs w:val="18"/>
              </w:rPr>
            </w:pPr>
            <w:r>
              <w:rPr>
                <w:sz w:val="18"/>
                <w:szCs w:val="18"/>
              </w:rPr>
              <w:t>2005</w:t>
            </w:r>
          </w:p>
        </w:tc>
        <w:tc>
          <w:tcPr>
            <w:tcW w:w="3038" w:type="dxa"/>
          </w:tcPr>
          <w:p w:rsidR="001D2E73" w:rsidRDefault="001D2E73">
            <w:pPr>
              <w:tabs>
                <w:tab w:val="decimal" w:pos="1770"/>
              </w:tabs>
              <w:spacing w:before="40" w:after="40" w:line="220" w:lineRule="exact"/>
              <w:jc w:val="right"/>
              <w:rPr>
                <w:sz w:val="18"/>
                <w:szCs w:val="18"/>
              </w:rPr>
            </w:pPr>
            <w:r>
              <w:rPr>
                <w:sz w:val="18"/>
                <w:szCs w:val="18"/>
              </w:rPr>
              <w:t xml:space="preserve">123,6 </w:t>
            </w:r>
          </w:p>
        </w:tc>
        <w:tc>
          <w:tcPr>
            <w:tcW w:w="3184" w:type="dxa"/>
            <w:tcBorders>
              <w:left w:val="nil"/>
              <w:bottom w:val="nil"/>
              <w:right w:val="nil"/>
              <w:tl2br w:val="nil"/>
              <w:tr2bl w:val="nil"/>
            </w:tcBorders>
          </w:tcPr>
          <w:p w:rsidR="001D2E73" w:rsidRDefault="001D2E73">
            <w:pPr>
              <w:tabs>
                <w:tab w:val="decimal" w:pos="1770"/>
              </w:tabs>
              <w:spacing w:before="40" w:after="40" w:line="220" w:lineRule="exact"/>
              <w:jc w:val="right"/>
              <w:rPr>
                <w:sz w:val="18"/>
                <w:szCs w:val="18"/>
              </w:rPr>
            </w:pPr>
            <w:r>
              <w:rPr>
                <w:sz w:val="18"/>
                <w:szCs w:val="18"/>
              </w:rPr>
              <w:t>154,5</w:t>
            </w:r>
          </w:p>
        </w:tc>
      </w:tr>
      <w:tr w:rsidR="001D2E73">
        <w:trPr>
          <w:trHeight w:val="20"/>
        </w:trPr>
        <w:tc>
          <w:tcPr>
            <w:tcW w:w="1148" w:type="dxa"/>
          </w:tcPr>
          <w:p w:rsidR="001D2E73" w:rsidRDefault="001D2E73">
            <w:pPr>
              <w:spacing w:before="40" w:after="40" w:line="220" w:lineRule="exact"/>
              <w:rPr>
                <w:sz w:val="18"/>
                <w:szCs w:val="18"/>
              </w:rPr>
            </w:pPr>
            <w:r>
              <w:rPr>
                <w:sz w:val="18"/>
                <w:szCs w:val="18"/>
              </w:rPr>
              <w:t>2006</w:t>
            </w:r>
          </w:p>
        </w:tc>
        <w:tc>
          <w:tcPr>
            <w:tcW w:w="3038" w:type="dxa"/>
          </w:tcPr>
          <w:p w:rsidR="001D2E73" w:rsidRDefault="001D2E73">
            <w:pPr>
              <w:tabs>
                <w:tab w:val="decimal" w:pos="1770"/>
              </w:tabs>
              <w:spacing w:before="40" w:after="40" w:line="220" w:lineRule="exact"/>
              <w:jc w:val="right"/>
              <w:rPr>
                <w:sz w:val="18"/>
                <w:szCs w:val="18"/>
              </w:rPr>
            </w:pPr>
            <w:r>
              <w:rPr>
                <w:sz w:val="18"/>
                <w:szCs w:val="18"/>
              </w:rPr>
              <w:t xml:space="preserve">149,0 </w:t>
            </w:r>
          </w:p>
        </w:tc>
        <w:tc>
          <w:tcPr>
            <w:tcW w:w="3184" w:type="dxa"/>
            <w:tcBorders>
              <w:left w:val="nil"/>
              <w:bottom w:val="nil"/>
              <w:right w:val="nil"/>
              <w:tl2br w:val="nil"/>
              <w:tr2bl w:val="nil"/>
            </w:tcBorders>
          </w:tcPr>
          <w:p w:rsidR="001D2E73" w:rsidRDefault="001D2E73">
            <w:pPr>
              <w:tabs>
                <w:tab w:val="decimal" w:pos="1770"/>
              </w:tabs>
              <w:spacing w:before="40" w:after="40" w:line="220" w:lineRule="exact"/>
              <w:jc w:val="right"/>
              <w:rPr>
                <w:sz w:val="18"/>
                <w:szCs w:val="18"/>
              </w:rPr>
            </w:pPr>
            <w:r>
              <w:rPr>
                <w:sz w:val="18"/>
                <w:szCs w:val="18"/>
              </w:rPr>
              <w:t>186,25</w:t>
            </w:r>
          </w:p>
        </w:tc>
      </w:tr>
      <w:tr w:rsidR="001D2E73">
        <w:trPr>
          <w:trHeight w:val="60"/>
        </w:trPr>
        <w:tc>
          <w:tcPr>
            <w:tcW w:w="1148" w:type="dxa"/>
          </w:tcPr>
          <w:p w:rsidR="001D2E73" w:rsidRDefault="001D2E73">
            <w:pPr>
              <w:spacing w:before="40" w:after="40" w:line="220" w:lineRule="exact"/>
              <w:rPr>
                <w:sz w:val="18"/>
                <w:szCs w:val="18"/>
              </w:rPr>
            </w:pPr>
            <w:r>
              <w:rPr>
                <w:sz w:val="18"/>
                <w:szCs w:val="18"/>
              </w:rPr>
              <w:t>2007</w:t>
            </w:r>
          </w:p>
        </w:tc>
        <w:tc>
          <w:tcPr>
            <w:tcW w:w="3038" w:type="dxa"/>
          </w:tcPr>
          <w:p w:rsidR="001D2E73" w:rsidRDefault="001D2E73">
            <w:pPr>
              <w:tabs>
                <w:tab w:val="decimal" w:pos="1770"/>
              </w:tabs>
              <w:spacing w:before="40" w:after="40" w:line="220" w:lineRule="exact"/>
              <w:jc w:val="right"/>
              <w:rPr>
                <w:sz w:val="18"/>
                <w:szCs w:val="18"/>
              </w:rPr>
            </w:pPr>
            <w:r>
              <w:rPr>
                <w:sz w:val="18"/>
                <w:szCs w:val="18"/>
              </w:rPr>
              <w:t xml:space="preserve">215,8 </w:t>
            </w:r>
          </w:p>
        </w:tc>
        <w:tc>
          <w:tcPr>
            <w:tcW w:w="3184" w:type="dxa"/>
            <w:tcBorders>
              <w:left w:val="nil"/>
              <w:bottom w:val="nil"/>
              <w:right w:val="nil"/>
              <w:tl2br w:val="nil"/>
              <w:tr2bl w:val="nil"/>
            </w:tcBorders>
          </w:tcPr>
          <w:p w:rsidR="001D2E73" w:rsidRDefault="001D2E73">
            <w:pPr>
              <w:tabs>
                <w:tab w:val="decimal" w:pos="1770"/>
              </w:tabs>
              <w:spacing w:before="40" w:after="40" w:line="220" w:lineRule="exact"/>
              <w:jc w:val="right"/>
              <w:rPr>
                <w:sz w:val="18"/>
                <w:szCs w:val="18"/>
              </w:rPr>
            </w:pPr>
            <w:r>
              <w:rPr>
                <w:sz w:val="18"/>
                <w:szCs w:val="18"/>
              </w:rPr>
              <w:t>269,75</w:t>
            </w:r>
          </w:p>
        </w:tc>
      </w:tr>
      <w:tr w:rsidR="001D2E73">
        <w:trPr>
          <w:trHeight w:val="20"/>
        </w:trPr>
        <w:tc>
          <w:tcPr>
            <w:tcW w:w="1148" w:type="dxa"/>
          </w:tcPr>
          <w:p w:rsidR="001D2E73" w:rsidRDefault="001D2E73">
            <w:pPr>
              <w:spacing w:before="40" w:after="40" w:line="220" w:lineRule="exact"/>
              <w:rPr>
                <w:sz w:val="18"/>
                <w:szCs w:val="18"/>
              </w:rPr>
            </w:pPr>
            <w:r>
              <w:rPr>
                <w:sz w:val="18"/>
                <w:szCs w:val="18"/>
              </w:rPr>
              <w:t>2008</w:t>
            </w:r>
          </w:p>
        </w:tc>
        <w:tc>
          <w:tcPr>
            <w:tcW w:w="3038" w:type="dxa"/>
          </w:tcPr>
          <w:p w:rsidR="001D2E73" w:rsidRDefault="001D2E73">
            <w:pPr>
              <w:tabs>
                <w:tab w:val="decimal" w:pos="1770"/>
              </w:tabs>
              <w:spacing w:before="40" w:after="40" w:line="220" w:lineRule="exact"/>
              <w:jc w:val="right"/>
              <w:rPr>
                <w:sz w:val="18"/>
                <w:szCs w:val="18"/>
              </w:rPr>
            </w:pPr>
            <w:r>
              <w:rPr>
                <w:sz w:val="18"/>
                <w:szCs w:val="18"/>
              </w:rPr>
              <w:t xml:space="preserve">268,0 </w:t>
            </w:r>
          </w:p>
        </w:tc>
        <w:tc>
          <w:tcPr>
            <w:tcW w:w="3184" w:type="dxa"/>
            <w:tcBorders>
              <w:left w:val="nil"/>
              <w:bottom w:val="single" w:sz="12" w:space="0" w:color="auto"/>
              <w:right w:val="nil"/>
              <w:tl2br w:val="nil"/>
              <w:tr2bl w:val="nil"/>
            </w:tcBorders>
          </w:tcPr>
          <w:p w:rsidR="001D2E73" w:rsidRDefault="001D2E73">
            <w:pPr>
              <w:tabs>
                <w:tab w:val="decimal" w:pos="1770"/>
              </w:tabs>
              <w:spacing w:before="40" w:after="40" w:line="220" w:lineRule="exact"/>
              <w:jc w:val="right"/>
              <w:rPr>
                <w:sz w:val="18"/>
                <w:szCs w:val="18"/>
              </w:rPr>
            </w:pPr>
            <w:r>
              <w:rPr>
                <w:sz w:val="18"/>
                <w:szCs w:val="18"/>
              </w:rPr>
              <w:t>335</w:t>
            </w:r>
          </w:p>
        </w:tc>
      </w:tr>
    </w:tbl>
    <w:p w:rsidR="001D2E73" w:rsidRDefault="001D2E73">
      <w:pPr>
        <w:pStyle w:val="SingleTxtGR"/>
        <w:spacing w:before="240"/>
        <w:rPr>
          <w:b/>
          <w:spacing w:val="0"/>
          <w:lang w:val="es-ES"/>
        </w:rPr>
      </w:pPr>
      <w:r>
        <w:rPr>
          <w:spacing w:val="0"/>
          <w:lang w:val="es-ES"/>
        </w:rPr>
        <w:t>Cuadro 12</w:t>
      </w:r>
      <w:r>
        <w:rPr>
          <w:spacing w:val="0"/>
          <w:lang w:val="es-ES"/>
        </w:rPr>
        <w:br/>
      </w:r>
      <w:r>
        <w:rPr>
          <w:b/>
          <w:spacing w:val="0"/>
          <w:lang w:val="es-ES"/>
        </w:rPr>
        <w:t>Monto del salario mínimo en la República de Azerbaiyán</w:t>
      </w:r>
    </w:p>
    <w:tbl>
      <w:tblPr>
        <w:tblW w:w="7394"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944"/>
        <w:gridCol w:w="2050"/>
        <w:gridCol w:w="2400"/>
      </w:tblGrid>
      <w:tr w:rsidR="001D2E73">
        <w:trPr>
          <w:trHeight w:val="377"/>
        </w:trPr>
        <w:tc>
          <w:tcPr>
            <w:tcW w:w="2944" w:type="dxa"/>
            <w:tcBorders>
              <w:top w:val="single" w:sz="4" w:space="0" w:color="auto"/>
              <w:bottom w:val="single" w:sz="12" w:space="0" w:color="auto"/>
            </w:tcBorders>
            <w:shd w:val="clear" w:color="auto" w:fill="auto"/>
            <w:vAlign w:val="bottom"/>
          </w:tcPr>
          <w:p w:rsidR="001D2E73" w:rsidRDefault="001D2E73">
            <w:pPr>
              <w:spacing w:before="80" w:after="80" w:line="200" w:lineRule="exact"/>
              <w:rPr>
                <w:i/>
                <w:sz w:val="16"/>
              </w:rPr>
            </w:pPr>
            <w:r>
              <w:rPr>
                <w:i/>
                <w:sz w:val="16"/>
              </w:rPr>
              <w:t>Períodos</w:t>
            </w:r>
          </w:p>
        </w:tc>
        <w:tc>
          <w:tcPr>
            <w:tcW w:w="2050"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En nuevos manat (AZN)</w:t>
            </w:r>
          </w:p>
        </w:tc>
        <w:tc>
          <w:tcPr>
            <w:tcW w:w="2400" w:type="dxa"/>
            <w:tcBorders>
              <w:top w:val="single" w:sz="4" w:space="0" w:color="auto"/>
              <w:left w:val="nil"/>
              <w:bottom w:val="single" w:sz="12" w:space="0" w:color="auto"/>
              <w:right w:val="nil"/>
              <w:tl2br w:val="nil"/>
              <w:tr2bl w:val="nil"/>
            </w:tcBorders>
            <w:shd w:val="clear" w:color="auto" w:fill="auto"/>
            <w:vAlign w:val="bottom"/>
          </w:tcPr>
          <w:p w:rsidR="001D2E73" w:rsidRDefault="001D2E73">
            <w:pPr>
              <w:spacing w:before="80" w:after="80" w:line="200" w:lineRule="exact"/>
              <w:jc w:val="right"/>
              <w:rPr>
                <w:i/>
                <w:sz w:val="16"/>
              </w:rPr>
            </w:pPr>
            <w:r>
              <w:rPr>
                <w:i/>
                <w:sz w:val="16"/>
              </w:rPr>
              <w:t>En dólares de los EE.UU.</w:t>
            </w:r>
          </w:p>
        </w:tc>
      </w:tr>
      <w:tr w:rsidR="001D2E73">
        <w:trPr>
          <w:trHeight w:val="330"/>
        </w:trPr>
        <w:tc>
          <w:tcPr>
            <w:tcW w:w="2944" w:type="dxa"/>
            <w:tcBorders>
              <w:top w:val="single" w:sz="12" w:space="0" w:color="auto"/>
            </w:tcBorders>
          </w:tcPr>
          <w:p w:rsidR="001D2E73" w:rsidRDefault="001D2E73">
            <w:pPr>
              <w:spacing w:before="40" w:after="40" w:line="220" w:lineRule="exact"/>
              <w:rPr>
                <w:sz w:val="18"/>
                <w:szCs w:val="18"/>
              </w:rPr>
            </w:pPr>
            <w:r>
              <w:rPr>
                <w:sz w:val="18"/>
                <w:szCs w:val="18"/>
              </w:rPr>
              <w:t>Desde el 1º de febrero de 1995</w:t>
            </w:r>
          </w:p>
        </w:tc>
        <w:tc>
          <w:tcPr>
            <w:tcW w:w="2050" w:type="dxa"/>
            <w:tcBorders>
              <w:top w:val="single" w:sz="12" w:space="0" w:color="auto"/>
            </w:tcBorders>
          </w:tcPr>
          <w:p w:rsidR="001D2E73" w:rsidRDefault="001D2E73">
            <w:pPr>
              <w:tabs>
                <w:tab w:val="decimal" w:pos="1248"/>
              </w:tabs>
              <w:spacing w:before="40" w:after="40" w:line="220" w:lineRule="exact"/>
              <w:jc w:val="right"/>
              <w:rPr>
                <w:sz w:val="18"/>
                <w:szCs w:val="18"/>
              </w:rPr>
            </w:pPr>
            <w:r>
              <w:rPr>
                <w:sz w:val="18"/>
                <w:szCs w:val="18"/>
              </w:rPr>
              <w:t>1,1</w:t>
            </w:r>
          </w:p>
        </w:tc>
        <w:tc>
          <w:tcPr>
            <w:tcW w:w="2400" w:type="dxa"/>
            <w:tcBorders>
              <w:top w:val="single" w:sz="12" w:space="0" w:color="auto"/>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1,37</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enero de 2001</w:t>
            </w:r>
          </w:p>
        </w:tc>
        <w:tc>
          <w:tcPr>
            <w:tcW w:w="2050" w:type="dxa"/>
          </w:tcPr>
          <w:p w:rsidR="001D2E73" w:rsidRDefault="001D2E73">
            <w:pPr>
              <w:tabs>
                <w:tab w:val="decimal" w:pos="1248"/>
              </w:tabs>
              <w:spacing w:before="40" w:after="40" w:line="220" w:lineRule="exact"/>
              <w:jc w:val="right"/>
              <w:rPr>
                <w:sz w:val="18"/>
                <w:szCs w:val="18"/>
              </w:rPr>
            </w:pPr>
            <w:r>
              <w:rPr>
                <w:sz w:val="18"/>
                <w:szCs w:val="18"/>
              </w:rPr>
              <w:t>5,5</w:t>
            </w:r>
          </w:p>
        </w:tc>
        <w:tc>
          <w:tcPr>
            <w:tcW w:w="2400" w:type="dxa"/>
            <w:tcBorders>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6,88</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septiembre de 2003</w:t>
            </w:r>
          </w:p>
        </w:tc>
        <w:tc>
          <w:tcPr>
            <w:tcW w:w="2050" w:type="dxa"/>
          </w:tcPr>
          <w:p w:rsidR="001D2E73" w:rsidRDefault="001D2E73">
            <w:pPr>
              <w:tabs>
                <w:tab w:val="decimal" w:pos="1248"/>
              </w:tabs>
              <w:spacing w:before="40" w:after="40" w:line="220" w:lineRule="exact"/>
              <w:jc w:val="right"/>
              <w:rPr>
                <w:sz w:val="18"/>
                <w:szCs w:val="18"/>
              </w:rPr>
            </w:pPr>
            <w:r>
              <w:rPr>
                <w:sz w:val="18"/>
                <w:szCs w:val="18"/>
              </w:rPr>
              <w:t>9,0</w:t>
            </w:r>
          </w:p>
        </w:tc>
        <w:tc>
          <w:tcPr>
            <w:tcW w:w="2400" w:type="dxa"/>
            <w:tcBorders>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11,25</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enero de 2004</w:t>
            </w:r>
          </w:p>
        </w:tc>
        <w:tc>
          <w:tcPr>
            <w:tcW w:w="2050" w:type="dxa"/>
          </w:tcPr>
          <w:p w:rsidR="001D2E73" w:rsidRDefault="001D2E73">
            <w:pPr>
              <w:tabs>
                <w:tab w:val="decimal" w:pos="1248"/>
              </w:tabs>
              <w:spacing w:before="40" w:after="40" w:line="220" w:lineRule="exact"/>
              <w:jc w:val="right"/>
              <w:rPr>
                <w:sz w:val="18"/>
                <w:szCs w:val="18"/>
              </w:rPr>
            </w:pPr>
            <w:r>
              <w:rPr>
                <w:sz w:val="18"/>
                <w:szCs w:val="18"/>
              </w:rPr>
              <w:t>12,0</w:t>
            </w:r>
          </w:p>
        </w:tc>
        <w:tc>
          <w:tcPr>
            <w:tcW w:w="2400" w:type="dxa"/>
            <w:tcBorders>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15</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julio de 2004</w:t>
            </w:r>
          </w:p>
        </w:tc>
        <w:tc>
          <w:tcPr>
            <w:tcW w:w="2050" w:type="dxa"/>
          </w:tcPr>
          <w:p w:rsidR="001D2E73" w:rsidRDefault="001D2E73">
            <w:pPr>
              <w:tabs>
                <w:tab w:val="decimal" w:pos="1248"/>
              </w:tabs>
              <w:spacing w:before="40" w:after="40" w:line="220" w:lineRule="exact"/>
              <w:jc w:val="right"/>
              <w:rPr>
                <w:sz w:val="18"/>
                <w:szCs w:val="18"/>
              </w:rPr>
            </w:pPr>
            <w:r>
              <w:rPr>
                <w:sz w:val="18"/>
                <w:szCs w:val="18"/>
              </w:rPr>
              <w:t>20,0</w:t>
            </w:r>
          </w:p>
        </w:tc>
        <w:tc>
          <w:tcPr>
            <w:tcW w:w="2400" w:type="dxa"/>
            <w:tcBorders>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25</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enero de 2005</w:t>
            </w:r>
          </w:p>
        </w:tc>
        <w:tc>
          <w:tcPr>
            <w:tcW w:w="2050" w:type="dxa"/>
          </w:tcPr>
          <w:p w:rsidR="001D2E73" w:rsidRDefault="001D2E73">
            <w:pPr>
              <w:tabs>
                <w:tab w:val="decimal" w:pos="1248"/>
              </w:tabs>
              <w:spacing w:before="40" w:after="40" w:line="220" w:lineRule="exact"/>
              <w:jc w:val="right"/>
              <w:rPr>
                <w:sz w:val="18"/>
                <w:szCs w:val="18"/>
              </w:rPr>
            </w:pPr>
            <w:r>
              <w:rPr>
                <w:sz w:val="18"/>
                <w:szCs w:val="18"/>
              </w:rPr>
              <w:t xml:space="preserve">25,0 </w:t>
            </w:r>
          </w:p>
        </w:tc>
        <w:tc>
          <w:tcPr>
            <w:tcW w:w="2400" w:type="dxa"/>
            <w:tcBorders>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31,25</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octubre de 2005</w:t>
            </w:r>
          </w:p>
        </w:tc>
        <w:tc>
          <w:tcPr>
            <w:tcW w:w="2050" w:type="dxa"/>
          </w:tcPr>
          <w:p w:rsidR="001D2E73" w:rsidRDefault="001D2E73">
            <w:pPr>
              <w:tabs>
                <w:tab w:val="decimal" w:pos="1248"/>
              </w:tabs>
              <w:spacing w:before="40" w:after="40" w:line="220" w:lineRule="exact"/>
              <w:jc w:val="right"/>
              <w:rPr>
                <w:sz w:val="18"/>
                <w:szCs w:val="18"/>
              </w:rPr>
            </w:pPr>
            <w:r>
              <w:rPr>
                <w:sz w:val="18"/>
                <w:szCs w:val="18"/>
              </w:rPr>
              <w:t>30,0</w:t>
            </w:r>
          </w:p>
        </w:tc>
        <w:tc>
          <w:tcPr>
            <w:tcW w:w="2400" w:type="dxa"/>
            <w:tcBorders>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37,5</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enero de 2007</w:t>
            </w:r>
          </w:p>
        </w:tc>
        <w:tc>
          <w:tcPr>
            <w:tcW w:w="2050" w:type="dxa"/>
          </w:tcPr>
          <w:p w:rsidR="001D2E73" w:rsidRDefault="001D2E73">
            <w:pPr>
              <w:tabs>
                <w:tab w:val="decimal" w:pos="1248"/>
              </w:tabs>
              <w:spacing w:before="40" w:after="40" w:line="220" w:lineRule="exact"/>
              <w:jc w:val="right"/>
              <w:rPr>
                <w:sz w:val="18"/>
                <w:szCs w:val="18"/>
              </w:rPr>
            </w:pPr>
            <w:r>
              <w:rPr>
                <w:sz w:val="18"/>
                <w:szCs w:val="18"/>
              </w:rPr>
              <w:t>40,0</w:t>
            </w:r>
          </w:p>
        </w:tc>
        <w:tc>
          <w:tcPr>
            <w:tcW w:w="2400" w:type="dxa"/>
            <w:tcBorders>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50</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febrero de 2007</w:t>
            </w:r>
          </w:p>
        </w:tc>
        <w:tc>
          <w:tcPr>
            <w:tcW w:w="2050" w:type="dxa"/>
          </w:tcPr>
          <w:p w:rsidR="001D2E73" w:rsidRDefault="001D2E73">
            <w:pPr>
              <w:tabs>
                <w:tab w:val="decimal" w:pos="1248"/>
              </w:tabs>
              <w:spacing w:before="40" w:after="40" w:line="220" w:lineRule="exact"/>
              <w:jc w:val="right"/>
              <w:rPr>
                <w:sz w:val="18"/>
                <w:szCs w:val="18"/>
              </w:rPr>
            </w:pPr>
            <w:r>
              <w:rPr>
                <w:sz w:val="18"/>
                <w:szCs w:val="18"/>
              </w:rPr>
              <w:t>50,0</w:t>
            </w:r>
          </w:p>
        </w:tc>
        <w:tc>
          <w:tcPr>
            <w:tcW w:w="2400" w:type="dxa"/>
            <w:tcBorders>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62,5</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enero de 2008</w:t>
            </w:r>
          </w:p>
        </w:tc>
        <w:tc>
          <w:tcPr>
            <w:tcW w:w="2050" w:type="dxa"/>
          </w:tcPr>
          <w:p w:rsidR="001D2E73" w:rsidRDefault="001D2E73">
            <w:pPr>
              <w:tabs>
                <w:tab w:val="decimal" w:pos="1248"/>
              </w:tabs>
              <w:spacing w:before="40" w:after="40" w:line="220" w:lineRule="exact"/>
              <w:jc w:val="right"/>
              <w:rPr>
                <w:sz w:val="18"/>
                <w:szCs w:val="18"/>
              </w:rPr>
            </w:pPr>
            <w:r>
              <w:rPr>
                <w:sz w:val="18"/>
                <w:szCs w:val="18"/>
              </w:rPr>
              <w:t>60,0</w:t>
            </w:r>
          </w:p>
        </w:tc>
        <w:tc>
          <w:tcPr>
            <w:tcW w:w="2400" w:type="dxa"/>
            <w:tcBorders>
              <w:left w:val="nil"/>
              <w:bottom w:val="nil"/>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75</w:t>
            </w:r>
          </w:p>
        </w:tc>
      </w:tr>
      <w:tr w:rsidR="001D2E73">
        <w:trPr>
          <w:trHeight w:val="300"/>
        </w:trPr>
        <w:tc>
          <w:tcPr>
            <w:tcW w:w="2944" w:type="dxa"/>
          </w:tcPr>
          <w:p w:rsidR="001D2E73" w:rsidRDefault="001D2E73">
            <w:pPr>
              <w:spacing w:before="40" w:after="40" w:line="220" w:lineRule="exact"/>
              <w:rPr>
                <w:sz w:val="18"/>
                <w:szCs w:val="18"/>
              </w:rPr>
            </w:pPr>
            <w:r>
              <w:rPr>
                <w:sz w:val="18"/>
                <w:szCs w:val="18"/>
              </w:rPr>
              <w:t>Desde el 1º de septiembre de 2008</w:t>
            </w:r>
          </w:p>
        </w:tc>
        <w:tc>
          <w:tcPr>
            <w:tcW w:w="2050" w:type="dxa"/>
          </w:tcPr>
          <w:p w:rsidR="001D2E73" w:rsidRDefault="001D2E73">
            <w:pPr>
              <w:tabs>
                <w:tab w:val="decimal" w:pos="1248"/>
              </w:tabs>
              <w:spacing w:before="40" w:after="40" w:line="220" w:lineRule="exact"/>
              <w:jc w:val="right"/>
              <w:rPr>
                <w:sz w:val="18"/>
                <w:szCs w:val="18"/>
              </w:rPr>
            </w:pPr>
            <w:r>
              <w:rPr>
                <w:sz w:val="18"/>
                <w:szCs w:val="18"/>
              </w:rPr>
              <w:t>75,0</w:t>
            </w:r>
          </w:p>
        </w:tc>
        <w:tc>
          <w:tcPr>
            <w:tcW w:w="2400" w:type="dxa"/>
            <w:tcBorders>
              <w:left w:val="nil"/>
              <w:bottom w:val="single" w:sz="12" w:space="0" w:color="auto"/>
              <w:right w:val="nil"/>
              <w:tl2br w:val="nil"/>
              <w:tr2bl w:val="nil"/>
            </w:tcBorders>
          </w:tcPr>
          <w:p w:rsidR="001D2E73" w:rsidRDefault="001D2E73">
            <w:pPr>
              <w:tabs>
                <w:tab w:val="decimal" w:pos="1361"/>
              </w:tabs>
              <w:spacing w:before="40" w:after="40" w:line="220" w:lineRule="exact"/>
              <w:jc w:val="right"/>
              <w:rPr>
                <w:sz w:val="18"/>
                <w:szCs w:val="18"/>
              </w:rPr>
            </w:pPr>
            <w:r>
              <w:rPr>
                <w:sz w:val="18"/>
                <w:szCs w:val="18"/>
              </w:rPr>
              <w:t>93,75</w:t>
            </w:r>
          </w:p>
        </w:tc>
      </w:tr>
    </w:tbl>
    <w:p w:rsidR="001D2E73" w:rsidRDefault="001D2E73">
      <w:pPr>
        <w:pStyle w:val="SingleTxtGR"/>
        <w:spacing w:before="240"/>
        <w:rPr>
          <w:spacing w:val="0"/>
          <w:lang w:val="es-ES"/>
        </w:rPr>
      </w:pPr>
      <w:r>
        <w:rPr>
          <w:spacing w:val="0"/>
          <w:lang w:val="es-ES"/>
        </w:rPr>
        <w:t>153.</w:t>
      </w:r>
      <w:r>
        <w:rPr>
          <w:spacing w:val="0"/>
          <w:lang w:val="es-ES"/>
        </w:rPr>
        <w:tab/>
        <w:t>El control del sistema de salario mínimo se estipula y ejerce por medio de los convenios colectivos firmados entre los sindicatos y los empleadores a nivel de e</w:t>
      </w:r>
      <w:r>
        <w:rPr>
          <w:spacing w:val="0"/>
          <w:lang w:val="es-ES"/>
        </w:rPr>
        <w:t>m</w:t>
      </w:r>
      <w:r>
        <w:rPr>
          <w:spacing w:val="0"/>
          <w:lang w:val="es-ES"/>
        </w:rPr>
        <w:t>presas, ramas y del país en general, así como por el Cuerpo de inspectores estatales del trabajo.</w:t>
      </w:r>
    </w:p>
    <w:p w:rsidR="001D2E73" w:rsidRDefault="001D2E73">
      <w:pPr>
        <w:pStyle w:val="SingleTxtGR"/>
        <w:rPr>
          <w:spacing w:val="0"/>
          <w:lang w:val="es-ES"/>
        </w:rPr>
      </w:pPr>
      <w:r>
        <w:rPr>
          <w:spacing w:val="0"/>
          <w:lang w:val="es-ES"/>
        </w:rPr>
        <w:t>154.</w:t>
      </w:r>
      <w:r>
        <w:rPr>
          <w:spacing w:val="0"/>
          <w:lang w:val="es-ES"/>
        </w:rPr>
        <w:tab/>
        <w:t>De conformidad con el artículo 156 del Código del Trabajo, el salario se paga por un monto no inferior a la suma establecida en el contrato de trabajo, así como en el monto establecido sobre la base del salario básico (la remuneración), previsto en el convenio colectivo fi</w:t>
      </w:r>
      <w:r>
        <w:rPr>
          <w:spacing w:val="0"/>
          <w:lang w:val="es-ES"/>
        </w:rPr>
        <w:t>r</w:t>
      </w:r>
      <w:r>
        <w:rPr>
          <w:spacing w:val="0"/>
          <w:lang w:val="es-ES"/>
        </w:rPr>
        <w:t>mado.</w:t>
      </w:r>
    </w:p>
    <w:p w:rsidR="001D2E73" w:rsidRDefault="001D2E73">
      <w:pPr>
        <w:pStyle w:val="SingleTxtGR"/>
        <w:rPr>
          <w:spacing w:val="0"/>
          <w:lang w:val="es-ES"/>
        </w:rPr>
      </w:pPr>
      <w:r>
        <w:rPr>
          <w:spacing w:val="0"/>
          <w:lang w:val="es-ES"/>
        </w:rPr>
        <w:t>155.</w:t>
      </w:r>
      <w:r>
        <w:rPr>
          <w:spacing w:val="0"/>
          <w:lang w:val="es-ES"/>
        </w:rPr>
        <w:tab/>
        <w:t>De conformidad con el artículo 157 del Código del Trabajo, el trabajo se paga por jornada, a destajo o cualquier otro sistema de remuneración laboral. La remun</w:t>
      </w:r>
      <w:r>
        <w:rPr>
          <w:spacing w:val="0"/>
          <w:lang w:val="es-ES"/>
        </w:rPr>
        <w:t>e</w:t>
      </w:r>
      <w:r>
        <w:rPr>
          <w:spacing w:val="0"/>
          <w:lang w:val="es-ES"/>
        </w:rPr>
        <w:t>ración del trabajo se podrá establecer conforme a los resultados individuales y cole</w:t>
      </w:r>
      <w:r>
        <w:rPr>
          <w:spacing w:val="0"/>
          <w:lang w:val="es-ES"/>
        </w:rPr>
        <w:t>c</w:t>
      </w:r>
      <w:r>
        <w:rPr>
          <w:spacing w:val="0"/>
          <w:lang w:val="es-ES"/>
        </w:rPr>
        <w:t>tivos del trabajo. A los efectos de aumentar el interés material de los trabajadores en el cumplimiento de los compromisos establecidos en el contrato de trabajo, aumentar la eficacia de la producción y la calidad del trabajo se podrá introducir un sistema de premiación, en particular la recompensa por los resultados del trabajo durante el año y otras formas de incentivos materiales. El salario está integrado por el salario básico mensual (sueldo del empleado), suplementos y primas. El salario básico (remuneración) es la parte fundamental de los ingresos, que se establece según la complejidad del trabajo, la intensidad del trabajo y el gr</w:t>
      </w:r>
      <w:r>
        <w:rPr>
          <w:spacing w:val="0"/>
          <w:lang w:val="es-ES"/>
        </w:rPr>
        <w:t>a</w:t>
      </w:r>
      <w:r>
        <w:rPr>
          <w:spacing w:val="0"/>
          <w:lang w:val="es-ES"/>
        </w:rPr>
        <w:t>do de calificación del trabajador. Los suplementos salariales son una suma adicional al salario básico (la remuneración) del trabajador, que equivale a una compensación debida a las condiciones de trabajo o con fines de estímulo. Las primas son una suma de estímulo que se paga como procede y en la forma prevista en el sistema salarial con el fin de despertar el interés material del trabajador en el aumento de la calidad y cantidad de tr</w:t>
      </w:r>
      <w:r>
        <w:rPr>
          <w:spacing w:val="0"/>
          <w:lang w:val="es-ES"/>
        </w:rPr>
        <w:t>a</w:t>
      </w:r>
      <w:r>
        <w:rPr>
          <w:spacing w:val="0"/>
          <w:lang w:val="es-ES"/>
        </w:rPr>
        <w:t>bajo.</w:t>
      </w:r>
    </w:p>
    <w:p w:rsidR="001D2E73" w:rsidRDefault="001D2E73">
      <w:pPr>
        <w:pStyle w:val="SingleTxtGR"/>
        <w:rPr>
          <w:spacing w:val="0"/>
          <w:lang w:val="es-ES"/>
        </w:rPr>
      </w:pPr>
      <w:r>
        <w:rPr>
          <w:spacing w:val="0"/>
          <w:lang w:val="es-ES"/>
        </w:rPr>
        <w:t>156.</w:t>
      </w:r>
      <w:r>
        <w:rPr>
          <w:spacing w:val="0"/>
          <w:lang w:val="es-ES"/>
        </w:rPr>
        <w:tab/>
        <w:t>De conformidad con el artículo 158 de dicho Código, los tipos y sistemas de pago del trabajo, los salarios (la remuneración), los suplementos, las primas y otros pagos de estímulo se establecen en los convenios colectivos y los co</w:t>
      </w:r>
      <w:r>
        <w:rPr>
          <w:spacing w:val="0"/>
          <w:lang w:val="es-ES"/>
        </w:rPr>
        <w:t>n</w:t>
      </w:r>
      <w:r>
        <w:rPr>
          <w:spacing w:val="0"/>
          <w:lang w:val="es-ES"/>
        </w:rPr>
        <w:t>tratos de trabajo y, en los casos en que no exista un convenio colectivo, se establecen en el contrato de trabajo o los determina el empleador con el acuerdo de la org</w:t>
      </w:r>
      <w:r>
        <w:rPr>
          <w:spacing w:val="0"/>
          <w:lang w:val="es-ES"/>
        </w:rPr>
        <w:t>a</w:t>
      </w:r>
      <w:r>
        <w:rPr>
          <w:spacing w:val="0"/>
          <w:lang w:val="es-ES"/>
        </w:rPr>
        <w:t>nización sindical. El Consejo de Ministros de Azerbaiyán determina los sistemas, tipos y montos del pago del trabajo de los trabajadores de las empresas financiadas con cargo al presupuesto. El monto del salario del trabajador se determina por los resultados de su trabajo, su destreza personal y su nivel de calificación, y no se le podrán imponer limitaciones.</w:t>
      </w:r>
    </w:p>
    <w:p w:rsidR="001D2E73" w:rsidRDefault="001D2E73">
      <w:pPr>
        <w:pStyle w:val="SingleTxtGR"/>
        <w:rPr>
          <w:spacing w:val="0"/>
          <w:lang w:val="es-ES"/>
        </w:rPr>
      </w:pPr>
      <w:r>
        <w:rPr>
          <w:spacing w:val="0"/>
          <w:lang w:val="es-ES"/>
        </w:rPr>
        <w:t>157.</w:t>
      </w:r>
      <w:r>
        <w:rPr>
          <w:spacing w:val="0"/>
          <w:lang w:val="es-ES"/>
        </w:rPr>
        <w:tab/>
        <w:t xml:space="preserve">Con arreglo al Programa de trabajo digno en el marco de la colaboración con </w:t>
      </w:r>
      <w:smartTag w:uri="urn:schemas-microsoft-com:office:smarttags" w:element="PersonName">
        <w:smartTagPr>
          <w:attr w:name="ProductID" w:val="la Organizaci￳n Internacional"/>
        </w:smartTagPr>
        <w:r>
          <w:rPr>
            <w:spacing w:val="0"/>
            <w:lang w:val="es-ES"/>
          </w:rPr>
          <w:t>la Organización Internacional</w:t>
        </w:r>
      </w:smartTag>
      <w:r>
        <w:rPr>
          <w:spacing w:val="0"/>
          <w:lang w:val="es-ES"/>
        </w:rPr>
        <w:t xml:space="preserve"> del Trabajo para 2006-2009, se llevan a cabo actividades encaminadas a la elaboración e introducción de programas de estudio especiales destinados a procurar empleo para todas las capas de la población y se ejec</w:t>
      </w:r>
      <w:r>
        <w:rPr>
          <w:spacing w:val="0"/>
          <w:lang w:val="es-ES"/>
        </w:rPr>
        <w:t>u</w:t>
      </w:r>
      <w:r>
        <w:rPr>
          <w:spacing w:val="0"/>
          <w:lang w:val="es-ES"/>
        </w:rPr>
        <w:t>tan proyectos piloto destinados a estimular el empleo por cuenta propia, aumentar la actividad empresarial, intensificar la integración de personas con necesidades de pr</w:t>
      </w:r>
      <w:r>
        <w:rPr>
          <w:spacing w:val="0"/>
          <w:lang w:val="es-ES"/>
        </w:rPr>
        <w:t>o</w:t>
      </w:r>
      <w:r>
        <w:rPr>
          <w:spacing w:val="0"/>
          <w:lang w:val="es-ES"/>
        </w:rPr>
        <w:t xml:space="preserve">tección social especial en el mercado de trabajo y garantizar un trabajo digno para todos los trabajadores del país. </w:t>
      </w:r>
    </w:p>
    <w:p w:rsidR="001D2E73" w:rsidRDefault="001D2E73">
      <w:pPr>
        <w:pStyle w:val="SingleTxtGR"/>
        <w:rPr>
          <w:spacing w:val="0"/>
          <w:lang w:val="es-ES"/>
        </w:rPr>
      </w:pPr>
      <w:r>
        <w:rPr>
          <w:spacing w:val="0"/>
          <w:lang w:val="es-ES"/>
        </w:rPr>
        <w:t>158.</w:t>
      </w:r>
      <w:r>
        <w:rPr>
          <w:spacing w:val="0"/>
          <w:lang w:val="es-ES"/>
        </w:rPr>
        <w:tab/>
        <w:t>De conformidad con el párrafo 6 del artículo 35 de la Constitución, todos los ciudadanos tienen derecho a recibir una remuneración por su trabajo sin discrimin</w:t>
      </w:r>
      <w:r>
        <w:rPr>
          <w:spacing w:val="0"/>
          <w:lang w:val="es-ES"/>
        </w:rPr>
        <w:t>a</w:t>
      </w:r>
      <w:r>
        <w:rPr>
          <w:spacing w:val="0"/>
          <w:lang w:val="es-ES"/>
        </w:rPr>
        <w:t xml:space="preserve">ción de ningún tipo en una cuantía no inferior al salario mínimo establecido por el Estado. </w:t>
      </w:r>
    </w:p>
    <w:p w:rsidR="001D2E73" w:rsidRDefault="001D2E73">
      <w:pPr>
        <w:pStyle w:val="SingleTxtGR"/>
        <w:rPr>
          <w:spacing w:val="0"/>
          <w:lang w:val="es-ES"/>
        </w:rPr>
      </w:pPr>
      <w:r>
        <w:rPr>
          <w:spacing w:val="0"/>
          <w:lang w:val="es-ES"/>
        </w:rPr>
        <w:t>159.</w:t>
      </w:r>
      <w:r>
        <w:rPr>
          <w:spacing w:val="0"/>
          <w:lang w:val="es-ES"/>
        </w:rPr>
        <w:tab/>
        <w:t>En el párrafo 7 del artículo 35 de la Constitución del país se prevé que los desempleados reciban prestaciones sociales del Estado.</w:t>
      </w:r>
    </w:p>
    <w:p w:rsidR="001D2E73" w:rsidRDefault="001D2E73">
      <w:pPr>
        <w:pStyle w:val="SingleTxtGR"/>
        <w:rPr>
          <w:spacing w:val="0"/>
          <w:lang w:val="es-ES"/>
        </w:rPr>
      </w:pPr>
      <w:r>
        <w:rPr>
          <w:spacing w:val="0"/>
          <w:lang w:val="es-ES"/>
        </w:rPr>
        <w:t>160.</w:t>
      </w:r>
      <w:r>
        <w:rPr>
          <w:spacing w:val="0"/>
          <w:lang w:val="es-ES"/>
        </w:rPr>
        <w:tab/>
        <w:t>El principio de igualdad de remuneración por trabajo de igual valor se garant</w:t>
      </w:r>
      <w:r>
        <w:rPr>
          <w:spacing w:val="0"/>
          <w:lang w:val="es-ES"/>
        </w:rPr>
        <w:t>i</w:t>
      </w:r>
      <w:r>
        <w:rPr>
          <w:spacing w:val="0"/>
          <w:lang w:val="es-ES"/>
        </w:rPr>
        <w:t>za en Azerbaiyán sobre la base de lo dispuesto en el mencionado artículo 35 de la Constitución.</w:t>
      </w:r>
    </w:p>
    <w:p w:rsidR="001D2E73" w:rsidRDefault="001D2E73">
      <w:pPr>
        <w:pStyle w:val="SingleTxtGR"/>
        <w:rPr>
          <w:spacing w:val="0"/>
          <w:lang w:val="es-ES"/>
        </w:rPr>
      </w:pPr>
      <w:r>
        <w:rPr>
          <w:spacing w:val="0"/>
          <w:lang w:val="es-ES"/>
        </w:rPr>
        <w:t>161.</w:t>
      </w:r>
      <w:r>
        <w:rPr>
          <w:spacing w:val="0"/>
          <w:lang w:val="es-ES"/>
        </w:rPr>
        <w:tab/>
        <w:t>El empleador o cualquier otra persona física que en las relaciones laborales permita la discriminación entre trabajadores, incurrirá en responsabilidad conforme a lo establecido en la legislación.</w:t>
      </w:r>
    </w:p>
    <w:p w:rsidR="001D2E73" w:rsidRDefault="001D2E73">
      <w:pPr>
        <w:pStyle w:val="SingleTxtGR"/>
        <w:rPr>
          <w:spacing w:val="0"/>
          <w:lang w:val="es-ES"/>
        </w:rPr>
      </w:pPr>
      <w:r>
        <w:rPr>
          <w:spacing w:val="0"/>
          <w:lang w:val="es-ES"/>
        </w:rPr>
        <w:t>162.</w:t>
      </w:r>
      <w:r>
        <w:rPr>
          <w:spacing w:val="0"/>
          <w:lang w:val="es-ES"/>
        </w:rPr>
        <w:tab/>
        <w:t>Se podrán establecer normas laborales. Las normas laborales se est</w:t>
      </w:r>
      <w:r>
        <w:rPr>
          <w:spacing w:val="0"/>
          <w:lang w:val="es-ES"/>
        </w:rPr>
        <w:t>a</w:t>
      </w:r>
      <w:r>
        <w:rPr>
          <w:spacing w:val="0"/>
          <w:lang w:val="es-ES"/>
        </w:rPr>
        <w:t>blecen de manera tal que durante toda la jornada laboral el trabajador pueda cumplir la función que se le haya asignado y el monto de su salario no sea inferior al mínimo establecido por ley.</w:t>
      </w:r>
    </w:p>
    <w:p w:rsidR="001D2E73" w:rsidRDefault="001D2E73">
      <w:pPr>
        <w:pStyle w:val="SingleTxtGR"/>
        <w:rPr>
          <w:spacing w:val="0"/>
          <w:lang w:val="es-ES"/>
        </w:rPr>
      </w:pPr>
      <w:r>
        <w:rPr>
          <w:spacing w:val="0"/>
          <w:lang w:val="es-ES"/>
        </w:rPr>
        <w:t>163.</w:t>
      </w:r>
      <w:r>
        <w:rPr>
          <w:spacing w:val="0"/>
          <w:lang w:val="es-ES"/>
        </w:rPr>
        <w:tab/>
        <w:t>El empleador debe determinar con precisión e inequívocamente el conjunto de funciones laborales del trabajador previsto en el contrato de trabajo, que corresponda a las funciones que debe desempeñar en relación con una o varias tareas, especial</w:t>
      </w:r>
      <w:r>
        <w:rPr>
          <w:spacing w:val="0"/>
          <w:lang w:val="es-ES"/>
        </w:rPr>
        <w:t>i</w:t>
      </w:r>
      <w:r>
        <w:rPr>
          <w:spacing w:val="0"/>
          <w:lang w:val="es-ES"/>
        </w:rPr>
        <w:t>dades u oficios, o con los servicios que deba prestar.</w:t>
      </w:r>
    </w:p>
    <w:p w:rsidR="001D2E73" w:rsidRDefault="001D2E73">
      <w:pPr>
        <w:pStyle w:val="SingleTxtGR"/>
        <w:rPr>
          <w:spacing w:val="0"/>
          <w:lang w:val="es-ES"/>
        </w:rPr>
      </w:pPr>
      <w:r>
        <w:rPr>
          <w:spacing w:val="0"/>
          <w:lang w:val="es-ES"/>
        </w:rPr>
        <w:t>164.</w:t>
      </w:r>
      <w:r>
        <w:rPr>
          <w:spacing w:val="0"/>
          <w:lang w:val="es-ES"/>
        </w:rPr>
        <w:tab/>
        <w:t>El volumen de las funciones laborales se determina sobre la base del Manual Único de tarifas salariales, aprobado por el Ministerio de Trab</w:t>
      </w:r>
      <w:r>
        <w:rPr>
          <w:spacing w:val="0"/>
          <w:lang w:val="es-ES"/>
        </w:rPr>
        <w:t>a</w:t>
      </w:r>
      <w:r>
        <w:rPr>
          <w:spacing w:val="0"/>
          <w:lang w:val="es-ES"/>
        </w:rPr>
        <w:t>jo y Protección Social de la Población o el empleador.</w:t>
      </w:r>
    </w:p>
    <w:p w:rsidR="001D2E73" w:rsidRDefault="001D2E73">
      <w:pPr>
        <w:pStyle w:val="SingleTxtGR"/>
        <w:rPr>
          <w:spacing w:val="0"/>
          <w:lang w:val="es-ES"/>
        </w:rPr>
      </w:pPr>
      <w:r>
        <w:rPr>
          <w:spacing w:val="0"/>
          <w:lang w:val="es-ES"/>
        </w:rPr>
        <w:t>165.</w:t>
      </w:r>
      <w:r>
        <w:rPr>
          <w:spacing w:val="0"/>
          <w:lang w:val="es-ES"/>
        </w:rPr>
        <w:tab/>
        <w:t>En el Manual Único de tarifas salariales incluye la descripción de puestos de distintas profesiones y oficios y los requisitos de conocimientos y nivel de instrucción necesarios para realizar ese trabajo. En el Manual se establece la relación entre el monto de la remuneración del trabajo y la calificación del trabajador sumada a la complejidad de la labor realizada. Mientras más alta sea la calificación, mayor será el salario.</w:t>
      </w:r>
    </w:p>
    <w:p w:rsidR="001D2E73" w:rsidRDefault="001D2E73">
      <w:pPr>
        <w:pStyle w:val="SingleTxtGR"/>
        <w:rPr>
          <w:spacing w:val="0"/>
          <w:lang w:val="es-ES"/>
        </w:rPr>
      </w:pPr>
      <w:r>
        <w:rPr>
          <w:spacing w:val="0"/>
          <w:lang w:val="es-ES"/>
        </w:rPr>
        <w:t>166.</w:t>
      </w:r>
      <w:r>
        <w:rPr>
          <w:spacing w:val="0"/>
          <w:lang w:val="es-ES"/>
        </w:rPr>
        <w:tab/>
        <w:t>Con arreglo al párrafo 6 del artículo 35 de la Constitución de Azerbaiyán, toda persona tiene derecho a trabajar en condiciones seguras e higiénicas.</w:t>
      </w:r>
    </w:p>
    <w:p w:rsidR="001D2E73" w:rsidRDefault="001D2E73">
      <w:pPr>
        <w:pStyle w:val="SingleTxtGR"/>
        <w:rPr>
          <w:spacing w:val="0"/>
          <w:lang w:val="es-ES"/>
        </w:rPr>
      </w:pPr>
      <w:r>
        <w:rPr>
          <w:spacing w:val="0"/>
          <w:lang w:val="es-ES"/>
        </w:rPr>
        <w:t>167.</w:t>
      </w:r>
      <w:r>
        <w:rPr>
          <w:spacing w:val="0"/>
          <w:lang w:val="es-ES"/>
        </w:rPr>
        <w:tab/>
        <w:t>El artículo 208 del Código del Trabajo dispone que las normas y el reglamento de protección del trabajo, establecidos en el Código del Trabajo y otros instrumentos normativos, deben aplicarse obligatoriamente en todos los puestos de trabajo, donde realicen sus actividades:</w:t>
      </w:r>
    </w:p>
    <w:p w:rsidR="001D2E73" w:rsidRDefault="001D2E73">
      <w:pPr>
        <w:pStyle w:val="SingleTxtGR"/>
        <w:ind w:left="0" w:firstLine="1134"/>
        <w:rPr>
          <w:spacing w:val="0"/>
          <w:lang w:val="es-ES"/>
        </w:rPr>
      </w:pPr>
      <w:r>
        <w:rPr>
          <w:spacing w:val="0"/>
          <w:lang w:val="es-ES"/>
        </w:rPr>
        <w:tab/>
        <w:t>a)</w:t>
      </w:r>
      <w:r>
        <w:rPr>
          <w:spacing w:val="0"/>
          <w:lang w:val="es-ES"/>
        </w:rPr>
        <w:tab/>
        <w:t>Trabajadores;</w:t>
      </w:r>
    </w:p>
    <w:p w:rsidR="001D2E73" w:rsidRDefault="001D2E73">
      <w:pPr>
        <w:pStyle w:val="SingleTxtGR"/>
        <w:ind w:left="0" w:firstLine="1134"/>
        <w:rPr>
          <w:spacing w:val="0"/>
          <w:lang w:val="es-ES"/>
        </w:rPr>
      </w:pPr>
      <w:r>
        <w:rPr>
          <w:spacing w:val="0"/>
          <w:lang w:val="es-ES"/>
        </w:rPr>
        <w:tab/>
        <w:t>b)</w:t>
      </w:r>
      <w:r>
        <w:rPr>
          <w:spacing w:val="0"/>
          <w:lang w:val="es-ES"/>
        </w:rPr>
        <w:tab/>
        <w:t>Estudiantes y alumnos que realicen prácticas pr</w:t>
      </w:r>
      <w:r>
        <w:rPr>
          <w:spacing w:val="0"/>
          <w:lang w:val="es-ES"/>
        </w:rPr>
        <w:t>o</w:t>
      </w:r>
      <w:r>
        <w:rPr>
          <w:spacing w:val="0"/>
          <w:lang w:val="es-ES"/>
        </w:rPr>
        <w:t>ductivas;</w:t>
      </w:r>
    </w:p>
    <w:p w:rsidR="001D2E73" w:rsidRDefault="001D2E73">
      <w:pPr>
        <w:pStyle w:val="SingleTxtGR"/>
        <w:ind w:left="0" w:firstLine="1134"/>
        <w:rPr>
          <w:spacing w:val="0"/>
          <w:lang w:val="es-ES"/>
        </w:rPr>
      </w:pPr>
      <w:r>
        <w:rPr>
          <w:spacing w:val="0"/>
          <w:lang w:val="es-ES"/>
        </w:rPr>
        <w:tab/>
        <w:t>c)</w:t>
      </w:r>
      <w:r>
        <w:rPr>
          <w:spacing w:val="0"/>
          <w:lang w:val="es-ES"/>
        </w:rPr>
        <w:tab/>
        <w:t xml:space="preserve">Militares asignados a labores en las empresas; </w:t>
      </w:r>
    </w:p>
    <w:p w:rsidR="001D2E73" w:rsidRDefault="001D2E73">
      <w:pPr>
        <w:pStyle w:val="SingleTxtGR"/>
        <w:ind w:left="0" w:firstLine="1134"/>
        <w:rPr>
          <w:spacing w:val="0"/>
          <w:lang w:val="es-ES"/>
        </w:rPr>
      </w:pPr>
      <w:r>
        <w:rPr>
          <w:spacing w:val="0"/>
          <w:lang w:val="es-ES"/>
        </w:rPr>
        <w:tab/>
        <w:t>d)</w:t>
      </w:r>
      <w:r>
        <w:rPr>
          <w:spacing w:val="0"/>
          <w:lang w:val="es-ES"/>
        </w:rPr>
        <w:tab/>
        <w:t>Reclusos que trabajen en lugares donde se cumplen sanciones pen</w:t>
      </w:r>
      <w:r>
        <w:rPr>
          <w:spacing w:val="0"/>
          <w:lang w:val="es-ES"/>
        </w:rPr>
        <w:t>a</w:t>
      </w:r>
      <w:r>
        <w:rPr>
          <w:spacing w:val="0"/>
          <w:lang w:val="es-ES"/>
        </w:rPr>
        <w:t>les;</w:t>
      </w:r>
    </w:p>
    <w:p w:rsidR="001D2E73" w:rsidRDefault="001D2E73">
      <w:pPr>
        <w:pStyle w:val="SingleTxtGR"/>
        <w:rPr>
          <w:spacing w:val="0"/>
          <w:lang w:val="es-ES"/>
        </w:rPr>
      </w:pPr>
      <w:r>
        <w:rPr>
          <w:spacing w:val="0"/>
          <w:lang w:val="es-ES"/>
        </w:rPr>
        <w:tab/>
        <w:t>e)</w:t>
      </w:r>
      <w:r>
        <w:rPr>
          <w:spacing w:val="0"/>
          <w:lang w:val="es-ES"/>
        </w:rPr>
        <w:tab/>
        <w:t>Personas, que voluntariamente cumplen tareas de liquidación de las consecuencias de desastres naturales, así como en situaciones de emergencia y de conflicto armado.</w:t>
      </w:r>
    </w:p>
    <w:p w:rsidR="001D2E73" w:rsidRDefault="001D2E73">
      <w:pPr>
        <w:pStyle w:val="SingleTxtGR"/>
        <w:rPr>
          <w:spacing w:val="0"/>
          <w:lang w:val="es-ES"/>
        </w:rPr>
      </w:pPr>
      <w:r>
        <w:rPr>
          <w:spacing w:val="0"/>
          <w:lang w:val="es-ES"/>
        </w:rPr>
        <w:t>168.</w:t>
      </w:r>
      <w:r>
        <w:rPr>
          <w:spacing w:val="0"/>
          <w:lang w:val="es-ES"/>
        </w:rPr>
        <w:tab/>
        <w:t>En las leyes sobre seguridad técnica, de 2 de noviembre de 1999, lucha contra la tuberculosis en Azerbaiyán, de 2 de mayo de 2000, se establecen las condiciones mínimas de higiene y seguridad del trabajo.</w:t>
      </w:r>
    </w:p>
    <w:p w:rsidR="001D2E73" w:rsidRDefault="001D2E73">
      <w:pPr>
        <w:pStyle w:val="SingleTxtGR"/>
        <w:rPr>
          <w:spacing w:val="0"/>
          <w:lang w:val="es-ES"/>
        </w:rPr>
      </w:pPr>
      <w:r>
        <w:rPr>
          <w:spacing w:val="0"/>
          <w:lang w:val="es-ES"/>
        </w:rPr>
        <w:t>169.</w:t>
      </w:r>
      <w:r>
        <w:rPr>
          <w:spacing w:val="0"/>
          <w:lang w:val="es-ES"/>
        </w:rPr>
        <w:tab/>
        <w:t>De conformidad con el párrafo 10 del artículo 3 del Código del Trabajo, la protección del trabajo es el sistema de técnicas de seguridad, medidas sanitarias, higiénicas y preventivas, normas y reglas previstas en el Código y en otros instr</w:t>
      </w:r>
      <w:r>
        <w:rPr>
          <w:spacing w:val="0"/>
          <w:lang w:val="es-ES"/>
        </w:rPr>
        <w:t>u</w:t>
      </w:r>
      <w:r>
        <w:rPr>
          <w:spacing w:val="0"/>
          <w:lang w:val="es-ES"/>
        </w:rPr>
        <w:t>mentos normativos, así como en convenios colectivos, acuerdos y contratos de trabajo, con el fin de garantizar los derechos de los trabajadores а realizar su actividad l</w:t>
      </w:r>
      <w:r>
        <w:rPr>
          <w:spacing w:val="0"/>
          <w:lang w:val="es-ES"/>
        </w:rPr>
        <w:t>a</w:t>
      </w:r>
      <w:r>
        <w:rPr>
          <w:spacing w:val="0"/>
          <w:lang w:val="es-ES"/>
        </w:rPr>
        <w:t>boral en condiciones seguras e higiénicas.</w:t>
      </w:r>
    </w:p>
    <w:p w:rsidR="001D2E73" w:rsidRDefault="001D2E73">
      <w:pPr>
        <w:pStyle w:val="SingleTxtGR"/>
        <w:rPr>
          <w:spacing w:val="0"/>
          <w:lang w:val="es-ES"/>
        </w:rPr>
      </w:pPr>
      <w:r>
        <w:rPr>
          <w:spacing w:val="0"/>
          <w:lang w:val="es-ES"/>
        </w:rPr>
        <w:t>170.</w:t>
      </w:r>
      <w:r>
        <w:rPr>
          <w:spacing w:val="0"/>
          <w:lang w:val="es-ES"/>
        </w:rPr>
        <w:tab/>
        <w:t>Con arreglo al artículo 54 de dicho Código, para que el trabajador cumpla sus funciones laborales, el empleador debe garantizar las siguientes condiciones de tr</w:t>
      </w:r>
      <w:r>
        <w:rPr>
          <w:spacing w:val="0"/>
          <w:lang w:val="es-ES"/>
        </w:rPr>
        <w:t>a</w:t>
      </w:r>
      <w:r>
        <w:rPr>
          <w:spacing w:val="0"/>
          <w:lang w:val="es-ES"/>
        </w:rPr>
        <w:t>bajo: determinación del nombre de los oficios (cargos), el nivel de calificación, la remuneración del trabajo; la determinación del monto de la remuneración del trabajo y su pago; la determinación de las normas laborales y las normas de tarificación del trabajo; la creación del puesto de trabajo y de las condiciones de trabajo que respo</w:t>
      </w:r>
      <w:r>
        <w:rPr>
          <w:spacing w:val="0"/>
          <w:lang w:val="es-ES"/>
        </w:rPr>
        <w:t>n</w:t>
      </w:r>
      <w:r>
        <w:rPr>
          <w:spacing w:val="0"/>
          <w:lang w:val="es-ES"/>
        </w:rPr>
        <w:t>dan a las normas sanitarias e higiénicas; el respeto de las normas de protección del trabajo y la técnica de seguridad; el cumplimiento de las funciones laborales en la jornada laboral que no exceda el horario de trabajo establecido en el presente Cód</w:t>
      </w:r>
      <w:r>
        <w:rPr>
          <w:spacing w:val="0"/>
          <w:lang w:val="es-ES"/>
        </w:rPr>
        <w:t>i</w:t>
      </w:r>
      <w:r>
        <w:rPr>
          <w:spacing w:val="0"/>
          <w:lang w:val="es-ES"/>
        </w:rPr>
        <w:t xml:space="preserve">go; el aprovechamiento del tiempo de descanso y de vacaciones establecido en el presente Código; el seguro social obligatorio de los trabajadores, establecido por ley; las condiciones previstas en los contratos de trabajo y los convenios colectivos. </w:t>
      </w:r>
    </w:p>
    <w:p w:rsidR="001D2E73" w:rsidRDefault="001D2E73">
      <w:pPr>
        <w:pStyle w:val="SingleTxtGR"/>
        <w:rPr>
          <w:spacing w:val="0"/>
          <w:lang w:val="es-ES"/>
        </w:rPr>
      </w:pPr>
      <w:r>
        <w:rPr>
          <w:spacing w:val="0"/>
          <w:lang w:val="es-ES"/>
        </w:rPr>
        <w:t>171.</w:t>
      </w:r>
      <w:r>
        <w:rPr>
          <w:spacing w:val="0"/>
          <w:lang w:val="es-ES"/>
        </w:rPr>
        <w:tab/>
        <w:t>De conformidad con el artículo 215 del Código del Trabajo, el propietario de la empresa y el empleador tienen la responsabilidad directa del cumplimiento por los trabajadores de las normas y el reglamento de protección del trabajo en los puestos de trabajo y deben garantizar que se cumplan las siguientes medidas:</w:t>
      </w:r>
    </w:p>
    <w:p w:rsidR="001D2E73" w:rsidRDefault="001D2E73">
      <w:pPr>
        <w:pStyle w:val="Bullet1G"/>
        <w:rPr>
          <w:lang w:val="es-ES"/>
        </w:rPr>
      </w:pPr>
      <w:r>
        <w:rPr>
          <w:lang w:val="es-ES"/>
        </w:rPr>
        <w:t>Respeto de todos los requisitos de las normas, reglas y del reglamento de pr</w:t>
      </w:r>
      <w:r>
        <w:rPr>
          <w:lang w:val="es-ES"/>
        </w:rPr>
        <w:t>o</w:t>
      </w:r>
      <w:r>
        <w:rPr>
          <w:lang w:val="es-ES"/>
        </w:rPr>
        <w:t xml:space="preserve">tección del trabajo </w:t>
      </w:r>
    </w:p>
    <w:p w:rsidR="001D2E73" w:rsidRDefault="001D2E73">
      <w:pPr>
        <w:pStyle w:val="Bullet1G"/>
        <w:rPr>
          <w:lang w:val="es-ES"/>
        </w:rPr>
      </w:pPr>
      <w:r>
        <w:rPr>
          <w:lang w:val="es-ES"/>
        </w:rPr>
        <w:t xml:space="preserve">Seguridad de los edificios, las instalaciones, los procesos tecnológicos y el equipo </w:t>
      </w:r>
    </w:p>
    <w:p w:rsidR="001D2E73" w:rsidRDefault="001D2E73">
      <w:pPr>
        <w:pStyle w:val="Bullet1G"/>
        <w:rPr>
          <w:lang w:val="es-ES"/>
        </w:rPr>
      </w:pPr>
      <w:r>
        <w:rPr>
          <w:lang w:val="es-ES"/>
        </w:rPr>
        <w:t>Creación de condiciones higiénicas y sanitarias y protección del trabajo dire</w:t>
      </w:r>
      <w:r>
        <w:rPr>
          <w:lang w:val="es-ES"/>
        </w:rPr>
        <w:t>c</w:t>
      </w:r>
      <w:r>
        <w:rPr>
          <w:lang w:val="es-ES"/>
        </w:rPr>
        <w:t>tamente en los puestos de trabajo de conformidad con las normativas vigentes</w:t>
      </w:r>
    </w:p>
    <w:p w:rsidR="001D2E73" w:rsidRDefault="001D2E73">
      <w:pPr>
        <w:pStyle w:val="Bullet1G"/>
        <w:rPr>
          <w:lang w:val="es-ES"/>
        </w:rPr>
      </w:pPr>
      <w:r>
        <w:rPr>
          <w:lang w:val="es-ES"/>
        </w:rPr>
        <w:t>Organización de la prestación de los servicios sanitarios y preventivos neces</w:t>
      </w:r>
      <w:r>
        <w:rPr>
          <w:lang w:val="es-ES"/>
        </w:rPr>
        <w:t>a</w:t>
      </w:r>
      <w:r>
        <w:rPr>
          <w:lang w:val="es-ES"/>
        </w:rPr>
        <w:t xml:space="preserve">rios a los trabajadores </w:t>
      </w:r>
    </w:p>
    <w:p w:rsidR="001D2E73" w:rsidRDefault="001D2E73">
      <w:pPr>
        <w:pStyle w:val="Bullet1G"/>
        <w:rPr>
          <w:lang w:val="es-ES"/>
        </w:rPr>
      </w:pPr>
      <w:r>
        <w:rPr>
          <w:lang w:val="es-ES"/>
        </w:rPr>
        <w:t>Entrega gratuita a los trabajadores que realizan labores en condiciones peligr</w:t>
      </w:r>
      <w:r>
        <w:rPr>
          <w:lang w:val="es-ES"/>
        </w:rPr>
        <w:t>o</w:t>
      </w:r>
      <w:r>
        <w:rPr>
          <w:lang w:val="es-ES"/>
        </w:rPr>
        <w:t>sas y difíciles y trabajos subterráneos, de alimentos saludables y preventivos, leche y otros productos de igual valor</w:t>
      </w:r>
    </w:p>
    <w:p w:rsidR="001D2E73" w:rsidRDefault="001D2E73">
      <w:pPr>
        <w:pStyle w:val="Bullet1G"/>
        <w:rPr>
          <w:lang w:val="es-ES"/>
        </w:rPr>
      </w:pPr>
      <w:r>
        <w:rPr>
          <w:lang w:val="es-ES"/>
        </w:rPr>
        <w:t>Observancia del régimen normal de trabajo y descanso</w:t>
      </w:r>
    </w:p>
    <w:p w:rsidR="001D2E73" w:rsidRDefault="001D2E73">
      <w:pPr>
        <w:pStyle w:val="Bullet1G"/>
        <w:rPr>
          <w:lang w:val="es-ES"/>
        </w:rPr>
      </w:pPr>
      <w:r>
        <w:rPr>
          <w:lang w:val="es-ES"/>
        </w:rPr>
        <w:t>Entrega gratuita a los trabajadores en las fechas establecidas y el surtido nec</w:t>
      </w:r>
      <w:r>
        <w:rPr>
          <w:lang w:val="es-ES"/>
        </w:rPr>
        <w:t>e</w:t>
      </w:r>
      <w:r>
        <w:rPr>
          <w:lang w:val="es-ES"/>
        </w:rPr>
        <w:t xml:space="preserve">sario de ropa especial, calzado especial y otros medios de protección personal </w:t>
      </w:r>
    </w:p>
    <w:p w:rsidR="001D2E73" w:rsidRDefault="001D2E73">
      <w:pPr>
        <w:pStyle w:val="Bullet1G"/>
        <w:rPr>
          <w:lang w:val="es-ES"/>
        </w:rPr>
      </w:pPr>
      <w:r>
        <w:rPr>
          <w:lang w:val="es-ES"/>
        </w:rPr>
        <w:t xml:space="preserve">Organización del estudio, la instrucción y la verificación de los conocimientos por los trabajadores de las normas y el reglamento de protección del trabajo y divulgación de la protección del trabajo </w:t>
      </w:r>
    </w:p>
    <w:p w:rsidR="001D2E73" w:rsidRDefault="001D2E73">
      <w:pPr>
        <w:pStyle w:val="Bullet1G"/>
        <w:rPr>
          <w:lang w:val="es-ES"/>
        </w:rPr>
      </w:pPr>
      <w:r>
        <w:rPr>
          <w:lang w:val="es-ES"/>
        </w:rPr>
        <w:t xml:space="preserve">Inclusión en el convenio colectivo del reglamento de protección del trabajo y cumplimiento de los compromisos establecidos en ese reglamento </w:t>
      </w:r>
    </w:p>
    <w:p w:rsidR="001D2E73" w:rsidRDefault="001D2E73">
      <w:pPr>
        <w:pStyle w:val="Bullet1G"/>
        <w:rPr>
          <w:lang w:val="es-ES"/>
        </w:rPr>
      </w:pPr>
      <w:r>
        <w:rPr>
          <w:lang w:val="es-ES"/>
        </w:rPr>
        <w:t>Presentación en tiempo y forma, según lo establecido por el Ministerio de Tr</w:t>
      </w:r>
      <w:r>
        <w:rPr>
          <w:lang w:val="es-ES"/>
        </w:rPr>
        <w:t>a</w:t>
      </w:r>
      <w:r>
        <w:rPr>
          <w:lang w:val="es-ES"/>
        </w:rPr>
        <w:t>bajo y Protección Social de la Población, de los informes estadísticos sobre los resultados de las medidas adoptadas para velar por la protección del trabajo y las condiciones de trabajo como se establece en las normas correspo</w:t>
      </w:r>
      <w:r>
        <w:rPr>
          <w:lang w:val="es-ES"/>
        </w:rPr>
        <w:t>n</w:t>
      </w:r>
      <w:r>
        <w:rPr>
          <w:lang w:val="es-ES"/>
        </w:rPr>
        <w:t>dientes.</w:t>
      </w:r>
    </w:p>
    <w:p w:rsidR="001D2E73" w:rsidRDefault="001D2E73">
      <w:pPr>
        <w:pStyle w:val="SingleTxtGR"/>
        <w:rPr>
          <w:spacing w:val="0"/>
          <w:lang w:val="es-ES"/>
        </w:rPr>
      </w:pPr>
      <w:r>
        <w:rPr>
          <w:spacing w:val="0"/>
          <w:lang w:val="es-ES"/>
        </w:rPr>
        <w:t>172.</w:t>
      </w:r>
      <w:r>
        <w:rPr>
          <w:spacing w:val="0"/>
          <w:lang w:val="es-ES"/>
        </w:rPr>
        <w:tab/>
        <w:t>Con arreglo al artículo 238 del Código del Trabajo, cuando no se garantiza en los puestos de trabajo las condiciones de higiene y seguridad de los trabajadores y se incumplen las medidas previstas en el convenio colectivo, el empleador incurrirá en responsabilidad administrativa y penal en esos casos conforme al procedimiento e</w:t>
      </w:r>
      <w:r>
        <w:rPr>
          <w:spacing w:val="0"/>
          <w:lang w:val="es-ES"/>
        </w:rPr>
        <w:t>s</w:t>
      </w:r>
      <w:r>
        <w:rPr>
          <w:spacing w:val="0"/>
          <w:lang w:val="es-ES"/>
        </w:rPr>
        <w:t>tablecido en la legislación.</w:t>
      </w:r>
    </w:p>
    <w:p w:rsidR="001D2E73" w:rsidRDefault="001D2E73">
      <w:pPr>
        <w:pStyle w:val="SingleTxtGR"/>
        <w:rPr>
          <w:spacing w:val="0"/>
          <w:lang w:val="es-ES"/>
        </w:rPr>
      </w:pPr>
      <w:r>
        <w:rPr>
          <w:spacing w:val="0"/>
          <w:lang w:val="es-ES"/>
        </w:rPr>
        <w:t>173.</w:t>
      </w:r>
      <w:r>
        <w:rPr>
          <w:spacing w:val="0"/>
          <w:lang w:val="es-ES"/>
        </w:rPr>
        <w:tab/>
        <w:t>Con arreglo al artículo 239 del Código del Trabajo, el empleador que sea culpable (total o parcialmente) de un lamentable accidente de trabajo o de una enfermedad profesional, está en la obligación de pagar íntegramente al trabajador una i</w:t>
      </w:r>
      <w:r>
        <w:rPr>
          <w:spacing w:val="0"/>
          <w:lang w:val="es-ES"/>
        </w:rPr>
        <w:t>n</w:t>
      </w:r>
      <w:r>
        <w:rPr>
          <w:spacing w:val="0"/>
          <w:lang w:val="es-ES"/>
        </w:rPr>
        <w:t>demnización por daños y perjuicios causados por el accidente o la enfermedad, así como los gastos relacionados con la curación, la asignación de prestaciones y otros gastos adicionales previstos en el Código Civil de Azerbaiyán</w:t>
      </w:r>
      <w:r>
        <w:rPr>
          <w:iCs/>
          <w:spacing w:val="0"/>
          <w:lang w:val="es-ES"/>
        </w:rPr>
        <w:t>.</w:t>
      </w:r>
      <w:r>
        <w:rPr>
          <w:spacing w:val="0"/>
          <w:lang w:val="es-ES"/>
        </w:rPr>
        <w:t xml:space="preserve"> </w:t>
      </w:r>
    </w:p>
    <w:p w:rsidR="001D2E73" w:rsidRDefault="001D2E73">
      <w:pPr>
        <w:pStyle w:val="SingleTxtGR"/>
        <w:rPr>
          <w:spacing w:val="0"/>
          <w:lang w:val="es-ES"/>
        </w:rPr>
      </w:pPr>
      <w:r>
        <w:rPr>
          <w:spacing w:val="0"/>
          <w:lang w:val="es-ES"/>
        </w:rPr>
        <w:t>174.</w:t>
      </w:r>
      <w:r>
        <w:rPr>
          <w:spacing w:val="0"/>
          <w:lang w:val="es-ES"/>
        </w:rPr>
        <w:tab/>
        <w:t xml:space="preserve">El trabajador cuya salud se ha visto afectada debido a un accidente de trabajo o una enfermedad profesional imputable al empleador y los miembros de su familia u otras personas a su cargo, en caso de fallecer el trabajador, deberán recibir el pago de la indemnización correspondiente según lo establecido en </w:t>
      </w:r>
      <w:smartTag w:uri="urn:schemas-microsoft-com:office:smarttags" w:element="PersonName">
        <w:smartTagPr>
          <w:attr w:name="ProductID" w:val="la ley. En"/>
        </w:smartTagPr>
        <w:r>
          <w:rPr>
            <w:spacing w:val="0"/>
            <w:lang w:val="es-ES"/>
          </w:rPr>
          <w:t>la ley. En</w:t>
        </w:r>
      </w:smartTag>
      <w:r>
        <w:rPr>
          <w:spacing w:val="0"/>
          <w:lang w:val="es-ES"/>
        </w:rPr>
        <w:t xml:space="preserve"> el reglamento aprobado por el Consejo de Ministros de Azerbaiyán se establecen el procedimiento, las condiciones y el monto de la remuneración del trabajador cuya salud se ha visto afectada a causa de un acc</w:t>
      </w:r>
      <w:r>
        <w:rPr>
          <w:spacing w:val="0"/>
          <w:lang w:val="es-ES"/>
        </w:rPr>
        <w:t>i</w:t>
      </w:r>
      <w:r>
        <w:rPr>
          <w:spacing w:val="0"/>
          <w:lang w:val="es-ES"/>
        </w:rPr>
        <w:t xml:space="preserve">dente de trabajo o una enfermedad profesional o de los miembros de la familia de un trabajador que ha fallecido por esa causa. </w:t>
      </w:r>
    </w:p>
    <w:p w:rsidR="001D2E73" w:rsidRDefault="001D2E73">
      <w:pPr>
        <w:pStyle w:val="SingleTxtGR"/>
        <w:rPr>
          <w:spacing w:val="0"/>
          <w:lang w:val="es-ES"/>
        </w:rPr>
      </w:pPr>
      <w:r>
        <w:rPr>
          <w:spacing w:val="0"/>
          <w:lang w:val="es-ES"/>
        </w:rPr>
        <w:t>175.</w:t>
      </w:r>
      <w:r>
        <w:rPr>
          <w:spacing w:val="0"/>
          <w:lang w:val="es-ES"/>
        </w:rPr>
        <w:tab/>
        <w:t xml:space="preserve">No se pagará indemnización en los casos establecidos en este artículo a personas que tengan un seguro obligatorio con el empleador en las empresas aseguradoras conforme a lo establecido en </w:t>
      </w:r>
      <w:smartTag w:uri="urn:schemas-microsoft-com:office:smarttags" w:element="PersonName">
        <w:smartTagPr>
          <w:attr w:name="ProductID" w:val="la ley. Los"/>
        </w:smartTagPr>
        <w:r>
          <w:rPr>
            <w:spacing w:val="0"/>
            <w:lang w:val="es-ES"/>
          </w:rPr>
          <w:t>la ley. Los</w:t>
        </w:r>
      </w:smartTag>
      <w:r>
        <w:rPr>
          <w:spacing w:val="0"/>
          <w:lang w:val="es-ES"/>
        </w:rPr>
        <w:t xml:space="preserve"> trabajadores que hayan sido víctimas de una violación de las normas de protección del trabajo o de las condiciones de trabajo, así como sus familiares, recibirán del seguro la suma establecida según el procedimiento y la cuantía previstos en la póliza de seguro correspondiente.</w:t>
      </w:r>
    </w:p>
    <w:p w:rsidR="001D2E73" w:rsidRDefault="001D2E73">
      <w:pPr>
        <w:pStyle w:val="SingleTxtGR"/>
        <w:rPr>
          <w:spacing w:val="0"/>
          <w:lang w:val="es-ES"/>
        </w:rPr>
      </w:pPr>
      <w:r>
        <w:rPr>
          <w:spacing w:val="0"/>
          <w:lang w:val="es-ES"/>
        </w:rPr>
        <w:t>176.</w:t>
      </w:r>
      <w:r>
        <w:rPr>
          <w:spacing w:val="0"/>
          <w:lang w:val="es-ES"/>
        </w:rPr>
        <w:tab/>
        <w:t>De conformidad con el artículo 310 del Código del Trabajo, tanto los trabajadores como los empresarios, así como otras personas físicas conforme a lo establecido por la ley, incurrirán en responsabilidad material, disciplinaria, administrativa y penal por la violación de los derechos establecidos en el Código del Trabajo y otros instrumentos normativos que fo</w:t>
      </w:r>
      <w:r>
        <w:rPr>
          <w:spacing w:val="0"/>
          <w:lang w:val="es-ES"/>
        </w:rPr>
        <w:t>r</w:t>
      </w:r>
      <w:r>
        <w:rPr>
          <w:spacing w:val="0"/>
          <w:lang w:val="es-ES"/>
        </w:rPr>
        <w:t>man parte del sistema de legislación laboral, por limitarlos de cualquier forma y por cualquier procedimiento así como por el abuso de esos derechos, el incumplimiento de las obligaciones y las funciones laborales determinadas en el contrato de trabajo.</w:t>
      </w:r>
    </w:p>
    <w:p w:rsidR="001D2E73" w:rsidRDefault="001D2E73">
      <w:pPr>
        <w:pStyle w:val="SingleTxtGR"/>
        <w:rPr>
          <w:spacing w:val="0"/>
          <w:lang w:val="es-ES"/>
        </w:rPr>
      </w:pPr>
      <w:r>
        <w:rPr>
          <w:spacing w:val="0"/>
          <w:lang w:val="es-ES"/>
        </w:rPr>
        <w:t>177.</w:t>
      </w:r>
      <w:r>
        <w:rPr>
          <w:spacing w:val="0"/>
          <w:lang w:val="es-ES"/>
        </w:rPr>
        <w:tab/>
        <w:t>Con arreglo al artículo 312 de dicho Código, el trabajador, el empleador y cualquier otra persona jurídica que contravenga la legislación laboral incurrirán en responsabilidad en los casos previstos en el Código de Infracci</w:t>
      </w:r>
      <w:r>
        <w:rPr>
          <w:spacing w:val="0"/>
          <w:lang w:val="es-ES"/>
        </w:rPr>
        <w:t>o</w:t>
      </w:r>
      <w:r>
        <w:rPr>
          <w:spacing w:val="0"/>
          <w:lang w:val="es-ES"/>
        </w:rPr>
        <w:t>nes Administrativas.</w:t>
      </w:r>
    </w:p>
    <w:p w:rsidR="001D2E73" w:rsidRDefault="001D2E73">
      <w:pPr>
        <w:pStyle w:val="SingleTxtGR"/>
        <w:rPr>
          <w:i/>
          <w:spacing w:val="0"/>
          <w:lang w:val="es-ES"/>
        </w:rPr>
      </w:pPr>
      <w:r>
        <w:rPr>
          <w:spacing w:val="0"/>
          <w:lang w:val="es-ES"/>
        </w:rPr>
        <w:t>178.</w:t>
      </w:r>
      <w:r>
        <w:rPr>
          <w:spacing w:val="0"/>
          <w:lang w:val="es-ES"/>
        </w:rPr>
        <w:tab/>
        <w:t>Todo trabajador tiene la posibilidad de ascenso en el empleo a la categoría superior correspondiente, de conformidad con su antigüedad, su experiencia y calific</w:t>
      </w:r>
      <w:r>
        <w:rPr>
          <w:spacing w:val="0"/>
          <w:lang w:val="es-ES"/>
        </w:rPr>
        <w:t>a</w:t>
      </w:r>
      <w:r>
        <w:rPr>
          <w:spacing w:val="0"/>
          <w:lang w:val="es-ES"/>
        </w:rPr>
        <w:t>ción, y el Estado contribuye por todos los medios a que ese principio se cumpla en la práctica.</w:t>
      </w:r>
    </w:p>
    <w:p w:rsidR="001D2E73" w:rsidRDefault="001D2E73">
      <w:pPr>
        <w:pStyle w:val="SingleTxtGR"/>
        <w:rPr>
          <w:spacing w:val="0"/>
          <w:lang w:val="es-ES"/>
        </w:rPr>
      </w:pPr>
      <w:r>
        <w:rPr>
          <w:spacing w:val="0"/>
          <w:lang w:val="es-ES"/>
        </w:rPr>
        <w:t>179.</w:t>
      </w:r>
      <w:r>
        <w:rPr>
          <w:spacing w:val="0"/>
          <w:lang w:val="es-ES"/>
        </w:rPr>
        <w:tab/>
        <w:t>Con arreglo al artículo 37 de la Constitución de Azerbaiyán, toda persona ti</w:t>
      </w:r>
      <w:r>
        <w:rPr>
          <w:spacing w:val="0"/>
          <w:lang w:val="es-ES"/>
        </w:rPr>
        <w:t>e</w:t>
      </w:r>
      <w:r>
        <w:rPr>
          <w:spacing w:val="0"/>
          <w:lang w:val="es-ES"/>
        </w:rPr>
        <w:t>ne derecho al descanso. En el contrato de trabajo se garantiza a los trabajadores la jornada laboral de no más de 8 horas, establecida por ley, los días de descanso y feriados, así como vacaciones pagadas por lo menos una vez al año por una duración de no menos de 21 días naturales.</w:t>
      </w:r>
    </w:p>
    <w:p w:rsidR="001D2E73" w:rsidRDefault="001D2E73">
      <w:pPr>
        <w:pStyle w:val="SingleTxtGR"/>
        <w:rPr>
          <w:spacing w:val="0"/>
          <w:lang w:val="es-ES"/>
        </w:rPr>
      </w:pPr>
      <w:r>
        <w:rPr>
          <w:spacing w:val="0"/>
          <w:lang w:val="es-ES"/>
        </w:rPr>
        <w:t>180.</w:t>
      </w:r>
      <w:r>
        <w:rPr>
          <w:spacing w:val="0"/>
          <w:lang w:val="es-ES"/>
        </w:rPr>
        <w:tab/>
        <w:t>Por otra parte, para las distintas categorías de trabajadores, en el artículo 91 del Código del Trabajo se prevé la reducción de la jornada laboral. Para determin</w:t>
      </w:r>
      <w:r>
        <w:rPr>
          <w:spacing w:val="0"/>
          <w:lang w:val="es-ES"/>
        </w:rPr>
        <w:t>a</w:t>
      </w:r>
      <w:r>
        <w:rPr>
          <w:spacing w:val="0"/>
          <w:lang w:val="es-ES"/>
        </w:rPr>
        <w:t>das categorías de trabajadores se podrá prever en el convenio colectivo la reducción de la jornada laboral teniendo en cuenta su edad, estado de salud, condiciones de tr</w:t>
      </w:r>
      <w:r>
        <w:rPr>
          <w:spacing w:val="0"/>
          <w:lang w:val="es-ES"/>
        </w:rPr>
        <w:t>a</w:t>
      </w:r>
      <w:r>
        <w:rPr>
          <w:spacing w:val="0"/>
          <w:lang w:val="es-ES"/>
        </w:rPr>
        <w:t>bajo, características específicas de la actividad laboral y en otros casos previstos en el Código y en los correspondientes instrumentos normativos, así como en la cond</w:t>
      </w:r>
      <w:r>
        <w:rPr>
          <w:spacing w:val="0"/>
          <w:lang w:val="es-ES"/>
        </w:rPr>
        <w:t>i</w:t>
      </w:r>
      <w:r>
        <w:rPr>
          <w:spacing w:val="0"/>
          <w:lang w:val="es-ES"/>
        </w:rPr>
        <w:t>ciones establecidas en el contrato de trabajo.</w:t>
      </w:r>
    </w:p>
    <w:p w:rsidR="001D2E73" w:rsidRDefault="001D2E73">
      <w:pPr>
        <w:pStyle w:val="SingleTxtGR"/>
        <w:rPr>
          <w:spacing w:val="0"/>
          <w:lang w:val="es-ES"/>
        </w:rPr>
      </w:pPr>
      <w:r>
        <w:rPr>
          <w:spacing w:val="0"/>
          <w:lang w:val="es-ES"/>
        </w:rPr>
        <w:t>181.</w:t>
      </w:r>
      <w:r>
        <w:rPr>
          <w:spacing w:val="0"/>
          <w:lang w:val="es-ES"/>
        </w:rPr>
        <w:tab/>
        <w:t>Para los empleados menores de 16 años, la semana laboral puede no ser superior a 24 horas. Por lo que respecta a las personas de entre 16 y 18 años, las personas con discapacidades de categoría I o II, las mujeres embarazadas y las mujeres con hijos menores de 18 meses, la semana laboral puede no exceder las 36 horas.</w:t>
      </w:r>
    </w:p>
    <w:p w:rsidR="001D2E73" w:rsidRDefault="001D2E73">
      <w:pPr>
        <w:pStyle w:val="SingleTxtGR"/>
        <w:rPr>
          <w:spacing w:val="0"/>
          <w:lang w:val="es-ES"/>
        </w:rPr>
      </w:pPr>
      <w:r>
        <w:rPr>
          <w:spacing w:val="0"/>
          <w:lang w:val="es-ES"/>
        </w:rPr>
        <w:t>182.</w:t>
      </w:r>
      <w:r>
        <w:rPr>
          <w:spacing w:val="0"/>
          <w:lang w:val="es-ES"/>
        </w:rPr>
        <w:tab/>
        <w:t>De conformidad con el artículo 103 del Código del Trabajo, durante la jornada laboral (turno) los trabajadores deberán disfrutar de un receso para descansar y almorzar. En el reglamento interno, el plan de turnos de trabajo, el contrato de trabajo o el convenio colectivo se indicará el momento de disfrutar de esos recesos y su duración. Si las cara</w:t>
      </w:r>
      <w:r>
        <w:rPr>
          <w:spacing w:val="0"/>
          <w:lang w:val="es-ES"/>
        </w:rPr>
        <w:t>c</w:t>
      </w:r>
      <w:r>
        <w:rPr>
          <w:spacing w:val="0"/>
          <w:lang w:val="es-ES"/>
        </w:rPr>
        <w:t>terísticas y las condiciones de trabajo no permiten determinar el momento y la duración del receso, el empleador deberá crear condiciones para que el trabajador se alimente. Los trabajadores deben tener al menos 12 horas de descanso entre dos jornadas laborales sucesivas. En el caso de trabajo por turnos, se regulará el descanso en el turno de trabajo correspondiente. La duración de los recesos para descansar y almorzar no se consideran tiempo trabajado. El trabajador podrá disponer a su conveniencia de sus recesos para descanso y almuerzo.</w:t>
      </w:r>
    </w:p>
    <w:p w:rsidR="001D2E73" w:rsidRDefault="001D2E73">
      <w:pPr>
        <w:pStyle w:val="SingleTxtGR"/>
        <w:rPr>
          <w:spacing w:val="0"/>
          <w:lang w:val="es-ES"/>
        </w:rPr>
      </w:pPr>
      <w:r>
        <w:rPr>
          <w:spacing w:val="0"/>
          <w:lang w:val="es-ES"/>
        </w:rPr>
        <w:t>183.</w:t>
      </w:r>
      <w:r>
        <w:rPr>
          <w:spacing w:val="0"/>
          <w:lang w:val="es-ES"/>
        </w:rPr>
        <w:tab/>
        <w:t>Con arreglo al artículo 104 del Código del Trabajo, se deberán crear las condiciones para que todo trabajador disfrute de descanso ininterrumpido entre semanas laborables. Debe haber dos días de descanso entre las semanas laborables de cinco días y un día de descanso entre semanas laborales de seis días. En casos en que es necesario contar el tiempo de trabajo, deberán concederse días de descanso teniendo en cuenta el sistema de turnos acordado con el sindicato. En los lugares de trabajo donde no haya sindicatos, este régimen se reglamentará en el contrato de trabajo.</w:t>
      </w:r>
    </w:p>
    <w:p w:rsidR="001D2E73" w:rsidRDefault="001D2E73">
      <w:pPr>
        <w:pStyle w:val="SingleTxtGR"/>
        <w:rPr>
          <w:spacing w:val="0"/>
          <w:lang w:val="es-ES"/>
        </w:rPr>
      </w:pPr>
      <w:r>
        <w:rPr>
          <w:spacing w:val="0"/>
          <w:lang w:val="es-ES"/>
        </w:rPr>
        <w:t>184.</w:t>
      </w:r>
      <w:r>
        <w:rPr>
          <w:spacing w:val="0"/>
          <w:lang w:val="es-ES"/>
        </w:rPr>
        <w:tab/>
        <w:t xml:space="preserve">De conformidad con el artículo 105 de dicho Código, en la República de Azerbaiyán se celebran anualmente las siguientes festividades: </w:t>
      </w:r>
    </w:p>
    <w:p w:rsidR="001D2E73" w:rsidRDefault="001D2E73">
      <w:pPr>
        <w:pStyle w:val="Bullet1G"/>
        <w:rPr>
          <w:lang w:val="es-ES"/>
        </w:rPr>
      </w:pPr>
      <w:r>
        <w:rPr>
          <w:lang w:val="es-ES"/>
        </w:rPr>
        <w:t xml:space="preserve">Fiesta de Año Nuevo (1º y 2 de enero) </w:t>
      </w:r>
    </w:p>
    <w:p w:rsidR="001D2E73" w:rsidRDefault="001D2E73">
      <w:pPr>
        <w:pStyle w:val="Bullet1G"/>
        <w:rPr>
          <w:lang w:val="es-ES"/>
        </w:rPr>
      </w:pPr>
      <w:r>
        <w:rPr>
          <w:lang w:val="es-ES"/>
        </w:rPr>
        <w:t xml:space="preserve">Día Internacional de la Mujer (8 de marzo) </w:t>
      </w:r>
    </w:p>
    <w:p w:rsidR="001D2E73" w:rsidRDefault="001D2E73">
      <w:pPr>
        <w:pStyle w:val="Bullet1G"/>
        <w:rPr>
          <w:lang w:val="es-ES"/>
        </w:rPr>
      </w:pPr>
      <w:r>
        <w:rPr>
          <w:lang w:val="es-ES"/>
        </w:rPr>
        <w:t xml:space="preserve">Día de la Victoria sobre el Fascismo (9 de mayo) </w:t>
      </w:r>
    </w:p>
    <w:p w:rsidR="001D2E73" w:rsidRDefault="001D2E73">
      <w:pPr>
        <w:pStyle w:val="Bullet1G"/>
        <w:rPr>
          <w:lang w:val="es-ES"/>
        </w:rPr>
      </w:pPr>
      <w:r>
        <w:rPr>
          <w:lang w:val="es-ES"/>
        </w:rPr>
        <w:t xml:space="preserve">Día de la República (28 de mayo) </w:t>
      </w:r>
    </w:p>
    <w:p w:rsidR="001D2E73" w:rsidRDefault="001D2E73">
      <w:pPr>
        <w:pStyle w:val="Bullet1G"/>
        <w:rPr>
          <w:lang w:val="es-ES"/>
        </w:rPr>
      </w:pPr>
      <w:r>
        <w:rPr>
          <w:lang w:val="es-ES"/>
        </w:rPr>
        <w:t xml:space="preserve">Día de </w:t>
      </w:r>
      <w:smartTag w:uri="urn:schemas-microsoft-com:office:smarttags" w:element="PersonName">
        <w:smartTagPr>
          <w:attr w:name="ProductID" w:val="la Salvaci￳n Nacional"/>
        </w:smartTagPr>
        <w:r>
          <w:rPr>
            <w:lang w:val="es-ES"/>
          </w:rPr>
          <w:t>la Salvación Nacional</w:t>
        </w:r>
      </w:smartTag>
      <w:r>
        <w:rPr>
          <w:lang w:val="es-ES"/>
        </w:rPr>
        <w:t xml:space="preserve"> del Pueblo Azerbaiyano (15 de junio) </w:t>
      </w:r>
    </w:p>
    <w:p w:rsidR="001D2E73" w:rsidRDefault="001D2E73">
      <w:pPr>
        <w:pStyle w:val="Bullet1G"/>
        <w:rPr>
          <w:lang w:val="es-ES"/>
        </w:rPr>
      </w:pPr>
      <w:r>
        <w:rPr>
          <w:lang w:val="es-ES"/>
        </w:rPr>
        <w:t xml:space="preserve">Día de las Fuerzas Armadas de la República de Azerbaiyán (26 de junio) </w:t>
      </w:r>
    </w:p>
    <w:p w:rsidR="001D2E73" w:rsidRDefault="001D2E73">
      <w:pPr>
        <w:pStyle w:val="Bullet1G"/>
        <w:rPr>
          <w:lang w:val="es-ES"/>
        </w:rPr>
      </w:pPr>
      <w:r>
        <w:rPr>
          <w:lang w:val="es-ES"/>
        </w:rPr>
        <w:t xml:space="preserve">Día de </w:t>
      </w:r>
      <w:smartTag w:uri="urn:schemas-microsoft-com:office:smarttags" w:element="PersonName">
        <w:smartTagPr>
          <w:attr w:name="ProductID" w:val="la Independencia Nacional"/>
        </w:smartTagPr>
        <w:r>
          <w:rPr>
            <w:lang w:val="es-ES"/>
          </w:rPr>
          <w:t>la Independencia Nacional</w:t>
        </w:r>
      </w:smartTag>
      <w:r>
        <w:rPr>
          <w:lang w:val="es-ES"/>
        </w:rPr>
        <w:t xml:space="preserve"> (18 de octubre) </w:t>
      </w:r>
    </w:p>
    <w:p w:rsidR="001D2E73" w:rsidRDefault="001D2E73">
      <w:pPr>
        <w:pStyle w:val="Bullet1G"/>
        <w:rPr>
          <w:lang w:val="es-ES"/>
        </w:rPr>
      </w:pPr>
      <w:r>
        <w:rPr>
          <w:lang w:val="es-ES"/>
        </w:rPr>
        <w:t xml:space="preserve">Día de la Constitución (12 de noviembre) </w:t>
      </w:r>
    </w:p>
    <w:p w:rsidR="001D2E73" w:rsidRDefault="001D2E73">
      <w:pPr>
        <w:pStyle w:val="Bullet1G"/>
        <w:rPr>
          <w:lang w:val="es-ES"/>
        </w:rPr>
      </w:pPr>
      <w:r>
        <w:rPr>
          <w:lang w:val="es-ES"/>
        </w:rPr>
        <w:t xml:space="preserve">Día del Renacimiento Nacional (17 de noviembre) </w:t>
      </w:r>
    </w:p>
    <w:p w:rsidR="001D2E73" w:rsidRDefault="001D2E73">
      <w:pPr>
        <w:pStyle w:val="Bullet1G"/>
        <w:rPr>
          <w:lang w:val="es-ES"/>
        </w:rPr>
      </w:pPr>
      <w:r>
        <w:rPr>
          <w:lang w:val="es-ES"/>
        </w:rPr>
        <w:t xml:space="preserve">Día de </w:t>
      </w:r>
      <w:smartTag w:uri="urn:schemas-microsoft-com:office:smarttags" w:element="PersonName">
        <w:smartTagPr>
          <w:attr w:name="ProductID" w:val="la Solidaridad Mundial Azer￭"/>
        </w:smartTagPr>
        <w:r>
          <w:rPr>
            <w:lang w:val="es-ES"/>
          </w:rPr>
          <w:t>la Solidaridad Mundial Azerí</w:t>
        </w:r>
      </w:smartTag>
      <w:r>
        <w:rPr>
          <w:lang w:val="es-ES"/>
        </w:rPr>
        <w:t xml:space="preserve"> (31 de diciembre) </w:t>
      </w:r>
    </w:p>
    <w:p w:rsidR="001D2E73" w:rsidRDefault="001D2E73">
      <w:pPr>
        <w:pStyle w:val="Bullet1G"/>
        <w:rPr>
          <w:lang w:val="es-ES"/>
        </w:rPr>
      </w:pPr>
      <w:r>
        <w:rPr>
          <w:lang w:val="es-ES"/>
        </w:rPr>
        <w:t xml:space="preserve">Fiesta del Novruz: cinco días </w:t>
      </w:r>
    </w:p>
    <w:p w:rsidR="001D2E73" w:rsidRDefault="001D2E73">
      <w:pPr>
        <w:pStyle w:val="Bullet1G"/>
        <w:rPr>
          <w:lang w:val="es-ES"/>
        </w:rPr>
      </w:pPr>
      <w:r>
        <w:rPr>
          <w:lang w:val="es-ES"/>
        </w:rPr>
        <w:t>Fiesta del Gurban: dos días</w:t>
      </w:r>
    </w:p>
    <w:p w:rsidR="001D2E73" w:rsidRDefault="001D2E73">
      <w:pPr>
        <w:pStyle w:val="Bullet1G"/>
        <w:rPr>
          <w:lang w:val="es-ES"/>
        </w:rPr>
      </w:pPr>
      <w:r>
        <w:rPr>
          <w:lang w:val="es-ES"/>
        </w:rPr>
        <w:t>Fiesta del Ramadán: dos días.</w:t>
      </w:r>
    </w:p>
    <w:p w:rsidR="001D2E73" w:rsidRDefault="001D2E73">
      <w:pPr>
        <w:pStyle w:val="SingleTxtGR"/>
        <w:rPr>
          <w:spacing w:val="0"/>
          <w:lang w:val="es-ES"/>
        </w:rPr>
      </w:pPr>
      <w:r>
        <w:rPr>
          <w:spacing w:val="0"/>
          <w:lang w:val="es-ES"/>
        </w:rPr>
        <w:t>185.</w:t>
      </w:r>
      <w:r>
        <w:rPr>
          <w:spacing w:val="0"/>
          <w:lang w:val="es-ES"/>
        </w:rPr>
        <w:tab/>
        <w:t>La celebración de Año Nuevo, el Día de la Mujer, el Día de la victoria sobre el fascismo, el Día de la república, el Día de la salvación nacional del pueblo azerba</w:t>
      </w:r>
      <w:r>
        <w:rPr>
          <w:spacing w:val="0"/>
          <w:lang w:val="es-ES"/>
        </w:rPr>
        <w:t>i</w:t>
      </w:r>
      <w:r>
        <w:rPr>
          <w:spacing w:val="0"/>
          <w:lang w:val="es-ES"/>
        </w:rPr>
        <w:t>yano, el Día de las Fuerzas Armadas de la República, el Día de solidaridad de los azerbaiyanos del mundo, los días de fiesta del Novruz, la fiesta del Gurban y la fiesta del Ramadán se consideran días no laborables. Se permitirá el trabajo en días feri</w:t>
      </w:r>
      <w:r>
        <w:rPr>
          <w:spacing w:val="0"/>
          <w:lang w:val="es-ES"/>
        </w:rPr>
        <w:t>a</w:t>
      </w:r>
      <w:r>
        <w:rPr>
          <w:spacing w:val="0"/>
          <w:lang w:val="es-ES"/>
        </w:rPr>
        <w:t>dos, que se consideran no laborables, solamente en los casos excepcionales previstos en el Código. El órgano de poder ejecutivo pertinente anuncia a la población a fin</w:t>
      </w:r>
      <w:r>
        <w:rPr>
          <w:spacing w:val="0"/>
          <w:lang w:val="es-ES"/>
        </w:rPr>
        <w:t>a</w:t>
      </w:r>
      <w:r>
        <w:rPr>
          <w:spacing w:val="0"/>
          <w:lang w:val="es-ES"/>
        </w:rPr>
        <w:t>les de diciembre los días de celebración del Novruz, el Gurban y el Ramadán durante el año siguiente. Cuando los días de descanso coinciden con días feriados, que se consideran no laborables, el día de descanso se traslada al día de trabajo siguiente al feriado. Cuando las celebraciones de Gurban y Ramadán coinciden con otros días feriados, que se consideran no laborables, el día de trabajo siguiente se considera de descanso. Cuando las festividades y días de descanso se suceden, se podrán trasladar determinados días laborables o de descanso por decisión del Consejo de Ministros con el fin de garantizar su continuidad.</w:t>
      </w:r>
    </w:p>
    <w:p w:rsidR="001D2E73" w:rsidRDefault="001D2E73">
      <w:pPr>
        <w:pStyle w:val="SingleTxtGR"/>
        <w:rPr>
          <w:spacing w:val="0"/>
          <w:lang w:val="es-ES"/>
        </w:rPr>
      </w:pPr>
      <w:r>
        <w:rPr>
          <w:spacing w:val="0"/>
          <w:lang w:val="es-ES"/>
        </w:rPr>
        <w:t>186.</w:t>
      </w:r>
      <w:r>
        <w:rPr>
          <w:spacing w:val="0"/>
          <w:lang w:val="es-ES"/>
        </w:rPr>
        <w:tab/>
        <w:t>Con arreglo al artículo 107 del Código del Trabajo, con excepción de los casos especiales previstos en los apartados a) y b) del artículo 101 del Código, así como en el caso de las empresas de producción continua, las empresas comerciales, de al</w:t>
      </w:r>
      <w:r>
        <w:rPr>
          <w:spacing w:val="0"/>
          <w:lang w:val="es-ES"/>
        </w:rPr>
        <w:t>i</w:t>
      </w:r>
      <w:r>
        <w:rPr>
          <w:spacing w:val="0"/>
          <w:lang w:val="es-ES"/>
        </w:rPr>
        <w:t>mentación social, comunicaciones, transporte y otras empresas de servicios, se prohíbe pedir a los trabajadores que trabajen en días de descanso que se consideran feriados no laborables y en el Día de Duelo Nacional.</w:t>
      </w:r>
    </w:p>
    <w:p w:rsidR="001D2E73" w:rsidRDefault="001D2E73">
      <w:pPr>
        <w:pStyle w:val="SingleTxtGR"/>
        <w:rPr>
          <w:spacing w:val="0"/>
          <w:lang w:val="es-ES"/>
        </w:rPr>
      </w:pPr>
      <w:r>
        <w:rPr>
          <w:spacing w:val="0"/>
          <w:lang w:val="es-ES"/>
        </w:rPr>
        <w:t>187.</w:t>
      </w:r>
      <w:r>
        <w:rPr>
          <w:spacing w:val="0"/>
          <w:lang w:val="es-ES"/>
        </w:rPr>
        <w:tab/>
        <w:t>De conformidad con los apartados a) y b) del artículo 101 del Código, solo se permitirá el trabajo en horas extraordinarias en situaciones que obliguen a realizar labores esenciales para garantizar la defensa del país, así como para prevenir o liquidar las consecuencias de desastres naturales, accidentes de trabajo y también para garant</w:t>
      </w:r>
      <w:r>
        <w:rPr>
          <w:spacing w:val="0"/>
          <w:lang w:val="es-ES"/>
        </w:rPr>
        <w:t>i</w:t>
      </w:r>
      <w:r>
        <w:rPr>
          <w:spacing w:val="0"/>
          <w:lang w:val="es-ES"/>
        </w:rPr>
        <w:t>zar el cumplimiento de tareas necesarias de liquidación de las consecuencias de acontecimientos imprevistos que hayan causado la interrupción del trabajo o de los servicios de abastecimiento de agua, gas, electricidad, en las empresas de calefa</w:t>
      </w:r>
      <w:r>
        <w:rPr>
          <w:spacing w:val="0"/>
          <w:lang w:val="es-ES"/>
        </w:rPr>
        <w:t>c</w:t>
      </w:r>
      <w:r>
        <w:rPr>
          <w:spacing w:val="0"/>
          <w:lang w:val="es-ES"/>
        </w:rPr>
        <w:t>ción, acueductos, comunicaciones y otros servicios comunitarios.</w:t>
      </w:r>
    </w:p>
    <w:p w:rsidR="001D2E73" w:rsidRDefault="001D2E73">
      <w:pPr>
        <w:pStyle w:val="SingleTxtGR"/>
        <w:rPr>
          <w:spacing w:val="0"/>
          <w:lang w:val="es-ES"/>
        </w:rPr>
      </w:pPr>
      <w:r>
        <w:rPr>
          <w:spacing w:val="0"/>
          <w:lang w:val="es-ES"/>
        </w:rPr>
        <w:t>188.</w:t>
      </w:r>
      <w:r>
        <w:rPr>
          <w:spacing w:val="0"/>
          <w:lang w:val="es-ES"/>
        </w:rPr>
        <w:tab/>
        <w:t>Con arreglo al artículo 108 del Código del Trabajo y con exclusión de los casos previstos en los artículos 91, 92 y 93 del Código, la duración de la jornada laboral en los demás puestos de trabajo se reducirá en una hora la víspera de una festividad incluida en la lista del artículo 105 del Código y del Día de Duelo Nacional, independientemente del número de días laborables de esa semana. En las empresas con semanal laboral de seis días, la jornada de la víspera a una festividad durará no más de 6 horas.</w:t>
      </w:r>
    </w:p>
    <w:p w:rsidR="001D2E73" w:rsidRDefault="001D2E73">
      <w:pPr>
        <w:pStyle w:val="SingleTxtGR"/>
        <w:rPr>
          <w:spacing w:val="0"/>
          <w:lang w:val="es-ES"/>
        </w:rPr>
      </w:pPr>
      <w:r>
        <w:rPr>
          <w:spacing w:val="0"/>
          <w:lang w:val="es-ES"/>
        </w:rPr>
        <w:t>189.</w:t>
      </w:r>
      <w:r>
        <w:rPr>
          <w:spacing w:val="0"/>
          <w:lang w:val="es-ES"/>
        </w:rPr>
        <w:tab/>
        <w:t>Conforme al artículo 109 del Código del Trabajo, a título excepcional, el trabajo realizado en días de descanso,</w:t>
      </w:r>
      <w:r>
        <w:rPr>
          <w:iCs/>
          <w:spacing w:val="0"/>
          <w:lang w:val="es-ES"/>
        </w:rPr>
        <w:t xml:space="preserve"> que se consideran feriados no laborables</w:t>
      </w:r>
      <w:r>
        <w:rPr>
          <w:spacing w:val="0"/>
          <w:lang w:val="es-ES"/>
        </w:rPr>
        <w:t>, por acuerdo mutuo de las partes, se podrá compensar disfrutando de otro día de descanso o mediante el pago doble de las horas trabajadas. Se pagará doble el salario de los trabajadores que trabajen el Día de Duelo Nacional y en las circunstancias esp</w:t>
      </w:r>
      <w:r>
        <w:rPr>
          <w:spacing w:val="0"/>
          <w:lang w:val="es-ES"/>
        </w:rPr>
        <w:t>e</w:t>
      </w:r>
      <w:r>
        <w:rPr>
          <w:spacing w:val="0"/>
          <w:lang w:val="es-ES"/>
        </w:rPr>
        <w:t>ciales previstas en el artículo 101 del Código.</w:t>
      </w:r>
    </w:p>
    <w:p w:rsidR="001D2E73" w:rsidRDefault="001D2E73">
      <w:pPr>
        <w:pStyle w:val="SingleTxtGR"/>
        <w:rPr>
          <w:spacing w:val="0"/>
          <w:lang w:val="es-ES"/>
        </w:rPr>
      </w:pPr>
      <w:r>
        <w:rPr>
          <w:spacing w:val="0"/>
          <w:lang w:val="es-ES"/>
        </w:rPr>
        <w:t>190.</w:t>
      </w:r>
      <w:r>
        <w:rPr>
          <w:spacing w:val="0"/>
          <w:lang w:val="es-ES"/>
        </w:rPr>
        <w:tab/>
        <w:t>Con arreglo al artículo 110 del Código del Trabajo, independientemente de la ocupación (funciones), de las condiciones de trabajo y de la duración del contrato de trabajo, los trabajadores tienen derecho a disfrutar de las vacaciones establecidas en el Código del Trabajo. También gozan de ese derecho, los trabajadores que tienen más de un empleo. No se podrá restringir el derecho de los trabajadores a disfrutar de vacaciones ni el procedimiento para su disfrute establecido en el Código del Trabajo.</w:t>
      </w:r>
    </w:p>
    <w:p w:rsidR="001D2E73" w:rsidRDefault="001D2E73">
      <w:pPr>
        <w:pStyle w:val="SingleTxtGR"/>
        <w:rPr>
          <w:spacing w:val="0"/>
          <w:lang w:val="es-ES"/>
        </w:rPr>
      </w:pPr>
      <w:r>
        <w:rPr>
          <w:spacing w:val="0"/>
          <w:lang w:val="es-ES"/>
        </w:rPr>
        <w:t>191.</w:t>
      </w:r>
      <w:r>
        <w:rPr>
          <w:spacing w:val="0"/>
          <w:lang w:val="es-ES"/>
        </w:rPr>
        <w:tab/>
        <w:t>En el artículo 111 del Código se establecen las garantías jurídicas para que los trabajadores disfruten de vacaciones. Mientras el trabajador esté de vacaciones ma</w:t>
      </w:r>
      <w:r>
        <w:rPr>
          <w:spacing w:val="0"/>
          <w:lang w:val="es-ES"/>
        </w:rPr>
        <w:t>n</w:t>
      </w:r>
      <w:r>
        <w:rPr>
          <w:spacing w:val="0"/>
          <w:lang w:val="es-ES"/>
        </w:rPr>
        <w:t>tendrá su puesto de trabajo, su ocupación (cargo) y el salario medio en los casos previstos en el Código; el empleador no podrá rescindir el contrato de trabajo ni podrá aplicar sanciones disciplinarias al trabajador. Las vacaciones cuentan para la antigüedad en el trabajo, así como para la precedencia en el caso de actividades especializadas. En el contrato de trabajo, así como en los convenios colectivos se podrán prever garan</w:t>
      </w:r>
      <w:r>
        <w:rPr>
          <w:spacing w:val="0"/>
          <w:lang w:val="es-ES"/>
        </w:rPr>
        <w:t>t</w:t>
      </w:r>
      <w:r>
        <w:rPr>
          <w:spacing w:val="0"/>
          <w:lang w:val="es-ES"/>
        </w:rPr>
        <w:t>ías adicionales para los trabajadores en materia de vacaciones.</w:t>
      </w:r>
    </w:p>
    <w:p w:rsidR="001D2E73" w:rsidRDefault="001D2E73">
      <w:pPr>
        <w:pStyle w:val="SingleTxtGR"/>
        <w:rPr>
          <w:spacing w:val="0"/>
          <w:lang w:val="es-ES"/>
        </w:rPr>
      </w:pPr>
      <w:r>
        <w:rPr>
          <w:spacing w:val="0"/>
          <w:lang w:val="es-ES"/>
        </w:rPr>
        <w:t>192.</w:t>
      </w:r>
      <w:r>
        <w:rPr>
          <w:spacing w:val="0"/>
          <w:lang w:val="es-ES"/>
        </w:rPr>
        <w:tab/>
        <w:t>Con arreglo al artículo 112 del Código del Trabajo, el derecho de los trabaj</w:t>
      </w:r>
      <w:r>
        <w:rPr>
          <w:spacing w:val="0"/>
          <w:lang w:val="es-ES"/>
        </w:rPr>
        <w:t>a</w:t>
      </w:r>
      <w:r>
        <w:rPr>
          <w:spacing w:val="0"/>
          <w:lang w:val="es-ES"/>
        </w:rPr>
        <w:t>dores al descanso se garantiza de la siguiente forma:</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Vacaciones, que constan de descanso oficial y días de descanso co</w:t>
      </w:r>
      <w:r>
        <w:rPr>
          <w:spacing w:val="0"/>
          <w:lang w:val="es-ES"/>
        </w:rPr>
        <w:t>m</w:t>
      </w:r>
      <w:r>
        <w:rPr>
          <w:spacing w:val="0"/>
          <w:lang w:val="es-ES"/>
        </w:rPr>
        <w:t>plementarios;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Licencia social que se concede a las trabajadoras para el cuidado del hijo;</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Licencia sabática prevista para continuar estudios y realizar investigaciones;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Licencia sin sueldo.</w:t>
      </w:r>
    </w:p>
    <w:p w:rsidR="001D2E73" w:rsidRDefault="001D2E73">
      <w:pPr>
        <w:pStyle w:val="SingleTxtGR"/>
        <w:rPr>
          <w:spacing w:val="0"/>
          <w:lang w:val="es-ES"/>
        </w:rPr>
      </w:pPr>
      <w:r>
        <w:rPr>
          <w:spacing w:val="0"/>
          <w:lang w:val="es-ES"/>
        </w:rPr>
        <w:t>En el contrato de trabajo y en los convenios colectivos se podrán prever otros tipos de licencia.</w:t>
      </w:r>
    </w:p>
    <w:p w:rsidR="001D2E73" w:rsidRDefault="001D2E73">
      <w:pPr>
        <w:pStyle w:val="SingleTxtGR"/>
        <w:rPr>
          <w:spacing w:val="0"/>
          <w:lang w:val="es-ES"/>
        </w:rPr>
      </w:pPr>
      <w:r>
        <w:rPr>
          <w:spacing w:val="0"/>
          <w:lang w:val="es-ES"/>
        </w:rPr>
        <w:t>193.</w:t>
      </w:r>
      <w:r>
        <w:rPr>
          <w:spacing w:val="0"/>
          <w:lang w:val="es-ES"/>
        </w:rPr>
        <w:tab/>
        <w:t xml:space="preserve">De conformidad con el artículo 113 del Código del Trabajo, las vacaciones son un tiempo de descanso, en que el trabajador interrumpe su labor y utiliza ese tiempo a su discreción para disfrutar de su descanso normal, recuperar su capacidad laboral, o cuidar y fortalecer su salud y durarán como mínimo el tiempo establecido en el Código del Trabajo. La duración de las vacaciones se calcula en días naturales. Las vacaciones constan del descanso obligatorio anual que disfruta el trabajador tras realizar sus funciones conforme a su ocupación (cargo) y los días adicionales que se le conceden según el carácter de la labor que realiza, el tipo de trabajo y su antigüedad; esto es así también para las mujeres con hijos. Las vacaciones oficiales y los días adicionales se podrán conceder juntos o por separado. </w:t>
      </w:r>
    </w:p>
    <w:p w:rsidR="001D2E73" w:rsidRDefault="001D2E73">
      <w:pPr>
        <w:pStyle w:val="SingleTxtGR"/>
        <w:rPr>
          <w:spacing w:val="0"/>
          <w:lang w:val="es-ES"/>
        </w:rPr>
      </w:pPr>
      <w:r>
        <w:rPr>
          <w:spacing w:val="0"/>
          <w:lang w:val="es-ES"/>
        </w:rPr>
        <w:t>194.</w:t>
      </w:r>
      <w:r>
        <w:rPr>
          <w:spacing w:val="0"/>
          <w:lang w:val="es-ES"/>
        </w:rPr>
        <w:tab/>
        <w:t>Las vacaciones se disfrutan todos los años al cumplirse el año de trabajo. El año de trabajo comienza el día de admisión al empleo y termina ese mismo día al año siguiente. Si el trabajador pide sus vacaciones cuando no se ha cumplido aún el año de trabajo, solo podrá disfrutarlas cuando comience el siguiente año laboral. Solo se podrá conceder vacaciones acumuladas por cada año laboral. Si en el transcurso de un año natural, el trabajador tuviese derecho a disfrutar de vacaciones acumuladas dos años consecutivos, podrá disfrutar de todo ese tiempo acumulado de una sola vez o en varias oportunidades.</w:t>
      </w:r>
    </w:p>
    <w:p w:rsidR="001D2E73" w:rsidRDefault="001D2E73">
      <w:pPr>
        <w:pStyle w:val="SingleTxtGR"/>
        <w:rPr>
          <w:spacing w:val="0"/>
          <w:lang w:val="es-ES"/>
        </w:rPr>
      </w:pPr>
      <w:r>
        <w:rPr>
          <w:spacing w:val="0"/>
          <w:lang w:val="es-ES"/>
        </w:rPr>
        <w:t>195.</w:t>
      </w:r>
      <w:r>
        <w:rPr>
          <w:spacing w:val="0"/>
          <w:lang w:val="es-ES"/>
        </w:rPr>
        <w:tab/>
        <w:t xml:space="preserve">Con arreglo al artículo 114 del Código del Trabajo, las vacaciones son el descanso del trabajador según su oficio (ocupación) establecido en el contrato de trabajo, con la duración mínima prevista en los párrafos 2 y 3 de ese artículo. Los trabajadores deberán disfrutar de vacaciones remuneradas de no menos de 21 días naturales. </w:t>
      </w:r>
    </w:p>
    <w:p w:rsidR="001D2E73" w:rsidRDefault="001D2E73">
      <w:pPr>
        <w:pStyle w:val="SingleTxtGR"/>
        <w:rPr>
          <w:spacing w:val="0"/>
          <w:lang w:val="es-ES"/>
        </w:rPr>
      </w:pPr>
      <w:r>
        <w:rPr>
          <w:spacing w:val="0"/>
          <w:lang w:val="es-ES"/>
        </w:rPr>
        <w:t>196.</w:t>
      </w:r>
      <w:r>
        <w:rPr>
          <w:spacing w:val="0"/>
          <w:lang w:val="es-ES"/>
        </w:rPr>
        <w:tab/>
        <w:t>Los trabajadores que se indican a continuación disfrutan de vacaciones remuneradas durante 30 días naturales: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Trabajadores agrícolas;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Empleados públicos que ocupan cargos de responsabilidad (la responsabilidad del cargo la determina el empleador teniendo en cuenta las características del trabajo), capataces y especialistas de empresas;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Directores y personal administrativo de los centros de enseñanza que no realizan trabajos pedagógicos, así como directores de instituciones preesc</w:t>
      </w:r>
      <w:r>
        <w:rPr>
          <w:spacing w:val="0"/>
          <w:lang w:val="es-ES"/>
        </w:rPr>
        <w:t>o</w:t>
      </w:r>
      <w:r>
        <w:rPr>
          <w:spacing w:val="0"/>
          <w:lang w:val="es-ES"/>
        </w:rPr>
        <w:t>lares, excepto los centros sujetos a un régimen especial;</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Metodólogos, instructores jefes, instructores de oficios, instructores, bibliotecarios, técnicos de laboratorio, jefes de taller, personal de limpieza, personal de lavandería, directores artísticos de establecimientos docentes;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e)</w:t>
      </w:r>
      <w:r>
        <w:rPr>
          <w:spacing w:val="0"/>
          <w:lang w:val="es-ES"/>
        </w:rPr>
        <w:tab/>
        <w:t>Trabajadores científicos sin titulación académica;</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f)</w:t>
      </w:r>
      <w:r>
        <w:rPr>
          <w:spacing w:val="0"/>
          <w:lang w:val="es-ES"/>
        </w:rPr>
        <w:tab/>
        <w:t>Médicos, personal médico de categoría intermedia y farmacéuticos.</w:t>
      </w:r>
    </w:p>
    <w:p w:rsidR="001D2E73" w:rsidRDefault="001D2E73">
      <w:pPr>
        <w:pStyle w:val="SingleTxtGR"/>
        <w:rPr>
          <w:spacing w:val="0"/>
          <w:lang w:val="es-ES"/>
        </w:rPr>
      </w:pPr>
      <w:r>
        <w:rPr>
          <w:spacing w:val="0"/>
          <w:lang w:val="es-ES"/>
        </w:rPr>
        <w:t>197.</w:t>
      </w:r>
      <w:r>
        <w:rPr>
          <w:spacing w:val="0"/>
          <w:lang w:val="es-ES"/>
        </w:rPr>
        <w:tab/>
        <w:t>Los trabajadores con horario reducido (jornada parcial o semana incompleta) disfrutarán de vacaciones con una duración igual a la de un trabajador a tiempo completo, según la labor que realice o el cargo que ocupe.</w:t>
      </w:r>
    </w:p>
    <w:p w:rsidR="001D2E73" w:rsidRDefault="001D2E73">
      <w:pPr>
        <w:pStyle w:val="SingleTxtGR"/>
        <w:rPr>
          <w:spacing w:val="0"/>
          <w:lang w:val="es-ES"/>
        </w:rPr>
      </w:pPr>
      <w:r>
        <w:rPr>
          <w:spacing w:val="0"/>
          <w:lang w:val="es-ES"/>
        </w:rPr>
        <w:t>198.</w:t>
      </w:r>
      <w:r>
        <w:rPr>
          <w:spacing w:val="0"/>
          <w:lang w:val="es-ES"/>
        </w:rPr>
        <w:tab/>
        <w:t>Los días feriados no laborables que coincidan con las vacaciones no se incluyen en los días naturales de vacaciones y no se pagan.</w:t>
      </w:r>
    </w:p>
    <w:p w:rsidR="001D2E73" w:rsidRDefault="001D2E73" w:rsidP="00E95C1B">
      <w:pPr>
        <w:pStyle w:val="SingleTxtG"/>
      </w:pPr>
      <w:r>
        <w:t>199.</w:t>
      </w:r>
      <w:r>
        <w:tab/>
        <w:t>Con arreglo al artículo 115 del Código del Trabajo, los obreros que realizan trabajos subterráneos, pesados y en condiciones peligrosas, así como los que realizan funciones que causan un gran estrés emocional, volitivo, mental y físico, disfrutarán de vacaciones adicionales según las condiciones de trabajos y las características específicas de las funciones que realizan. Esas vacaciones complementarias durarán no menos de 6 días naturales. La lista de trabajos, oficios y tareas pesados y en condiciones peligrosas, a los que se reconocen días adicionales de vacaciones, es aprobada por el Consejo de Ministros e incluye el número de días adicionales de vacaciones.</w:t>
      </w:r>
    </w:p>
    <w:p w:rsidR="001D2E73" w:rsidRDefault="001D2E73">
      <w:pPr>
        <w:pStyle w:val="SingleTxtGR"/>
        <w:rPr>
          <w:spacing w:val="0"/>
          <w:lang w:val="es-ES"/>
        </w:rPr>
      </w:pPr>
      <w:r>
        <w:rPr>
          <w:spacing w:val="0"/>
          <w:lang w:val="es-ES"/>
        </w:rPr>
        <w:t>200.</w:t>
      </w:r>
      <w:r>
        <w:rPr>
          <w:spacing w:val="0"/>
          <w:lang w:val="es-ES"/>
        </w:rPr>
        <w:tab/>
        <w:t>De conformidad con el artículo 116 del Código del Trabajo, la antigüedad en el trabajo permite a los trabajadores el disfrute de vacaciones adicionales: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Con antigüedad laboral de cinco a diez años: 2 días n</w:t>
      </w:r>
      <w:r>
        <w:rPr>
          <w:spacing w:val="0"/>
          <w:lang w:val="es-ES"/>
        </w:rPr>
        <w:t>a</w:t>
      </w:r>
      <w:r>
        <w:rPr>
          <w:spacing w:val="0"/>
          <w:lang w:val="es-ES"/>
        </w:rPr>
        <w:t>turales;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Con antigüedad laboral de diez a quince años: 4 días naturales;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Con antigüedad laboral de más de quince años: 6 días naturales.</w:t>
      </w:r>
    </w:p>
    <w:p w:rsidR="001D2E73" w:rsidRDefault="001D2E73">
      <w:pPr>
        <w:pStyle w:val="SingleTxtGR"/>
        <w:rPr>
          <w:spacing w:val="0"/>
          <w:lang w:val="es-ES"/>
        </w:rPr>
      </w:pPr>
      <w:r>
        <w:rPr>
          <w:spacing w:val="0"/>
          <w:lang w:val="es-ES"/>
        </w:rPr>
        <w:t>201.</w:t>
      </w:r>
      <w:r>
        <w:rPr>
          <w:spacing w:val="0"/>
          <w:lang w:val="es-ES"/>
        </w:rPr>
        <w:tab/>
        <w:t>Con arreglo al artículo 117 del Código del Trabajo, independientemente de la duración de las vacaciones básicas y complementarias, las mujeres con dos hijos menores de 14 años, disfrutarán de 2 días naturales más, con tres o más hijos de esa edad o con un hijo discapacitado o con problemas de salud, de 5 días naturales más. Los padres sin pareja que crían un hijo, así como los padres adoptivos, tienen derecho a los días adicionales de vacaciones previstos en el primer párrafo de este art</w:t>
      </w:r>
      <w:r>
        <w:rPr>
          <w:spacing w:val="0"/>
          <w:lang w:val="es-ES"/>
        </w:rPr>
        <w:t>í</w:t>
      </w:r>
      <w:r>
        <w:rPr>
          <w:spacing w:val="0"/>
          <w:lang w:val="es-ES"/>
        </w:rPr>
        <w:t xml:space="preserve">culo. El derecho a las vacaciones adicionales establecidas en el presente artículo se mantiene aunque uno de los hijos cumpla los 14 años antes de que termine el año. Los trabajadores enumerados en los artículos 118, 119, 120 y 121 del Código del Trabajo no tienen derecho a las vacaciones adicionales previstas en este artículo. </w:t>
      </w:r>
    </w:p>
    <w:p w:rsidR="001D2E73" w:rsidRDefault="001D2E73">
      <w:pPr>
        <w:pStyle w:val="SingleTxtGR"/>
        <w:rPr>
          <w:spacing w:val="0"/>
          <w:lang w:val="es-ES"/>
        </w:rPr>
      </w:pPr>
      <w:r>
        <w:rPr>
          <w:spacing w:val="0"/>
          <w:lang w:val="es-ES"/>
        </w:rPr>
        <w:t>202.</w:t>
      </w:r>
      <w:r>
        <w:rPr>
          <w:spacing w:val="0"/>
          <w:lang w:val="es-ES"/>
        </w:rPr>
        <w:tab/>
        <w:t>De conformidad con el artículo 118 del Código del Trabajo, deberán disfrutar de vacaciones durante 56 días naturales los siguientes trabajadores: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Dirigentes, educadores, instructores y directores musicales, concertistas, músicos acompañantes, directores de coros y otros músicos de centros de enseñanza, que tengan a su cargo al menos una tercera parte de la carga docente anual media;</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Profesores de todas las especialidades y denominaciones (con excepción de los instructores pedagógicos);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Directores de instituciones infantiles, titulares de máster, psicólogos especialistas, logopedas, maestros de sordos;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Educadores de establecimientos docentes (con excepción de los educadores de escuelas internados), instructores de laboratorios de idiomas, directores de círculos, instructores militares, instructores de educación física;</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e)</w:t>
      </w:r>
      <w:r>
        <w:rPr>
          <w:spacing w:val="0"/>
          <w:lang w:val="es-ES"/>
        </w:rPr>
        <w:tab/>
        <w:t>Empleados de organismos de protección social y de organizaciones de atención de la salud que participan directamente en actividades docentes;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f)</w:t>
      </w:r>
      <w:r>
        <w:rPr>
          <w:spacing w:val="0"/>
          <w:lang w:val="es-ES"/>
        </w:rPr>
        <w:tab/>
        <w:t>Colaboradores, dirigentes y sus adjuntos que realizan trabajo científico, secretarios científicos de instituciones de investigación, así como de subdivisiones de investigación de escuelas superiores que tienen grado científico de doctor en ciencias;</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g)</w:t>
      </w:r>
      <w:r>
        <w:rPr>
          <w:spacing w:val="0"/>
          <w:lang w:val="es-ES"/>
        </w:rPr>
        <w:tab/>
        <w:t>Investigadores independientes que participan en investigaciones autorizadas por la junta académica pertinente.</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203.</w:t>
      </w:r>
      <w:r>
        <w:rPr>
          <w:spacing w:val="0"/>
          <w:lang w:val="es-ES"/>
        </w:rPr>
        <w:tab/>
        <w:t>Los trabajadores que se indican a continuación disfrutan 42 días naturales de vacaciones: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Directores, educad</w:t>
      </w:r>
      <w:r>
        <w:rPr>
          <w:spacing w:val="0"/>
          <w:lang w:val="es-ES"/>
        </w:rPr>
        <w:t>o</w:t>
      </w:r>
      <w:r>
        <w:rPr>
          <w:spacing w:val="0"/>
          <w:lang w:val="es-ES"/>
        </w:rPr>
        <w:t>res, directores musicales y psicólogos de hogares infantiles e instituciones de preescolar;</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Directores de laboratorios y centros metodológicos, metodólogos e instru</w:t>
      </w:r>
      <w:r>
        <w:rPr>
          <w:spacing w:val="0"/>
          <w:lang w:val="es-ES"/>
        </w:rPr>
        <w:t>c</w:t>
      </w:r>
      <w:r>
        <w:rPr>
          <w:spacing w:val="0"/>
          <w:lang w:val="es-ES"/>
        </w:rPr>
        <w:t>tores;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Educadores de escuelas internados;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Directores de grupos de instituciones infantiles extracurriculares, trab</w:t>
      </w:r>
      <w:r>
        <w:rPr>
          <w:spacing w:val="0"/>
          <w:lang w:val="es-ES"/>
        </w:rPr>
        <w:t>a</w:t>
      </w:r>
      <w:r>
        <w:rPr>
          <w:spacing w:val="0"/>
          <w:lang w:val="es-ES"/>
        </w:rPr>
        <w:t>jadores en general;</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e)</w:t>
      </w:r>
      <w:r>
        <w:rPr>
          <w:spacing w:val="0"/>
          <w:lang w:val="es-ES"/>
        </w:rPr>
        <w:tab/>
        <w:t>Maestros-instructores;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f)</w:t>
      </w:r>
      <w:r>
        <w:rPr>
          <w:spacing w:val="0"/>
          <w:lang w:val="es-ES"/>
        </w:rPr>
        <w:tab/>
        <w:t>Estudiantes de doctorado, directores y subdirectores de proyectos científ</w:t>
      </w:r>
      <w:r>
        <w:rPr>
          <w:spacing w:val="0"/>
          <w:lang w:val="es-ES"/>
        </w:rPr>
        <w:t>i</w:t>
      </w:r>
      <w:r>
        <w:rPr>
          <w:spacing w:val="0"/>
          <w:lang w:val="es-ES"/>
        </w:rPr>
        <w:t>cos, secretarios científicos de centros de investigación o de departamentos científicos de instituciones universitarias.</w:t>
      </w:r>
    </w:p>
    <w:p w:rsidR="001D2E73" w:rsidRDefault="001D2E73">
      <w:pPr>
        <w:pStyle w:val="SingleTxtGR"/>
        <w:rPr>
          <w:spacing w:val="0"/>
          <w:lang w:val="es-ES"/>
        </w:rPr>
      </w:pPr>
      <w:r>
        <w:rPr>
          <w:spacing w:val="0"/>
          <w:lang w:val="es-ES"/>
        </w:rPr>
        <w:t>204.</w:t>
      </w:r>
      <w:r>
        <w:rPr>
          <w:spacing w:val="0"/>
          <w:lang w:val="es-ES"/>
        </w:rPr>
        <w:tab/>
        <w:t xml:space="preserve">De conformidad con el artículo 119 del Código del Trabajo, los trabajadores menores de 16 años disfrutan de vacaciones durante no menos de 42 días naturales, y los trabajadores de 16 a 18 años de edad, no menos de 35 días naturales. Independientemente del grupo, la causa y el grado de discapacidad, los trabajadores con discapacidad y los menores de 18 años con problemas de salud limitantes disfrutan de no menos de 42 días naturales de vacaciones. </w:t>
      </w:r>
    </w:p>
    <w:p w:rsidR="001D2E73" w:rsidRDefault="001D2E73">
      <w:pPr>
        <w:pStyle w:val="SingleTxtGR"/>
        <w:rPr>
          <w:spacing w:val="0"/>
          <w:lang w:val="es-ES"/>
        </w:rPr>
      </w:pPr>
      <w:r>
        <w:rPr>
          <w:spacing w:val="0"/>
          <w:lang w:val="es-ES"/>
        </w:rPr>
        <w:t>205.</w:t>
      </w:r>
      <w:r>
        <w:rPr>
          <w:spacing w:val="0"/>
          <w:lang w:val="es-ES"/>
        </w:rPr>
        <w:tab/>
        <w:t>En el artículo 120 del Código del Trabajo se prevé la duración de las vac</w:t>
      </w:r>
      <w:r>
        <w:rPr>
          <w:spacing w:val="0"/>
          <w:lang w:val="es-ES"/>
        </w:rPr>
        <w:t>a</w:t>
      </w:r>
      <w:r>
        <w:rPr>
          <w:spacing w:val="0"/>
          <w:lang w:val="es-ES"/>
        </w:rPr>
        <w:t>ciones de los trabajadores que han prestado servicios especiales al pueblo azerbaiyano. Con arreglo al artículo 120 del Código, los trabajadores que hayan sufrido daños físicos permanentes en defensa de la libertad, la soberanía y la integridad territorial de la R</w:t>
      </w:r>
      <w:r>
        <w:rPr>
          <w:spacing w:val="0"/>
          <w:lang w:val="es-ES"/>
        </w:rPr>
        <w:t>e</w:t>
      </w:r>
      <w:r>
        <w:rPr>
          <w:spacing w:val="0"/>
          <w:lang w:val="es-ES"/>
        </w:rPr>
        <w:t xml:space="preserve">pública de Azerbaiyán, los Héroes Nacionales de Azerbaiyán, los Héroes de </w:t>
      </w:r>
      <w:smartTag w:uri="urn:schemas-microsoft-com:office:smarttags" w:element="PersonName">
        <w:smartTagPr>
          <w:attr w:name="ProductID" w:val="la Uni￳n Sovi￩tica"/>
        </w:smartTagPr>
        <w:r>
          <w:rPr>
            <w:spacing w:val="0"/>
            <w:lang w:val="es-ES"/>
          </w:rPr>
          <w:t>la Unión Soviética</w:t>
        </w:r>
      </w:smartTag>
      <w:r>
        <w:rPr>
          <w:spacing w:val="0"/>
          <w:lang w:val="es-ES"/>
        </w:rPr>
        <w:t xml:space="preserve">, los militares que participaron en acciones militares en la guerra de 1941-1945, así como los que están cumpliendo el servicio militar, pero no participan en operaciones militares, los trabajadores condecorados con la Orden de la Independencia y otras condecoraciones estatales en relación con la defensa de la soberanía y la integridad territorial de Azerbaiyán disfrutan como mínimo de 46 días naturales de vacaciones. </w:t>
      </w:r>
    </w:p>
    <w:p w:rsidR="001D2E73" w:rsidRDefault="001D2E73">
      <w:pPr>
        <w:pStyle w:val="SingleTxtGR"/>
        <w:rPr>
          <w:spacing w:val="0"/>
          <w:lang w:val="es-ES"/>
        </w:rPr>
      </w:pPr>
      <w:r>
        <w:rPr>
          <w:spacing w:val="0"/>
          <w:lang w:val="es-ES"/>
        </w:rPr>
        <w:t>206.</w:t>
      </w:r>
      <w:r>
        <w:rPr>
          <w:spacing w:val="0"/>
          <w:lang w:val="es-ES"/>
        </w:rPr>
        <w:tab/>
        <w:t>De conformidad con el artículo 121 del Código del Trabajo, el personal artístico y teatral de las empresas de espectáculos, la televisión, la radio y el cine disfrutan de 42 días natur</w:t>
      </w:r>
      <w:r>
        <w:rPr>
          <w:spacing w:val="0"/>
          <w:lang w:val="es-ES"/>
        </w:rPr>
        <w:t>a</w:t>
      </w:r>
      <w:r>
        <w:rPr>
          <w:spacing w:val="0"/>
          <w:lang w:val="es-ES"/>
        </w:rPr>
        <w:t>les de vacaciones, y los que prestan servicios directamente en escena, 35 días naturales.</w:t>
      </w:r>
    </w:p>
    <w:p w:rsidR="001D2E73" w:rsidRDefault="001D2E73">
      <w:pPr>
        <w:pStyle w:val="SingleTxtGR"/>
        <w:rPr>
          <w:spacing w:val="0"/>
          <w:lang w:val="es-ES"/>
        </w:rPr>
      </w:pPr>
      <w:r>
        <w:rPr>
          <w:spacing w:val="0"/>
          <w:lang w:val="es-ES"/>
        </w:rPr>
        <w:t>207.</w:t>
      </w:r>
      <w:r>
        <w:rPr>
          <w:spacing w:val="0"/>
          <w:lang w:val="es-ES"/>
        </w:rPr>
        <w:tab/>
        <w:t>Con arreglo al artículo 164 del Código del Trabajo, la remuneración por el trabajo realizado en días de descanso, días feriados considerados no laborables y el Día de Duelo Nacional se pagará de la manera siguiente:</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Para los que cobran por tiempo trabajado, a no menos del doble de la tarifa diaria;</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Para los que trabajan a destajo, a no menos del doble de la tarifa establecida por unidad de trabajo</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c)</w:t>
      </w:r>
      <w:r>
        <w:rPr>
          <w:spacing w:val="0"/>
          <w:lang w:val="es-ES"/>
        </w:rPr>
        <w:tab/>
        <w:t xml:space="preserve">Para los que cobran por meses: si no se excede el período de trabajo mensual normal, según la tarifa mensual más la tarifa diaria fijada para la categoría del empleado; si se excede el tiempo de trabajo mensual establecido, según la tarifa mensual más, al menos, el doble de la tarifa diaria fijada para la categoría del empleado. </w:t>
      </w:r>
    </w:p>
    <w:p w:rsidR="001D2E73" w:rsidRDefault="001D2E73">
      <w:pPr>
        <w:pStyle w:val="SingleTxtGR"/>
        <w:rPr>
          <w:spacing w:val="0"/>
          <w:lang w:val="es-ES"/>
        </w:rPr>
      </w:pPr>
      <w:r>
        <w:rPr>
          <w:spacing w:val="0"/>
          <w:lang w:val="es-ES"/>
        </w:rPr>
        <w:t>208.</w:t>
      </w:r>
      <w:r>
        <w:rPr>
          <w:spacing w:val="0"/>
          <w:lang w:val="es-ES"/>
        </w:rPr>
        <w:tab/>
        <w:t>Si el trabajador que ha trabajado un día feriado considerado no laborable y el Día de Duelo Nacional así lo desea, en lugar de pago se le podrá autorizar un día adicional de descanso.</w:t>
      </w:r>
    </w:p>
    <w:p w:rsidR="001D2E73" w:rsidRDefault="001D2E73">
      <w:pPr>
        <w:pStyle w:val="SingleTxtGR"/>
        <w:rPr>
          <w:spacing w:val="0"/>
          <w:lang w:val="es-ES"/>
        </w:rPr>
      </w:pPr>
      <w:r>
        <w:rPr>
          <w:spacing w:val="0"/>
          <w:lang w:val="es-ES"/>
        </w:rPr>
        <w:t>209.</w:t>
      </w:r>
      <w:r>
        <w:rPr>
          <w:spacing w:val="0"/>
          <w:lang w:val="es-ES"/>
        </w:rPr>
        <w:tab/>
        <w:t xml:space="preserve">La República de Azerbaiyán ratificó los siguientes convenios de </w:t>
      </w:r>
      <w:smartTag w:uri="urn:schemas-microsoft-com:office:smarttags" w:element="PersonName">
        <w:smartTagPr>
          <w:attr w:name="ProductID" w:val="la Organizaci￳n Internacional"/>
        </w:smartTagPr>
        <w:r>
          <w:rPr>
            <w:spacing w:val="0"/>
            <w:lang w:val="es-ES"/>
          </w:rPr>
          <w:t>la Organiz</w:t>
        </w:r>
        <w:r>
          <w:rPr>
            <w:spacing w:val="0"/>
            <w:lang w:val="es-ES"/>
          </w:rPr>
          <w:t>a</w:t>
        </w:r>
        <w:r>
          <w:rPr>
            <w:spacing w:val="0"/>
            <w:lang w:val="es-ES"/>
          </w:rPr>
          <w:t>ción Internacional</w:t>
        </w:r>
      </w:smartTag>
      <w:r>
        <w:rPr>
          <w:spacing w:val="0"/>
          <w:lang w:val="es-ES"/>
        </w:rPr>
        <w:t xml:space="preserve"> del Trabajo (OIT): Convenio Nº 131 sobre la fijación de sal</w:t>
      </w:r>
      <w:r>
        <w:rPr>
          <w:spacing w:val="0"/>
          <w:lang w:val="es-ES"/>
        </w:rPr>
        <w:t>a</w:t>
      </w:r>
      <w:r>
        <w:rPr>
          <w:spacing w:val="0"/>
          <w:lang w:val="es-ES"/>
        </w:rPr>
        <w:t>rios mínimos, Nº 100 sobre igualdad de remuneración, Nº 14 sobre el descanso semanal (industria), Nº 106 sobre el descanso semanal (comercio y oficinas), Nº 52 sobre las vacaciones pagadas. El Gobierno de Azerbaiyán presenta info</w:t>
      </w:r>
      <w:r>
        <w:rPr>
          <w:spacing w:val="0"/>
          <w:lang w:val="es-ES"/>
        </w:rPr>
        <w:t>r</w:t>
      </w:r>
      <w:r>
        <w:rPr>
          <w:spacing w:val="0"/>
          <w:lang w:val="es-ES"/>
        </w:rPr>
        <w:t xml:space="preserve">mes a </w:t>
      </w:r>
      <w:smartTag w:uri="urn:schemas-microsoft-com:office:smarttags" w:element="PersonName">
        <w:smartTagPr>
          <w:attr w:name="ProductID" w:val="la Organizaci￳n Internacional"/>
        </w:smartTagPr>
        <w:r>
          <w:rPr>
            <w:spacing w:val="0"/>
            <w:lang w:val="es-ES"/>
          </w:rPr>
          <w:t>la Organización Internacional</w:t>
        </w:r>
      </w:smartTag>
      <w:r>
        <w:rPr>
          <w:spacing w:val="0"/>
          <w:lang w:val="es-ES"/>
        </w:rPr>
        <w:t xml:space="preserve"> del Trabajo en relación con los convenios antes mencionados de conformidad con el calendario establecido por la OIT. </w:t>
      </w:r>
    </w:p>
    <w:p w:rsidR="001D2E73" w:rsidRDefault="001D2E73">
      <w:pPr>
        <w:pStyle w:val="H1G"/>
        <w:rPr>
          <w:lang w:val="es-ES"/>
        </w:rPr>
      </w:pPr>
      <w:r>
        <w:rPr>
          <w:lang w:val="es-ES"/>
        </w:rPr>
        <w:tab/>
      </w:r>
      <w:r>
        <w:rPr>
          <w:lang w:val="es-ES"/>
        </w:rPr>
        <w:tab/>
        <w:t>Artículo 8</w:t>
      </w:r>
    </w:p>
    <w:p w:rsidR="001D2E73" w:rsidRDefault="001D2E73">
      <w:pPr>
        <w:pStyle w:val="SingleTxtGR"/>
        <w:rPr>
          <w:bCs/>
          <w:spacing w:val="0"/>
          <w:lang w:val="es-ES"/>
        </w:rPr>
      </w:pPr>
      <w:r>
        <w:rPr>
          <w:bCs/>
          <w:spacing w:val="0"/>
          <w:lang w:val="es-ES"/>
        </w:rPr>
        <w:t>210.</w:t>
      </w:r>
      <w:r>
        <w:rPr>
          <w:bCs/>
          <w:spacing w:val="0"/>
          <w:lang w:val="es-ES"/>
        </w:rPr>
        <w:tab/>
        <w:t>De conformidad con el párrafo 1 del artículo 58 de la Constitución, toda pe</w:t>
      </w:r>
      <w:r>
        <w:rPr>
          <w:bCs/>
          <w:spacing w:val="0"/>
          <w:lang w:val="es-ES"/>
        </w:rPr>
        <w:t>r</w:t>
      </w:r>
      <w:r>
        <w:rPr>
          <w:bCs/>
          <w:spacing w:val="0"/>
          <w:lang w:val="es-ES"/>
        </w:rPr>
        <w:t>sona tiene derecho a asociarse libremente con otras.</w:t>
      </w:r>
    </w:p>
    <w:p w:rsidR="001D2E73" w:rsidRDefault="001D2E73">
      <w:pPr>
        <w:pStyle w:val="SingleTxtGR"/>
        <w:rPr>
          <w:bCs/>
          <w:spacing w:val="0"/>
          <w:lang w:val="es-ES"/>
        </w:rPr>
      </w:pPr>
      <w:r>
        <w:rPr>
          <w:bCs/>
          <w:spacing w:val="0"/>
          <w:lang w:val="es-ES"/>
        </w:rPr>
        <w:t>211.</w:t>
      </w:r>
      <w:r>
        <w:rPr>
          <w:bCs/>
          <w:spacing w:val="0"/>
          <w:lang w:val="es-ES"/>
        </w:rPr>
        <w:tab/>
        <w:t>Con arreglo al párrafo 2 de ese mismo artículo, toda persona tiene derecho a crear asociaciones, incluso partidos políticos, sindicatos y otras organizaciones sociales, o afiliarse a las que ya existan. Está garantizada la libertad de todas las as</w:t>
      </w:r>
      <w:r>
        <w:rPr>
          <w:bCs/>
          <w:spacing w:val="0"/>
          <w:lang w:val="es-ES"/>
        </w:rPr>
        <w:t>o</w:t>
      </w:r>
      <w:r>
        <w:rPr>
          <w:bCs/>
          <w:spacing w:val="0"/>
          <w:lang w:val="es-ES"/>
        </w:rPr>
        <w:t xml:space="preserve">ciaciones para realizar sus actividades. </w:t>
      </w:r>
    </w:p>
    <w:p w:rsidR="001D2E73" w:rsidRDefault="001D2E73">
      <w:pPr>
        <w:pStyle w:val="SingleTxtGR"/>
        <w:rPr>
          <w:bCs/>
          <w:spacing w:val="0"/>
          <w:lang w:val="es-ES"/>
        </w:rPr>
      </w:pPr>
      <w:r>
        <w:rPr>
          <w:bCs/>
          <w:spacing w:val="0"/>
          <w:lang w:val="es-ES"/>
        </w:rPr>
        <w:t>212.</w:t>
      </w:r>
      <w:r>
        <w:rPr>
          <w:bCs/>
          <w:spacing w:val="0"/>
          <w:lang w:val="es-ES"/>
        </w:rPr>
        <w:tab/>
        <w:t>De conformidad con los artículos 1, 3 y 16 de la Ley de sindicatos, de 24 de febrero de 1994, los sindicatos son una organización social apolítica independiente que se organiza voluntariamente, según el principio de afiliación personal de los trabajadores ocupados en las esferas productiva y no productiva, así como los jubilados y las personas que reciben instrucción sobre la protección de sus derechos laborales, sociales y económicos y sus intereses legítimos en el lugar de trabajo, por of</w:t>
      </w:r>
      <w:r>
        <w:rPr>
          <w:bCs/>
          <w:spacing w:val="0"/>
          <w:lang w:val="es-ES"/>
        </w:rPr>
        <w:t>i</w:t>
      </w:r>
      <w:r>
        <w:rPr>
          <w:bCs/>
          <w:spacing w:val="0"/>
          <w:lang w:val="es-ES"/>
        </w:rPr>
        <w:t xml:space="preserve">cios, por ramas y a nivel de todo el país, y funcionan conforme a sus estatutos y la susodicha ley. </w:t>
      </w:r>
    </w:p>
    <w:p w:rsidR="001D2E73" w:rsidRDefault="001D2E73">
      <w:pPr>
        <w:pStyle w:val="SingleTxtGR"/>
        <w:rPr>
          <w:bCs/>
          <w:spacing w:val="0"/>
          <w:lang w:val="es-ES"/>
        </w:rPr>
      </w:pPr>
      <w:r>
        <w:rPr>
          <w:bCs/>
          <w:spacing w:val="0"/>
          <w:lang w:val="es-ES"/>
        </w:rPr>
        <w:t>213.</w:t>
      </w:r>
      <w:r>
        <w:rPr>
          <w:bCs/>
          <w:spacing w:val="0"/>
          <w:lang w:val="es-ES"/>
        </w:rPr>
        <w:tab/>
        <w:t>Para lograr los objetivos previstos en el artículo 1 de dicha Ley, se podrá establecer una asociación profesional cuando por lo menos siete personas convengan en as</w:t>
      </w:r>
      <w:r>
        <w:rPr>
          <w:bCs/>
          <w:spacing w:val="0"/>
          <w:lang w:val="es-ES"/>
        </w:rPr>
        <w:t>o</w:t>
      </w:r>
      <w:r>
        <w:rPr>
          <w:bCs/>
          <w:spacing w:val="0"/>
          <w:lang w:val="es-ES"/>
        </w:rPr>
        <w:t>ciarse voluntariamente y aprueben el estatuto de dicha organización.</w:t>
      </w:r>
    </w:p>
    <w:p w:rsidR="001D2E73" w:rsidRDefault="001D2E73">
      <w:pPr>
        <w:pStyle w:val="SingleTxtGR"/>
        <w:rPr>
          <w:bCs/>
          <w:spacing w:val="0"/>
          <w:lang w:val="es-ES"/>
        </w:rPr>
      </w:pPr>
      <w:r>
        <w:rPr>
          <w:bCs/>
          <w:spacing w:val="0"/>
          <w:lang w:val="es-ES"/>
        </w:rPr>
        <w:t>214.</w:t>
      </w:r>
      <w:r>
        <w:rPr>
          <w:bCs/>
          <w:spacing w:val="0"/>
          <w:lang w:val="es-ES"/>
        </w:rPr>
        <w:tab/>
        <w:t xml:space="preserve">No podrán fundar un sindicato las personas que estén cumpliendo el servicio militar. </w:t>
      </w:r>
    </w:p>
    <w:p w:rsidR="001D2E73" w:rsidRDefault="001D2E73">
      <w:pPr>
        <w:pStyle w:val="SingleTxtGR"/>
        <w:rPr>
          <w:spacing w:val="0"/>
          <w:lang w:val="es-ES"/>
        </w:rPr>
      </w:pPr>
      <w:r>
        <w:rPr>
          <w:spacing w:val="0"/>
          <w:lang w:val="es-ES"/>
        </w:rPr>
        <w:t>215.</w:t>
      </w:r>
      <w:r>
        <w:rPr>
          <w:spacing w:val="0"/>
          <w:lang w:val="es-ES"/>
        </w:rPr>
        <w:tab/>
        <w:t>El 10 de octubre de 2006 se introdujeron enmiendas a la Ley de sindicatos. Se suprimió la limitación de los derechos sindicales a la actividad política. Por otra pa</w:t>
      </w:r>
      <w:r>
        <w:rPr>
          <w:spacing w:val="0"/>
          <w:lang w:val="es-ES"/>
        </w:rPr>
        <w:t>r</w:t>
      </w:r>
      <w:r>
        <w:rPr>
          <w:spacing w:val="0"/>
          <w:lang w:val="es-ES"/>
        </w:rPr>
        <w:t>te se mantiene las restricciones relativas a los dirigentes sindicales: estas personas no pueden dirigir simultáneamente sindicatos y organizaciones políticas y, para cont</w:t>
      </w:r>
      <w:r>
        <w:rPr>
          <w:spacing w:val="0"/>
          <w:lang w:val="es-ES"/>
        </w:rPr>
        <w:t>i</w:t>
      </w:r>
      <w:r>
        <w:rPr>
          <w:spacing w:val="0"/>
          <w:lang w:val="es-ES"/>
        </w:rPr>
        <w:t>nuar su actividad como dirigentes deberán optar por una de las dos.</w:t>
      </w:r>
    </w:p>
    <w:p w:rsidR="001D2E73" w:rsidRDefault="001D2E73">
      <w:pPr>
        <w:pStyle w:val="SingleTxtGR"/>
        <w:rPr>
          <w:bCs/>
          <w:spacing w:val="0"/>
          <w:lang w:val="es-ES"/>
        </w:rPr>
      </w:pPr>
      <w:r>
        <w:rPr>
          <w:bCs/>
          <w:spacing w:val="0"/>
          <w:lang w:val="es-ES"/>
        </w:rPr>
        <w:t>216.</w:t>
      </w:r>
      <w:r>
        <w:rPr>
          <w:bCs/>
          <w:spacing w:val="0"/>
          <w:lang w:val="es-ES"/>
        </w:rPr>
        <w:tab/>
        <w:t>De conformidad con el párrafo 6 del artículo 32 de la Ley sobre el servicio en los órganos de la fiscalía, de 29 de junio de 2001, los trabajadores de la fiscalía pueden asociarse en organizaciones profesionales. En el párrafo 43 del Reglamento s</w:t>
      </w:r>
      <w:r>
        <w:rPr>
          <w:bCs/>
          <w:spacing w:val="0"/>
          <w:lang w:val="es-ES"/>
        </w:rPr>
        <w:t>o</w:t>
      </w:r>
      <w:r>
        <w:rPr>
          <w:bCs/>
          <w:spacing w:val="0"/>
          <w:lang w:val="es-ES"/>
        </w:rPr>
        <w:t>bre el servicio en las dependencias aduaneras, aprobado por Ley de 7 de diciembre 1999, se consagra el derecho de las autoridades aduaneras a asociarse en organiz</w:t>
      </w:r>
      <w:r>
        <w:rPr>
          <w:bCs/>
          <w:spacing w:val="0"/>
          <w:lang w:val="es-ES"/>
        </w:rPr>
        <w:t>a</w:t>
      </w:r>
      <w:r>
        <w:rPr>
          <w:bCs/>
          <w:spacing w:val="0"/>
          <w:lang w:val="es-ES"/>
        </w:rPr>
        <w:t>ciones profesionales.</w:t>
      </w:r>
    </w:p>
    <w:p w:rsidR="001D2E73" w:rsidRDefault="001D2E73">
      <w:pPr>
        <w:pStyle w:val="SingleTxtGR"/>
        <w:rPr>
          <w:bCs/>
          <w:spacing w:val="0"/>
          <w:lang w:val="es-ES"/>
        </w:rPr>
      </w:pPr>
      <w:r>
        <w:rPr>
          <w:bCs/>
          <w:spacing w:val="0"/>
          <w:lang w:val="es-ES"/>
        </w:rPr>
        <w:t>217.</w:t>
      </w:r>
      <w:r>
        <w:rPr>
          <w:bCs/>
          <w:spacing w:val="0"/>
          <w:lang w:val="es-ES"/>
        </w:rPr>
        <w:tab/>
        <w:t>El párrafo 33 del Reglamento sobre el servicio en los órganos fiscales, apr</w:t>
      </w:r>
      <w:r>
        <w:rPr>
          <w:bCs/>
          <w:spacing w:val="0"/>
          <w:lang w:val="es-ES"/>
        </w:rPr>
        <w:t>o</w:t>
      </w:r>
      <w:r>
        <w:rPr>
          <w:bCs/>
          <w:spacing w:val="0"/>
          <w:lang w:val="es-ES"/>
        </w:rPr>
        <w:t>bado por Ley de 12 de junio de 2001, se establece el derecho de los funcionarios de hacienda a afiliarse a sindicatos.</w:t>
      </w:r>
    </w:p>
    <w:p w:rsidR="001D2E73" w:rsidRDefault="001D2E73">
      <w:pPr>
        <w:pStyle w:val="SingleTxtGR"/>
        <w:rPr>
          <w:bCs/>
          <w:spacing w:val="0"/>
          <w:lang w:val="es-ES"/>
        </w:rPr>
      </w:pPr>
      <w:r>
        <w:rPr>
          <w:bCs/>
          <w:spacing w:val="0"/>
          <w:lang w:val="es-ES"/>
        </w:rPr>
        <w:t>218.</w:t>
      </w:r>
      <w:r>
        <w:rPr>
          <w:bCs/>
          <w:spacing w:val="0"/>
          <w:lang w:val="es-ES"/>
        </w:rPr>
        <w:tab/>
        <w:t>Con arreglo al artículo 5 de la Ley de sindicatos, los sindicatos son independientes en su actividad de los órganos y oficinas estatales, los partidos políticos y las organizaciones sociales y no están subordinados a estos. Se prohíbe toda injerencia que pueda impedir el ejercicio de los derechos de los sindicatos, excepto en los casos previstos en esa Ley.</w:t>
      </w:r>
    </w:p>
    <w:p w:rsidR="001D2E73" w:rsidRDefault="001D2E73">
      <w:pPr>
        <w:pStyle w:val="SingleTxtGR"/>
        <w:rPr>
          <w:bCs/>
          <w:spacing w:val="0"/>
          <w:lang w:val="es-ES"/>
        </w:rPr>
      </w:pPr>
      <w:r>
        <w:rPr>
          <w:bCs/>
          <w:spacing w:val="0"/>
          <w:lang w:val="es-ES"/>
        </w:rPr>
        <w:t>219.</w:t>
      </w:r>
      <w:r>
        <w:rPr>
          <w:bCs/>
          <w:spacing w:val="0"/>
          <w:lang w:val="es-ES"/>
        </w:rPr>
        <w:tab/>
        <w:t>Los trabajadores, los jubilados y las personas que están recibiendo una educ</w:t>
      </w:r>
      <w:r>
        <w:rPr>
          <w:bCs/>
          <w:spacing w:val="0"/>
          <w:lang w:val="es-ES"/>
        </w:rPr>
        <w:t>a</w:t>
      </w:r>
      <w:r>
        <w:rPr>
          <w:bCs/>
          <w:spacing w:val="0"/>
          <w:lang w:val="es-ES"/>
        </w:rPr>
        <w:t>ción, sin ningún tipo de distinción, tienen derecho a fundar sindicatos voluntariame</w:t>
      </w:r>
      <w:r>
        <w:rPr>
          <w:bCs/>
          <w:spacing w:val="0"/>
          <w:lang w:val="es-ES"/>
        </w:rPr>
        <w:t>n</w:t>
      </w:r>
      <w:r>
        <w:rPr>
          <w:bCs/>
          <w:spacing w:val="0"/>
          <w:lang w:val="es-ES"/>
        </w:rPr>
        <w:t>te por elección propia y sin autorización previa para la defensa de sus intereses leg</w:t>
      </w:r>
      <w:r>
        <w:rPr>
          <w:bCs/>
          <w:spacing w:val="0"/>
          <w:lang w:val="es-ES"/>
        </w:rPr>
        <w:t>í</w:t>
      </w:r>
      <w:r>
        <w:rPr>
          <w:bCs/>
          <w:spacing w:val="0"/>
          <w:lang w:val="es-ES"/>
        </w:rPr>
        <w:t xml:space="preserve">timos y sus derechos laborales y socioeconómicos y realizar actividades sindicales. </w:t>
      </w:r>
    </w:p>
    <w:p w:rsidR="001D2E73" w:rsidRDefault="001D2E73">
      <w:pPr>
        <w:pStyle w:val="SingleTxtGR"/>
        <w:rPr>
          <w:bCs/>
          <w:spacing w:val="0"/>
          <w:lang w:val="es-ES"/>
        </w:rPr>
      </w:pPr>
      <w:r>
        <w:rPr>
          <w:bCs/>
          <w:spacing w:val="0"/>
          <w:lang w:val="es-ES"/>
        </w:rPr>
        <w:t>220.</w:t>
      </w:r>
      <w:r>
        <w:rPr>
          <w:bCs/>
          <w:spacing w:val="0"/>
          <w:lang w:val="es-ES"/>
        </w:rPr>
        <w:tab/>
        <w:t>En los estatutos de los sindicatos se establece el procedimiento de afiliación de los jubilados que no trabajan y los desempleados.</w:t>
      </w:r>
    </w:p>
    <w:p w:rsidR="001D2E73" w:rsidRDefault="001D2E73">
      <w:pPr>
        <w:pStyle w:val="SingleTxtGR"/>
        <w:rPr>
          <w:bCs/>
          <w:spacing w:val="0"/>
          <w:lang w:val="es-ES"/>
        </w:rPr>
      </w:pPr>
      <w:r>
        <w:rPr>
          <w:bCs/>
          <w:spacing w:val="0"/>
          <w:lang w:val="es-ES"/>
        </w:rPr>
        <w:t>221.</w:t>
      </w:r>
      <w:r>
        <w:rPr>
          <w:bCs/>
          <w:spacing w:val="0"/>
          <w:lang w:val="es-ES"/>
        </w:rPr>
        <w:tab/>
        <w:t>De conformidad con el artículo 16 de esa Ley, los sindicatos podrán ingresar en las organizaciones sindicales internacionales de conformidad con los objetivos y las tareas previstas en sus estatutos y realizar actividades en el exterior, de conformidad con lo establ</w:t>
      </w:r>
      <w:r>
        <w:rPr>
          <w:bCs/>
          <w:spacing w:val="0"/>
          <w:lang w:val="es-ES"/>
        </w:rPr>
        <w:t>e</w:t>
      </w:r>
      <w:r>
        <w:rPr>
          <w:bCs/>
          <w:spacing w:val="0"/>
          <w:lang w:val="es-ES"/>
        </w:rPr>
        <w:t>cido en la Ley.</w:t>
      </w:r>
    </w:p>
    <w:p w:rsidR="001D2E73" w:rsidRDefault="001D2E73">
      <w:pPr>
        <w:pStyle w:val="SingleTxtGR"/>
        <w:rPr>
          <w:bCs/>
          <w:spacing w:val="0"/>
          <w:lang w:val="es-ES"/>
        </w:rPr>
      </w:pPr>
      <w:r>
        <w:rPr>
          <w:bCs/>
          <w:spacing w:val="0"/>
          <w:lang w:val="es-ES"/>
        </w:rPr>
        <w:t>222.</w:t>
      </w:r>
      <w:r>
        <w:rPr>
          <w:bCs/>
          <w:spacing w:val="0"/>
          <w:lang w:val="es-ES"/>
        </w:rPr>
        <w:tab/>
        <w:t xml:space="preserve">Gracias a que es miembro de </w:t>
      </w:r>
      <w:smartTag w:uri="urn:schemas-microsoft-com:office:smarttags" w:element="PersonName">
        <w:smartTagPr>
          <w:attr w:name="ProductID" w:val="la Organizaci￳n Internacional"/>
        </w:smartTagPr>
        <w:r>
          <w:rPr>
            <w:bCs/>
            <w:spacing w:val="0"/>
            <w:lang w:val="es-ES"/>
          </w:rPr>
          <w:t>la Organización Internacional</w:t>
        </w:r>
      </w:smartTag>
      <w:r>
        <w:rPr>
          <w:bCs/>
          <w:spacing w:val="0"/>
          <w:lang w:val="es-ES"/>
        </w:rPr>
        <w:t xml:space="preserve"> del Trabajo y de </w:t>
      </w:r>
      <w:smartTag w:uri="urn:schemas-microsoft-com:office:smarttags" w:element="PersonName">
        <w:smartTagPr>
          <w:attr w:name="ProductID" w:val="la Confederaci￳n Sindical Mundial"/>
        </w:smartTagPr>
        <w:r>
          <w:rPr>
            <w:bCs/>
            <w:spacing w:val="0"/>
            <w:lang w:val="es-ES"/>
          </w:rPr>
          <w:t>la Confederación Sindical Mundial</w:t>
        </w:r>
      </w:smartTag>
      <w:r>
        <w:rPr>
          <w:bCs/>
          <w:spacing w:val="0"/>
          <w:lang w:val="es-ES"/>
        </w:rPr>
        <w:t xml:space="preserve">, </w:t>
      </w:r>
      <w:smartTag w:uri="urn:schemas-microsoft-com:office:smarttags" w:element="PersonName">
        <w:smartTagPr>
          <w:attr w:name="ProductID" w:val="la Confederaci￳n Sindical"/>
        </w:smartTagPr>
        <w:r>
          <w:rPr>
            <w:bCs/>
            <w:spacing w:val="0"/>
            <w:lang w:val="es-ES"/>
          </w:rPr>
          <w:t>la Confederación Sindical</w:t>
        </w:r>
      </w:smartTag>
      <w:r>
        <w:rPr>
          <w:bCs/>
          <w:spacing w:val="0"/>
          <w:lang w:val="es-ES"/>
        </w:rPr>
        <w:t xml:space="preserve"> de Azerbaiyán colabora con 34 organizaciones sindicales de 29 países.</w:t>
      </w:r>
    </w:p>
    <w:p w:rsidR="001D2E73" w:rsidRDefault="001D2E73">
      <w:pPr>
        <w:pStyle w:val="SingleTxtGR"/>
        <w:rPr>
          <w:spacing w:val="0"/>
          <w:lang w:val="es-ES"/>
        </w:rPr>
      </w:pPr>
      <w:r>
        <w:rPr>
          <w:spacing w:val="0"/>
          <w:lang w:val="es-ES"/>
        </w:rPr>
        <w:t>223.</w:t>
      </w:r>
      <w:r>
        <w:rPr>
          <w:spacing w:val="0"/>
          <w:lang w:val="es-ES"/>
        </w:rPr>
        <w:tab/>
        <w:t>De conformidad con el artículo 36 de la Constitución de Azerbaiyán, toda persona tiene derecho a declararse en huelga por su cuenta o colectivamente. El derecho a la huelga de los trabajadores por violación del contrato de trabajo podrá limitarse solo en los casos previstos en el ley. No podrán declararse en huelga los milit</w:t>
      </w:r>
      <w:r>
        <w:rPr>
          <w:spacing w:val="0"/>
          <w:lang w:val="es-ES"/>
        </w:rPr>
        <w:t>a</w:t>
      </w:r>
      <w:r>
        <w:rPr>
          <w:spacing w:val="0"/>
          <w:lang w:val="es-ES"/>
        </w:rPr>
        <w:t xml:space="preserve">res y los civiles que presten servicios en las Fuerzas Armadas y otros destacamentos armados de Azerbaiyán. </w:t>
      </w:r>
    </w:p>
    <w:p w:rsidR="001D2E73" w:rsidRDefault="001D2E73">
      <w:pPr>
        <w:pStyle w:val="SingleTxtGR"/>
        <w:rPr>
          <w:spacing w:val="0"/>
          <w:lang w:val="es-ES"/>
        </w:rPr>
      </w:pPr>
      <w:r>
        <w:rPr>
          <w:spacing w:val="0"/>
          <w:lang w:val="es-ES"/>
        </w:rPr>
        <w:t>224.</w:t>
      </w:r>
      <w:r>
        <w:rPr>
          <w:spacing w:val="0"/>
          <w:lang w:val="es-ES"/>
        </w:rPr>
        <w:tab/>
        <w:t xml:space="preserve">Con arreglo a ese artículo de </w:t>
      </w:r>
      <w:smartTag w:uri="urn:schemas-microsoft-com:office:smarttags" w:element="PersonName">
        <w:smartTagPr>
          <w:attr w:name="ProductID" w:val="la Ley Fundamental"/>
        </w:smartTagPr>
        <w:r>
          <w:rPr>
            <w:spacing w:val="0"/>
            <w:lang w:val="es-ES"/>
          </w:rPr>
          <w:t>la Ley Fundamental</w:t>
        </w:r>
      </w:smartTag>
      <w:r>
        <w:rPr>
          <w:spacing w:val="0"/>
          <w:lang w:val="es-ES"/>
        </w:rPr>
        <w:t xml:space="preserve"> del país, los diferendos lab</w:t>
      </w:r>
      <w:r>
        <w:rPr>
          <w:spacing w:val="0"/>
          <w:lang w:val="es-ES"/>
        </w:rPr>
        <w:t>o</w:t>
      </w:r>
      <w:r>
        <w:rPr>
          <w:spacing w:val="0"/>
          <w:lang w:val="es-ES"/>
        </w:rPr>
        <w:t>rales individuales y colectivos se resuelven conforme a lo establecido en la ley.</w:t>
      </w:r>
    </w:p>
    <w:p w:rsidR="001D2E73" w:rsidRDefault="001D2E73">
      <w:pPr>
        <w:pStyle w:val="SingleTxtGR"/>
        <w:rPr>
          <w:spacing w:val="0"/>
          <w:lang w:val="es-ES"/>
        </w:rPr>
      </w:pPr>
      <w:r>
        <w:rPr>
          <w:spacing w:val="0"/>
          <w:lang w:val="es-ES"/>
        </w:rPr>
        <w:t>225.</w:t>
      </w:r>
      <w:r>
        <w:rPr>
          <w:spacing w:val="0"/>
          <w:lang w:val="es-ES"/>
        </w:rPr>
        <w:tab/>
        <w:t>De conformidad con el artículo 270 del Código del Trabajo, los trabajadores tienen derecho a declararse en huelga individualmente o junto con otros. Desde que surge un conflicto laboral colectivo, los trabajadores o la organización sindical ti</w:t>
      </w:r>
      <w:r>
        <w:rPr>
          <w:spacing w:val="0"/>
          <w:lang w:val="es-ES"/>
        </w:rPr>
        <w:t>e</w:t>
      </w:r>
      <w:r>
        <w:rPr>
          <w:spacing w:val="0"/>
          <w:lang w:val="es-ES"/>
        </w:rPr>
        <w:t xml:space="preserve">nen derecho a organizar una huelga. La huelga está permitida, cuando las partes han estado de acuerdo en resolver sus discrepancias por medios pacíficos, pero no logran resolver por estos medios el conflicto laboral colectivo. </w:t>
      </w:r>
    </w:p>
    <w:p w:rsidR="001D2E73" w:rsidRDefault="001D2E73">
      <w:pPr>
        <w:pStyle w:val="SingleTxtGR"/>
        <w:rPr>
          <w:spacing w:val="0"/>
          <w:lang w:val="es-ES"/>
        </w:rPr>
      </w:pPr>
      <w:r>
        <w:rPr>
          <w:spacing w:val="0"/>
          <w:lang w:val="es-ES"/>
        </w:rPr>
        <w:t>226.</w:t>
      </w:r>
      <w:r>
        <w:rPr>
          <w:spacing w:val="0"/>
          <w:lang w:val="es-ES"/>
        </w:rPr>
        <w:tab/>
        <w:t xml:space="preserve">La demora injustificada del empleador en buscar solución por medios pacíficos a un conflicto o el incumplimiento de los acuerdos alcanzados por medios pacíficos dará derecho al colectivo de trabajadores y a la organización sindical a declararse en huelga. La participación en la huelga es voluntaria. La persona que obligue a un trabajador a ir a la huelga o a negarse a participar incurre en responsabilidad según lo dispuesto en </w:t>
      </w:r>
      <w:smartTag w:uri="urn:schemas-microsoft-com:office:smarttags" w:element="PersonName">
        <w:smartTagPr>
          <w:attr w:name="ProductID" w:val="la ley. Adem￡s"/>
        </w:smartTagPr>
        <w:r>
          <w:rPr>
            <w:spacing w:val="0"/>
            <w:lang w:val="es-ES"/>
          </w:rPr>
          <w:t>la ley. Además</w:t>
        </w:r>
      </w:smartTag>
      <w:r>
        <w:rPr>
          <w:spacing w:val="0"/>
          <w:lang w:val="es-ES"/>
        </w:rPr>
        <w:t xml:space="preserve"> de los casos previstos en el párrafo 4 del artículo 275 de dicho Código, se prohíbe contratar a otras personas para que realicen la labor de trabajadores que están en huelga. El empleador no podrá organizar una huelga ni participar en ella. Se prohíbe despedir a un trabajador debido al surgimiento de un conflicto laboral colectivo o a la realización de una huelga, así como reducir otros puestos de trabajo, liquidar o reorganizar una empresa en la que haya surgido un conflicto laboral colectivo. </w:t>
      </w:r>
    </w:p>
    <w:p w:rsidR="001D2E73" w:rsidRDefault="001D2E73">
      <w:pPr>
        <w:pStyle w:val="SingleTxtGR"/>
        <w:rPr>
          <w:spacing w:val="0"/>
          <w:lang w:val="es-ES"/>
        </w:rPr>
      </w:pPr>
      <w:r>
        <w:rPr>
          <w:spacing w:val="0"/>
          <w:lang w:val="es-ES"/>
        </w:rPr>
        <w:t>227.</w:t>
      </w:r>
      <w:r>
        <w:rPr>
          <w:spacing w:val="0"/>
          <w:lang w:val="es-ES"/>
        </w:rPr>
        <w:tab/>
        <w:t>Los funcionarios que trabajan en los órganos legislativos, los órganos del poder ejecutivo, los órganos judiciales y de orden público no pueden participar en una huelga. En los establecimientos penitenciarios se prohíbe a los reclusos suspender la actividad laboral y organizar una huelga para resolver conflictos laborales.</w:t>
      </w:r>
    </w:p>
    <w:p w:rsidR="001D2E73" w:rsidRDefault="001D2E73">
      <w:pPr>
        <w:pStyle w:val="SingleTxtGR"/>
        <w:rPr>
          <w:spacing w:val="0"/>
          <w:lang w:val="es-ES"/>
        </w:rPr>
      </w:pPr>
      <w:r>
        <w:rPr>
          <w:spacing w:val="0"/>
          <w:lang w:val="es-ES"/>
        </w:rPr>
        <w:t>228.</w:t>
      </w:r>
      <w:r>
        <w:rPr>
          <w:spacing w:val="0"/>
          <w:lang w:val="es-ES"/>
        </w:rPr>
        <w:tab/>
        <w:t xml:space="preserve">Con arreglo al artículo 20.1.7 de la Ley de administración pública, de 21 de julio de 2000, el empleado público no tiene derecho a participar en huelgas ni otras actividades que interrumpan la labor de los órganos estatales. </w:t>
      </w:r>
    </w:p>
    <w:p w:rsidR="001D2E73" w:rsidRDefault="001D2E73">
      <w:pPr>
        <w:pStyle w:val="SingleTxtGR"/>
        <w:rPr>
          <w:spacing w:val="0"/>
          <w:lang w:val="es-ES"/>
        </w:rPr>
      </w:pPr>
      <w:r>
        <w:rPr>
          <w:spacing w:val="0"/>
          <w:lang w:val="es-ES"/>
        </w:rPr>
        <w:t>229.</w:t>
      </w:r>
      <w:r>
        <w:rPr>
          <w:spacing w:val="0"/>
          <w:lang w:val="es-ES"/>
        </w:rPr>
        <w:tab/>
        <w:t>Con arreglo al artículo 280 del Código del Trabajo, el derecho de los trabajadores a la huelga podrá verse limitado en condiciones de situación de guerra o emergencia. Se prohíbe también iniciar una huelga que persiga fines políticos, excepto en los casos relacionados con un acuerdo sobre principios generales de dirección de la política socioeconómica del Estado.</w:t>
      </w:r>
    </w:p>
    <w:p w:rsidR="001D2E73" w:rsidRDefault="001D2E73">
      <w:pPr>
        <w:pStyle w:val="SingleTxtGR"/>
        <w:rPr>
          <w:spacing w:val="0"/>
          <w:lang w:val="es-ES"/>
        </w:rPr>
      </w:pPr>
      <w:r>
        <w:rPr>
          <w:spacing w:val="0"/>
          <w:lang w:val="es-ES"/>
        </w:rPr>
        <w:t>230.</w:t>
      </w:r>
      <w:r>
        <w:rPr>
          <w:spacing w:val="0"/>
          <w:lang w:val="es-ES"/>
        </w:rPr>
        <w:tab/>
        <w:t xml:space="preserve">De conformidad con el párrafo 1 del artículo 281 del Código, se prohíbe realizar una huelga en algunos sectores de servicios (salas de hospitales, suministro de energía eléctrica, servicio de ordenación del abastecimiento de agua, comunicaciones telefónicas, transporte aéreo y ferroviario, extinción de incendios), que tienen una importancia capital para la salud y la seguridad de </w:t>
      </w:r>
      <w:smartTag w:uri="urn:schemas-microsoft-com:office:smarttags" w:element="PersonName">
        <w:smartTagPr>
          <w:attr w:name="ProductID" w:val="stitucional11ǼԈᙖᙖᙖIDǹԈ佴ミ㐠㷬ᙖ葨ᙖ ǲԌ㺬ヸ佈ミ㹼ヸ㐠ꗜヘ蒰ᙖ ǫԈ蒌ᙖ蕐ᙖ舘ᙖ"/>
        </w:smartTagPr>
        <w:r>
          <w:rPr>
            <w:spacing w:val="0"/>
            <w:lang w:val="es-ES"/>
          </w:rPr>
          <w:t>la población. En</w:t>
        </w:r>
      </w:smartTag>
      <w:r>
        <w:rPr>
          <w:spacing w:val="0"/>
          <w:lang w:val="es-ES"/>
        </w:rPr>
        <w:t xml:space="preserve"> caso de que las partes no puedan resolver el conflicto laboral colectivo que ha surgido en esas esferas, se aplicará obligatoriamente el arbitraje. </w:t>
      </w:r>
    </w:p>
    <w:p w:rsidR="001D2E73" w:rsidRDefault="001D2E73">
      <w:pPr>
        <w:pStyle w:val="SingleTxtGR"/>
        <w:rPr>
          <w:spacing w:val="0"/>
          <w:lang w:val="es-ES"/>
        </w:rPr>
      </w:pPr>
      <w:r>
        <w:rPr>
          <w:spacing w:val="0"/>
          <w:lang w:val="es-ES"/>
        </w:rPr>
        <w:t>231.</w:t>
      </w:r>
      <w:r>
        <w:rPr>
          <w:spacing w:val="0"/>
          <w:lang w:val="es-ES"/>
        </w:rPr>
        <w:tab/>
        <w:t>La República de Azerbaiyán ratificó los siguientes convenios de la OIT: Nº 87 sobre la libertad sindical y la protección del derecho de sindicación, Nº 151 sobre la protección del derecho de sindicación y los procedimientos para determinar las condiciones del empleo en la administración pública y Nº 98 relativo a la aplicación de los principios del derecho a la sindicación y a la negociación colectiva. El Gobierno de la República de Azerbaiyán a la OIT presenta informes periódicos a la OIT sobre la apl</w:t>
      </w:r>
      <w:r>
        <w:rPr>
          <w:spacing w:val="0"/>
          <w:lang w:val="es-ES"/>
        </w:rPr>
        <w:t>i</w:t>
      </w:r>
      <w:r>
        <w:rPr>
          <w:spacing w:val="0"/>
          <w:lang w:val="es-ES"/>
        </w:rPr>
        <w:t xml:space="preserve">cación de las disposiciones de esos convenios conforme al calendario establecido por esa organización. </w:t>
      </w:r>
    </w:p>
    <w:p w:rsidR="001D2E73" w:rsidRDefault="001D2E73">
      <w:pPr>
        <w:pStyle w:val="SingleTxtGR"/>
        <w:rPr>
          <w:spacing w:val="0"/>
          <w:lang w:val="es-ES"/>
        </w:rPr>
      </w:pPr>
      <w:r>
        <w:rPr>
          <w:spacing w:val="0"/>
          <w:lang w:val="es-ES"/>
        </w:rPr>
        <w:t>232.</w:t>
      </w:r>
      <w:r>
        <w:rPr>
          <w:spacing w:val="0"/>
          <w:lang w:val="es-ES"/>
        </w:rPr>
        <w:tab/>
        <w:t>En el Código del Trabajo de Azerbaiyán se establecen los fundamentos jurídicos de la celebración de negociaciones colectivas con el fin de firmar convenios colectivos y acuerdos.</w:t>
      </w:r>
    </w:p>
    <w:p w:rsidR="001D2E73" w:rsidRDefault="001D2E73">
      <w:pPr>
        <w:pStyle w:val="SingleTxtGR"/>
        <w:rPr>
          <w:spacing w:val="0"/>
          <w:lang w:val="es-ES"/>
        </w:rPr>
      </w:pPr>
      <w:r>
        <w:rPr>
          <w:spacing w:val="0"/>
          <w:lang w:val="es-ES"/>
        </w:rPr>
        <w:t>233.</w:t>
      </w:r>
      <w:r>
        <w:rPr>
          <w:spacing w:val="0"/>
          <w:lang w:val="es-ES"/>
        </w:rPr>
        <w:tab/>
        <w:t>De conformidad con los párrafos 1 y 2 del artículo 25 del Código del Trabajo para preparar y firmar un convenio colectivo o un acuerdo e introducirles enmiendas, las organizaciones sindicales (asociaciones), los colectivos de trabajo, los empleadores, los órganos correspondientes de poder ejecutivo y los órganos representativos de los empleadores tienen derecho a proponer la iniciativa de celebrar negociaciones colectivas. La parte que inicia informará por escrito a la otra parte del inicio de las negociaciones. La parte que recibe la información deberá, a más tardar 10 días después, incorporarse a las negociaciones.</w:t>
      </w:r>
    </w:p>
    <w:p w:rsidR="001D2E73" w:rsidRDefault="001D2E73">
      <w:pPr>
        <w:pStyle w:val="SingleTxtGR"/>
        <w:rPr>
          <w:spacing w:val="0"/>
          <w:lang w:val="es-ES"/>
        </w:rPr>
      </w:pPr>
      <w:r>
        <w:rPr>
          <w:spacing w:val="0"/>
          <w:lang w:val="es-ES"/>
        </w:rPr>
        <w:t>234.</w:t>
      </w:r>
      <w:r>
        <w:rPr>
          <w:spacing w:val="0"/>
          <w:lang w:val="es-ES"/>
        </w:rPr>
        <w:tab/>
        <w:t>Durante la preparación y la firma de convenios colectivos conforme a los derechos establecido, los sindicatos tienen grandes posibilidades de influir en la protección de los derechos laborales, económicos y sociales de los trabajadores, porque de conformidad con la legislación laboral en los convenios colectivos se pueden prever garantías adicionales en la esfera de los derechos laborales y sociales de los trabajadores más amplias que las previstas en la legislación vigente.</w:t>
      </w:r>
    </w:p>
    <w:p w:rsidR="001D2E73" w:rsidRDefault="001D2E73">
      <w:pPr>
        <w:pStyle w:val="SingleTxtGR"/>
        <w:rPr>
          <w:spacing w:val="0"/>
          <w:lang w:val="es-ES"/>
        </w:rPr>
      </w:pPr>
      <w:r>
        <w:rPr>
          <w:spacing w:val="0"/>
          <w:lang w:val="es-ES"/>
        </w:rPr>
        <w:t>235.</w:t>
      </w:r>
      <w:r>
        <w:rPr>
          <w:spacing w:val="0"/>
          <w:lang w:val="es-ES"/>
        </w:rPr>
        <w:tab/>
        <w:t xml:space="preserve">En ejercicio del derecho a firmar convenios colectivos, el Consejo de Ministros, </w:t>
      </w:r>
      <w:smartTag w:uri="urn:schemas-microsoft-com:office:smarttags" w:element="PersonName">
        <w:smartTagPr>
          <w:attr w:name="ProductID" w:val="la Confederaci￳n Sindical"/>
        </w:smartTagPr>
        <w:r>
          <w:rPr>
            <w:spacing w:val="0"/>
            <w:lang w:val="es-ES"/>
          </w:rPr>
          <w:t>la Confederación Sindical</w:t>
        </w:r>
      </w:smartTag>
      <w:r>
        <w:rPr>
          <w:spacing w:val="0"/>
          <w:lang w:val="es-ES"/>
        </w:rPr>
        <w:t xml:space="preserve"> y </w:t>
      </w:r>
      <w:smartTag w:uri="urn:schemas-microsoft-com:office:smarttags" w:element="PersonName">
        <w:smartTagPr>
          <w:attr w:name="ProductID" w:val="la Confederaci￳n Nacional"/>
        </w:smartTagPr>
        <w:r>
          <w:rPr>
            <w:spacing w:val="0"/>
            <w:lang w:val="es-ES"/>
          </w:rPr>
          <w:t>la Confederación Nacional</w:t>
        </w:r>
      </w:smartTag>
      <w:r>
        <w:rPr>
          <w:spacing w:val="0"/>
          <w:lang w:val="es-ES"/>
        </w:rPr>
        <w:t xml:space="preserve"> de Empresarios (empleadores) de Azerbaiyán firmaron el Conv</w:t>
      </w:r>
      <w:r>
        <w:rPr>
          <w:spacing w:val="0"/>
          <w:lang w:val="es-ES"/>
        </w:rPr>
        <w:t>e</w:t>
      </w:r>
      <w:r>
        <w:rPr>
          <w:spacing w:val="0"/>
          <w:lang w:val="es-ES"/>
        </w:rPr>
        <w:t>nio colectivo general para 2008-2009.</w:t>
      </w:r>
    </w:p>
    <w:p w:rsidR="001D2E73" w:rsidRDefault="001D2E73">
      <w:pPr>
        <w:pStyle w:val="SingleTxtGR"/>
        <w:rPr>
          <w:bCs/>
          <w:spacing w:val="0"/>
          <w:lang w:val="es-ES"/>
        </w:rPr>
      </w:pPr>
      <w:r>
        <w:rPr>
          <w:spacing w:val="0"/>
          <w:lang w:val="es-ES"/>
        </w:rPr>
        <w:t>236.</w:t>
      </w:r>
      <w:r>
        <w:rPr>
          <w:spacing w:val="0"/>
          <w:lang w:val="es-ES"/>
        </w:rPr>
        <w:tab/>
        <w:t xml:space="preserve">Según las estadísticas de </w:t>
      </w:r>
      <w:smartTag w:uri="urn:schemas-microsoft-com:office:smarttags" w:element="PersonName">
        <w:smartTagPr>
          <w:attr w:name="ProductID" w:val="la Confederaci￳n Sindical"/>
        </w:smartTagPr>
        <w:r>
          <w:rPr>
            <w:spacing w:val="0"/>
            <w:lang w:val="es-ES"/>
          </w:rPr>
          <w:t>la Confederación Sindical</w:t>
        </w:r>
      </w:smartTag>
      <w:r>
        <w:rPr>
          <w:spacing w:val="0"/>
          <w:lang w:val="es-ES"/>
        </w:rPr>
        <w:t xml:space="preserve">, al 1º de enero de 2009, se habían suscrito 76 acuerdos sobre tarifas y 12.619 convenios colectivos. Dichos convenios y acuerdos amparan a 965.037 afiliados a </w:t>
      </w:r>
      <w:smartTag w:uri="urn:schemas-microsoft-com:office:smarttags" w:element="PersonName">
        <w:smartTagPr>
          <w:attr w:name="ProductID" w:val="ミ㹼ヸ㐠ꗜヘ⧨ᕶ. ŮЈ佴ミ㐠 ⣜ᕶ♰ᕶūЈ⚔ᕶ⥸ᕶ⠈ᕶŤЈseguridadšЈ佴ミ㐠¨⦜ᕶ⤨ᕶ ŚЌ㺬ヸ佈ミ㹼ヸ㐠ꗜヘ⥰ᕶ œЈ⥌ᕶ⧰ᕶ⢸ᕶŌЈsocialŉЈ佴ミ㐠®⨔ᕶ⡀ᕶłЈ⡤ᕶ⪠ᕶ⥸ᕶĿЈ.ĺЈ佴ミ㐠¯⫄ᕶ⩐ᕶ ķЌ㺬ヸ佈ミ㹼ヸ㐠ꗜヘ⪘ᕶ ĬЈ⩴ᕶ⮠ᕶ⧰ᕶĩЈ&#10;ĤЈ.7.ģЈel1ĞЈDeĝЈ.ken ListdĖЈconformidadēЈconal.adČЈ⯤ᕶⲀᕶ⪠ᕶTag ĉЌ㺬ヸ佈ミ㹼ヸ㐠ꗜヘ⮘ᕶ ǾЈ佴ミ㐠⫝̸ᕶⰰᕶ ǻЌ㺬ヸ佈ミ㹼ヸ㐠ꗜヘⱸᕶ ǰЈⱔᕶⴘᕶ⮠ᕶǭЈ佴ミ㐠⬌ᕶⳈᕶ ǦЌ㺬ヸ佈ミ㹼ヸ㐠ꗜヘⴐᕶ ǟЈⳬᕶⶰᕶⲀᕶǘЈ佴ミ㐠 ⭌ᕶⵠᕶ ǕЌ㺬ヸ佈ミ㹼ヸ㐠ꗜヘⶨᕶ ǊЈⶄᕶ⹈ᕶⴘᕶǇЈ佴ミ㐠⭴ᕶⷸᕶ ǀЌ㺬ヸ佈ミ㹼ヸ㐠ꗜヘ⹀ᕶ ƹЈ⸜ᕶ⻠ᕶⶰᕶƲЈ佴ミ㐠⫴ᕶ⺐ᕶ ƯЌ㺬ヸ佈ミ㹼ヸ㐠ꗜヘ⻘ᕶ ƤЈ⺴ᕶ⽸ᕶ⹈ᕶơЈ佴ミ㐠⾜ᕶ⼨ᕶ ƚЌ㺬ヸ佈ミ㹼ヸ㐠ꗜヘ⽰ᕶ ƓЈ⽌ᕶ〸ᕶ⻠ᕶƌЈpárrafoƉЈ佴ミ㐠$ぜᕶ⿨ᕶ ƂЌ㺬ヸ佈ミ㹼ヸ㐠ꗜヘ〰ᕶ ŻЈ「ᕶヨᕶ⽸ᕶŴЈIIIųЈ佴ミ㐠(ㄌᕶ゘ᕶ ŬЌ㺬ヸ佈ミ㹼ヸ㐠ꗜヘムᕶ ťЈゼᕶ㆘ᕶ〸ᕶŞЈdeŝЈ佴ミ㐠+ㆼᕶㅈᕶ ŖЌ㺬ヸ佈ミ㹼ヸ㐠ꗜヘ㆐ᕶ ŏЈㅬᕶ㉈ᕶヨᕶňЈ&#10;dichoŇЈ佴ミ㐠1㉬ᕶㇸᕶ ŀЌ㺬ヸ佈ミ㹼ヸ㐠ꗜヘ㉀ᕶ ĹЈ㈜ᕶ㌈ᕶ㆘ᕶĲЈartículoįЈ佴ミ㐠:㌬ᕶ㊸ᕶ ĨЌ㺬ヸ佈ミ㹼ヸ㐠ꗜヘ㌀ᕶ ġЈ㋜ᕶ㎸ᕶ㉈ᕶĚЈdeęЈ佴ミ㐠=㏜ᕶ㍨ᕶ ĒЌ㺬ヸ佈ミ㹼ヸ㐠ꗜヘ㎰ᕶ ċЈ㎌ᕶ㑨ᕶ㌈ᕶĄЈlaăЈ佴ミ㐠@㒌ᕶ㐘ᕶ ǼЌ㺬ヸ佈ミ㹼ヸ㐠ꗜヘ㑠ᕶ ǵЈ㐼ᕶ㔨ᕶ㎸ᕶǮЈConstituciónǫЈ佴ミ㐠L㕌ᕶ㓘ᕶ ǤЌ㺬ヸ佈ミ㹼ヸ㐠ꗜヘ㔠ᕶ ǝЈ㓼ᕶ㗘ᕶ㑨ᕶǖЈ,ǕЈ佴ミ㐠N㗼ᕶ㖈ᕶ ǎЌ㺬ヸ佈ミ㹼ヸ㐠ꗜヘ㗐ᕶ ǇЈ㖬ᕶ㚈ᕶ㔨ᕶǀЈtodaƿЈ佴ミ㐠S㚬ᕶ㘸ᕶ ƸЌ㺬ヸ佈ミ㹼ヸ㐠ꗜヘ㚀ᕶ ƱЈ㙜ᕶ㝈ᕶ㗘ᕶƪЈpersonaƧЈ佴ミ㐠[㝬ᕶ㛸ᕶ ƠЌ㺬ヸ佈ミ㹼ヸ㐠ꗜヘ㝀ᕶ ƙЈ㜜ᕶ㟸ᕶ㚈ᕶƒЈ&#10;tieneƑЈ佴ミ㐠a㠜ᕶ㞨ᕶ ƊЌ㺬ヸ佈ミ㹼ヸ㐠ꗜヘ㟰ᕶ ƃЈ㟌ᕶ㢸ᕶ㝈ᕶżЈderechoŹЈ佴ミ㐠i㣜ᕶ㡨ᕶ ŲЌ㺬ヸ佈ミ㹼ヸ㐠ꗜヘ㢰ᕶ ūЈ㢌ᕶ㥨ᕶ㟸ᕶŤЈaţЈ佴ミ㐠k㦌ᕶ㤘ᕶ ŜЌ㺬ヸ佈ミ㹼ヸ㐠ꗜヘ㥠ᕶ ŕЈ㤼ᕶ㨘ᕶ㢸ᕶŎЈlaōЈ佴ミ㐠n 㨼ᕶ㧈ᕶ ņЌ㺬ヸ佈ミ㹼ヸ㐠ꗜヘ㨐ᕶ ĿЈ㧬ᕶ㫘ᕶ㥨ᕶĸЈseguridadĵЈ佴ミ㐠x㫼ᕶ㪈ᕶ ĮЌ㺬ヸ佈ミ㹼ヸ㐠ꗜヘ㫐ᕶ ħЈ㪬ᕶ㮘ᕶ㨘ᕶĠЈsocialĝЈ佴ミ㐠㮼ᕶ㭈ᕶ ĖЌ㺬ヸ佈ミ㹼ヸ㐠ꗜヘ㮐ᕶ ďЈ㭬ᕶ㱈ᕶ㫘ᕶĈЈalćЈ佴ミ㐠㱬ᕶ㯸ᕶ ĀЌ㺬ヸ佈ミ㹼ヸ㐠ꗜヘ㱀ᕶ ǹЈ㰜ᕶ㴈ᕶ㮘ᕶǲЈcumplirǯЈ佴ミ㐠㴬ᕶ㲸ᕶ ǨЌ㺬ヸ佈ミ㹼ヸ㐠ꗜヘ㴀ᕶ ǡЈ㳜ᕶ㶸ᕶ㱈ᕶǚЈlaǙЈ佴ミ㐠㷜ᕶ㵨ᕶ ǒЌ㺬ヸ佈ミ㹼ヸ㐠ꗜヘ㶰ᕶ ǋЈ㶌ᕶ㹨ᕶ㴈ᕶǄЈedadǃЈ佴ミ㐠㺌ᕶ㸘ᕶ ƼЌ㺬ヸ佈ミ㹼ヸ㐠ꗜヘ㹠ᕶ ƵЈ㸼ᕶ㼨ᕶ㶸ᕶƮЈestablecidaƫЈ佴ミ㐠㽌ᕶ㻘ᕶ ƤЌ㺬ヸ佈ミ㹼ヸ㐠ꗜヘ㼠ᕶ ƝЈ㻼ᕶ㿘ᕶ㹨ᕶƖЈporƕЈ佴ミ㐠¢㿼ᕶ㾈ᕶ ƎЌ㺬ヸ佈ミ㹼ヸ㐠ꗜヘ㿐ᕶ ƇЈ㾬ᕶ䂈ᕶ㼨ᕶƀЈleyကЀſЈ佴ミ㐠¥䂬ᕶ䀸ᕶ ŸЌ㺬ヸ佈ミ㹼ヸ㐠ꗜヘ䂀ᕶ űЈ䁜ᕶ䄸ᕶ㿘ᕶŪЈ,ũЈ佴ミ㐠§䅜ᕶ䃨ᕶ ŢЌ㺬ヸ佈ミ㹼ヸ㐠ꗜヘ䄰ᕶ śЈ䄌ᕶ䇨ᕶ䂈ᕶŔЈenœЈ佴ミ㐠ª䈌ᕶ䆘ᕶ ŌЌ㺬ヸ佈ミ㹼ヸ㐠ꗜヘ䇠ᕶ ŅЈ䆼ᕶ䊘ᕶ䄸ᕶľЈcasoĽЈ佴ミ㐠¯䊼ᕶ䉈ᕶ ĶЌ㺬ヸ佈ミ㹼ヸ㐠ꗜヘ䊐ᕶ įЈ䉬ᕶ䍈ᕶ䇨ᕶĨЈdeħЈ佴ミ㐠²&#10;䍬ᕶ䋸ᕶ ĠЌ㺬ヸ佈ミ㹼ヸ㐠ꗜヘ䍀ᕶ ęЈ䌜ᕶ䐈ᕶ䊘ᕶĒЈenfermedadďЈ佴ミ㐠¼䐬ᕶ䎸ᕶ ĈЌ㺬ヸ佈ミ㹼ヸ㐠ꗜヘ䐀ᕶ āЈ䏜ᕶ䒸ᕶ䍈ᕶǺЈ,ǹЈ佴ミ㐠¾䓜ᕶ䑨ᕶ ǲЌ㺬ヸ佈ミ㹼ヸ㐠ꗜヘ䒰ᕶ ǫЈ䒌ᕶ䕸ᕶ䐈ᕶǤЈdiscapacidadǡЈ佴ミ㐠Ê䖜ᕶ䔨ᕶ ǚЌ㺬ヸ佈ミ㹼ヸ㐠ꗜヘ䕰ᕶ ǓЈ䕌ᕶ䘨ᕶ䒸ᕶǌЈ,ǋЈ佴ミ㐠Ì䙌ᕶ䗘ᕶ ǄЌ㺬ヸ佈ミ㹼ヸ㐠ꗜヘ䘠ᕶ ƽЈ䗼ᕶ䛨ᕶ䕸ᕶƶЈpérdidaƳЈ佴ミ㐠Ô䜌ᕶ䚘ᕶ ƬЌ㺬ヸ佈ミ㹼ヸ㐠ꗜヘ䛠ᕶ ƥЈ䚼ᕶ䞘ᕶ䘨ᕶƞЈdelƝЈ佴ミ㐠Ø䞼ᕶ䝈ᕶ ƖЌ㺬ヸ佈ミ㹼ヸ㐠ꗜヘ䞐ᕶ ƏЈ䝬ᕶ䡘ᕶ䛨ᕶƈЈsosténƅЈ佴ミ㐠ß䡼ᕶ䠈ᕶ žЌ㺬ヸ佈ミ㹼ヸ㐠ꗜヘ䡐ᕶ ŷЈ䠬ᕶ䤈ᕶ䞘ᕶŰЈdeůЈ佴ミ㐠â䤬ᕶ䢸ᕶ ŨЌ㺬ヸ佈ミ㹼ヸ㐠ꗜヘ䤀ᕶ šЈ䣜ᕶ䦸ᕶ䡘ᕶŚЈlařЈ佴ミ㐠å䧜ᕶ䥨ᕶ ŒЌ㺬ヸ佈ミ㹼ヸ㐠ꗜヘ䦰ᕶ ŋЈ䦌ᕶ䩸ᕶ䤈ᕶńЈfamiliaŁЈ佴ミ㐠ì䪜ᕶ䨨ᕶ ĺЌ㺬ヸ佈ミ㹼ヸ㐠ꗜヘ䩰ᕶ ĳЈ䩌ᕶ䬨ᕶ䦸ᕶĬЈ,īЈ佴ミ㐠î䭌ᕶ䫘ᕶ ĤЌ㺬ヸ佈ミ㹼ヸ㐠ꗜヘ䬠ᕶ ĝЈ䫼ᕶ䯨ᕶ䩸ᕶĖЈpérdidaēЈ佴ミ㐠ö䰌ᕶ䮘ᕶ ČЌ㺬ヸ佈ミ㹼ヸ㐠ꗜヘ䯠ᕶ ąЈ䮼ᕶ䲘ᕶ䬨ᕶǾЈdeǽЈ佴ミ㐠ù䲼ᕶ䱈ᕶ ǶЌ㺬ヸ佈ミ㹼ヸ㐠ꗜヘ䲐ᕶ ǯЈ䱬ᕶ䵈ᕶ䯨ᕶǨЈlaǧЈ佴ミ㐠ü 䵬ᕶ䳸ᕶ ǠЌ㺬ヸ佈ミ㹼ヸ㐠ꗜヘ䵀ᕶ ǙЈ䴜ᕶ丈ᕶ䲘ᕶǒЈcapacidadǏЈ佴ミ㐠Ć丬ᕶ䶸ᕶ ǈЌ㺬ヸ佈ミ㹼ヸ㐠ꗜヘ一ᕶ ǁЈ䷜ᕶ仈ᕶ䵈ᕶƺЈlaboralƷЈ佴ミ㐠č们ᕶ乸ᕶ ưЌ㺬ヸ佈ミ㹼ヸ㐠ꗜヘ什ᕶ ƩЈ亜ᕶ佸ᕶ丈ᕶƢЈ,ơЈ佴ミ㐠ď 侜ᕶ伨ᕶ ƚЌ㺬ヸ佈ミ㹼ヸ㐠ꗜヘ佰ᕶ ƓЈ佌ᕶ倸ᕶ仈ᕶƌЈdesempleoƉЈ佴ミ㐠ę停ᕶ俨ᕶ ƂЌ㺬ヸ佈ミ㹼ヸ㐠ꗜヘ倰ᕶ ŻЈ倌ᕶ僨ᕶ佸ᕶŴЈyųЈ佴ミ㐠ě儌ᕶ傘ᕶ ŬЌ㺬ヸ佈ミ㹼ヸ㐠ꗜヘ僠ᕶ ťЈ傼ᕶ冘ᕶ倸ᕶŞЈ&#10;otrasŝЈ佴ミ㐠ġ쎬ᕵ先ᕶ ŖЌ㺬ヸ佈ミ㹼ヸ㐠ꗜヘ冐ᕶ ŏЈ公ᕶ到ᕶ僨ᕶňЈ佴ミ㐠İ 剔ᕶ几ᕶ ŅЌ㺬ヸ佈ミ㹼ヸ㐠ꗜヘ刨ᕶ ĺЈ刄ᕶ勰ᕶ冘ᕶķЈprevistasİЈ佴ミ㐠ĺ匔ᕶ加ᕶ ĭЌ㺬ヸ佈ミ㹼ヸ㐠ꗜヘ勨ᕶ ĢЈ勄ᕶ厠ᕶ到ᕶğЈenĚЈ佴ミ㐠Ľ叄ᕶ卐ᕶ ėЌ㺬ヸ佈ミ㹼ヸ㐠ꗜヘ厘ᕶ ČЈ却ᕶ呐ᕶ勰ᕶĉЈlaĄЈ佴ミ㐠ŀ呴ᕶ吀ᕶ āЌ㺬ヸ佈ミ㹼ヸ㐠ꗜヘ呈ᕶ ǶЈ吤ᕶ唀ᕶ厠ᕶǳЈleyǮЈ佴ミ㐠Ń唤ᕶ咰ᕶ ǫЌ㺬ヸ佈ミ㹼ヸ㐠ꗜヘ哸ᕶ ǠЈ哔ᕶ喰ᕶ呐ᕶǝЈ.ǘЈ佴ミ㐠Ņ嗔ᕶ啠ᕶ ǕЌ㺬ヸ佈ミ㹼ヸ㐠ꗜヘ喨ᕶ ǊЈ善ᕶ圠ᕶ唀ᕶǇЈ&#10;ǂЈeseǁЈ&#10;SegúnƼЈde.ƻЈ240n ListdƴЈartículoadƱЈ239y.dƪЈ佴ミ㐠嚄ᕶ囐ᕶ ƧЌ㺬ヸ佈ミ㹼ヸ㐠ꗜヘ團ᕶ ƜЈ围ᕶ垸ᕶ喰ᕶƙЈ佴ミ㐠⬤ᕶ坨ᕶ ƒЌ㺬ヸ佈ミ㹼ヸ㐠ꗜヘ垰ᕶ ƋЈ垌ᕶ塐ᕶ圠ᕶƄЈ佴ミ㐠嘄ᕶ堀ᕶ ƁЌ㺬ヸ佈ミ㹼ヸ㐠ꗜヘ塈ᕶ ŶЈ堤ᕶ壨ᕶ垸ᕶųЈ佴ミ㐠嗬ᕶ墘ᕶ ŬЌ㺬ヸ佈ミ㹼ヸ㐠ꗜヘ壠ᕶ ťЈ墼ᕶ妀ᕶ塐ᕶŞЈ佴ミ㐠噜ᕶ夰ᕶ śЌ㺬ヸ佈ミ㹼ヸ㐠ꗜヘ奸ᕶ ŐЈ奔ᕶ娘ᕶ壨ᕶōЈ佴ミ㐠嘜ᕶ姈ᕶ ņЌ㺬ヸ佈ミ㹼ヸ㐠ꗜヘ娐ᕶ ĿЈ姬ᕶ媰ᕶ妀ᕶĸЈ佴ミ㐠嫔ᕶ婠ᕶ ĵЌ㺬ヸ佈ミ㹼ヸ㐠ꗜヘ媨ᕶ ĪЈ媄ᕶ孠ᕶ娘ᕶħЈlaĢЈ佴ミ㐠宄ᕶ嬐ᕶ ğЌ㺬ヸ佈ミ㹼ヸ㐠ꗜヘ存ᕶ ĔЈ嬴ᕶ尠ᕶ媰ᕶđЈConstituciónĊЈ佴ミ㐠+屄ᕶ寐ᕶ ćЌ㺬ヸ佈ミ㹼ヸ㐠ꗜヘ尘ᕶ ǼЈ寴ᕶ峐ᕶ孠ᕶǹЈ,ǴЈ佴ミ㐠-峴ᕶ岀ᕶ ǱЌ㺬ヸ佈ミ㹼ヸ㐠ꗜヘ峈ᕶ ǦЈ岤ᕶ嶀ᕶ尠ᕶǣЈseǞЈ佴ミ㐠0嶤ᕶ崰ᕶ ǛЌ㺬ヸ佈ミ㹼ヸ㐠ꗜヘ嵸ᕶ ǐЈ嵔ᕶ幀ᕶ峐ᕶǍЈestableceráǆЈ佴ミ㐠&lt;幤ᕶ巰ᕶ ǃЌ㺬ヸ佈ミ㹼ヸ㐠ꗜヘ常ᕶ ƸЈ帔ᕶ廰ᕶ嶀ᕶƵЈporưЈ佴ミ㐠@弔ᕶ庠ᕶ ƭЌ㺬ヸ佈ミ㹼ヸ㐠ꗜヘ廨ᕶ ƢЈ廄ᕶ徠ᕶ幀ᕶƟЈleyƚЈ佴ミ㐠D忄ᕶ彐ᕶ ƗЌ㺬ヸ佈ミ㹼ヸ㐠ꗜヘ徘ᕶ ƌЈ彴ᕶ恘ᕶ廰ᕶƉЈlaƄА佴ミ㐠G恼ᕶ怈ᕶ žЌ㺬ヸ佈ミ㹼ヸ㐠ꗜヘ恐ᕶ ŷЈ怬ᕶ愘ᕶ徠ᕶŰЈpensiónŭЈ佴ミ㐠O愼ᕶ惈ᕶ ŦЌ㺬ヸ佈ミ㹼ヸ㐠ꗜヘ愐ᕶ şЈ惬ᕶ懘ᕶ恘ᕶŘЈmínimaŕЈ佴ミ㐠V懼ᕶ憈ᕶ ŎЌ㺬ヸ佈ミ㹼ヸ㐠ꗜヘ懐ᕶ ŇЈ憬ᕶ抈ᕶ愘ᕶŀЈyĿЈ佴ミ㐠X抬ᕶ戸ᕶ ĸЌ㺬ヸ佈ミ㹼ヸ㐠ꗜヘ技ᕶ ıЈ扜ᕶ挸ᕶ懘ᕶĪЈlaĩЈ佴ミ㐠[&#10;捜ᕶ拨ᕶ ĢЌ㺬ヸ佈ミ㹼ヸ㐠ꗜヘ挰ᕶ ěЈ挌ᕶ揸ᕶ抈ᕶĔЈprestaciónđЈ佴ミ㐠f搜ᕶ推ᕶ ĊЌ㺬ヸ佈ミ㹼ヸ㐠ꗜヘ揰ᕶ ăЈ揌ᕶ撸ᕶ挸ᕶǼЈsocialǹЈ佴ミ㐠m擜ᕶ摨ᕶ ǲЌ㺬ヸ佈ミ㹼ヸ㐠ꗜヘ撰ᕶ ǫЈ撌ᕶ數ᕶ揸ᕶǤЈmínimaǡЈ佴ミ㐠t斜ᕶ攨ᕶ ǚЌ㺬ヸ佈ミ㹼ヸ㐠ꗜヘ数ᕶ ǓЈ敌ᕶ昨ᕶ撸ᕶǌЈyǋЈ佴ミ㐠v晌ᕶ旘ᕶ ǄЌ㺬ヸ佈ミ㹼ヸ㐠ꗜヘ映ᕶ ƽЈ旼ᕶ曘ᕶ數ᕶƶЈelƵЈ佴ミ㐠y曼ᕶ暈ᕶ ƮЌ㺬ヸ佈ミ㹼ヸ㐠ꗜヘ曐ᕶ ƧЈ暬ᕶ枘ᕶ昨ᕶƠЈEstadoƝЈ佴ミ㐠枼ᕶ杈ᕶ ƖЌ㺬ヸ佈ミ㹼ヸ㐠ꗜヘ析ᕶ ƏЈ杬ᕶ桘ᕶ曘ᕶƈЈcrearáƅЈ佴ミ㐠桼ᕶ栈ᕶ žЌ㺬ヸ佈ミ㹼ヸ㐠ꗜヘ桐ᕶ ŷЈ栬ᕶ椈ᕶ枘ᕶŰЈlasůЈ佴ミ㐠&#10;椬ᕶ梸ᕶ ŨЌ㺬ヸ佈ミ㹼ヸ㐠ꗜヘ椀ᕶ šЈ棜ᕶ槈ᕶ桘ᕶŚЈposibilidadesŗЈ佴ミ㐠槬ᕶ楸ᕶ ŐЌ㺬ヸ佈ミ㹼ヸ㐠ꗜヘ槀ᕶ ŉЈ榜ᕶ橸ᕶ椈ᕶłЈparaŁЈ佴ミ㐠檜ᕶ樨ᕶ ĺЌ㺬ヸ佈ミ㹼ヸ㐠ꗜヘ橰ᕶ ĳЈ橌ᕶ欨ᕶ槈ᕶĬЈelīЈ佴ミ㐠¡&#10;歌ᕶ櫘ᕶ ĤЌ㺬ヸ佈ミ㹼ヸ㐠ꗜヘ欠ᕶ ĝЈ櫼ᕶ毨ᕶ橸ᕶĖЈdesarrolloēЈ佴ミ㐠¬氌ᕶ殘ᕶ ČЌ㺬ヸ佈ミ㹼ヸ㐠ꗜヘ毠ᕶ ąЈ殼ᕶ沘ᕶ欨ᕶǾЈdeǽЈ佴ミ㐠¯沼ᕶ汈ᕶ ǶЌ㺬ヸ佈ミ㹼ヸ㐠ꗜヘ沐ᕶ ǯЈ汬ᕶ浈ᕶ毨ᕶǨЈlaǧЈ佴ミ㐠² 浬ᕶ泸ᕶ ǠЌ㺬ヸ佈ミ㹼ヸ㐠ꗜヘ浀ᕶ ǙЈ洜ᕶ済ᕶ沘ᕶǒЈactividadǏЈ佴ミ㐠¼測ᕶ涸ᕶ ǈЌ㺬ヸ佈ミ㹼ヸ㐠ꗜヘ渀ᕶ ǁЈ淜ᕶ滈ᕶ浈ᕶƺЈfilantrópicaƷЈ佴ミ㐠È滬ᕶ湸ᕶ ưЌ㺬ヸ佈ミ㹼ヸ㐠ꗜヘ滀ᕶ ƩЈ溜ᕶ潸ᕶ済ᕶƢЈ,ơЈ佴ミ㐠Ê澜ᕶ漨ᕶ ƚЌ㺬ヸ佈ミ㹼ヸ㐠ꗜヘ潰ᕶ ƓЈ潌ᕶ瀨ᕶ滈ᕶƌЈelƋЈ佴ミ㐠Í灌ᕶ濘ᕶ ƄЌ㺬ヸ佈ミ㹼ヸ㐠ꗜヘ瀠ᕶ ŽЈ濼ᕶ烨ᕶ潸ᕶŶЈrégimenųЈ佴ミ㐠Õ&#10;焌ᕶ炘ᕶ ŬЌ㺬ヸ佈ミ㹼ヸ㐠ꗜヘ烠ᕶ ťЈ炼ᕶ熨ᕶ瀨ᕶŞЈvoluntariośЈ佴ミ㐠à燌ᕶ煘ᕶ ŔЌ㺬ヸ佈ミ㹼ヸ㐠ꗜヘ熠ᕶ ōЈ煼ᕶ牘ᕶ烨ᕶņЈdeŅЈ佴ミ㐠ã牼ᕶ爈ᕶ ľЌ㺬ヸ佈ミ㹼ヸ㐠ꗜヘ牐ᕶ ķЈ爬ᕶ猘ᕶ熨ᕶİЈseguroĭЈ佴ミ㐠ê猼ᕶ狈ᕶ ĦЌ㺬ヸ佈ミ㹼ヸ㐠ꗜヘ猐ᕶ ğЈ独ᕶ珘ᕶ牘ᕶĘЈsocialĕЈ佴ミ㐠ñ珼ᕶ玈ᕶ ĎЌ㺬ヸ佈ミ㹼ヸ㐠ꗜヘ珐ᕶ ćЈ玬ᕶ璈ᕶ猘ᕶĀЈyǿЈ佴ミ㐠ó璬ᕶ琸ᕶ ǸЌ㺬ヸ佈ミ㹼ヸ㐠ꗜヘ璀ᕶ ǱЈ瑜ᕶ甸ᕶ珘ᕶǪЈ&#10;otrasǩЈ佴ミ㐠ù畜ᕶ瓨ᕶ ǢЌ㺬ヸ佈ミ㹼ヸ㐠ꗜヘ田ᕶ ǛЈ甌ᕶ痸ᕶ璈ᕶǔЈformasǑЈ佴ミ㐠Ā瘜ᕶ疨ᕶ ǊЌ㺬ヸ佈ミ㹼ヸ㐠ꗜヘ痰ᕶ ǃЈ痌ᕶ皨ᕶ甸ᕶƼЈdeƻЈ佴ミ㐠ă 盌ᕶ癘ᕶ ƴЌ㺬ヸ佈ミ㹼ヸ㐠ꗜヘ皠ᕶ ƭЈ發ᕶ睨ᕶ痸ᕶƦЈbienestarƣЈ佴ミ㐠č瞌ᕶ眘ᕶ ƜЌ㺬ヸ佈ミ㹼ヸ㐠ꗜヘ睠ᕶ ƕЈ眼ᕶ砨ᕶ皨ᕶƎЈsocialƋЈ佴ミ㐠ē硌ᕶ矘ᕶ ƄЌ㺬ヸ佈ミ㹼ヸ㐠ꗜヘ砠ᕶ ŽЈ矼ᕶ磘ᕶ睨ᕶŶЈ.ŵЈ佴ミ㐠Ĕ磼ᕶ碈ᕶ ŮЌ㺬ヸ佈ミ㹼ヸ㐠ꗜヘ磐ᕶ ŧЈ碬ᕶ穈ᕶ砨ᕶŠЈ&#10;şЈen1ŚЈ. nřЈCabeŔЈqueal.caőЈseñalarioŊЈ241n ListoŇЈ佴ミ㐠嘴ᕶ秸ᕶ ŀЌ㺬ヸ佈ミ㹼ヸ㐠ꗜヘ穀ᕶ ĹЈ稜ᕶ章ᕶ磘ᕶĲЈ佴ミ㐠礬ᕶ窐ᕶ įЌ㺬ヸ佈ミ㹼ヸ㐠ꗜヘ竘ᕶ ĤЈ窴ᕶ筸ᕶ穈ᕶġЈ佴ミ㐠祄ᕶ笨ᕶ ĚЌ㺬ヸ佈ミ㹼ヸ㐠ꗜヘ筰ᕶ ēЈ筌ᕶ簐ᕶ章ᕶČЈ佴ミ㐠禄ᕶ節ᕶ ĉЌ㺬ヸ佈ミ㹼ヸ㐠ꗜヘ簈ᕶ ǾЈ篤ᕶ粨ᕶ筸ᕶǻЈ佴ミ㐠祜ᕶ籘ᕶ ǴЌ㺬ヸ佈ミ㹼ヸ㐠ꗜヘ粠ᕶ ǭЈ籼ᕶ絀ᕶ簐ᕶǦЈ佴ミ㐠礔ᕶ糰ᕶ ǣЌ㺬ヸ佈ミ㹼ヸ㐠ꗜヘ紸ᕶ ǘЈ純ᕶ緘ᕶ粨ᕶǕЈ佴ミ㐠緼ᕶ綈ᕶ ǎЌ㺬ヸ佈ミ㹼ヸ㐠ꗜヘ緐ᕶ ǇЈ綬ᕶ纈ᕶ絀ᕶǀЈlaƿЈ佴ミ㐠 纬ᕶ縸ᕶ ƸЌ㺬ヸ佈ミ㹼ヸ㐠ꗜヘ纀ᕶ ƱЈ繜ᕶ罈ᕶ緘ᕶƪЈRepúblicaƧЈ佴ミ㐠'罬ᕶ绸ᕶ ƠЌ㺬ヸ佈ミ㹼ヸ㐠ꗜヘ罀ᕶ ƙЈ缜ᕶ翸ᕶ纈ᕶƒЈdeƑЈ佴ミ㐠*&#10;耜ᕶ羨ᕶ ƊЌ㺬ヸ佈ミ㹼ヸ㐠ꗜヘ翰ᕶ ƃЈ翌ᕶ肸ᕶ罈ᕶżЈAzerbaiyánŹЈ佴ミ㐠5胜ᕶ聨ᕶ ŲЌ㺬ヸ佈ミ㹼ヸ㐠ꗜヘ肰ᕶ ūЈ肌ᕶ腨ᕶ翸ᕶŤЈseţЈ佴ミ㐠8膌ᕶ脘ᕶ ŜЌ㺬ヸ佈ミ㹼ヸ㐠ꗜヘ腠ᕶ ŕЈ脼ᕶ舘ᕶ肸ᕶŎЈhanōЈ佴ミ㐠&lt;舼ᕶ臈ᕶ ņЌ㺬ヸ佈ミ㹼ヸ㐠ꗜヘ舐ᕶ ĿЈ臬ᕶ苘ᕶ腨ᕶĸЈllevadoĵЈ佴ミ㐠D苼ᕶ芈ᕶ ĮЌ㺬ヸ佈ミ㹼ヸ㐠ꗜヘ苐ᕶ ħЈ芬ᕶ莈ᕶ舘ᕶĠЈağЈ佴ミ㐠F莬ᕶ茸ᕶ ĘЌ㺬ヸ佈ミ㹼ヸ㐠ꗜヘ莀ᕶ đЈ荜ᕶ萸ᕶ苘ᕶĊЈcaboĉЈ佴ミ㐠K葜ᕶ菨ᕶ ĂЌ㺬ヸ佈ミ㹼ヸ㐠ꗜヘ萰ᕶ ǻЈ萌ᕶ蓨ᕶ莈ᕶǴЈconǳЈ佴ミ㐠O蔌ᕶ蒘ᕶ ǬЌ㺬ヸ佈ミ㹼ヸ㐠ꗜヘ蓠ᕶ ǥЈ蒼ᕶ薘ᕶ萸ᕶǞЈ&#10;éxitoǝЈ佴ミ㐠U薼ᕶ蕈ᕶ ǖЌ㺬ヸ佈ミ㹼ヸ㐠ꗜヘ薐ᕶ ǏЈ蕬ᕶ虘ᕶ蓨ᕶǈЈreformasǅЈ佴ミ㐠^虼ᕶ蘈ᕶ ƾЌ㺬ヸ佈ミ㹼ヸ㐠ꗜヘ虐ᕶ ƷЈ蘬ᕶ蜈ᕶ薘ᕶưЈenƯЈ佴ミ㐠a蜬ᕶ蚸ᕶ ƨЌ㺬ヸ佈ミ㹼ヸ㐠ꗜヘ蜀ᕶ ơЈ蛜ᕶ螸ᕶ虘ᕶƚЈlaƙЈ佴ミ㐠d蟜ᕶ蝨ᕶ ƒЌ㺬ヸ佈ミ㹼ヸ㐠ꗜヘ螰ᕶ ƋЈ螌ᕶ衸ᕶ蜈ᕶƄЈesferaƁЈ佴ミ㐠k袜ᕶ蠨ᕶ źЌ㺬ヸ佈ミ㹼ヸ㐠ꗜヘ衰ᕶ ųЈ行ᕶ褨ᕶ螸ᕶŬЈdeūЈ佴ミ㐠n襌ᕶ裘ᕶ ŤЌ㺬ヸ佈ミ㹼ヸ㐠ꗜヘ褠ᕶ ŝЈ裼ᕶ觘ᕶ衸ᕶŖЈlaŕЈ佴ミ㐠q&#10;觼ᕶ覈ᕶ ŎЌ㺬ヸ佈ミ㹼ヸ㐠ꗜヘ觐ᕶ ŇЈ覬ᕶ誘ᕶ褨ᕶŀЈprotecciónĽЈ佴ミ㐠|誼ᕶ詈ᕶ ĶЌ㺬ヸ佈ミ㹼ヸ㐠ꗜヘ誐ᕶ įЈ詬ᕶ識ᕶ觘ᕶĨЈsocialĥЈ佴ミ㐠譼ᕶ謈ᕶ ĞЌ㺬ヸ佈ミ㹼ヸ㐠ꗜヘ譐ᕶ ėЈ謬ᕶ谈ᕶ誘ᕶĐЈdeďЈ佴ミ㐠谬ᕶ许ᕶ ĈЌ㺬ヸ佈ミ㹼ヸ㐠ꗜヘ谀ᕶ āЈ诜ᕶ貸ᕶ識ᕶǺЈlaǹЈ佴ミ㐠 賜ᕶ豨ᕶ ǲЌ㺬ヸ佈ミ㹼ヸ㐠ꗜヘ貰ᕶ ǫЈ貌ᕶ赸ᕶ谈ᕶǤЈpoblaciónǡЈ佴ミ㐠趜ᕶ质ᕶ ǚЌ㺬ヸ佈ミ㹼ヸ㐠ꗜヘ走ᕶ ǓЈ赌ᕶ踨ᕶ貸ᕶǌЈ.ǋЈ佴ミ㐠蹌ᕶ跘ᕶ ǄЌ㺬ヸ佈ミ㹼ヸ㐠ꗜヘ踠ᕶ ƽЈ跼ᕶ軘ᕶ赸ᕶƶЈ&#10;DesdeƵЈ佴ミ㐠軼ᕶ躈ᕶ ƮЌ㺬ヸ佈ミ㹼ヸ㐠ꗜヘ軐ᕶ ƧЈ躬ᕶ辈ᕶ踨ᕶƠЈelƟЈ佴ミ㐠辬ᕶ輸ᕶ ƘЌ㺬ヸ佈ミ㹼ヸ㐠ꗜヘ辀ᕶ ƑЈ轜ᕶ逸ᕶ軘ᕶƊЈ7ƉЈ佴ミ㐠遜ᕶ迨ᕶ ƂЌ㺬ヸ佈ミ㹼ヸ㐠ꗜヘ逰ᕶ ŻЈ逌ᕶ部ᕶ辈ᕶŴЈdeųЈ佴ミ㐠¢鄌ᕶ邘ᕶ ŬЌ㺬ヸ佈ミ㹼ヸ㐠ꗜヘ郠ᕶ ťЈ邼ᕶ醨ᕶ逸ᕶŞЈfebrerośЈ佴ミ㐠ª里ᕶ酘ᕶ ŔЌ㺬ヸ佈ミ㹼ヸ㐠ꗜヘ醠ᕶ ōЈ酼ᕶ鉘ᕶ部ᕶņЈdeŅЈ佴ミ㐠­鉼ᕶ鈈ᕶ ľЌ㺬ヸ佈ミ㹼ヸ㐠ꗜヘ鉐ᕶ ķЈ鈬ᕶ錈ᕶ醨ᕶİЈ2006įЈ佴ミ㐠²錬ᕶ銸ᕶ ĨЌ㺬ヸ佈ミ㹼ヸ㐠ꗜヘ錀ᕶ ġЈ鋜ᕶ鎸ᕶ鉘ᕶĚЈ&#10;entróęЈ佴ミ㐠¸鏜ᕶ鍨ᕶ ĒЌ㺬ヸ佈ミ㹼ヸ㐠ꗜヘ鎰ᕶ ċЈ鎌ᕶ鑨ᕶ錈ᕶĄЈenăЈ佴ミ㐠»钌ᕶ鐘ᕶ ǼЌ㺬ヸ佈ミ㹼ヸ㐠ꗜヘ鑠ᕶ ǵЈ鐼ᕶ锘ᕶ鎸ᕶǮЈ&#10;vigorǭЈ佴ミ㐠Á锼ᕶ铈ᕶ ǦЌ㺬ヸ佈ミ㹼ヸ㐠ꗜヘ锐ᕶ ǟЈ铬ᕶ闈ᕶ鑨ᕶǘЈlaǗЈ佴ミ㐠Ä闬ᕶ镸ᕶ ǐЌ㺬ヸ佈ミ㹼ヸ㐠ꗜヘ闀ᕶ ǉЈ閜ᕶ陸ᕶ锘ᕶǂЈLeyǁЈ佴ミ㐠È障ᕶ阨ᕶ ƺЌ㺬ヸ佈ミ㹼ヸ㐠ꗜヘ陰ᕶ ƳЈ陌ᕶ霨ᕶ闈ᕶƬЈdeƫЈ佴ミ㐠Ë 靌ᕶ雘ᕶ ƤЌ㺬ヸ佈ミ㹼ヸ㐠ꗜヘ霠ᕶ ƝЈ雼ᕶ韨ᕶ陸ᕶƖЈpensionesƓЈ佴ミ㐠Õ頌ᕶ鞘ᕶ ƌЌ㺬ヸ佈ミ㹼ヸ㐠ꗜヘ韠ᕶ ƅЈ鞼ᕶ题ᕶ霨ᕶžЈdeŽЈ佴ミ㐠Ø&#10;颼ᕶ顈ᕶ ŶЌ㺬ヸ佈ミ㹼ヸ㐠ꗜヘ颐ᕶ ůЈ顬ᕶ饘ᕶ韨ᕶŨЈjubilaciónťЈ佴ミ㐠ã饼ᕶ餈ᕶ ŞЌ㺬ヸ佈ミ㹼ヸ㐠ꗜヘ饐ᕶ ŗЈ餬ᕶ騈ᕶ题ᕶŐЈyŏЈ佴ミ㐠å騬ᕶ馸ᕶ ňЌ㺬ヸ佈ミ㹼ヸ㐠ꗜヘ騀ᕶ ŁЈ駜ᕶ骸ᕶ饘ᕶĺЈdeĹЈ佴ミ㐠è髜ᕶ驨ᕶ ĲЌ㺬ヸ佈ミ㹼ヸ㐠ꗜヘ骰ᕶ īЈ验ᕶ魸ᕶ騈ᕶĤЈprestacionesġЈ佴ミ㐠õ鮜ᕶ鬨ᕶ ĚЌ㺬ヸ佈ミ㹼ヸ㐠ꗜヘ魰ᕶ ēЈ魌ᕶ鰸ᕶ骸ᕶČЈsocialesĉЈ佴ミ㐠ý鱜ᕶ鯨ᕶ ĂЌ㺬ヸ佈ミ㹼ヸ㐠ꗜヘ鰰ᕶ ǻЈ鰌ᕶ鳨ᕶ魸ᕶǴЈ,ǳЈ佴ミ㐠ÿ鴌ᕶ鲘ᕶ ǬЌ㺬ヸ佈ミ㹼ヸ㐠ꗜヘ鳠ᕶ ǥЈ鲼ᕶ鶘ᕶ鰸ᕶǞЈtrasǝЈ佴ミ㐠Ą鶼ᕶ鵈ᕶ ǖЌ㺬ヸ佈ミ㹼ヸ㐠ꗜヘ鶐ᕶ ǏЈ鵬ᕶ鹈ᕶ鳨ᕶǈЈloǇЈ佴ミ㐠ć鹬ᕶ鷸ᕶ ǀЌ㺬ヸ佈ミ㹼ヸ㐠ꗜヘ鹀ᕶ ƹЈ鸜ᕶ黸ᕶ鶘ᕶƲЈcualƱЈ佴ミ㐠Č鼜ᕶ麨ᕶ ƪЌ㺬ヸ佈ミ㹼ヸ㐠ꗜヘ黰ᕶ ƣЈ黌ᕶ龨ᕶ鹈ᕶƜЈseƛЈ佴ミ㐠ď&#10;鿌ᕶ齘ᕶ ƔЌ㺬ヸ佈ミ㹼ヸ㐠ꗜヘ龠ᕶ ƍЈ齼ᕶꁨᕶ黸ᕶƆЈestablecióƃЈ佴ミ㐠Ěꂌᕶꀘᕶ żЌ㺬ヸ佈ミ㹼ヸ㐠ꗜヘꁠᕶ ŵЈꀼᕶꄘᕶ龨ᕶŮЈlaŭЈ佴ミ㐠ĝꄼᕶꃈᕶ ŦЌ㺬ヸ佈ミ㹼ヸ㐠ꗜヘꄐᕶ şЈꃬᕶꇘᕶꁨᕶŘЈdivisiónŕЈ佴ミ㐠Ħꇼᕶꆈᕶ ŎЌ㺬ヸ佈ミ㹼ヸ㐠ꗜヘꇐᕶ ŇЈꆬᕶꊈᕶꄘᕶŀЈlasĿЈ佴ミ㐠Ī ꊬᕶꈸᕶ ĸЌ㺬ヸ佈ミ㹼ヸ㐠ꗜヘꊀᕶ ıЈꉜᕶꍈᕶꇘᕶĪЈpensionesħЈ佴ミ㐠Ĵꍬᕶꋸᕶ ĠЌ㺬ヸ佈ミ㹼ヸ㐠ꗜヘꍀᕶ ęЈꌜᕶꐈᕶꊈᕶĒЈsocialesďЈ佴ミ㐠Ľꐬᕶꎸᕶ ĈЌ㺬ヸ佈ミ㹼ヸ㐠ꗜヘꐀᕶ āЈꏜᕶ꓈ᕶꍈᕶǺЈfinanciadasǷЈ佴ミ㐠ŉꓬᕶꑸᕶ ǰЌ㺬ヸ佈ミ㹼ヸ㐠ꗜヘ꓀ᕶ ǩЈ꒜ᕶꕸᕶꐈᕶǢЈconǡЈ佴ミ㐠ōꖜᕶꔨᕶ ǚЌ㺬ヸ佈ミ㹼ヸ㐠ꗜヘꕰᕶ ǓЈꕌᕶ꘨ᕶ꓈ᕶǌЈ&#10;cargoǋЈ佴ミ㐠œꙌᕶꗘᕶ ǄЌ㺬ヸ佈ミ㹼ヸ㐠ꗜヘ꘠ᕶ ƽЈꗼᕶꛘᕶꕸᕶƶЈalƵЈ佴ミ㐠Ŗ꛼ᕶꚈᕶ ƮЌ㺬ヸ佈ミ㹼ヸ㐠ꗜヘꛐᕶ ƧЈꚬᕶꞘᕶ꘨ᕶƠЈpresupuestoƝЈ佴ミ㐠ŢꞼᕶꝈᕶ ƖЌ㺬ヸ佈ミ㹼ヸ㐠ꗜヘꞐᕶ ƏЈꝬᕶꡘᕶꛘᕶƈЈestatalƅЈ佴ミ㐠Ū꡼ᕶꠈᕶ žЌ㺬ヸ佈ミ㹼ヸ㐠ꗜヘꡐᕶ ŷЈ꠬ᕶ꤈ᕶꞘᕶŰЈyůЈ佴ミ㐠Ŭ꤬ᕶꢸᕶ ŨЌ㺬ヸ佈ミ㹼ヸ㐠ꗜヘ꤀ᕶ šЈ꣜ᕶꦸᕶꡘᕶŚЈlasřЈ佴ミ㐠Ű ꧜ᕶꥨᕶ ŒЌ㺬ヸ佈ミ㹼ヸ㐠ꗜヘꦰᕶ ŋЈꦌᕶ꩸ᕶ꤈ᕶńЈpensionesŁЈ佴ミ㐠źꪜᕶꨨᕶ ĺЌ㺬ヸ佈ミ㹼ヸ㐠ꗜヘꩰᕶ ĳЈꩌᕶꬸᕶꦸᕶĬЈbasadasĩЈ佴ミ㐠Ƃꭜᕶꫨᕶ ĢЌ㺬ヸ佈ミ㹼ヸ㐠ꗜヘꬰᕶ ěЈꬌᕶꯨᕶ꩸ᕶĔЈenēЈ佴ミ㐠ƅ갌ᕶꮘᕶ ČЌ㺬ヸ佈ミ㹼ヸ㐠ꗜヘꯠᕶ ąЈꮼᕶ겘ᕶꬸᕶǾЈlasǽЈ佴ミ㐠Ɖ靄ᕵ걈ᕶ ǶЌ㺬ヸ佈ミ㹼ヸ㐠ꗜヘ겐ᕶ ǯЈ걬ᕶ괰ᕶꯨᕶǨЈ佴ミ㐠Ƙ굔ᕶ고ᕶ ǥЌ㺬ヸ佈ミ㹼ヸ㐠ꗜヘ괨ᕶ ǚЈ괄ᕶ균ᕶ겘ᕶǗЈalǒЈ佴ミ㐠ƛ긄ᕶ궐ᕶ ǏЌ㺬ヸ佈ミ㹼ヸ㐠ꗜヘ귘ᕶ ǄЈ궴ᕶ꺠ᕶ괰ᕶǁЈseguroƺЈ佴ミ㐠Ƣ껄ᕶ깐ᕶ ƷЌ㺬ヸ佈ミ㹼ヸ㐠ꗜヘ꺘ᕶ ƬЈ깴ᕶ꽠ᕶ균ᕶƩЈsocialƢЈ佴ミ㐠Ʃ꾄ᕶ꼐ᕶ ƟЌ㺬ヸ佈ミ㹼ヸ㐠ꗜヘ꽘ᕶ ƔЈ꼴ᕶ뀠ᕶ꺠ᕶƑЈobligatorioƊЈ佴ミ㐠ƴ끄ᕶ꿐ᕶ ƇЌ㺬ヸ佈ミ㹼ヸ㐠ꗜヘ뀘ᕶ żЈ꿴ᕶ냐ᕶ꽠ᕶŹЈ.ŴЈ佴ミ㐠ƶ냴ᕶ낀ᕶ űЌ㺬ヸ佈ミ㹼ヸ㐠ꗜヘ냈ᕶ ŦЈ낤ᕶ퍐ᕶ뀠ᕶţЈ&#10;ŞЈde1ŝЈsetoŘЈEnŗЈlaigatorio.ŐЈRepúblicaōЈenen ListņЈ.ligatorio.ŃЈfortalecimientomesdeĺЈڤᕶݘᕶؠᕶIDķА163ЌŸĳЈῌᕶ댐ᕶἸᕶ볼ĬЈ佴ミ㐠ĕ댴ᕶ닀ᕶ ĩЌ㺬ヸ佈ミ㹼ヸ㐠ꗜヘ댈ᕶ샊 ĞЈ다ᕶ돀ᕶ뉸ᕶ૟셋ěЈ&#10;formaĖЈ佴ミ㐠ě&#10;돤ᕶ데ᕶ ēЌ㺬ヸ佈ミ㹼ヸ㐠ꗜヘ뎸ᕶČ ĈЈ뎔ᕶ뒀ᕶ댐ᕶ⧸ႾhąЈpresencialᕦǾЈ佴ミ㐠ĥ뒤ᕶ됰ᕶ ǻЌ㺬ヸ佈ミ㹼ヸ㐠ꗜヘ둸ᕶ ǰЈ둔ᕶ따ᕶ돀ᕶ쐝ǭЈ,ㆈᕟǨЈ佴ミ㐠ħ땔ᕶ든ᕶ ǥЌ㺬ヸ佈ミ㹼ヸ㐠ꗜヘ딨ᕶఊ ǚЈ딄ᕶ뗠ᕶ뒀ᕶఊǗЈenǒЈ佴ミ㐠Ī똄ᕶ떐ᕶ ǏЌ㺬ヸ佈ミ㹼ヸ㐠ꗜヘ뗘ᕶ줹 ǄЈ떴ᕶ뚐ᕶ따ᕶ૱쨟ǁЈesteƼЈ佴ミ㐠į뚴ᕶ뙀ᕶ ƹЌ㺬ヸ佈ミ㹼ヸ㐠ꗜヘ뚈ᕶC ƮЈ뙤ᕶ띀ᕶ뗠ᕶ᳘ᕨƫЈcasoƦЈ佴ミ㐠Ĵ띤ᕶ뛰ᕶ ƣЌ㺬ヸ佈ミ㹼ヸ㐠ꗜヘ뜸ᕶ뻈ᕟ ƘЈ뜔ᕶ런ᕶ뚐ᕶᓰ჆ƕЈ&#10;hastaƐЈ佴ミ㐠ĺ렔ᕶ랠ᕶ ƍЌ㺬ヸ佈ミ㹼ヸ㐠ꗜヘ럨ᕶ ƂЈ럄ᕶ뢠ᕶ띀ᕶ춭ſЈqueᚘჃźЈ佴ミ㐠ľ룄ᕶ롐ᕶ ŷЌ㺬ヸ佈ミ㹼ヸ㐠ꗜヘ뢘ᕶЊ ŬЈ롴ᕶ률ᕶ런ᕶЊũЈcumplen:ЊŢЈ佴ミ㐠ņ름ᕶ뤐ᕶ şЌ㺬ヸ佈ミ㹼ヸ㐠ꗜヘ류ᕶ ŔЈ뤴ᕶ먐ᕶ뢠ᕶ删႒őЈ18켢ŌЈ佴ミ㐠ŉ먴ᕶ맀ᕶ ŉЌ㺬ヸ佈ミ㹼ヸ㐠ꗜヘ먈ᕶ鎈ˤ ľЈ매ᕶ뫀ᕶ률ᕶ붨ᕟĻЈañosĶЈ佴ミ㐠ō뫤ᕶ며ᕶ ĳЌ㺬ヸ佈ミ㹼ヸ㐠ꗜヘ몸ᕶ ĨЈ몔ᕶ뭰ᕶ먐ᕶ콐ĥЈ)琈ĠЈ佴ミ㐠Ŏ뮔ᕶ묠ᕶ ĝЌ㺬ヸ佈ミ㹼ヸ㐠ꗜヘ뭨ᕶЊ ĒЈ뭄ᕶ밠ᕶ뫀ᕶЊďЈ,콕ĊЈ佴ミ㐠Ő뱄ᕶ믐ᕶ ćЌ㺬ヸ佈ミ㹼ヸ㐠ꗜヘ반ᕶ콧 ǼЈ믴ᕶ볐ᕶ뭰ᕶଙ콬ǹЈ&#10;cuyosǴЈ佴ミ㐠Ŗ보ᕶ벀ᕶ ǱЌ㺬ヸ佈ミ㹼ヸ㐠ꗜヘ볈ᕶ ǦЈ벤ᕶ붐ᕶ밠ᕶ谸ᕪǣЈpadres갈ˠǜЈ佴ミ㐠Ŝ붴ᕶ뵀ᕶ ǙЌ㺬ヸ佈ミ㹼ヸ㐠ꗜヘ불ᕶ ǎЈ뵤ᕶ빀ᕶ볐ᕶ쾣ǋЈ:寈ჃǆЈ佴ミ㐠ŝ빤ᕶ뷰ᕶ ǃЌ㺬ヸ佈ミ㹼ヸ㐠ꗜヘ븸ᕶЊ ƸЈ블ᕶ뿘ᕶ붐ᕶЊƵЈ&#10;쾼ưЈ)y1ƯЈ. nƪЈa ƩЈperecidonƢЈHaneslƟЈdeen ListsƘЈ&#10;ayudaƗЈ佴ミ㐠뺬ᕶ뾈ᕶЌᗝ葰ᗌ ƎЌ㺬ヸ佈ミ㹼ヸ㐠ꗜヘ뿐ᕶ맘ᕫ ƇЈ뾬ᕶ쁰ᕶ빀ᕶഈᕬƀЈ佴ミ㐠빼ᕶ쀠ᕶ ŽЌ㺬ヸ佈ミ㹼ヸ㐠ꗜヘ쁨ᕶЊ ŲЈ쁄ᕶ섈ᕶ뿘ᕶЊůЈ佴ミ㐠뻬ᕶ삸ᕶ ŨЌ㺬ヸ佈ミ㹼ヸ㐠ꗜヘ섀ᕶ= šЈ샜ᕶ솠ᕶ쁰ᕶ븈ᕬŚЈ佴ミ㐠 뻄ᕶ셐ᕶ ŗЌ㺬ヸ佈ミ㹼ヸ㐠ꗜヘ솘ᕶ ŌЈ셴ᕶ숸ᕶ섈ᕶ킬ŉЈ佴ミ㐠놤ᕶ쇨ᕶ łЌ㺬ヸ佈ミ㹼ヸ㐠ꗜヘ숰ᕶ탚 ĻЈ숌ᕶ싐ᕶ솠ᕶୀ택ĴЈ佴ミ㐠싴ᕶ슀ᕶ ıЌ㺬ヸ佈ミ㹼ヸ㐠ꗜヘ싈ᕶᕬ ĦЈ스ᕶ쎐ᕶ숸ᕶŐᕭģЈdefensaЊ킘ᕡĜЈ佴ミ㐠쎴ᕶ썀ᕶ ęЌ㺬ヸ佈ミ㹼ヸ㐠ꗜヘ쎈ᕶЊ ĎЈ썤ᕶ쑀ᕶ싐ᕶЊċЈdeĆЈ佴ミ㐠 쑤ᕶ쏰ᕶ ăЌ㺬ヸ佈ミ㹼ヸ㐠ꗜヘ쐸ᕶ툟 ǸЈ쐔ᕶ쓰ᕶ쎐ᕶ୍툥ǵЈlaЊǰЈ佴ミ㐠#&#10;씔ᕶ쒠ᕶ ǭЌ㺬ヸ佈ミ㹼ヸ㐠ꗜヘ쓨ᕶ ǢЈ쓄ᕶ얰ᕶ쑀ᕶ쥐ᕮǟЈintegridadᕮǘЈ佴ミ㐠.엔ᕶ애ᕶ ǕЌ㺬ヸ佈ミ㹼ヸ㐠ꗜヘ얨ᕶ ǊЈ얄ᕶ왰ᕶ쓰ᕶ튐ǇЈterritorialǀЈ佴ミ㐠:요ᕶ옠ᕶ ƽЌ㺬ヸ佈ミ㹼ヸ㐠ꗜヘ왨ᕶ틕 ƲЈ완ᕶ유ᕶ얰ᕶ୛틚ƯЈdelЊƪЈ佴ミ㐠&gt;을ᕶ원ᕶ ƧЌ㺬ヸ佈"/>
        </w:smartTagPr>
        <w:r>
          <w:rPr>
            <w:spacing w:val="0"/>
            <w:lang w:val="es-ES"/>
          </w:rPr>
          <w:t>la Confederación Sindical.</w:t>
        </w:r>
      </w:smartTag>
      <w:r>
        <w:rPr>
          <w:spacing w:val="0"/>
          <w:lang w:val="es-ES"/>
        </w:rPr>
        <w:t xml:space="preserve"> </w:t>
      </w:r>
    </w:p>
    <w:p w:rsidR="001D2E73" w:rsidRDefault="001D2E73">
      <w:pPr>
        <w:pStyle w:val="H1G"/>
        <w:rPr>
          <w:lang w:val="es-ES"/>
        </w:rPr>
      </w:pPr>
      <w:r>
        <w:rPr>
          <w:lang w:val="es-ES"/>
        </w:rPr>
        <w:tab/>
      </w:r>
      <w:r>
        <w:rPr>
          <w:lang w:val="es-ES"/>
        </w:rPr>
        <w:tab/>
        <w:t>Artículo 9</w:t>
      </w:r>
    </w:p>
    <w:p w:rsidR="001D2E73" w:rsidRDefault="001D2E73">
      <w:pPr>
        <w:pStyle w:val="SingleTxtGR"/>
        <w:rPr>
          <w:spacing w:val="0"/>
          <w:lang w:val="es-ES"/>
        </w:rPr>
      </w:pPr>
      <w:r>
        <w:rPr>
          <w:spacing w:val="0"/>
          <w:lang w:val="es-ES"/>
        </w:rPr>
        <w:t>237.</w:t>
      </w:r>
      <w:r>
        <w:rPr>
          <w:spacing w:val="0"/>
          <w:lang w:val="es-ES"/>
        </w:rPr>
        <w:tab/>
        <w:t>Conforme al párrafo 1 del artículo 38 (Derecho a la seguridad social) de la Constitución de la República de Azerbaiyán, toda persona tiene derecho a la segur</w:t>
      </w:r>
      <w:r>
        <w:rPr>
          <w:spacing w:val="0"/>
          <w:lang w:val="es-ES"/>
        </w:rPr>
        <w:t>i</w:t>
      </w:r>
      <w:r>
        <w:rPr>
          <w:spacing w:val="0"/>
          <w:lang w:val="es-ES"/>
        </w:rPr>
        <w:t>dad social.</w:t>
      </w:r>
    </w:p>
    <w:p w:rsidR="001D2E73" w:rsidRDefault="001D2E73">
      <w:pPr>
        <w:pStyle w:val="SingleTxtGR"/>
        <w:rPr>
          <w:spacing w:val="0"/>
          <w:lang w:val="es-ES"/>
        </w:rPr>
      </w:pPr>
      <w:r>
        <w:rPr>
          <w:spacing w:val="0"/>
          <w:lang w:val="es-ES"/>
        </w:rPr>
        <w:t>238.</w:t>
      </w:r>
      <w:r>
        <w:rPr>
          <w:spacing w:val="0"/>
          <w:lang w:val="es-ES"/>
        </w:rPr>
        <w:tab/>
        <w:t>De conformidad con el párrafo III de dicho artículo de la Constitución, toda persona tiene derecho a la seguridad social al cumplir la edad establecida por ley, en caso de enfermedad, discapacidad, pérdida del sostén de la familia, pérdida de la c</w:t>
      </w:r>
      <w:r>
        <w:rPr>
          <w:spacing w:val="0"/>
          <w:lang w:val="es-ES"/>
        </w:rPr>
        <w:t>a</w:t>
      </w:r>
      <w:r>
        <w:rPr>
          <w:spacing w:val="0"/>
          <w:lang w:val="es-ES"/>
        </w:rPr>
        <w:t xml:space="preserve">pacidad laboral, desempleo y otras circunstancias previstas en la ley. </w:t>
      </w:r>
    </w:p>
    <w:p w:rsidR="001D2E73" w:rsidRDefault="001D2E73">
      <w:pPr>
        <w:pStyle w:val="SingleTxtGR"/>
        <w:rPr>
          <w:spacing w:val="0"/>
          <w:lang w:val="es-ES"/>
        </w:rPr>
      </w:pPr>
      <w:r>
        <w:rPr>
          <w:spacing w:val="0"/>
          <w:lang w:val="es-ES"/>
        </w:rPr>
        <w:t>239.</w:t>
      </w:r>
      <w:r>
        <w:rPr>
          <w:spacing w:val="0"/>
          <w:lang w:val="es-ES"/>
        </w:rPr>
        <w:tab/>
        <w:t>Según ese artículo de la Constitución, se establecerá por ley la pensión mín</w:t>
      </w:r>
      <w:r>
        <w:rPr>
          <w:spacing w:val="0"/>
          <w:lang w:val="es-ES"/>
        </w:rPr>
        <w:t>i</w:t>
      </w:r>
      <w:r>
        <w:rPr>
          <w:spacing w:val="0"/>
          <w:lang w:val="es-ES"/>
        </w:rPr>
        <w:t>ma y la prestación social mínima y el Estado creará las posibilidades para el desarrollo de la actividad filantrópica, el régimen voluntario de seguro social y otras formas de bienestar social.</w:t>
      </w:r>
    </w:p>
    <w:p w:rsidR="001D2E73" w:rsidRDefault="001D2E73">
      <w:pPr>
        <w:pStyle w:val="SingleTxtGR"/>
        <w:rPr>
          <w:spacing w:val="0"/>
          <w:lang w:val="es-ES"/>
        </w:rPr>
      </w:pPr>
      <w:r>
        <w:rPr>
          <w:spacing w:val="0"/>
          <w:lang w:val="es-ES"/>
        </w:rPr>
        <w:t>240.</w:t>
      </w:r>
      <w:r>
        <w:rPr>
          <w:spacing w:val="0"/>
          <w:lang w:val="es-ES"/>
        </w:rPr>
        <w:tab/>
        <w:t xml:space="preserve">Cabe señalar que en la República de Azerbaiyán se han llevado a cabo con éxito reformas en la esfera de la protección social de </w:t>
      </w:r>
      <w:smartTag w:uri="urn:schemas-microsoft-com:office:smarttags" w:element="PersonName">
        <w:smartTagPr>
          <w:attr w:name="ProductID" w:val="capacidadesaciónăԈ佴ミ㐠v囌ᙘ噘ᙘǼԈ601ǻԈacontecimientosǲԈ크ᘐ飐ᙷ願ᙷos dǯԈ佴ミ㐠 "/>
        </w:smartTagPr>
        <w:r>
          <w:rPr>
            <w:spacing w:val="0"/>
            <w:lang w:val="es-ES"/>
          </w:rPr>
          <w:t>la población. Desde</w:t>
        </w:r>
      </w:smartTag>
      <w:r>
        <w:rPr>
          <w:spacing w:val="0"/>
          <w:lang w:val="es-ES"/>
        </w:rPr>
        <w:t xml:space="preserve"> el 7 de f</w:t>
      </w:r>
      <w:r>
        <w:rPr>
          <w:spacing w:val="0"/>
          <w:lang w:val="es-ES"/>
        </w:rPr>
        <w:t>e</w:t>
      </w:r>
      <w:r>
        <w:rPr>
          <w:spacing w:val="0"/>
          <w:lang w:val="es-ES"/>
        </w:rPr>
        <w:t>brero de 2006 entró en vigor la Ley de pensiones de jubilación y de prestaciones sociales, tras lo cual se estableció la división las pensiones s</w:t>
      </w:r>
      <w:r>
        <w:rPr>
          <w:spacing w:val="0"/>
          <w:lang w:val="es-ES"/>
        </w:rPr>
        <w:t>o</w:t>
      </w:r>
      <w:r>
        <w:rPr>
          <w:spacing w:val="0"/>
          <w:lang w:val="es-ES"/>
        </w:rPr>
        <w:t xml:space="preserve">ciales financiadas con cargo al presupuesto estatal y las pensiones basadas en las consignaciones al seguro social obligatorio. </w:t>
      </w:r>
    </w:p>
    <w:p w:rsidR="001D2E73" w:rsidRDefault="001D2E73">
      <w:pPr>
        <w:pStyle w:val="SingleTxtGR"/>
        <w:rPr>
          <w:spacing w:val="0"/>
          <w:lang w:val="es-ES"/>
        </w:rPr>
      </w:pPr>
      <w:r>
        <w:rPr>
          <w:spacing w:val="0"/>
          <w:lang w:val="es-ES"/>
        </w:rPr>
        <w:t>241.</w:t>
      </w:r>
      <w:r>
        <w:rPr>
          <w:spacing w:val="0"/>
          <w:lang w:val="es-ES"/>
        </w:rPr>
        <w:tab/>
        <w:t>En la República de Azerbaiyán se asignan y se pagan los siguientes tipos de prestaciones: según el artículo 4.01.8 de la Ley de prestaciones sociales, se pagan prestaciones a los niños que cumplen 16 años de edad (si los niños estudian en centros de enseñanza general en forma presencial, en este caso hasta que cumplen 18 años), cuyos padres: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 xml:space="preserve">Han perecido en defensa de la integridad territorial del país, del orden constitucional o como resultado de los acontecimientos del 20 de enero de 1990; </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Son mutilados de guerra;</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Tienen discapacidad de los grupos I y II, debido a las tareas de liquid</w:t>
      </w:r>
      <w:r>
        <w:rPr>
          <w:spacing w:val="0"/>
          <w:lang w:val="es-ES"/>
        </w:rPr>
        <w:t>a</w:t>
      </w:r>
      <w:r>
        <w:rPr>
          <w:spacing w:val="0"/>
          <w:lang w:val="es-ES"/>
        </w:rPr>
        <w:t>ción de las consecuencias del desastre de Chernobyl;</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 xml:space="preserve">Son personas que han estado en servicio militar activo. </w:t>
      </w:r>
    </w:p>
    <w:p w:rsidR="001D2E73" w:rsidRDefault="001D2E73">
      <w:pPr>
        <w:pStyle w:val="SingleTxtGR"/>
        <w:rPr>
          <w:spacing w:val="0"/>
          <w:lang w:val="es-ES"/>
        </w:rPr>
      </w:pPr>
      <w:r>
        <w:rPr>
          <w:spacing w:val="0"/>
          <w:lang w:val="es-ES"/>
        </w:rPr>
        <w:t>242.</w:t>
      </w:r>
      <w:r>
        <w:rPr>
          <w:spacing w:val="0"/>
          <w:lang w:val="es-ES"/>
        </w:rPr>
        <w:tab/>
        <w:t xml:space="preserve">Además, a los padres (a uno de ellos) se les paga una prestación de una sola vez cuando nace un hijo. </w:t>
      </w:r>
    </w:p>
    <w:p w:rsidR="001D2E73" w:rsidRDefault="001D2E73">
      <w:pPr>
        <w:pStyle w:val="SingleTxtGR"/>
        <w:rPr>
          <w:spacing w:val="0"/>
          <w:lang w:val="es-ES"/>
        </w:rPr>
      </w:pPr>
      <w:r>
        <w:rPr>
          <w:spacing w:val="0"/>
          <w:lang w:val="es-ES"/>
        </w:rPr>
        <w:t>243.</w:t>
      </w:r>
      <w:r>
        <w:rPr>
          <w:spacing w:val="0"/>
          <w:lang w:val="es-ES"/>
        </w:rPr>
        <w:tab/>
        <w:t>Con arreglo al artículo 4.0.1.9., a los padres adoptivos (tutores) de niños hué</w:t>
      </w:r>
      <w:r>
        <w:rPr>
          <w:spacing w:val="0"/>
          <w:lang w:val="es-ES"/>
        </w:rPr>
        <w:t>r</w:t>
      </w:r>
      <w:r>
        <w:rPr>
          <w:spacing w:val="0"/>
          <w:lang w:val="es-ES"/>
        </w:rPr>
        <w:t xml:space="preserve">fanos o que no están al cuidado de sus padres se les paga una prestación mensual, además de la prestación para familias de bajos ingresos que tienen un hijo menor de un año de edad. </w:t>
      </w:r>
    </w:p>
    <w:p w:rsidR="001D2E73" w:rsidRDefault="001D2E73">
      <w:pPr>
        <w:pStyle w:val="SingleTxtGR"/>
        <w:rPr>
          <w:spacing w:val="0"/>
          <w:lang w:val="es-ES"/>
        </w:rPr>
      </w:pPr>
      <w:r>
        <w:rPr>
          <w:spacing w:val="0"/>
          <w:lang w:val="es-ES"/>
        </w:rPr>
        <w:t>244.</w:t>
      </w:r>
      <w:r>
        <w:rPr>
          <w:spacing w:val="0"/>
          <w:lang w:val="es-ES"/>
        </w:rPr>
        <w:tab/>
        <w:t>La prestación por discapacidad se asigna y se paga en casos en que la causa de la discapacidad es:</w:t>
      </w:r>
    </w:p>
    <w:p w:rsidR="001D2E73" w:rsidRDefault="001D2E73">
      <w:pPr>
        <w:pStyle w:val="Bullet1G"/>
        <w:rPr>
          <w:lang w:val="es-ES"/>
        </w:rPr>
      </w:pPr>
      <w:r>
        <w:rPr>
          <w:lang w:val="es-ES"/>
        </w:rPr>
        <w:t>Una enfermedad general;</w:t>
      </w:r>
    </w:p>
    <w:p w:rsidR="001D2E73" w:rsidRDefault="001D2E73">
      <w:pPr>
        <w:pStyle w:val="Bullet1G"/>
        <w:rPr>
          <w:lang w:val="es-ES"/>
        </w:rPr>
      </w:pPr>
      <w:r>
        <w:rPr>
          <w:lang w:val="es-ES"/>
        </w:rPr>
        <w:t>Una enfermedad durante el cumplimiento del servicio militar;</w:t>
      </w:r>
    </w:p>
    <w:p w:rsidR="001D2E73" w:rsidRDefault="001D2E73">
      <w:pPr>
        <w:pStyle w:val="Bullet1G"/>
        <w:rPr>
          <w:lang w:val="es-ES"/>
        </w:rPr>
      </w:pPr>
      <w:r>
        <w:rPr>
          <w:lang w:val="es-ES"/>
        </w:rPr>
        <w:t>Accidente de trabajo o enfermedad profesional;</w:t>
      </w:r>
    </w:p>
    <w:p w:rsidR="001D2E73" w:rsidRDefault="001D2E73">
      <w:pPr>
        <w:pStyle w:val="Bullet1G"/>
        <w:rPr>
          <w:lang w:val="es-ES"/>
        </w:rPr>
      </w:pPr>
      <w:r>
        <w:rPr>
          <w:lang w:val="es-ES"/>
        </w:rPr>
        <w:t>La permanencia en una zona de operaciones militares;</w:t>
      </w:r>
    </w:p>
    <w:p w:rsidR="001D2E73" w:rsidRDefault="001D2E73">
      <w:pPr>
        <w:pStyle w:val="Bullet1G"/>
        <w:rPr>
          <w:lang w:val="es-ES"/>
        </w:rPr>
      </w:pPr>
      <w:r>
        <w:rPr>
          <w:lang w:val="es-ES"/>
        </w:rPr>
        <w:t>La liquidación de las consecuencias del desastre de Chernobyl;</w:t>
      </w:r>
    </w:p>
    <w:p w:rsidR="001D2E73" w:rsidRDefault="001D2E73">
      <w:pPr>
        <w:pStyle w:val="Bullet1G"/>
        <w:rPr>
          <w:lang w:val="es-ES"/>
        </w:rPr>
      </w:pPr>
      <w:r>
        <w:rPr>
          <w:lang w:val="es-ES"/>
        </w:rPr>
        <w:t>El cumplimiento del servicio militar en la planta de Chernobyl;</w:t>
      </w:r>
    </w:p>
    <w:p w:rsidR="001D2E73" w:rsidRDefault="001D2E73">
      <w:pPr>
        <w:pStyle w:val="Bullet1G"/>
        <w:rPr>
          <w:lang w:val="es-ES"/>
        </w:rPr>
      </w:pPr>
      <w:r>
        <w:rPr>
          <w:lang w:val="es-ES"/>
        </w:rPr>
        <w:t>La protección de la integridad territorial, la independencia y el orden constitucional;</w:t>
      </w:r>
    </w:p>
    <w:p w:rsidR="001D2E73" w:rsidRDefault="001D2E73">
      <w:pPr>
        <w:pStyle w:val="Bullet1G"/>
        <w:rPr>
          <w:lang w:val="es-ES"/>
        </w:rPr>
      </w:pPr>
      <w:r>
        <w:rPr>
          <w:lang w:val="es-ES"/>
        </w:rPr>
        <w:t>Consecuencia de los acontecimientos del 20 de enero de 1990;</w:t>
      </w:r>
    </w:p>
    <w:p w:rsidR="001D2E73" w:rsidRDefault="001D2E73">
      <w:pPr>
        <w:pStyle w:val="Bullet1G"/>
        <w:rPr>
          <w:lang w:val="es-ES"/>
        </w:rPr>
      </w:pPr>
      <w:r>
        <w:rPr>
          <w:lang w:val="es-ES"/>
        </w:rPr>
        <w:t>Menores de 18 años mutilados de guerra con posibilidades limitadas.</w:t>
      </w:r>
    </w:p>
    <w:p w:rsidR="001D2E73" w:rsidRDefault="001D2E73">
      <w:pPr>
        <w:pStyle w:val="SingleTxtGR"/>
        <w:rPr>
          <w:spacing w:val="0"/>
          <w:lang w:val="es-ES"/>
        </w:rPr>
      </w:pPr>
      <w:r>
        <w:rPr>
          <w:spacing w:val="0"/>
          <w:lang w:val="es-ES"/>
        </w:rPr>
        <w:t>245.</w:t>
      </w:r>
      <w:r>
        <w:rPr>
          <w:spacing w:val="0"/>
          <w:lang w:val="es-ES"/>
        </w:rPr>
        <w:tab/>
        <w:t>Las personas que han sido declaradas discapacitadas como resultado de la liquidación de las consecuencias del desastre de Chernobyl mientras cumplían el se</w:t>
      </w:r>
      <w:r>
        <w:rPr>
          <w:spacing w:val="0"/>
          <w:lang w:val="es-ES"/>
        </w:rPr>
        <w:t>r</w:t>
      </w:r>
      <w:r>
        <w:rPr>
          <w:spacing w:val="0"/>
          <w:lang w:val="es-ES"/>
        </w:rPr>
        <w:t xml:space="preserve">vicio militar activo reciben, además de la pensión, una prestación de indemnización por servicios comunitarios, de transporte y de otra índole prestados. </w:t>
      </w:r>
    </w:p>
    <w:p w:rsidR="001D2E73" w:rsidRDefault="001D2E73">
      <w:pPr>
        <w:pStyle w:val="SingleTxtGR"/>
        <w:rPr>
          <w:spacing w:val="0"/>
          <w:lang w:val="es-ES"/>
        </w:rPr>
      </w:pPr>
      <w:r>
        <w:rPr>
          <w:spacing w:val="0"/>
          <w:lang w:val="es-ES"/>
        </w:rPr>
        <w:t>246.</w:t>
      </w:r>
      <w:r>
        <w:rPr>
          <w:spacing w:val="0"/>
          <w:lang w:val="es-ES"/>
        </w:rPr>
        <w:tab/>
        <w:t>También se pagan prestaciones por edad, entierro, y si el difunto es un jubilado que recibía pensión, su familia recibe una prestación por el triple de la parte básica de la pensión, según la edad establecida en el momento en que falleció.</w:t>
      </w:r>
    </w:p>
    <w:p w:rsidR="001D2E73" w:rsidRDefault="001D2E73">
      <w:pPr>
        <w:pStyle w:val="SingleTxtGR"/>
        <w:rPr>
          <w:spacing w:val="0"/>
          <w:lang w:val="es-ES"/>
        </w:rPr>
      </w:pPr>
      <w:r>
        <w:rPr>
          <w:spacing w:val="0"/>
          <w:lang w:val="es-ES"/>
        </w:rPr>
        <w:t>247.</w:t>
      </w:r>
      <w:r>
        <w:rPr>
          <w:spacing w:val="0"/>
          <w:lang w:val="es-ES"/>
        </w:rPr>
        <w:tab/>
        <w:t>De conformidad con un Decreto presidencial de 27 de agosto de 2008, se i</w:t>
      </w:r>
      <w:r>
        <w:rPr>
          <w:spacing w:val="0"/>
          <w:lang w:val="es-ES"/>
        </w:rPr>
        <w:t>n</w:t>
      </w:r>
      <w:r>
        <w:rPr>
          <w:spacing w:val="0"/>
          <w:lang w:val="es-ES"/>
        </w:rPr>
        <w:t>crementó el monto de las prestaciones sociales para algunas categorías de personas, entre ellas, a:</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Personas que tienen derecho a recibir pensiones de jubilación y que han sido nombrados veteranos de guerra por su participación en operaciones milit</w:t>
      </w:r>
      <w:r>
        <w:rPr>
          <w:spacing w:val="0"/>
          <w:lang w:val="es-ES"/>
        </w:rPr>
        <w:t>a</w:t>
      </w:r>
      <w:r>
        <w:rPr>
          <w:spacing w:val="0"/>
          <w:lang w:val="es-ES"/>
        </w:rPr>
        <w:t>res en defensa de la integridad territorial de la República de Azerbaiyán;</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b)</w:t>
      </w:r>
      <w:r>
        <w:rPr>
          <w:spacing w:val="0"/>
          <w:lang w:val="es-ES"/>
        </w:rPr>
        <w:tab/>
        <w:t>Personas que participaron en la liquidación de las consecuencias del d</w:t>
      </w:r>
      <w:r>
        <w:rPr>
          <w:spacing w:val="0"/>
          <w:lang w:val="es-ES"/>
        </w:rPr>
        <w:t>e</w:t>
      </w:r>
      <w:r>
        <w:rPr>
          <w:spacing w:val="0"/>
          <w:lang w:val="es-ES"/>
        </w:rPr>
        <w:t>sastre de Chernobyl mientras se encontraban en servicio militar activo y quedaron con discapacidades de los grupos I, II y III, como consecuencia de ello;</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Hijos de militares movilizados por situaciones de emergencia;</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d)</w:t>
      </w:r>
      <w:r>
        <w:rPr>
          <w:spacing w:val="0"/>
          <w:lang w:val="es-ES"/>
        </w:rPr>
        <w:tab/>
        <w:t>Tutores de niños huérfanos y privados del cuidado de sus padres;</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e)</w:t>
      </w:r>
      <w:r>
        <w:rPr>
          <w:spacing w:val="0"/>
          <w:lang w:val="es-ES"/>
        </w:rPr>
        <w:tab/>
        <w:t>Familias de bajos ingresos que tienen un hijo menor de un año;</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f)</w:t>
      </w:r>
      <w:r>
        <w:rPr>
          <w:spacing w:val="0"/>
          <w:lang w:val="es-ES"/>
        </w:rPr>
        <w:tab/>
        <w:t xml:space="preserve">Y otras personas. </w:t>
      </w:r>
    </w:p>
    <w:p w:rsidR="001D2E73" w:rsidRDefault="001D2E73">
      <w:pPr>
        <w:pStyle w:val="SingleTxtGR"/>
        <w:rPr>
          <w:spacing w:val="0"/>
          <w:lang w:val="es-ES"/>
        </w:rPr>
      </w:pPr>
      <w:r>
        <w:rPr>
          <w:spacing w:val="0"/>
          <w:lang w:val="es-ES"/>
        </w:rPr>
        <w:t>248.</w:t>
      </w:r>
      <w:r>
        <w:rPr>
          <w:spacing w:val="0"/>
          <w:lang w:val="es-ES"/>
        </w:rPr>
        <w:tab/>
        <w:t xml:space="preserve">Con arreglo a ese Decreto presidencial, las personas que quedaron afectadas por las radiaciones reciben una prestación anual para atención médica. </w:t>
      </w:r>
    </w:p>
    <w:p w:rsidR="001D2E73" w:rsidRDefault="001D2E73">
      <w:pPr>
        <w:pStyle w:val="SingleTxtGR"/>
        <w:rPr>
          <w:spacing w:val="0"/>
          <w:lang w:val="es-ES"/>
        </w:rPr>
      </w:pPr>
      <w:r>
        <w:rPr>
          <w:spacing w:val="0"/>
          <w:lang w:val="es-ES"/>
        </w:rPr>
        <w:t>249.</w:t>
      </w:r>
      <w:r>
        <w:rPr>
          <w:spacing w:val="0"/>
          <w:lang w:val="es-ES"/>
        </w:rPr>
        <w:tab/>
        <w:t xml:space="preserve">De conformidad con el artículo 8 de la Ley de prestaciones sociales, el monto de las prestaciones sociales se incrementa por lo menos una vez al año. </w:t>
      </w:r>
    </w:p>
    <w:p w:rsidR="001D2E73" w:rsidRDefault="001D2E73">
      <w:pPr>
        <w:pStyle w:val="SingleTxtGR"/>
        <w:rPr>
          <w:spacing w:val="0"/>
          <w:lang w:val="es-ES"/>
        </w:rPr>
      </w:pPr>
      <w:r>
        <w:rPr>
          <w:spacing w:val="0"/>
          <w:lang w:val="es-ES"/>
        </w:rPr>
        <w:t>250.</w:t>
      </w:r>
      <w:r>
        <w:rPr>
          <w:spacing w:val="0"/>
          <w:lang w:val="es-ES"/>
        </w:rPr>
        <w:tab/>
        <w:t xml:space="preserve">En cumplimiento de decretos presidenciales se incrementó el monto de las prestaciones sociales a partir del 1º de enero de 2006, 1º de febrero de 2007 y 1º de septiembre de 2008. </w:t>
      </w:r>
    </w:p>
    <w:p w:rsidR="001D2E73" w:rsidRDefault="001D2E73">
      <w:pPr>
        <w:keepNext/>
        <w:keepLines/>
        <w:spacing w:after="120"/>
        <w:rPr>
          <w:b/>
          <w:sz w:val="16"/>
          <w:szCs w:val="16"/>
        </w:rPr>
      </w:pPr>
      <w:r>
        <w:tab/>
      </w:r>
      <w:r>
        <w:tab/>
        <w:t>Cuadro 13</w:t>
      </w:r>
      <w:r>
        <w:br/>
      </w:r>
      <w:r>
        <w:rPr>
          <w:b/>
        </w:rPr>
        <w:tab/>
      </w:r>
      <w:r>
        <w:rPr>
          <w:b/>
        </w:rPr>
        <w:tab/>
        <w:t xml:space="preserve">Prestaciones sociales asignadas a la población por el Estado </w:t>
      </w:r>
      <w:r>
        <w:rPr>
          <w:b/>
        </w:rPr>
        <w:br/>
      </w:r>
      <w:r>
        <w:rPr>
          <w:b/>
          <w:sz w:val="16"/>
          <w:szCs w:val="16"/>
        </w:rPr>
        <w:tab/>
      </w:r>
      <w:r>
        <w:rPr>
          <w:b/>
          <w:sz w:val="16"/>
          <w:szCs w:val="16"/>
        </w:rPr>
        <w:tab/>
      </w:r>
      <w:r>
        <w:rPr>
          <w:iCs/>
          <w:sz w:val="16"/>
          <w:szCs w:val="16"/>
        </w:rPr>
        <w:t>(según datos del Ministerio del Trabajo y Protección Social de la Población, a principios del año)</w:t>
      </w:r>
    </w:p>
    <w:tbl>
      <w:tblPr>
        <w:tblW w:w="8502" w:type="dxa"/>
        <w:jc w:val="right"/>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104"/>
        <w:gridCol w:w="1000"/>
        <w:gridCol w:w="1100"/>
        <w:gridCol w:w="1100"/>
        <w:gridCol w:w="1131"/>
        <w:gridCol w:w="975"/>
        <w:gridCol w:w="1092"/>
      </w:tblGrid>
      <w:tr w:rsidR="001D2E73">
        <w:trPr>
          <w:trHeight w:val="300"/>
          <w:tblHeader/>
          <w:jc w:val="right"/>
        </w:trPr>
        <w:tc>
          <w:tcPr>
            <w:tcW w:w="2104" w:type="dxa"/>
            <w:vMerge w:val="restart"/>
            <w:tcBorders>
              <w:top w:val="single" w:sz="4" w:space="0" w:color="auto"/>
            </w:tcBorders>
            <w:shd w:val="clear" w:color="auto" w:fill="auto"/>
            <w:noWrap/>
          </w:tcPr>
          <w:p w:rsidR="001D2E73" w:rsidRDefault="001D2E73">
            <w:pPr>
              <w:keepNext/>
              <w:keepLines/>
              <w:spacing w:before="80"/>
              <w:jc w:val="right"/>
              <w:rPr>
                <w:i/>
                <w:sz w:val="16"/>
                <w:szCs w:val="16"/>
              </w:rPr>
            </w:pPr>
            <w:r>
              <w:rPr>
                <w:i/>
                <w:sz w:val="16"/>
                <w:szCs w:val="16"/>
              </w:rPr>
              <w:t> </w:t>
            </w:r>
          </w:p>
        </w:tc>
        <w:tc>
          <w:tcPr>
            <w:tcW w:w="2100" w:type="dxa"/>
            <w:gridSpan w:val="2"/>
            <w:tcBorders>
              <w:top w:val="single" w:sz="4" w:space="0" w:color="auto"/>
              <w:bottom w:val="single" w:sz="4" w:space="0" w:color="auto"/>
            </w:tcBorders>
            <w:shd w:val="clear" w:color="auto" w:fill="auto"/>
            <w:noWrap/>
          </w:tcPr>
          <w:p w:rsidR="001D2E73" w:rsidRDefault="001D2E73">
            <w:pPr>
              <w:keepNext/>
              <w:keepLines/>
              <w:spacing w:before="80" w:after="80" w:line="200" w:lineRule="exact"/>
              <w:jc w:val="center"/>
              <w:rPr>
                <w:i/>
                <w:sz w:val="16"/>
                <w:szCs w:val="16"/>
              </w:rPr>
            </w:pPr>
            <w:r>
              <w:rPr>
                <w:i/>
                <w:sz w:val="16"/>
                <w:szCs w:val="16"/>
              </w:rPr>
              <w:t>2007</w:t>
            </w:r>
          </w:p>
        </w:tc>
        <w:tc>
          <w:tcPr>
            <w:tcW w:w="2231" w:type="dxa"/>
            <w:gridSpan w:val="2"/>
            <w:tcBorders>
              <w:top w:val="single" w:sz="4" w:space="0" w:color="auto"/>
              <w:bottom w:val="single" w:sz="4" w:space="0" w:color="auto"/>
            </w:tcBorders>
            <w:shd w:val="clear" w:color="auto" w:fill="auto"/>
            <w:noWrap/>
          </w:tcPr>
          <w:p w:rsidR="001D2E73" w:rsidRDefault="001D2E73">
            <w:pPr>
              <w:keepNext/>
              <w:keepLines/>
              <w:spacing w:before="80" w:after="80" w:line="200" w:lineRule="exact"/>
              <w:jc w:val="center"/>
              <w:rPr>
                <w:i/>
                <w:sz w:val="16"/>
                <w:szCs w:val="16"/>
              </w:rPr>
            </w:pPr>
            <w:r>
              <w:rPr>
                <w:i/>
                <w:sz w:val="16"/>
                <w:szCs w:val="16"/>
              </w:rPr>
              <w:t>2008</w:t>
            </w:r>
          </w:p>
        </w:tc>
        <w:tc>
          <w:tcPr>
            <w:tcW w:w="2067" w:type="dxa"/>
            <w:gridSpan w:val="2"/>
            <w:tcBorders>
              <w:top w:val="single" w:sz="4" w:space="0" w:color="auto"/>
              <w:left w:val="nil"/>
              <w:bottom w:val="single" w:sz="4" w:space="0" w:color="auto"/>
              <w:right w:val="nil"/>
              <w:tl2br w:val="nil"/>
              <w:tr2bl w:val="nil"/>
            </w:tcBorders>
            <w:shd w:val="clear" w:color="auto" w:fill="auto"/>
            <w:noWrap/>
          </w:tcPr>
          <w:p w:rsidR="001D2E73" w:rsidRDefault="001D2E73">
            <w:pPr>
              <w:keepNext/>
              <w:keepLines/>
              <w:spacing w:before="80" w:after="80" w:line="200" w:lineRule="exact"/>
              <w:jc w:val="center"/>
              <w:rPr>
                <w:i/>
                <w:sz w:val="16"/>
                <w:szCs w:val="16"/>
              </w:rPr>
            </w:pPr>
            <w:r>
              <w:rPr>
                <w:i/>
                <w:sz w:val="16"/>
                <w:szCs w:val="16"/>
              </w:rPr>
              <w:t>2009</w:t>
            </w:r>
          </w:p>
        </w:tc>
      </w:tr>
      <w:tr w:rsidR="001D2E73">
        <w:trPr>
          <w:trHeight w:val="908"/>
          <w:tblHeader/>
          <w:jc w:val="right"/>
        </w:trPr>
        <w:tc>
          <w:tcPr>
            <w:tcW w:w="2104" w:type="dxa"/>
            <w:vMerge/>
            <w:tcBorders>
              <w:bottom w:val="single" w:sz="12" w:space="0" w:color="auto"/>
            </w:tcBorders>
            <w:shd w:val="clear" w:color="auto" w:fill="auto"/>
            <w:noWrap/>
          </w:tcPr>
          <w:p w:rsidR="001D2E73" w:rsidRDefault="001D2E73">
            <w:pPr>
              <w:keepNext/>
              <w:keepLines/>
              <w:spacing w:before="80" w:line="240" w:lineRule="auto"/>
              <w:jc w:val="right"/>
              <w:rPr>
                <w:i/>
                <w:sz w:val="16"/>
                <w:szCs w:val="16"/>
              </w:rPr>
            </w:pPr>
          </w:p>
        </w:tc>
        <w:tc>
          <w:tcPr>
            <w:tcW w:w="1000"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szCs w:val="16"/>
              </w:rPr>
            </w:pPr>
            <w:r>
              <w:rPr>
                <w:i/>
                <w:sz w:val="16"/>
                <w:szCs w:val="16"/>
              </w:rPr>
              <w:t>Personas que reciben prestaciones sociales, cantidad</w:t>
            </w:r>
          </w:p>
        </w:tc>
        <w:tc>
          <w:tcPr>
            <w:tcW w:w="1100"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szCs w:val="16"/>
              </w:rPr>
            </w:pPr>
            <w:r>
              <w:rPr>
                <w:i/>
                <w:sz w:val="16"/>
                <w:szCs w:val="16"/>
              </w:rPr>
              <w:t>Monto medio mensual de la prestación por persona en manat</w:t>
            </w:r>
          </w:p>
        </w:tc>
        <w:tc>
          <w:tcPr>
            <w:tcW w:w="1100"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szCs w:val="16"/>
              </w:rPr>
            </w:pPr>
            <w:r>
              <w:rPr>
                <w:i/>
                <w:sz w:val="16"/>
                <w:szCs w:val="16"/>
              </w:rPr>
              <w:t>Personas que reciben pre</w:t>
            </w:r>
            <w:r>
              <w:rPr>
                <w:i/>
                <w:sz w:val="16"/>
                <w:szCs w:val="16"/>
              </w:rPr>
              <w:t>s</w:t>
            </w:r>
            <w:r>
              <w:rPr>
                <w:i/>
                <w:sz w:val="16"/>
                <w:szCs w:val="16"/>
              </w:rPr>
              <w:t>taciones sociales, cantidad</w:t>
            </w:r>
          </w:p>
        </w:tc>
        <w:tc>
          <w:tcPr>
            <w:tcW w:w="1131"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szCs w:val="16"/>
              </w:rPr>
            </w:pPr>
            <w:r>
              <w:rPr>
                <w:i/>
                <w:sz w:val="16"/>
                <w:szCs w:val="16"/>
              </w:rPr>
              <w:t>Monto medio mensual de la prestación por persona en manat</w:t>
            </w:r>
          </w:p>
        </w:tc>
        <w:tc>
          <w:tcPr>
            <w:tcW w:w="975"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szCs w:val="16"/>
              </w:rPr>
            </w:pPr>
            <w:r>
              <w:rPr>
                <w:i/>
                <w:sz w:val="16"/>
                <w:szCs w:val="16"/>
              </w:rPr>
              <w:t>Personas que reciben pre</w:t>
            </w:r>
            <w:r>
              <w:rPr>
                <w:i/>
                <w:sz w:val="16"/>
                <w:szCs w:val="16"/>
              </w:rPr>
              <w:t>s</w:t>
            </w:r>
            <w:r>
              <w:rPr>
                <w:i/>
                <w:sz w:val="16"/>
                <w:szCs w:val="16"/>
              </w:rPr>
              <w:t>taciones sociales, cantidad</w:t>
            </w:r>
          </w:p>
        </w:tc>
        <w:tc>
          <w:tcPr>
            <w:tcW w:w="1092" w:type="dxa"/>
            <w:tcBorders>
              <w:top w:val="single" w:sz="4" w:space="0" w:color="auto"/>
              <w:left w:val="nil"/>
              <w:bottom w:val="single" w:sz="12" w:space="0" w:color="auto"/>
              <w:right w:val="nil"/>
              <w:tl2br w:val="nil"/>
              <w:tr2bl w:val="nil"/>
            </w:tcBorders>
            <w:shd w:val="clear" w:color="auto" w:fill="auto"/>
          </w:tcPr>
          <w:p w:rsidR="001D2E73" w:rsidRDefault="001D2E73">
            <w:pPr>
              <w:keepNext/>
              <w:keepLines/>
              <w:spacing w:before="80" w:after="80" w:line="200" w:lineRule="exact"/>
              <w:jc w:val="right"/>
              <w:rPr>
                <w:i/>
                <w:sz w:val="16"/>
                <w:szCs w:val="16"/>
              </w:rPr>
            </w:pPr>
            <w:r>
              <w:rPr>
                <w:i/>
                <w:sz w:val="16"/>
                <w:szCs w:val="16"/>
              </w:rPr>
              <w:t>Monto medio mensual de la prestación por persona en manat</w:t>
            </w:r>
          </w:p>
        </w:tc>
      </w:tr>
      <w:tr w:rsidR="001D2E73">
        <w:trPr>
          <w:trHeight w:val="300"/>
          <w:jc w:val="right"/>
        </w:trPr>
        <w:tc>
          <w:tcPr>
            <w:tcW w:w="2104" w:type="dxa"/>
            <w:tcBorders>
              <w:top w:val="single" w:sz="12" w:space="0" w:color="auto"/>
              <w:bottom w:val="single" w:sz="4" w:space="0" w:color="auto"/>
            </w:tcBorders>
          </w:tcPr>
          <w:p w:rsidR="001D2E73" w:rsidRDefault="001D2E73">
            <w:pPr>
              <w:keepNext/>
              <w:keepLines/>
              <w:spacing w:before="80" w:after="80" w:line="220" w:lineRule="exact"/>
              <w:ind w:left="284"/>
              <w:rPr>
                <w:b/>
                <w:sz w:val="18"/>
                <w:szCs w:val="18"/>
              </w:rPr>
            </w:pPr>
            <w:r>
              <w:rPr>
                <w:b/>
                <w:sz w:val="18"/>
                <w:szCs w:val="18"/>
              </w:rPr>
              <w:t>Prestaciones sociales: Total</w:t>
            </w:r>
          </w:p>
        </w:tc>
        <w:tc>
          <w:tcPr>
            <w:tcW w:w="1000" w:type="dxa"/>
            <w:tcBorders>
              <w:top w:val="single" w:sz="12" w:space="0" w:color="auto"/>
              <w:bottom w:val="single" w:sz="4" w:space="0" w:color="auto"/>
            </w:tcBorders>
            <w:vAlign w:val="bottom"/>
          </w:tcPr>
          <w:p w:rsidR="001D2E73" w:rsidRDefault="001D2E73">
            <w:pPr>
              <w:keepNext/>
              <w:keepLines/>
              <w:spacing w:before="80" w:after="80" w:line="220" w:lineRule="exact"/>
              <w:jc w:val="right"/>
              <w:rPr>
                <w:b/>
                <w:sz w:val="18"/>
                <w:szCs w:val="18"/>
              </w:rPr>
            </w:pPr>
            <w:r>
              <w:rPr>
                <w:b/>
                <w:sz w:val="18"/>
                <w:szCs w:val="18"/>
              </w:rPr>
              <w:t>259 712</w:t>
            </w:r>
          </w:p>
        </w:tc>
        <w:tc>
          <w:tcPr>
            <w:tcW w:w="1100" w:type="dxa"/>
            <w:tcBorders>
              <w:top w:val="single" w:sz="12" w:space="0" w:color="auto"/>
              <w:bottom w:val="single" w:sz="4" w:space="0" w:color="auto"/>
            </w:tcBorders>
            <w:vAlign w:val="bottom"/>
          </w:tcPr>
          <w:p w:rsidR="001D2E73" w:rsidRDefault="001D2E73">
            <w:pPr>
              <w:keepNext/>
              <w:keepLines/>
              <w:spacing w:before="80" w:after="80" w:line="220" w:lineRule="exact"/>
              <w:jc w:val="right"/>
              <w:rPr>
                <w:b/>
                <w:sz w:val="18"/>
                <w:szCs w:val="18"/>
              </w:rPr>
            </w:pPr>
            <w:r>
              <w:rPr>
                <w:b/>
                <w:sz w:val="18"/>
                <w:szCs w:val="18"/>
              </w:rPr>
              <w:t>17,4</w:t>
            </w:r>
          </w:p>
        </w:tc>
        <w:tc>
          <w:tcPr>
            <w:tcW w:w="1100" w:type="dxa"/>
            <w:tcBorders>
              <w:top w:val="single" w:sz="12" w:space="0" w:color="auto"/>
              <w:bottom w:val="single" w:sz="4" w:space="0" w:color="auto"/>
            </w:tcBorders>
            <w:vAlign w:val="bottom"/>
          </w:tcPr>
          <w:p w:rsidR="001D2E73" w:rsidRDefault="001D2E73">
            <w:pPr>
              <w:keepNext/>
              <w:keepLines/>
              <w:spacing w:before="80" w:after="80" w:line="220" w:lineRule="exact"/>
              <w:jc w:val="right"/>
              <w:rPr>
                <w:b/>
                <w:sz w:val="18"/>
                <w:szCs w:val="18"/>
              </w:rPr>
            </w:pPr>
            <w:r>
              <w:rPr>
                <w:b/>
                <w:sz w:val="18"/>
                <w:szCs w:val="18"/>
              </w:rPr>
              <w:t>275 402</w:t>
            </w:r>
          </w:p>
        </w:tc>
        <w:tc>
          <w:tcPr>
            <w:tcW w:w="1131" w:type="dxa"/>
            <w:tcBorders>
              <w:top w:val="single" w:sz="12" w:space="0" w:color="auto"/>
              <w:bottom w:val="single" w:sz="4" w:space="0" w:color="auto"/>
            </w:tcBorders>
            <w:vAlign w:val="bottom"/>
          </w:tcPr>
          <w:p w:rsidR="001D2E73" w:rsidRDefault="001D2E73">
            <w:pPr>
              <w:keepNext/>
              <w:keepLines/>
              <w:spacing w:before="80" w:after="80" w:line="220" w:lineRule="exact"/>
              <w:jc w:val="right"/>
              <w:rPr>
                <w:b/>
                <w:sz w:val="18"/>
                <w:szCs w:val="18"/>
              </w:rPr>
            </w:pPr>
            <w:r>
              <w:rPr>
                <w:b/>
                <w:sz w:val="18"/>
                <w:szCs w:val="18"/>
              </w:rPr>
              <w:t>23,35</w:t>
            </w:r>
          </w:p>
        </w:tc>
        <w:tc>
          <w:tcPr>
            <w:tcW w:w="975" w:type="dxa"/>
            <w:tcBorders>
              <w:top w:val="single" w:sz="12" w:space="0" w:color="auto"/>
              <w:bottom w:val="single" w:sz="4" w:space="0" w:color="auto"/>
            </w:tcBorders>
            <w:vAlign w:val="bottom"/>
          </w:tcPr>
          <w:p w:rsidR="001D2E73" w:rsidRDefault="001D2E73">
            <w:pPr>
              <w:keepNext/>
              <w:keepLines/>
              <w:spacing w:before="80" w:after="80" w:line="220" w:lineRule="exact"/>
              <w:jc w:val="right"/>
              <w:rPr>
                <w:b/>
                <w:sz w:val="18"/>
                <w:szCs w:val="18"/>
              </w:rPr>
            </w:pPr>
            <w:r>
              <w:rPr>
                <w:b/>
                <w:sz w:val="18"/>
                <w:szCs w:val="18"/>
              </w:rPr>
              <w:t>287 375</w:t>
            </w:r>
          </w:p>
        </w:tc>
        <w:tc>
          <w:tcPr>
            <w:tcW w:w="1092" w:type="dxa"/>
            <w:tcBorders>
              <w:top w:val="single" w:sz="12" w:space="0" w:color="auto"/>
              <w:left w:val="nil"/>
              <w:bottom w:val="single" w:sz="4" w:space="0" w:color="auto"/>
              <w:right w:val="nil"/>
              <w:tl2br w:val="nil"/>
              <w:tr2bl w:val="nil"/>
            </w:tcBorders>
            <w:vAlign w:val="bottom"/>
          </w:tcPr>
          <w:p w:rsidR="001D2E73" w:rsidRDefault="001D2E73">
            <w:pPr>
              <w:keepNext/>
              <w:keepLines/>
              <w:spacing w:before="80" w:after="80" w:line="220" w:lineRule="exact"/>
              <w:jc w:val="right"/>
              <w:rPr>
                <w:b/>
                <w:sz w:val="18"/>
                <w:szCs w:val="18"/>
              </w:rPr>
            </w:pPr>
            <w:r>
              <w:rPr>
                <w:b/>
                <w:sz w:val="18"/>
                <w:szCs w:val="18"/>
              </w:rPr>
              <w:t>34,26</w:t>
            </w:r>
          </w:p>
        </w:tc>
      </w:tr>
      <w:tr w:rsidR="001D2E73">
        <w:trPr>
          <w:trHeight w:val="300"/>
          <w:jc w:val="right"/>
        </w:trPr>
        <w:tc>
          <w:tcPr>
            <w:tcW w:w="2104" w:type="dxa"/>
            <w:tcBorders>
              <w:top w:val="single" w:sz="4" w:space="0" w:color="auto"/>
            </w:tcBorders>
            <w:noWrap/>
          </w:tcPr>
          <w:p w:rsidR="001D2E73" w:rsidRDefault="001D2E73">
            <w:pPr>
              <w:keepNext/>
              <w:keepLines/>
              <w:spacing w:before="40" w:after="40" w:line="220" w:lineRule="exact"/>
              <w:rPr>
                <w:i/>
                <w:sz w:val="18"/>
                <w:szCs w:val="18"/>
              </w:rPr>
            </w:pPr>
            <w:r>
              <w:rPr>
                <w:i/>
                <w:sz w:val="18"/>
                <w:szCs w:val="18"/>
              </w:rPr>
              <w:t>desglosado:</w:t>
            </w:r>
          </w:p>
        </w:tc>
        <w:tc>
          <w:tcPr>
            <w:tcW w:w="1000"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1100"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1100"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1131"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975"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1092" w:type="dxa"/>
            <w:tcBorders>
              <w:top w:val="single" w:sz="4" w:space="0" w:color="auto"/>
              <w:left w:val="nil"/>
              <w:bottom w:val="nil"/>
              <w:right w:val="nil"/>
              <w:tl2br w:val="nil"/>
              <w:tr2bl w:val="nil"/>
            </w:tcBorders>
            <w:noWrap/>
            <w:vAlign w:val="bottom"/>
          </w:tcPr>
          <w:p w:rsidR="001D2E73" w:rsidRDefault="001D2E73">
            <w:pPr>
              <w:keepNext/>
              <w:keepLines/>
              <w:spacing w:before="40" w:after="40" w:line="220" w:lineRule="exact"/>
              <w:jc w:val="right"/>
              <w:rPr>
                <w:sz w:val="18"/>
                <w:szCs w:val="18"/>
              </w:rPr>
            </w:pPr>
          </w:p>
        </w:tc>
      </w:tr>
      <w:tr w:rsidR="001D2E73">
        <w:trPr>
          <w:trHeight w:val="300"/>
          <w:jc w:val="right"/>
        </w:trPr>
        <w:tc>
          <w:tcPr>
            <w:tcW w:w="2104" w:type="dxa"/>
            <w:noWrap/>
          </w:tcPr>
          <w:p w:rsidR="001D2E73" w:rsidRDefault="001D2E73">
            <w:pPr>
              <w:keepNext/>
              <w:keepLines/>
              <w:spacing w:before="40" w:after="40" w:line="220" w:lineRule="exact"/>
              <w:rPr>
                <w:sz w:val="18"/>
                <w:szCs w:val="18"/>
              </w:rPr>
            </w:pPr>
            <w:r>
              <w:rPr>
                <w:sz w:val="18"/>
                <w:szCs w:val="18"/>
              </w:rPr>
              <w:t>Por edad</w:t>
            </w:r>
          </w:p>
        </w:tc>
        <w:tc>
          <w:tcPr>
            <w:tcW w:w="1000" w:type="dxa"/>
            <w:vAlign w:val="bottom"/>
          </w:tcPr>
          <w:p w:rsidR="001D2E73" w:rsidRDefault="001D2E73">
            <w:pPr>
              <w:keepNext/>
              <w:keepLines/>
              <w:spacing w:before="40" w:after="40" w:line="220" w:lineRule="exact"/>
              <w:jc w:val="right"/>
              <w:rPr>
                <w:sz w:val="18"/>
                <w:szCs w:val="18"/>
              </w:rPr>
            </w:pPr>
            <w:r>
              <w:rPr>
                <w:sz w:val="18"/>
                <w:szCs w:val="18"/>
              </w:rPr>
              <w:t>20 084</w:t>
            </w:r>
          </w:p>
        </w:tc>
        <w:tc>
          <w:tcPr>
            <w:tcW w:w="1100" w:type="dxa"/>
            <w:vAlign w:val="bottom"/>
          </w:tcPr>
          <w:p w:rsidR="001D2E73" w:rsidRDefault="001D2E73">
            <w:pPr>
              <w:keepNext/>
              <w:keepLines/>
              <w:spacing w:before="40" w:after="40" w:line="220" w:lineRule="exact"/>
              <w:jc w:val="right"/>
              <w:rPr>
                <w:sz w:val="18"/>
                <w:szCs w:val="18"/>
              </w:rPr>
            </w:pPr>
            <w:r>
              <w:rPr>
                <w:sz w:val="18"/>
                <w:szCs w:val="18"/>
              </w:rPr>
              <w:t>20,0</w:t>
            </w:r>
          </w:p>
        </w:tc>
        <w:tc>
          <w:tcPr>
            <w:tcW w:w="1100" w:type="dxa"/>
            <w:vAlign w:val="bottom"/>
          </w:tcPr>
          <w:p w:rsidR="001D2E73" w:rsidRDefault="001D2E73">
            <w:pPr>
              <w:keepNext/>
              <w:keepLines/>
              <w:spacing w:before="40" w:after="40" w:line="220" w:lineRule="exact"/>
              <w:jc w:val="right"/>
              <w:rPr>
                <w:sz w:val="18"/>
                <w:szCs w:val="18"/>
              </w:rPr>
            </w:pPr>
            <w:r>
              <w:rPr>
                <w:sz w:val="18"/>
                <w:szCs w:val="18"/>
              </w:rPr>
              <w:t>19 890</w:t>
            </w:r>
          </w:p>
        </w:tc>
        <w:tc>
          <w:tcPr>
            <w:tcW w:w="1131" w:type="dxa"/>
            <w:vAlign w:val="bottom"/>
          </w:tcPr>
          <w:p w:rsidR="001D2E73" w:rsidRDefault="001D2E73">
            <w:pPr>
              <w:keepNext/>
              <w:keepLines/>
              <w:spacing w:before="40" w:after="40" w:line="220" w:lineRule="exact"/>
              <w:jc w:val="right"/>
              <w:rPr>
                <w:sz w:val="18"/>
                <w:szCs w:val="18"/>
              </w:rPr>
            </w:pPr>
            <w:r>
              <w:rPr>
                <w:sz w:val="18"/>
                <w:szCs w:val="18"/>
              </w:rPr>
              <w:t>30,0</w:t>
            </w:r>
          </w:p>
        </w:tc>
        <w:tc>
          <w:tcPr>
            <w:tcW w:w="975" w:type="dxa"/>
            <w:vAlign w:val="bottom"/>
          </w:tcPr>
          <w:p w:rsidR="001D2E73" w:rsidRDefault="001D2E73">
            <w:pPr>
              <w:keepNext/>
              <w:keepLines/>
              <w:spacing w:before="40" w:after="40" w:line="220" w:lineRule="exact"/>
              <w:jc w:val="right"/>
              <w:rPr>
                <w:sz w:val="18"/>
                <w:szCs w:val="18"/>
              </w:rPr>
            </w:pPr>
            <w:r>
              <w:rPr>
                <w:sz w:val="18"/>
                <w:szCs w:val="18"/>
              </w:rPr>
              <w:t>18 720</w:t>
            </w:r>
          </w:p>
        </w:tc>
        <w:tc>
          <w:tcPr>
            <w:tcW w:w="1092" w:type="dxa"/>
            <w:tcBorders>
              <w:left w:val="nil"/>
              <w:bottom w:val="nil"/>
              <w:right w:val="nil"/>
              <w:tl2br w:val="nil"/>
              <w:tr2bl w:val="nil"/>
            </w:tcBorders>
            <w:vAlign w:val="bottom"/>
          </w:tcPr>
          <w:p w:rsidR="001D2E73" w:rsidRDefault="001D2E73">
            <w:pPr>
              <w:keepNext/>
              <w:keepLines/>
              <w:spacing w:before="40" w:after="40" w:line="220" w:lineRule="exact"/>
              <w:jc w:val="right"/>
              <w:rPr>
                <w:sz w:val="18"/>
                <w:szCs w:val="18"/>
              </w:rPr>
            </w:pPr>
            <w:r>
              <w:rPr>
                <w:sz w:val="18"/>
                <w:szCs w:val="18"/>
              </w:rPr>
              <w:t>45,0</w:t>
            </w:r>
          </w:p>
        </w:tc>
      </w:tr>
      <w:tr w:rsidR="001D2E73">
        <w:trPr>
          <w:trHeight w:val="300"/>
          <w:jc w:val="right"/>
        </w:trPr>
        <w:tc>
          <w:tcPr>
            <w:tcW w:w="2104" w:type="dxa"/>
            <w:noWrap/>
          </w:tcPr>
          <w:p w:rsidR="001D2E73" w:rsidRDefault="001D2E73">
            <w:pPr>
              <w:keepNext/>
              <w:keepLines/>
              <w:spacing w:before="40" w:after="40" w:line="220" w:lineRule="exact"/>
              <w:rPr>
                <w:sz w:val="18"/>
                <w:szCs w:val="18"/>
              </w:rPr>
            </w:pPr>
            <w:r>
              <w:rPr>
                <w:sz w:val="18"/>
                <w:szCs w:val="18"/>
              </w:rPr>
              <w:t xml:space="preserve">Por discapacidad </w:t>
            </w:r>
          </w:p>
        </w:tc>
        <w:tc>
          <w:tcPr>
            <w:tcW w:w="1000" w:type="dxa"/>
            <w:vAlign w:val="bottom"/>
          </w:tcPr>
          <w:p w:rsidR="001D2E73" w:rsidRDefault="001D2E73">
            <w:pPr>
              <w:keepNext/>
              <w:keepLines/>
              <w:spacing w:before="40" w:after="40" w:line="220" w:lineRule="exact"/>
              <w:jc w:val="right"/>
              <w:rPr>
                <w:sz w:val="18"/>
                <w:szCs w:val="18"/>
              </w:rPr>
            </w:pPr>
            <w:r>
              <w:rPr>
                <w:sz w:val="18"/>
                <w:szCs w:val="18"/>
              </w:rPr>
              <w:t>84 522</w:t>
            </w:r>
          </w:p>
        </w:tc>
        <w:tc>
          <w:tcPr>
            <w:tcW w:w="1100" w:type="dxa"/>
            <w:vAlign w:val="bottom"/>
          </w:tcPr>
          <w:p w:rsidR="001D2E73" w:rsidRDefault="001D2E73">
            <w:pPr>
              <w:keepNext/>
              <w:keepLines/>
              <w:spacing w:before="40" w:after="40" w:line="220" w:lineRule="exact"/>
              <w:jc w:val="right"/>
              <w:rPr>
                <w:sz w:val="18"/>
                <w:szCs w:val="18"/>
              </w:rPr>
            </w:pPr>
            <w:r>
              <w:rPr>
                <w:sz w:val="18"/>
                <w:szCs w:val="18"/>
              </w:rPr>
              <w:t>19,4</w:t>
            </w:r>
          </w:p>
        </w:tc>
        <w:tc>
          <w:tcPr>
            <w:tcW w:w="1100" w:type="dxa"/>
            <w:vAlign w:val="bottom"/>
          </w:tcPr>
          <w:p w:rsidR="001D2E73" w:rsidRDefault="001D2E73">
            <w:pPr>
              <w:keepNext/>
              <w:keepLines/>
              <w:spacing w:before="40" w:after="40" w:line="220" w:lineRule="exact"/>
              <w:jc w:val="right"/>
              <w:rPr>
                <w:sz w:val="18"/>
                <w:szCs w:val="18"/>
              </w:rPr>
            </w:pPr>
            <w:r>
              <w:rPr>
                <w:sz w:val="18"/>
                <w:szCs w:val="18"/>
              </w:rPr>
              <w:t>84 848</w:t>
            </w:r>
          </w:p>
        </w:tc>
        <w:tc>
          <w:tcPr>
            <w:tcW w:w="1131" w:type="dxa"/>
            <w:vAlign w:val="bottom"/>
          </w:tcPr>
          <w:p w:rsidR="001D2E73" w:rsidRDefault="001D2E73">
            <w:pPr>
              <w:keepNext/>
              <w:keepLines/>
              <w:spacing w:before="40" w:after="40" w:line="220" w:lineRule="exact"/>
              <w:jc w:val="right"/>
              <w:rPr>
                <w:sz w:val="18"/>
                <w:szCs w:val="18"/>
              </w:rPr>
            </w:pPr>
            <w:r>
              <w:rPr>
                <w:sz w:val="18"/>
                <w:szCs w:val="18"/>
              </w:rPr>
              <w:t>25,0</w:t>
            </w:r>
          </w:p>
        </w:tc>
        <w:tc>
          <w:tcPr>
            <w:tcW w:w="975" w:type="dxa"/>
            <w:vAlign w:val="bottom"/>
          </w:tcPr>
          <w:p w:rsidR="001D2E73" w:rsidRDefault="001D2E73">
            <w:pPr>
              <w:keepNext/>
              <w:keepLines/>
              <w:spacing w:before="40" w:after="40" w:line="220" w:lineRule="exact"/>
              <w:jc w:val="right"/>
              <w:rPr>
                <w:sz w:val="18"/>
                <w:szCs w:val="18"/>
              </w:rPr>
            </w:pPr>
            <w:r>
              <w:rPr>
                <w:sz w:val="18"/>
                <w:szCs w:val="18"/>
              </w:rPr>
              <w:t>89 554</w:t>
            </w:r>
          </w:p>
        </w:tc>
        <w:tc>
          <w:tcPr>
            <w:tcW w:w="1092" w:type="dxa"/>
            <w:tcBorders>
              <w:left w:val="nil"/>
              <w:bottom w:val="nil"/>
              <w:right w:val="nil"/>
              <w:tl2br w:val="nil"/>
              <w:tr2bl w:val="nil"/>
            </w:tcBorders>
            <w:vAlign w:val="bottom"/>
          </w:tcPr>
          <w:p w:rsidR="001D2E73" w:rsidRDefault="001D2E73">
            <w:pPr>
              <w:keepNext/>
              <w:keepLines/>
              <w:spacing w:before="40" w:after="40" w:line="220" w:lineRule="exact"/>
              <w:jc w:val="right"/>
              <w:rPr>
                <w:sz w:val="18"/>
                <w:szCs w:val="18"/>
              </w:rPr>
            </w:pPr>
            <w:r>
              <w:rPr>
                <w:sz w:val="18"/>
                <w:szCs w:val="18"/>
              </w:rPr>
              <w:t>35,6</w:t>
            </w:r>
          </w:p>
        </w:tc>
      </w:tr>
      <w:tr w:rsidR="001D2E73">
        <w:trPr>
          <w:trHeight w:val="300"/>
          <w:jc w:val="right"/>
        </w:trPr>
        <w:tc>
          <w:tcPr>
            <w:tcW w:w="2104" w:type="dxa"/>
            <w:noWrap/>
          </w:tcPr>
          <w:p w:rsidR="001D2E73" w:rsidRDefault="001D2E73">
            <w:pPr>
              <w:keepNext/>
              <w:keepLines/>
              <w:spacing w:before="40" w:after="40" w:line="220" w:lineRule="exact"/>
              <w:rPr>
                <w:sz w:val="18"/>
                <w:szCs w:val="18"/>
              </w:rPr>
            </w:pPr>
            <w:r>
              <w:rPr>
                <w:sz w:val="18"/>
                <w:szCs w:val="18"/>
              </w:rPr>
              <w:t>Niños con discapacidad de 16 años de edad</w:t>
            </w:r>
          </w:p>
        </w:tc>
        <w:tc>
          <w:tcPr>
            <w:tcW w:w="1000" w:type="dxa"/>
            <w:vAlign w:val="bottom"/>
          </w:tcPr>
          <w:p w:rsidR="001D2E73" w:rsidRDefault="001D2E73">
            <w:pPr>
              <w:keepNext/>
              <w:keepLines/>
              <w:spacing w:before="40" w:after="40" w:line="220" w:lineRule="exact"/>
              <w:jc w:val="right"/>
              <w:rPr>
                <w:sz w:val="18"/>
                <w:szCs w:val="18"/>
              </w:rPr>
            </w:pPr>
            <w:r>
              <w:rPr>
                <w:sz w:val="18"/>
                <w:szCs w:val="18"/>
              </w:rPr>
              <w:t>48 479</w:t>
            </w:r>
          </w:p>
        </w:tc>
        <w:tc>
          <w:tcPr>
            <w:tcW w:w="1100" w:type="dxa"/>
            <w:vAlign w:val="bottom"/>
          </w:tcPr>
          <w:p w:rsidR="001D2E73" w:rsidRDefault="001D2E73">
            <w:pPr>
              <w:keepNext/>
              <w:keepLines/>
              <w:spacing w:before="40" w:after="40" w:line="220" w:lineRule="exact"/>
              <w:jc w:val="right"/>
              <w:rPr>
                <w:sz w:val="18"/>
                <w:szCs w:val="18"/>
              </w:rPr>
            </w:pPr>
            <w:r>
              <w:rPr>
                <w:sz w:val="18"/>
                <w:szCs w:val="18"/>
              </w:rPr>
              <w:t>25,0</w:t>
            </w:r>
          </w:p>
        </w:tc>
        <w:tc>
          <w:tcPr>
            <w:tcW w:w="1100" w:type="dxa"/>
            <w:noWrap/>
            <w:vAlign w:val="bottom"/>
          </w:tcPr>
          <w:p w:rsidR="001D2E73" w:rsidRDefault="001D2E73">
            <w:pPr>
              <w:keepNext/>
              <w:keepLines/>
              <w:spacing w:before="40" w:after="40" w:line="220" w:lineRule="exact"/>
              <w:jc w:val="right"/>
              <w:rPr>
                <w:sz w:val="18"/>
                <w:szCs w:val="18"/>
              </w:rPr>
            </w:pPr>
            <w:r>
              <w:rPr>
                <w:sz w:val="18"/>
                <w:szCs w:val="18"/>
              </w:rPr>
              <w:t>x</w:t>
            </w:r>
          </w:p>
        </w:tc>
        <w:tc>
          <w:tcPr>
            <w:tcW w:w="1131" w:type="dxa"/>
            <w:noWrap/>
            <w:vAlign w:val="bottom"/>
          </w:tcPr>
          <w:p w:rsidR="001D2E73" w:rsidRDefault="001D2E73">
            <w:pPr>
              <w:keepNext/>
              <w:keepLines/>
              <w:spacing w:before="40" w:after="40" w:line="220" w:lineRule="exact"/>
              <w:jc w:val="right"/>
              <w:rPr>
                <w:sz w:val="18"/>
                <w:szCs w:val="18"/>
              </w:rPr>
            </w:pPr>
            <w:r>
              <w:rPr>
                <w:sz w:val="18"/>
                <w:szCs w:val="18"/>
              </w:rPr>
              <w:t>x</w:t>
            </w:r>
          </w:p>
        </w:tc>
        <w:tc>
          <w:tcPr>
            <w:tcW w:w="975" w:type="dxa"/>
            <w:noWrap/>
            <w:vAlign w:val="bottom"/>
          </w:tcPr>
          <w:p w:rsidR="001D2E73" w:rsidRDefault="001D2E73">
            <w:pPr>
              <w:keepNext/>
              <w:keepLines/>
              <w:spacing w:before="40" w:after="40" w:line="220" w:lineRule="exact"/>
              <w:jc w:val="right"/>
              <w:rPr>
                <w:sz w:val="18"/>
                <w:szCs w:val="18"/>
              </w:rPr>
            </w:pPr>
            <w:r>
              <w:rPr>
                <w:sz w:val="18"/>
                <w:szCs w:val="18"/>
              </w:rPr>
              <w:t>x</w:t>
            </w:r>
          </w:p>
        </w:tc>
        <w:tc>
          <w:tcPr>
            <w:tcW w:w="1092" w:type="dxa"/>
            <w:tcBorders>
              <w:left w:val="nil"/>
              <w:bottom w:val="nil"/>
              <w:right w:val="nil"/>
              <w:tl2br w:val="nil"/>
              <w:tr2bl w:val="nil"/>
            </w:tcBorders>
            <w:noWrap/>
            <w:vAlign w:val="bottom"/>
          </w:tcPr>
          <w:p w:rsidR="001D2E73" w:rsidRDefault="001D2E73">
            <w:pPr>
              <w:keepNext/>
              <w:keepLines/>
              <w:spacing w:before="40" w:after="40" w:line="220" w:lineRule="exact"/>
              <w:jc w:val="right"/>
              <w:rPr>
                <w:sz w:val="18"/>
                <w:szCs w:val="18"/>
              </w:rPr>
            </w:pPr>
            <w:r>
              <w:rPr>
                <w:sz w:val="18"/>
                <w:szCs w:val="18"/>
              </w:rPr>
              <w:t>x</w:t>
            </w:r>
          </w:p>
        </w:tc>
      </w:tr>
      <w:tr w:rsidR="001D2E73">
        <w:trPr>
          <w:trHeight w:val="585"/>
          <w:jc w:val="right"/>
        </w:trPr>
        <w:tc>
          <w:tcPr>
            <w:tcW w:w="2104" w:type="dxa"/>
          </w:tcPr>
          <w:p w:rsidR="001D2E73" w:rsidRDefault="001D2E73">
            <w:pPr>
              <w:keepNext/>
              <w:keepLines/>
              <w:spacing w:before="40" w:after="40" w:line="220" w:lineRule="exact"/>
              <w:rPr>
                <w:sz w:val="18"/>
                <w:szCs w:val="18"/>
              </w:rPr>
            </w:pPr>
            <w:r>
              <w:rPr>
                <w:sz w:val="18"/>
                <w:szCs w:val="18"/>
              </w:rPr>
              <w:t>Niños de hasta 18 años con impedimentos por motivos de salud</w:t>
            </w:r>
            <w:r>
              <w:rPr>
                <w:i/>
                <w:sz w:val="18"/>
                <w:szCs w:val="18"/>
                <w:vertAlign w:val="superscript"/>
              </w:rPr>
              <w:t>1</w:t>
            </w:r>
          </w:p>
        </w:tc>
        <w:tc>
          <w:tcPr>
            <w:tcW w:w="1000" w:type="dxa"/>
            <w:noWrap/>
            <w:vAlign w:val="bottom"/>
          </w:tcPr>
          <w:p w:rsidR="001D2E73" w:rsidRDefault="001D2E73">
            <w:pPr>
              <w:keepNext/>
              <w:keepLines/>
              <w:spacing w:before="40" w:after="40" w:line="220" w:lineRule="exact"/>
              <w:jc w:val="right"/>
              <w:rPr>
                <w:sz w:val="18"/>
                <w:szCs w:val="18"/>
              </w:rPr>
            </w:pPr>
            <w:r>
              <w:rPr>
                <w:sz w:val="18"/>
                <w:szCs w:val="18"/>
              </w:rPr>
              <w:t>x</w:t>
            </w:r>
          </w:p>
        </w:tc>
        <w:tc>
          <w:tcPr>
            <w:tcW w:w="1100" w:type="dxa"/>
            <w:noWrap/>
            <w:vAlign w:val="bottom"/>
          </w:tcPr>
          <w:p w:rsidR="001D2E73" w:rsidRDefault="001D2E73">
            <w:pPr>
              <w:keepNext/>
              <w:keepLines/>
              <w:spacing w:before="40" w:after="40" w:line="220" w:lineRule="exact"/>
              <w:jc w:val="right"/>
              <w:rPr>
                <w:sz w:val="18"/>
                <w:szCs w:val="18"/>
              </w:rPr>
            </w:pPr>
            <w:r>
              <w:rPr>
                <w:sz w:val="18"/>
                <w:szCs w:val="18"/>
              </w:rPr>
              <w:t>x</w:t>
            </w:r>
          </w:p>
        </w:tc>
        <w:tc>
          <w:tcPr>
            <w:tcW w:w="1100" w:type="dxa"/>
            <w:vAlign w:val="bottom"/>
          </w:tcPr>
          <w:p w:rsidR="001D2E73" w:rsidRDefault="001D2E73">
            <w:pPr>
              <w:keepNext/>
              <w:keepLines/>
              <w:spacing w:before="40" w:after="40" w:line="220" w:lineRule="exact"/>
              <w:jc w:val="right"/>
              <w:rPr>
                <w:sz w:val="18"/>
                <w:szCs w:val="18"/>
              </w:rPr>
            </w:pPr>
            <w:r>
              <w:rPr>
                <w:sz w:val="18"/>
                <w:szCs w:val="18"/>
              </w:rPr>
              <w:t>55 066</w:t>
            </w:r>
          </w:p>
        </w:tc>
        <w:tc>
          <w:tcPr>
            <w:tcW w:w="1131" w:type="dxa"/>
            <w:vAlign w:val="bottom"/>
          </w:tcPr>
          <w:p w:rsidR="001D2E73" w:rsidRDefault="001D2E73">
            <w:pPr>
              <w:keepNext/>
              <w:keepLines/>
              <w:spacing w:before="40" w:after="40" w:line="220" w:lineRule="exact"/>
              <w:jc w:val="right"/>
              <w:rPr>
                <w:sz w:val="18"/>
                <w:szCs w:val="18"/>
              </w:rPr>
            </w:pPr>
            <w:r>
              <w:rPr>
                <w:sz w:val="18"/>
                <w:szCs w:val="18"/>
              </w:rPr>
              <w:t>35,0</w:t>
            </w:r>
          </w:p>
        </w:tc>
        <w:tc>
          <w:tcPr>
            <w:tcW w:w="975" w:type="dxa"/>
            <w:vAlign w:val="bottom"/>
          </w:tcPr>
          <w:p w:rsidR="001D2E73" w:rsidRDefault="001D2E73">
            <w:pPr>
              <w:keepNext/>
              <w:keepLines/>
              <w:spacing w:before="40" w:after="40" w:line="220" w:lineRule="exact"/>
              <w:jc w:val="right"/>
              <w:rPr>
                <w:sz w:val="18"/>
                <w:szCs w:val="18"/>
              </w:rPr>
            </w:pPr>
            <w:r>
              <w:rPr>
                <w:sz w:val="18"/>
                <w:szCs w:val="18"/>
              </w:rPr>
              <w:t>56 433</w:t>
            </w:r>
          </w:p>
        </w:tc>
        <w:tc>
          <w:tcPr>
            <w:tcW w:w="1092" w:type="dxa"/>
            <w:tcBorders>
              <w:left w:val="nil"/>
              <w:bottom w:val="nil"/>
              <w:right w:val="nil"/>
              <w:tl2br w:val="nil"/>
              <w:tr2bl w:val="nil"/>
            </w:tcBorders>
            <w:vAlign w:val="bottom"/>
          </w:tcPr>
          <w:p w:rsidR="001D2E73" w:rsidRDefault="001D2E73">
            <w:pPr>
              <w:keepNext/>
              <w:keepLines/>
              <w:spacing w:before="40" w:after="40" w:line="220" w:lineRule="exact"/>
              <w:jc w:val="right"/>
              <w:rPr>
                <w:sz w:val="18"/>
                <w:szCs w:val="18"/>
              </w:rPr>
            </w:pPr>
            <w:r>
              <w:rPr>
                <w:sz w:val="18"/>
                <w:szCs w:val="18"/>
              </w:rPr>
              <w:t>50,0</w:t>
            </w:r>
          </w:p>
        </w:tc>
      </w:tr>
      <w:tr w:rsidR="001D2E73">
        <w:trPr>
          <w:trHeight w:val="540"/>
          <w:jc w:val="right"/>
        </w:trPr>
        <w:tc>
          <w:tcPr>
            <w:tcW w:w="2104" w:type="dxa"/>
          </w:tcPr>
          <w:p w:rsidR="001D2E73" w:rsidRDefault="001D2E73">
            <w:pPr>
              <w:keepNext/>
              <w:keepLines/>
              <w:spacing w:before="40" w:after="40" w:line="220" w:lineRule="exact"/>
              <w:rPr>
                <w:sz w:val="18"/>
                <w:szCs w:val="18"/>
              </w:rPr>
            </w:pPr>
            <w:r>
              <w:rPr>
                <w:sz w:val="18"/>
                <w:szCs w:val="18"/>
              </w:rPr>
              <w:t xml:space="preserve">Miembros de la familia por pérdida del sostén de la familia </w:t>
            </w:r>
          </w:p>
        </w:tc>
        <w:tc>
          <w:tcPr>
            <w:tcW w:w="1000" w:type="dxa"/>
            <w:vAlign w:val="bottom"/>
          </w:tcPr>
          <w:p w:rsidR="001D2E73" w:rsidRDefault="001D2E73">
            <w:pPr>
              <w:keepNext/>
              <w:keepLines/>
              <w:spacing w:before="40" w:after="40" w:line="220" w:lineRule="exact"/>
              <w:jc w:val="right"/>
              <w:rPr>
                <w:sz w:val="18"/>
                <w:szCs w:val="18"/>
              </w:rPr>
            </w:pPr>
            <w:r>
              <w:rPr>
                <w:sz w:val="18"/>
                <w:szCs w:val="18"/>
              </w:rPr>
              <w:t>25 793</w:t>
            </w:r>
          </w:p>
        </w:tc>
        <w:tc>
          <w:tcPr>
            <w:tcW w:w="1100" w:type="dxa"/>
            <w:vAlign w:val="bottom"/>
          </w:tcPr>
          <w:p w:rsidR="001D2E73" w:rsidRDefault="001D2E73">
            <w:pPr>
              <w:keepNext/>
              <w:keepLines/>
              <w:spacing w:before="40" w:after="40" w:line="220" w:lineRule="exact"/>
              <w:jc w:val="right"/>
              <w:rPr>
                <w:sz w:val="18"/>
                <w:szCs w:val="18"/>
              </w:rPr>
            </w:pPr>
            <w:r>
              <w:rPr>
                <w:sz w:val="18"/>
                <w:szCs w:val="18"/>
              </w:rPr>
              <w:t>20,0</w:t>
            </w:r>
          </w:p>
        </w:tc>
        <w:tc>
          <w:tcPr>
            <w:tcW w:w="1100" w:type="dxa"/>
            <w:vAlign w:val="bottom"/>
          </w:tcPr>
          <w:p w:rsidR="001D2E73" w:rsidRDefault="001D2E73">
            <w:pPr>
              <w:keepNext/>
              <w:keepLines/>
              <w:spacing w:before="40" w:after="40" w:line="220" w:lineRule="exact"/>
              <w:jc w:val="right"/>
              <w:rPr>
                <w:sz w:val="18"/>
                <w:szCs w:val="18"/>
              </w:rPr>
            </w:pPr>
            <w:r>
              <w:rPr>
                <w:sz w:val="18"/>
                <w:szCs w:val="18"/>
              </w:rPr>
              <w:t>28 583</w:t>
            </w:r>
          </w:p>
        </w:tc>
        <w:tc>
          <w:tcPr>
            <w:tcW w:w="1131" w:type="dxa"/>
            <w:vAlign w:val="bottom"/>
          </w:tcPr>
          <w:p w:rsidR="001D2E73" w:rsidRDefault="001D2E73">
            <w:pPr>
              <w:keepNext/>
              <w:keepLines/>
              <w:spacing w:before="40" w:after="40" w:line="220" w:lineRule="exact"/>
              <w:jc w:val="right"/>
              <w:rPr>
                <w:sz w:val="18"/>
                <w:szCs w:val="18"/>
              </w:rPr>
            </w:pPr>
            <w:r>
              <w:rPr>
                <w:sz w:val="18"/>
                <w:szCs w:val="18"/>
              </w:rPr>
              <w:t>25,0</w:t>
            </w:r>
          </w:p>
        </w:tc>
        <w:tc>
          <w:tcPr>
            <w:tcW w:w="975" w:type="dxa"/>
            <w:vAlign w:val="bottom"/>
          </w:tcPr>
          <w:p w:rsidR="001D2E73" w:rsidRDefault="001D2E73">
            <w:pPr>
              <w:keepNext/>
              <w:keepLines/>
              <w:spacing w:before="40" w:after="40" w:line="220" w:lineRule="exact"/>
              <w:jc w:val="right"/>
              <w:rPr>
                <w:sz w:val="18"/>
                <w:szCs w:val="18"/>
              </w:rPr>
            </w:pPr>
            <w:r>
              <w:rPr>
                <w:sz w:val="18"/>
                <w:szCs w:val="18"/>
              </w:rPr>
              <w:t>30 414</w:t>
            </w:r>
          </w:p>
        </w:tc>
        <w:tc>
          <w:tcPr>
            <w:tcW w:w="1092" w:type="dxa"/>
            <w:tcBorders>
              <w:left w:val="nil"/>
              <w:bottom w:val="nil"/>
              <w:right w:val="nil"/>
              <w:tl2br w:val="nil"/>
              <w:tr2bl w:val="nil"/>
            </w:tcBorders>
            <w:vAlign w:val="bottom"/>
          </w:tcPr>
          <w:p w:rsidR="001D2E73" w:rsidRDefault="001D2E73">
            <w:pPr>
              <w:keepNext/>
              <w:keepLines/>
              <w:spacing w:before="40" w:after="40" w:line="220" w:lineRule="exact"/>
              <w:jc w:val="right"/>
              <w:rPr>
                <w:sz w:val="18"/>
                <w:szCs w:val="18"/>
              </w:rPr>
            </w:pPr>
            <w:r>
              <w:rPr>
                <w:sz w:val="18"/>
                <w:szCs w:val="18"/>
              </w:rPr>
              <w:t>40,0</w:t>
            </w:r>
          </w:p>
        </w:tc>
      </w:tr>
      <w:tr w:rsidR="001D2E73">
        <w:trPr>
          <w:trHeight w:val="540"/>
          <w:jc w:val="right"/>
        </w:trPr>
        <w:tc>
          <w:tcPr>
            <w:tcW w:w="2104" w:type="dxa"/>
            <w:tcBorders>
              <w:bottom w:val="nil"/>
            </w:tcBorders>
          </w:tcPr>
          <w:p w:rsidR="001D2E73" w:rsidRDefault="001D2E73">
            <w:pPr>
              <w:spacing w:before="40" w:after="40" w:line="220" w:lineRule="exact"/>
              <w:rPr>
                <w:sz w:val="18"/>
                <w:szCs w:val="18"/>
              </w:rPr>
            </w:pPr>
            <w:r>
              <w:rPr>
                <w:sz w:val="18"/>
                <w:szCs w:val="18"/>
              </w:rPr>
              <w:t>Empleados del Estado (vitalicia)</w:t>
            </w:r>
          </w:p>
        </w:tc>
        <w:tc>
          <w:tcPr>
            <w:tcW w:w="1000" w:type="dxa"/>
            <w:tcBorders>
              <w:bottom w:val="nil"/>
            </w:tcBorders>
            <w:vAlign w:val="bottom"/>
          </w:tcPr>
          <w:p w:rsidR="001D2E73" w:rsidRDefault="001D2E73">
            <w:pPr>
              <w:spacing w:before="40" w:after="40" w:line="220" w:lineRule="exact"/>
              <w:jc w:val="right"/>
              <w:rPr>
                <w:sz w:val="18"/>
                <w:szCs w:val="18"/>
              </w:rPr>
            </w:pPr>
            <w:r>
              <w:rPr>
                <w:sz w:val="18"/>
                <w:szCs w:val="18"/>
              </w:rPr>
              <w:t>53</w:t>
            </w:r>
          </w:p>
        </w:tc>
        <w:tc>
          <w:tcPr>
            <w:tcW w:w="1100" w:type="dxa"/>
            <w:tcBorders>
              <w:bottom w:val="nil"/>
            </w:tcBorders>
            <w:vAlign w:val="bottom"/>
          </w:tcPr>
          <w:p w:rsidR="001D2E73" w:rsidRDefault="001D2E73">
            <w:pPr>
              <w:spacing w:before="40" w:after="40" w:line="220" w:lineRule="exact"/>
              <w:jc w:val="right"/>
              <w:rPr>
                <w:sz w:val="18"/>
                <w:szCs w:val="18"/>
              </w:rPr>
            </w:pPr>
            <w:r>
              <w:rPr>
                <w:sz w:val="18"/>
                <w:szCs w:val="18"/>
              </w:rPr>
              <w:t>13,8</w:t>
            </w:r>
          </w:p>
        </w:tc>
        <w:tc>
          <w:tcPr>
            <w:tcW w:w="1100" w:type="dxa"/>
            <w:tcBorders>
              <w:bottom w:val="nil"/>
            </w:tcBorders>
            <w:vAlign w:val="bottom"/>
          </w:tcPr>
          <w:p w:rsidR="001D2E73" w:rsidRDefault="001D2E73">
            <w:pPr>
              <w:spacing w:before="40" w:after="40" w:line="220" w:lineRule="exact"/>
              <w:jc w:val="right"/>
              <w:rPr>
                <w:sz w:val="18"/>
                <w:szCs w:val="18"/>
              </w:rPr>
            </w:pPr>
            <w:r>
              <w:rPr>
                <w:sz w:val="18"/>
                <w:szCs w:val="18"/>
              </w:rPr>
              <w:t>56</w:t>
            </w:r>
          </w:p>
        </w:tc>
        <w:tc>
          <w:tcPr>
            <w:tcW w:w="1131" w:type="dxa"/>
            <w:tcBorders>
              <w:bottom w:val="nil"/>
            </w:tcBorders>
            <w:vAlign w:val="bottom"/>
          </w:tcPr>
          <w:p w:rsidR="001D2E73" w:rsidRDefault="001D2E73">
            <w:pPr>
              <w:spacing w:before="40" w:after="40" w:line="220" w:lineRule="exact"/>
              <w:jc w:val="right"/>
              <w:rPr>
                <w:sz w:val="18"/>
                <w:szCs w:val="18"/>
              </w:rPr>
            </w:pPr>
            <w:r>
              <w:rPr>
                <w:sz w:val="18"/>
                <w:szCs w:val="18"/>
              </w:rPr>
              <w:t>16,96</w:t>
            </w:r>
          </w:p>
        </w:tc>
        <w:tc>
          <w:tcPr>
            <w:tcW w:w="975" w:type="dxa"/>
            <w:tcBorders>
              <w:bottom w:val="nil"/>
            </w:tcBorders>
            <w:vAlign w:val="bottom"/>
          </w:tcPr>
          <w:p w:rsidR="001D2E73" w:rsidRDefault="001D2E73">
            <w:pPr>
              <w:spacing w:before="40" w:after="40" w:line="220" w:lineRule="exact"/>
              <w:jc w:val="right"/>
              <w:rPr>
                <w:sz w:val="18"/>
                <w:szCs w:val="18"/>
              </w:rPr>
            </w:pPr>
            <w:r>
              <w:rPr>
                <w:sz w:val="18"/>
                <w:szCs w:val="18"/>
              </w:rPr>
              <w:t>58</w:t>
            </w:r>
          </w:p>
        </w:tc>
        <w:tc>
          <w:tcPr>
            <w:tcW w:w="109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21,15</w:t>
            </w:r>
          </w:p>
        </w:tc>
      </w:tr>
      <w:tr w:rsidR="001D2E73">
        <w:trPr>
          <w:trHeight w:val="2100"/>
          <w:jc w:val="right"/>
        </w:trPr>
        <w:tc>
          <w:tcPr>
            <w:tcW w:w="2104" w:type="dxa"/>
            <w:tcBorders>
              <w:top w:val="nil"/>
              <w:bottom w:val="nil"/>
            </w:tcBorders>
          </w:tcPr>
          <w:p w:rsidR="001D2E73" w:rsidRDefault="001D2E73">
            <w:pPr>
              <w:spacing w:before="40" w:after="40" w:line="220" w:lineRule="exact"/>
              <w:rPr>
                <w:sz w:val="18"/>
                <w:szCs w:val="18"/>
              </w:rPr>
            </w:pPr>
            <w:r>
              <w:rPr>
                <w:sz w:val="18"/>
                <w:szCs w:val="18"/>
              </w:rPr>
              <w:t>Trabajadores de empr</w:t>
            </w:r>
            <w:r>
              <w:rPr>
                <w:sz w:val="18"/>
                <w:szCs w:val="18"/>
              </w:rPr>
              <w:t>e</w:t>
            </w:r>
            <w:r>
              <w:rPr>
                <w:sz w:val="18"/>
                <w:szCs w:val="18"/>
              </w:rPr>
              <w:t>sas privatizadas y puestas bajo la dirección de empresas estatales, que han perd</w:t>
            </w:r>
            <w:r>
              <w:rPr>
                <w:sz w:val="18"/>
                <w:szCs w:val="18"/>
              </w:rPr>
              <w:t>i</w:t>
            </w:r>
            <w:r>
              <w:rPr>
                <w:sz w:val="18"/>
                <w:szCs w:val="18"/>
              </w:rPr>
              <w:t>do la salud por accide</w:t>
            </w:r>
            <w:r>
              <w:rPr>
                <w:sz w:val="18"/>
                <w:szCs w:val="18"/>
              </w:rPr>
              <w:t>n</w:t>
            </w:r>
            <w:r>
              <w:rPr>
                <w:sz w:val="18"/>
                <w:szCs w:val="18"/>
              </w:rPr>
              <w:t>tes laborales o enferm</w:t>
            </w:r>
            <w:r>
              <w:rPr>
                <w:sz w:val="18"/>
                <w:szCs w:val="18"/>
              </w:rPr>
              <w:t>e</w:t>
            </w:r>
            <w:r>
              <w:rPr>
                <w:sz w:val="18"/>
                <w:szCs w:val="18"/>
              </w:rPr>
              <w:t>dad profesional, o miembros de la familia de un trabajador que ha fallecido por esa ca</w:t>
            </w:r>
            <w:r>
              <w:rPr>
                <w:sz w:val="18"/>
                <w:szCs w:val="18"/>
              </w:rPr>
              <w:t>u</w:t>
            </w:r>
            <w:r>
              <w:rPr>
                <w:sz w:val="18"/>
                <w:szCs w:val="18"/>
              </w:rPr>
              <w:t>sa y otras personas, que se encontraban a su ca</w:t>
            </w:r>
            <w:r>
              <w:rPr>
                <w:sz w:val="18"/>
                <w:szCs w:val="18"/>
              </w:rPr>
              <w:t>r</w:t>
            </w:r>
            <w:r>
              <w:rPr>
                <w:sz w:val="18"/>
                <w:szCs w:val="18"/>
              </w:rPr>
              <w:t>go</w:t>
            </w:r>
          </w:p>
        </w:tc>
        <w:tc>
          <w:tcPr>
            <w:tcW w:w="100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x</w:t>
            </w:r>
          </w:p>
        </w:tc>
        <w:tc>
          <w:tcPr>
            <w:tcW w:w="110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x</w:t>
            </w:r>
          </w:p>
        </w:tc>
        <w:tc>
          <w:tcPr>
            <w:tcW w:w="110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x</w:t>
            </w:r>
          </w:p>
        </w:tc>
        <w:tc>
          <w:tcPr>
            <w:tcW w:w="1131"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x</w:t>
            </w:r>
          </w:p>
        </w:tc>
        <w:tc>
          <w:tcPr>
            <w:tcW w:w="975" w:type="dxa"/>
            <w:tcBorders>
              <w:top w:val="nil"/>
              <w:bottom w:val="nil"/>
            </w:tcBorders>
            <w:vAlign w:val="bottom"/>
          </w:tcPr>
          <w:p w:rsidR="001D2E73" w:rsidRDefault="001D2E73">
            <w:pPr>
              <w:spacing w:before="40" w:after="40" w:line="220" w:lineRule="exact"/>
              <w:jc w:val="right"/>
              <w:rPr>
                <w:sz w:val="18"/>
                <w:szCs w:val="18"/>
              </w:rPr>
            </w:pPr>
            <w:r>
              <w:rPr>
                <w:sz w:val="18"/>
                <w:szCs w:val="18"/>
              </w:rPr>
              <w:t>368</w:t>
            </w:r>
          </w:p>
        </w:tc>
        <w:tc>
          <w:tcPr>
            <w:tcW w:w="1092" w:type="dxa"/>
            <w:tcBorders>
              <w:top w:val="nil"/>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49,02</w:t>
            </w:r>
          </w:p>
        </w:tc>
      </w:tr>
      <w:tr w:rsidR="001D2E73">
        <w:trPr>
          <w:trHeight w:val="525"/>
          <w:jc w:val="right"/>
        </w:trPr>
        <w:tc>
          <w:tcPr>
            <w:tcW w:w="2104" w:type="dxa"/>
            <w:tcBorders>
              <w:top w:val="nil"/>
              <w:bottom w:val="nil"/>
            </w:tcBorders>
          </w:tcPr>
          <w:p w:rsidR="001D2E73" w:rsidRDefault="001D2E73">
            <w:pPr>
              <w:spacing w:before="40" w:after="40" w:line="220" w:lineRule="exact"/>
              <w:rPr>
                <w:sz w:val="18"/>
                <w:szCs w:val="18"/>
              </w:rPr>
            </w:pPr>
            <w:r>
              <w:rPr>
                <w:sz w:val="18"/>
                <w:szCs w:val="18"/>
              </w:rPr>
              <w:t>Por servicios comunit</w:t>
            </w:r>
            <w:r>
              <w:rPr>
                <w:sz w:val="18"/>
                <w:szCs w:val="18"/>
              </w:rPr>
              <w:t>a</w:t>
            </w:r>
            <w:r>
              <w:rPr>
                <w:sz w:val="18"/>
                <w:szCs w:val="18"/>
              </w:rPr>
              <w:t>rios, de transporte y de otra índole prestados</w:t>
            </w:r>
          </w:p>
        </w:tc>
        <w:tc>
          <w:tcPr>
            <w:tcW w:w="1000" w:type="dxa"/>
            <w:tcBorders>
              <w:top w:val="nil"/>
              <w:bottom w:val="nil"/>
            </w:tcBorders>
            <w:vAlign w:val="bottom"/>
          </w:tcPr>
          <w:p w:rsidR="001D2E73" w:rsidRDefault="001D2E73">
            <w:pPr>
              <w:spacing w:before="40" w:after="40" w:line="220" w:lineRule="exact"/>
              <w:jc w:val="right"/>
              <w:rPr>
                <w:sz w:val="18"/>
                <w:szCs w:val="18"/>
              </w:rPr>
            </w:pPr>
            <w:r>
              <w:rPr>
                <w:sz w:val="18"/>
                <w:szCs w:val="18"/>
              </w:rPr>
              <w:t>51 996</w:t>
            </w:r>
          </w:p>
        </w:tc>
        <w:tc>
          <w:tcPr>
            <w:tcW w:w="1100" w:type="dxa"/>
            <w:tcBorders>
              <w:top w:val="nil"/>
              <w:bottom w:val="nil"/>
            </w:tcBorders>
            <w:vAlign w:val="bottom"/>
          </w:tcPr>
          <w:p w:rsidR="001D2E73" w:rsidRDefault="001D2E73">
            <w:pPr>
              <w:spacing w:before="40" w:after="40" w:line="220" w:lineRule="exact"/>
              <w:jc w:val="right"/>
              <w:rPr>
                <w:sz w:val="18"/>
                <w:szCs w:val="18"/>
              </w:rPr>
            </w:pPr>
            <w:r>
              <w:rPr>
                <w:sz w:val="18"/>
                <w:szCs w:val="18"/>
              </w:rPr>
              <w:t>11,1</w:t>
            </w:r>
          </w:p>
        </w:tc>
        <w:tc>
          <w:tcPr>
            <w:tcW w:w="1100" w:type="dxa"/>
            <w:tcBorders>
              <w:top w:val="nil"/>
              <w:bottom w:val="nil"/>
            </w:tcBorders>
            <w:vAlign w:val="bottom"/>
          </w:tcPr>
          <w:p w:rsidR="001D2E73" w:rsidRDefault="001D2E73">
            <w:pPr>
              <w:spacing w:before="40" w:after="40" w:line="220" w:lineRule="exact"/>
              <w:jc w:val="right"/>
              <w:rPr>
                <w:sz w:val="18"/>
                <w:szCs w:val="18"/>
              </w:rPr>
            </w:pPr>
            <w:r>
              <w:rPr>
                <w:sz w:val="18"/>
                <w:szCs w:val="18"/>
              </w:rPr>
              <w:t>54 056</w:t>
            </w:r>
          </w:p>
        </w:tc>
        <w:tc>
          <w:tcPr>
            <w:tcW w:w="1131" w:type="dxa"/>
            <w:tcBorders>
              <w:top w:val="nil"/>
              <w:bottom w:val="nil"/>
            </w:tcBorders>
            <w:vAlign w:val="bottom"/>
          </w:tcPr>
          <w:p w:rsidR="001D2E73" w:rsidRDefault="001D2E73">
            <w:pPr>
              <w:spacing w:before="40" w:after="40" w:line="220" w:lineRule="exact"/>
              <w:jc w:val="right"/>
              <w:rPr>
                <w:sz w:val="18"/>
                <w:szCs w:val="18"/>
              </w:rPr>
            </w:pPr>
            <w:r>
              <w:rPr>
                <w:sz w:val="18"/>
                <w:szCs w:val="18"/>
              </w:rPr>
              <w:t>14,83</w:t>
            </w:r>
          </w:p>
        </w:tc>
        <w:tc>
          <w:tcPr>
            <w:tcW w:w="975" w:type="dxa"/>
            <w:tcBorders>
              <w:top w:val="nil"/>
              <w:bottom w:val="nil"/>
            </w:tcBorders>
            <w:vAlign w:val="bottom"/>
          </w:tcPr>
          <w:p w:rsidR="001D2E73" w:rsidRDefault="001D2E73">
            <w:pPr>
              <w:spacing w:before="40" w:after="40" w:line="220" w:lineRule="exact"/>
              <w:jc w:val="right"/>
              <w:rPr>
                <w:sz w:val="18"/>
                <w:szCs w:val="18"/>
              </w:rPr>
            </w:pPr>
            <w:r>
              <w:rPr>
                <w:sz w:val="18"/>
                <w:szCs w:val="18"/>
              </w:rPr>
              <w:t>54 979</w:t>
            </w:r>
          </w:p>
        </w:tc>
        <w:tc>
          <w:tcPr>
            <w:tcW w:w="1092" w:type="dxa"/>
            <w:tcBorders>
              <w:top w:val="nil"/>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24,3</w:t>
            </w:r>
          </w:p>
        </w:tc>
      </w:tr>
      <w:tr w:rsidR="001D2E73">
        <w:trPr>
          <w:trHeight w:val="540"/>
          <w:jc w:val="right"/>
        </w:trPr>
        <w:tc>
          <w:tcPr>
            <w:tcW w:w="2104" w:type="dxa"/>
            <w:tcBorders>
              <w:top w:val="nil"/>
              <w:bottom w:val="nil"/>
            </w:tcBorders>
          </w:tcPr>
          <w:p w:rsidR="001D2E73" w:rsidRDefault="001D2E73">
            <w:pPr>
              <w:spacing w:before="40" w:after="40" w:line="220" w:lineRule="exact"/>
              <w:rPr>
                <w:sz w:val="18"/>
                <w:szCs w:val="18"/>
              </w:rPr>
            </w:pPr>
            <w:r>
              <w:rPr>
                <w:sz w:val="18"/>
                <w:szCs w:val="18"/>
              </w:rPr>
              <w:t>Familias de bajos ingr</w:t>
            </w:r>
            <w:r>
              <w:rPr>
                <w:sz w:val="18"/>
                <w:szCs w:val="18"/>
              </w:rPr>
              <w:t>e</w:t>
            </w:r>
            <w:r>
              <w:rPr>
                <w:sz w:val="18"/>
                <w:szCs w:val="18"/>
              </w:rPr>
              <w:t xml:space="preserve">sos con hijos </w:t>
            </w:r>
            <w:r>
              <w:rPr>
                <w:sz w:val="18"/>
                <w:szCs w:val="18"/>
              </w:rPr>
              <w:br/>
              <w:t>(mensuales)</w:t>
            </w:r>
          </w:p>
        </w:tc>
        <w:tc>
          <w:tcPr>
            <w:tcW w:w="1000" w:type="dxa"/>
            <w:tcBorders>
              <w:top w:val="nil"/>
              <w:bottom w:val="nil"/>
            </w:tcBorders>
            <w:vAlign w:val="bottom"/>
          </w:tcPr>
          <w:p w:rsidR="001D2E73" w:rsidRDefault="001D2E73">
            <w:pPr>
              <w:spacing w:before="40" w:after="40" w:line="220" w:lineRule="exact"/>
              <w:jc w:val="right"/>
              <w:rPr>
                <w:sz w:val="18"/>
                <w:szCs w:val="18"/>
              </w:rPr>
            </w:pPr>
            <w:r>
              <w:rPr>
                <w:sz w:val="18"/>
                <w:szCs w:val="18"/>
              </w:rPr>
              <w:t>24 364</w:t>
            </w:r>
          </w:p>
        </w:tc>
        <w:tc>
          <w:tcPr>
            <w:tcW w:w="1100" w:type="dxa"/>
            <w:tcBorders>
              <w:top w:val="nil"/>
              <w:bottom w:val="nil"/>
            </w:tcBorders>
            <w:vAlign w:val="bottom"/>
          </w:tcPr>
          <w:p w:rsidR="001D2E73" w:rsidRDefault="001D2E73">
            <w:pPr>
              <w:spacing w:before="40" w:after="40" w:line="220" w:lineRule="exact"/>
              <w:jc w:val="right"/>
              <w:rPr>
                <w:sz w:val="18"/>
                <w:szCs w:val="18"/>
              </w:rPr>
            </w:pPr>
            <w:r>
              <w:rPr>
                <w:sz w:val="18"/>
                <w:szCs w:val="18"/>
              </w:rPr>
              <w:t>6,1</w:t>
            </w:r>
          </w:p>
        </w:tc>
        <w:tc>
          <w:tcPr>
            <w:tcW w:w="1100" w:type="dxa"/>
            <w:tcBorders>
              <w:top w:val="nil"/>
              <w:bottom w:val="nil"/>
            </w:tcBorders>
            <w:vAlign w:val="bottom"/>
          </w:tcPr>
          <w:p w:rsidR="001D2E73" w:rsidRDefault="001D2E73">
            <w:pPr>
              <w:spacing w:before="40" w:after="40" w:line="220" w:lineRule="exact"/>
              <w:jc w:val="right"/>
              <w:rPr>
                <w:sz w:val="18"/>
                <w:szCs w:val="18"/>
              </w:rPr>
            </w:pPr>
            <w:r>
              <w:rPr>
                <w:sz w:val="18"/>
                <w:szCs w:val="18"/>
              </w:rPr>
              <w:t>25 431</w:t>
            </w:r>
          </w:p>
        </w:tc>
        <w:tc>
          <w:tcPr>
            <w:tcW w:w="1131" w:type="dxa"/>
            <w:tcBorders>
              <w:top w:val="nil"/>
              <w:bottom w:val="nil"/>
            </w:tcBorders>
            <w:vAlign w:val="bottom"/>
          </w:tcPr>
          <w:p w:rsidR="001D2E73" w:rsidRDefault="001D2E73">
            <w:pPr>
              <w:spacing w:before="40" w:after="40" w:line="220" w:lineRule="exact"/>
              <w:jc w:val="right"/>
              <w:rPr>
                <w:sz w:val="18"/>
                <w:szCs w:val="18"/>
              </w:rPr>
            </w:pPr>
            <w:r>
              <w:rPr>
                <w:sz w:val="18"/>
                <w:szCs w:val="18"/>
              </w:rPr>
              <w:t>6,36</w:t>
            </w:r>
          </w:p>
        </w:tc>
        <w:tc>
          <w:tcPr>
            <w:tcW w:w="975" w:type="dxa"/>
            <w:tcBorders>
              <w:top w:val="nil"/>
              <w:bottom w:val="nil"/>
            </w:tcBorders>
            <w:vAlign w:val="bottom"/>
          </w:tcPr>
          <w:p w:rsidR="001D2E73" w:rsidRDefault="001D2E73">
            <w:pPr>
              <w:spacing w:before="40" w:after="40" w:line="220" w:lineRule="exact"/>
              <w:jc w:val="right"/>
              <w:rPr>
                <w:sz w:val="18"/>
                <w:szCs w:val="18"/>
              </w:rPr>
            </w:pPr>
            <w:r>
              <w:rPr>
                <w:sz w:val="18"/>
                <w:szCs w:val="18"/>
              </w:rPr>
              <w:t>23 481</w:t>
            </w:r>
          </w:p>
        </w:tc>
        <w:tc>
          <w:tcPr>
            <w:tcW w:w="1092" w:type="dxa"/>
            <w:tcBorders>
              <w:top w:val="nil"/>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6,43</w:t>
            </w:r>
          </w:p>
        </w:tc>
      </w:tr>
      <w:tr w:rsidR="001D2E73">
        <w:trPr>
          <w:trHeight w:val="570"/>
          <w:jc w:val="right"/>
        </w:trPr>
        <w:tc>
          <w:tcPr>
            <w:tcW w:w="2104" w:type="dxa"/>
            <w:tcBorders>
              <w:top w:val="nil"/>
              <w:bottom w:val="nil"/>
            </w:tcBorders>
          </w:tcPr>
          <w:p w:rsidR="001D2E73" w:rsidRDefault="001D2E73">
            <w:pPr>
              <w:spacing w:before="40" w:after="40" w:line="220" w:lineRule="exact"/>
              <w:rPr>
                <w:sz w:val="18"/>
                <w:szCs w:val="18"/>
              </w:rPr>
            </w:pPr>
            <w:r>
              <w:rPr>
                <w:sz w:val="18"/>
                <w:szCs w:val="18"/>
              </w:rPr>
              <w:t>Familias de bajos ingr</w:t>
            </w:r>
            <w:r>
              <w:rPr>
                <w:sz w:val="18"/>
                <w:szCs w:val="18"/>
              </w:rPr>
              <w:t>e</w:t>
            </w:r>
            <w:r>
              <w:rPr>
                <w:sz w:val="18"/>
                <w:szCs w:val="18"/>
              </w:rPr>
              <w:t xml:space="preserve">sos que tienen un hijo de menos de un año </w:t>
            </w:r>
          </w:p>
        </w:tc>
        <w:tc>
          <w:tcPr>
            <w:tcW w:w="1000" w:type="dxa"/>
            <w:tcBorders>
              <w:top w:val="nil"/>
              <w:bottom w:val="nil"/>
            </w:tcBorders>
            <w:vAlign w:val="bottom"/>
          </w:tcPr>
          <w:p w:rsidR="001D2E73" w:rsidRDefault="001D2E73">
            <w:pPr>
              <w:spacing w:before="40" w:after="40" w:line="220" w:lineRule="exact"/>
              <w:jc w:val="right"/>
              <w:rPr>
                <w:sz w:val="18"/>
                <w:szCs w:val="18"/>
              </w:rPr>
            </w:pPr>
            <w:r>
              <w:rPr>
                <w:sz w:val="18"/>
                <w:szCs w:val="18"/>
              </w:rPr>
              <w:t>3 161</w:t>
            </w:r>
          </w:p>
        </w:tc>
        <w:tc>
          <w:tcPr>
            <w:tcW w:w="1100" w:type="dxa"/>
            <w:tcBorders>
              <w:top w:val="nil"/>
              <w:bottom w:val="nil"/>
            </w:tcBorders>
            <w:vAlign w:val="bottom"/>
          </w:tcPr>
          <w:p w:rsidR="001D2E73" w:rsidRDefault="001D2E73">
            <w:pPr>
              <w:spacing w:before="40" w:after="40" w:line="220" w:lineRule="exact"/>
              <w:jc w:val="right"/>
              <w:rPr>
                <w:sz w:val="18"/>
                <w:szCs w:val="18"/>
              </w:rPr>
            </w:pPr>
            <w:r>
              <w:rPr>
                <w:sz w:val="18"/>
                <w:szCs w:val="18"/>
              </w:rPr>
              <w:t>10,0</w:t>
            </w:r>
          </w:p>
        </w:tc>
        <w:tc>
          <w:tcPr>
            <w:tcW w:w="1100" w:type="dxa"/>
            <w:tcBorders>
              <w:top w:val="nil"/>
              <w:bottom w:val="nil"/>
            </w:tcBorders>
            <w:vAlign w:val="bottom"/>
          </w:tcPr>
          <w:p w:rsidR="001D2E73" w:rsidRDefault="001D2E73">
            <w:pPr>
              <w:spacing w:before="40" w:after="40" w:line="220" w:lineRule="exact"/>
              <w:jc w:val="right"/>
              <w:rPr>
                <w:sz w:val="18"/>
                <w:szCs w:val="18"/>
              </w:rPr>
            </w:pPr>
            <w:r>
              <w:rPr>
                <w:sz w:val="18"/>
                <w:szCs w:val="18"/>
              </w:rPr>
              <w:t>6 280</w:t>
            </w:r>
          </w:p>
        </w:tc>
        <w:tc>
          <w:tcPr>
            <w:tcW w:w="1131" w:type="dxa"/>
            <w:tcBorders>
              <w:top w:val="nil"/>
              <w:bottom w:val="nil"/>
            </w:tcBorders>
            <w:vAlign w:val="bottom"/>
          </w:tcPr>
          <w:p w:rsidR="001D2E73" w:rsidRDefault="001D2E73">
            <w:pPr>
              <w:spacing w:before="40" w:after="40" w:line="220" w:lineRule="exact"/>
              <w:jc w:val="right"/>
              <w:rPr>
                <w:sz w:val="18"/>
                <w:szCs w:val="18"/>
              </w:rPr>
            </w:pPr>
            <w:r>
              <w:rPr>
                <w:sz w:val="18"/>
                <w:szCs w:val="18"/>
              </w:rPr>
              <w:t>15,0</w:t>
            </w:r>
          </w:p>
        </w:tc>
        <w:tc>
          <w:tcPr>
            <w:tcW w:w="975" w:type="dxa"/>
            <w:tcBorders>
              <w:top w:val="nil"/>
              <w:bottom w:val="nil"/>
            </w:tcBorders>
            <w:vAlign w:val="bottom"/>
          </w:tcPr>
          <w:p w:rsidR="001D2E73" w:rsidRDefault="001D2E73">
            <w:pPr>
              <w:spacing w:before="40" w:after="40" w:line="220" w:lineRule="exact"/>
              <w:jc w:val="right"/>
              <w:rPr>
                <w:sz w:val="18"/>
                <w:szCs w:val="18"/>
              </w:rPr>
            </w:pPr>
            <w:r>
              <w:rPr>
                <w:sz w:val="18"/>
                <w:szCs w:val="18"/>
              </w:rPr>
              <w:t>12 238</w:t>
            </w:r>
          </w:p>
        </w:tc>
        <w:tc>
          <w:tcPr>
            <w:tcW w:w="1092" w:type="dxa"/>
            <w:tcBorders>
              <w:top w:val="nil"/>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20,0</w:t>
            </w:r>
          </w:p>
        </w:tc>
      </w:tr>
      <w:tr w:rsidR="001D2E73">
        <w:trPr>
          <w:cantSplit/>
          <w:trHeight w:val="780"/>
          <w:jc w:val="right"/>
        </w:trPr>
        <w:tc>
          <w:tcPr>
            <w:tcW w:w="2104" w:type="dxa"/>
            <w:tcBorders>
              <w:top w:val="nil"/>
              <w:bottom w:val="single" w:sz="4" w:space="0" w:color="auto"/>
            </w:tcBorders>
          </w:tcPr>
          <w:p w:rsidR="001D2E73" w:rsidRDefault="001D2E73">
            <w:pPr>
              <w:spacing w:before="40" w:after="40" w:line="220" w:lineRule="exact"/>
              <w:rPr>
                <w:sz w:val="18"/>
                <w:szCs w:val="18"/>
              </w:rPr>
            </w:pPr>
            <w:r>
              <w:rPr>
                <w:sz w:val="18"/>
                <w:szCs w:val="18"/>
              </w:rPr>
              <w:t>Tutores de niños huérf</w:t>
            </w:r>
            <w:r>
              <w:rPr>
                <w:sz w:val="18"/>
                <w:szCs w:val="18"/>
              </w:rPr>
              <w:t>a</w:t>
            </w:r>
            <w:r>
              <w:rPr>
                <w:sz w:val="18"/>
                <w:szCs w:val="18"/>
              </w:rPr>
              <w:t>nos o privados del cu</w:t>
            </w:r>
            <w:r>
              <w:rPr>
                <w:sz w:val="18"/>
                <w:szCs w:val="18"/>
              </w:rPr>
              <w:t>i</w:t>
            </w:r>
            <w:r>
              <w:rPr>
                <w:sz w:val="18"/>
                <w:szCs w:val="18"/>
              </w:rPr>
              <w:t>dado de sus padres</w:t>
            </w:r>
          </w:p>
        </w:tc>
        <w:tc>
          <w:tcPr>
            <w:tcW w:w="1000"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1 260</w:t>
            </w:r>
          </w:p>
        </w:tc>
        <w:tc>
          <w:tcPr>
            <w:tcW w:w="1100"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5,0</w:t>
            </w:r>
          </w:p>
        </w:tc>
        <w:tc>
          <w:tcPr>
            <w:tcW w:w="1100"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1 192</w:t>
            </w:r>
          </w:p>
        </w:tc>
        <w:tc>
          <w:tcPr>
            <w:tcW w:w="1131"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10,0</w:t>
            </w:r>
          </w:p>
        </w:tc>
        <w:tc>
          <w:tcPr>
            <w:tcW w:w="975" w:type="dxa"/>
            <w:tcBorders>
              <w:top w:val="nil"/>
              <w:bottom w:val="single" w:sz="4" w:space="0" w:color="auto"/>
            </w:tcBorders>
            <w:vAlign w:val="bottom"/>
          </w:tcPr>
          <w:p w:rsidR="001D2E73" w:rsidRDefault="001D2E73">
            <w:pPr>
              <w:spacing w:before="40" w:after="40" w:line="220" w:lineRule="exact"/>
              <w:jc w:val="right"/>
              <w:rPr>
                <w:sz w:val="18"/>
                <w:szCs w:val="18"/>
              </w:rPr>
            </w:pPr>
            <w:r>
              <w:rPr>
                <w:sz w:val="18"/>
                <w:szCs w:val="18"/>
              </w:rPr>
              <w:t>1 130</w:t>
            </w:r>
          </w:p>
        </w:tc>
        <w:tc>
          <w:tcPr>
            <w:tcW w:w="1092" w:type="dxa"/>
            <w:tcBorders>
              <w:left w:val="nil"/>
              <w:bottom w:val="single" w:sz="4" w:space="0" w:color="auto"/>
              <w:right w:val="nil"/>
              <w:tl2br w:val="nil"/>
              <w:tr2bl w:val="nil"/>
            </w:tcBorders>
            <w:vAlign w:val="bottom"/>
          </w:tcPr>
          <w:p w:rsidR="001D2E73" w:rsidRDefault="001D2E73">
            <w:pPr>
              <w:spacing w:before="40" w:after="40" w:line="220" w:lineRule="exact"/>
              <w:jc w:val="right"/>
              <w:rPr>
                <w:sz w:val="18"/>
                <w:szCs w:val="18"/>
              </w:rPr>
            </w:pPr>
            <w:r>
              <w:rPr>
                <w:sz w:val="18"/>
                <w:szCs w:val="18"/>
              </w:rPr>
              <w:t>25,0</w:t>
            </w:r>
          </w:p>
        </w:tc>
      </w:tr>
      <w:tr w:rsidR="001D2E73">
        <w:trPr>
          <w:trHeight w:val="330"/>
          <w:jc w:val="right"/>
        </w:trPr>
        <w:tc>
          <w:tcPr>
            <w:tcW w:w="2104" w:type="dxa"/>
            <w:tcBorders>
              <w:top w:val="single" w:sz="4" w:space="0" w:color="auto"/>
              <w:bottom w:val="single" w:sz="4" w:space="0" w:color="auto"/>
            </w:tcBorders>
          </w:tcPr>
          <w:p w:rsidR="001D2E73" w:rsidRDefault="001D2E73">
            <w:pPr>
              <w:spacing w:before="80" w:after="80" w:line="220" w:lineRule="exact"/>
              <w:ind w:left="284"/>
              <w:rPr>
                <w:b/>
                <w:sz w:val="18"/>
                <w:szCs w:val="18"/>
              </w:rPr>
            </w:pPr>
            <w:r>
              <w:rPr>
                <w:b/>
                <w:sz w:val="18"/>
                <w:szCs w:val="18"/>
              </w:rPr>
              <w:t>Prestaciones de una sola vez: Total</w:t>
            </w:r>
          </w:p>
        </w:tc>
        <w:tc>
          <w:tcPr>
            <w:tcW w:w="1000"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101 677</w:t>
            </w:r>
          </w:p>
        </w:tc>
        <w:tc>
          <w:tcPr>
            <w:tcW w:w="1100"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x</w:t>
            </w:r>
          </w:p>
        </w:tc>
        <w:tc>
          <w:tcPr>
            <w:tcW w:w="1100"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97 250</w:t>
            </w:r>
          </w:p>
        </w:tc>
        <w:tc>
          <w:tcPr>
            <w:tcW w:w="113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x</w:t>
            </w:r>
          </w:p>
        </w:tc>
        <w:tc>
          <w:tcPr>
            <w:tcW w:w="975"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100 172</w:t>
            </w:r>
          </w:p>
        </w:tc>
        <w:tc>
          <w:tcPr>
            <w:tcW w:w="1092"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x</w:t>
            </w:r>
          </w:p>
        </w:tc>
      </w:tr>
      <w:tr w:rsidR="001D2E73">
        <w:trPr>
          <w:trHeight w:val="255"/>
          <w:jc w:val="right"/>
        </w:trPr>
        <w:tc>
          <w:tcPr>
            <w:tcW w:w="2104" w:type="dxa"/>
            <w:tcBorders>
              <w:top w:val="single" w:sz="4" w:space="0" w:color="auto"/>
            </w:tcBorders>
            <w:noWrap/>
          </w:tcPr>
          <w:p w:rsidR="001D2E73" w:rsidRDefault="001D2E73">
            <w:pPr>
              <w:spacing w:before="40" w:after="40" w:line="220" w:lineRule="exact"/>
              <w:rPr>
                <w:i/>
                <w:sz w:val="18"/>
                <w:szCs w:val="18"/>
              </w:rPr>
            </w:pPr>
            <w:r>
              <w:rPr>
                <w:i/>
                <w:sz w:val="18"/>
                <w:szCs w:val="18"/>
              </w:rPr>
              <w:t>Desglosado:</w:t>
            </w:r>
          </w:p>
        </w:tc>
        <w:tc>
          <w:tcPr>
            <w:tcW w:w="1000" w:type="dxa"/>
            <w:tcBorders>
              <w:top w:val="single" w:sz="4" w:space="0" w:color="auto"/>
            </w:tcBorders>
            <w:noWrap/>
            <w:vAlign w:val="bottom"/>
          </w:tcPr>
          <w:p w:rsidR="001D2E73" w:rsidRDefault="001D2E73">
            <w:pPr>
              <w:spacing w:before="40" w:after="40" w:line="220" w:lineRule="exact"/>
              <w:jc w:val="right"/>
              <w:rPr>
                <w:sz w:val="18"/>
                <w:szCs w:val="18"/>
              </w:rPr>
            </w:pPr>
          </w:p>
        </w:tc>
        <w:tc>
          <w:tcPr>
            <w:tcW w:w="1100" w:type="dxa"/>
            <w:tcBorders>
              <w:top w:val="single" w:sz="4" w:space="0" w:color="auto"/>
            </w:tcBorders>
            <w:noWrap/>
            <w:vAlign w:val="bottom"/>
          </w:tcPr>
          <w:p w:rsidR="001D2E73" w:rsidRDefault="001D2E73">
            <w:pPr>
              <w:spacing w:before="40" w:after="40" w:line="220" w:lineRule="exact"/>
              <w:jc w:val="right"/>
              <w:rPr>
                <w:sz w:val="18"/>
                <w:szCs w:val="18"/>
              </w:rPr>
            </w:pPr>
          </w:p>
        </w:tc>
        <w:tc>
          <w:tcPr>
            <w:tcW w:w="1100" w:type="dxa"/>
            <w:tcBorders>
              <w:top w:val="single" w:sz="4" w:space="0" w:color="auto"/>
            </w:tcBorders>
            <w:vAlign w:val="bottom"/>
          </w:tcPr>
          <w:p w:rsidR="001D2E73" w:rsidRDefault="001D2E73">
            <w:pPr>
              <w:spacing w:before="40" w:after="40" w:line="220" w:lineRule="exact"/>
              <w:jc w:val="right"/>
              <w:rPr>
                <w:sz w:val="18"/>
                <w:szCs w:val="18"/>
              </w:rPr>
            </w:pPr>
          </w:p>
        </w:tc>
        <w:tc>
          <w:tcPr>
            <w:tcW w:w="1131" w:type="dxa"/>
            <w:tcBorders>
              <w:top w:val="single" w:sz="4" w:space="0" w:color="auto"/>
            </w:tcBorders>
            <w:vAlign w:val="bottom"/>
          </w:tcPr>
          <w:p w:rsidR="001D2E73" w:rsidRDefault="001D2E73">
            <w:pPr>
              <w:spacing w:before="40" w:after="40" w:line="220" w:lineRule="exact"/>
              <w:jc w:val="right"/>
              <w:rPr>
                <w:sz w:val="18"/>
                <w:szCs w:val="18"/>
              </w:rPr>
            </w:pPr>
          </w:p>
        </w:tc>
        <w:tc>
          <w:tcPr>
            <w:tcW w:w="975" w:type="dxa"/>
            <w:tcBorders>
              <w:top w:val="single" w:sz="4" w:space="0" w:color="auto"/>
            </w:tcBorders>
            <w:vAlign w:val="bottom"/>
          </w:tcPr>
          <w:p w:rsidR="001D2E73" w:rsidRDefault="001D2E73">
            <w:pPr>
              <w:spacing w:before="40" w:after="40" w:line="220" w:lineRule="exact"/>
              <w:jc w:val="right"/>
              <w:rPr>
                <w:sz w:val="18"/>
                <w:szCs w:val="18"/>
              </w:rPr>
            </w:pPr>
          </w:p>
        </w:tc>
        <w:tc>
          <w:tcPr>
            <w:tcW w:w="1092" w:type="dxa"/>
            <w:tcBorders>
              <w:top w:val="single" w:sz="4" w:space="0" w:color="auto"/>
              <w:left w:val="nil"/>
              <w:bottom w:val="nil"/>
              <w:right w:val="nil"/>
              <w:tl2br w:val="nil"/>
              <w:tr2bl w:val="nil"/>
            </w:tcBorders>
            <w:vAlign w:val="bottom"/>
          </w:tcPr>
          <w:p w:rsidR="001D2E73" w:rsidRDefault="001D2E73">
            <w:pPr>
              <w:spacing w:before="40" w:after="40" w:line="220" w:lineRule="exact"/>
              <w:jc w:val="right"/>
              <w:rPr>
                <w:sz w:val="18"/>
                <w:szCs w:val="18"/>
              </w:rPr>
            </w:pPr>
          </w:p>
        </w:tc>
      </w:tr>
      <w:tr w:rsidR="001D2E73">
        <w:trPr>
          <w:trHeight w:val="330"/>
          <w:jc w:val="right"/>
        </w:trPr>
        <w:tc>
          <w:tcPr>
            <w:tcW w:w="2104" w:type="dxa"/>
          </w:tcPr>
          <w:p w:rsidR="001D2E73" w:rsidRDefault="001D2E73">
            <w:pPr>
              <w:spacing w:before="40" w:after="40" w:line="220" w:lineRule="exact"/>
              <w:rPr>
                <w:sz w:val="18"/>
                <w:szCs w:val="18"/>
              </w:rPr>
            </w:pPr>
            <w:r>
              <w:rPr>
                <w:sz w:val="18"/>
                <w:szCs w:val="18"/>
              </w:rPr>
              <w:t>Por nacimiento de un hijo: a las familias</w:t>
            </w:r>
          </w:p>
        </w:tc>
        <w:tc>
          <w:tcPr>
            <w:tcW w:w="1000" w:type="dxa"/>
            <w:vAlign w:val="bottom"/>
          </w:tcPr>
          <w:p w:rsidR="001D2E73" w:rsidRDefault="001D2E73">
            <w:pPr>
              <w:spacing w:before="40" w:after="40" w:line="220" w:lineRule="exact"/>
              <w:jc w:val="right"/>
              <w:rPr>
                <w:sz w:val="18"/>
                <w:szCs w:val="18"/>
              </w:rPr>
            </w:pPr>
            <w:r>
              <w:rPr>
                <w:sz w:val="18"/>
                <w:szCs w:val="18"/>
              </w:rPr>
              <w:t>90 968</w:t>
            </w:r>
          </w:p>
        </w:tc>
        <w:tc>
          <w:tcPr>
            <w:tcW w:w="1100" w:type="dxa"/>
            <w:noWrap/>
            <w:vAlign w:val="bottom"/>
          </w:tcPr>
          <w:p w:rsidR="001D2E73" w:rsidRDefault="001D2E73">
            <w:pPr>
              <w:spacing w:before="40" w:after="40" w:line="220" w:lineRule="exact"/>
              <w:jc w:val="right"/>
              <w:rPr>
                <w:sz w:val="18"/>
                <w:szCs w:val="18"/>
              </w:rPr>
            </w:pPr>
            <w:r>
              <w:rPr>
                <w:sz w:val="18"/>
                <w:szCs w:val="18"/>
              </w:rPr>
              <w:t>x</w:t>
            </w:r>
          </w:p>
        </w:tc>
        <w:tc>
          <w:tcPr>
            <w:tcW w:w="1100" w:type="dxa"/>
            <w:vAlign w:val="bottom"/>
          </w:tcPr>
          <w:p w:rsidR="001D2E73" w:rsidRDefault="001D2E73">
            <w:pPr>
              <w:spacing w:before="40" w:after="40" w:line="220" w:lineRule="exact"/>
              <w:jc w:val="right"/>
              <w:rPr>
                <w:sz w:val="18"/>
                <w:szCs w:val="18"/>
              </w:rPr>
            </w:pPr>
            <w:r>
              <w:rPr>
                <w:sz w:val="18"/>
                <w:szCs w:val="18"/>
              </w:rPr>
              <w:t>86 861</w:t>
            </w:r>
          </w:p>
        </w:tc>
        <w:tc>
          <w:tcPr>
            <w:tcW w:w="1131" w:type="dxa"/>
            <w:vAlign w:val="bottom"/>
          </w:tcPr>
          <w:p w:rsidR="001D2E73" w:rsidRDefault="001D2E73">
            <w:pPr>
              <w:spacing w:before="40" w:after="40" w:line="220" w:lineRule="exact"/>
              <w:jc w:val="right"/>
              <w:rPr>
                <w:sz w:val="18"/>
                <w:szCs w:val="18"/>
              </w:rPr>
            </w:pPr>
            <w:r>
              <w:rPr>
                <w:sz w:val="18"/>
                <w:szCs w:val="18"/>
              </w:rPr>
              <w:t>x</w:t>
            </w:r>
          </w:p>
        </w:tc>
        <w:tc>
          <w:tcPr>
            <w:tcW w:w="975" w:type="dxa"/>
            <w:vAlign w:val="bottom"/>
          </w:tcPr>
          <w:p w:rsidR="001D2E73" w:rsidRDefault="001D2E73">
            <w:pPr>
              <w:spacing w:before="40" w:after="40" w:line="220" w:lineRule="exact"/>
              <w:jc w:val="right"/>
              <w:rPr>
                <w:sz w:val="18"/>
                <w:szCs w:val="18"/>
              </w:rPr>
            </w:pPr>
            <w:r>
              <w:rPr>
                <w:sz w:val="18"/>
                <w:szCs w:val="18"/>
              </w:rPr>
              <w:t>89 167</w:t>
            </w:r>
          </w:p>
        </w:tc>
        <w:tc>
          <w:tcPr>
            <w:tcW w:w="109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x</w:t>
            </w:r>
          </w:p>
        </w:tc>
      </w:tr>
      <w:tr w:rsidR="001D2E73">
        <w:trPr>
          <w:trHeight w:val="315"/>
          <w:jc w:val="right"/>
        </w:trPr>
        <w:tc>
          <w:tcPr>
            <w:tcW w:w="2104" w:type="dxa"/>
            <w:noWrap/>
          </w:tcPr>
          <w:p w:rsidR="001D2E73" w:rsidRDefault="001D2E73">
            <w:pPr>
              <w:spacing w:before="40" w:after="40" w:line="220" w:lineRule="exact"/>
              <w:rPr>
                <w:sz w:val="18"/>
                <w:szCs w:val="18"/>
              </w:rPr>
            </w:pPr>
            <w:r>
              <w:rPr>
                <w:sz w:val="18"/>
                <w:szCs w:val="18"/>
              </w:rPr>
              <w:t>A niños</w:t>
            </w:r>
          </w:p>
        </w:tc>
        <w:tc>
          <w:tcPr>
            <w:tcW w:w="1000" w:type="dxa"/>
            <w:vAlign w:val="bottom"/>
          </w:tcPr>
          <w:p w:rsidR="001D2E73" w:rsidRDefault="001D2E73">
            <w:pPr>
              <w:spacing w:before="40" w:after="40" w:line="220" w:lineRule="exact"/>
              <w:jc w:val="right"/>
              <w:rPr>
                <w:sz w:val="18"/>
                <w:szCs w:val="18"/>
              </w:rPr>
            </w:pPr>
            <w:r>
              <w:rPr>
                <w:sz w:val="18"/>
                <w:szCs w:val="18"/>
              </w:rPr>
              <w:t>94 909</w:t>
            </w:r>
          </w:p>
        </w:tc>
        <w:tc>
          <w:tcPr>
            <w:tcW w:w="1100" w:type="dxa"/>
            <w:vAlign w:val="bottom"/>
          </w:tcPr>
          <w:p w:rsidR="001D2E73" w:rsidRDefault="001D2E73">
            <w:pPr>
              <w:spacing w:before="40" w:after="40" w:line="220" w:lineRule="exact"/>
              <w:jc w:val="right"/>
              <w:rPr>
                <w:sz w:val="18"/>
                <w:szCs w:val="18"/>
              </w:rPr>
            </w:pPr>
            <w:r>
              <w:rPr>
                <w:sz w:val="18"/>
                <w:szCs w:val="18"/>
              </w:rPr>
              <w:t>28,8</w:t>
            </w:r>
          </w:p>
        </w:tc>
        <w:tc>
          <w:tcPr>
            <w:tcW w:w="1100" w:type="dxa"/>
            <w:vAlign w:val="bottom"/>
          </w:tcPr>
          <w:p w:rsidR="001D2E73" w:rsidRDefault="001D2E73">
            <w:pPr>
              <w:spacing w:before="40" w:after="40" w:line="220" w:lineRule="exact"/>
              <w:jc w:val="right"/>
              <w:rPr>
                <w:sz w:val="18"/>
                <w:szCs w:val="18"/>
              </w:rPr>
            </w:pPr>
            <w:r>
              <w:rPr>
                <w:sz w:val="18"/>
                <w:szCs w:val="18"/>
              </w:rPr>
              <w:t>90 171</w:t>
            </w:r>
          </w:p>
        </w:tc>
        <w:tc>
          <w:tcPr>
            <w:tcW w:w="1131" w:type="dxa"/>
            <w:vAlign w:val="bottom"/>
          </w:tcPr>
          <w:p w:rsidR="001D2E73" w:rsidRDefault="001D2E73">
            <w:pPr>
              <w:spacing w:before="40" w:after="40" w:line="220" w:lineRule="exact"/>
              <w:jc w:val="right"/>
              <w:rPr>
                <w:sz w:val="18"/>
                <w:szCs w:val="18"/>
              </w:rPr>
            </w:pPr>
            <w:r>
              <w:rPr>
                <w:sz w:val="18"/>
                <w:szCs w:val="18"/>
              </w:rPr>
              <w:t>32,65</w:t>
            </w:r>
          </w:p>
        </w:tc>
        <w:tc>
          <w:tcPr>
            <w:tcW w:w="975" w:type="dxa"/>
            <w:vAlign w:val="bottom"/>
          </w:tcPr>
          <w:p w:rsidR="001D2E73" w:rsidRDefault="001D2E73">
            <w:pPr>
              <w:spacing w:before="40" w:after="40" w:line="220" w:lineRule="exact"/>
              <w:jc w:val="right"/>
              <w:rPr>
                <w:sz w:val="18"/>
                <w:szCs w:val="18"/>
              </w:rPr>
            </w:pPr>
            <w:r>
              <w:rPr>
                <w:sz w:val="18"/>
                <w:szCs w:val="18"/>
              </w:rPr>
              <w:t>93 035</w:t>
            </w:r>
          </w:p>
        </w:tc>
        <w:tc>
          <w:tcPr>
            <w:tcW w:w="109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36,59</w:t>
            </w:r>
          </w:p>
        </w:tc>
      </w:tr>
      <w:tr w:rsidR="001D2E73">
        <w:trPr>
          <w:trHeight w:val="840"/>
          <w:jc w:val="right"/>
        </w:trPr>
        <w:tc>
          <w:tcPr>
            <w:tcW w:w="2104" w:type="dxa"/>
          </w:tcPr>
          <w:p w:rsidR="001D2E73" w:rsidRDefault="001D2E73">
            <w:pPr>
              <w:spacing w:before="40" w:after="40" w:line="220" w:lineRule="exact"/>
              <w:rPr>
                <w:sz w:val="18"/>
                <w:szCs w:val="18"/>
              </w:rPr>
            </w:pPr>
            <w:r>
              <w:rPr>
                <w:sz w:val="18"/>
                <w:szCs w:val="18"/>
              </w:rPr>
              <w:t>Para atención médica a personas afectadas por las radiaciones (anuales)</w:t>
            </w:r>
          </w:p>
        </w:tc>
        <w:tc>
          <w:tcPr>
            <w:tcW w:w="1000" w:type="dxa"/>
            <w:vAlign w:val="bottom"/>
          </w:tcPr>
          <w:p w:rsidR="001D2E73" w:rsidRDefault="001D2E73">
            <w:pPr>
              <w:spacing w:before="40" w:after="40" w:line="220" w:lineRule="exact"/>
              <w:jc w:val="right"/>
              <w:rPr>
                <w:sz w:val="18"/>
                <w:szCs w:val="18"/>
              </w:rPr>
            </w:pPr>
            <w:r>
              <w:rPr>
                <w:sz w:val="18"/>
                <w:szCs w:val="18"/>
              </w:rPr>
              <w:t>4 986</w:t>
            </w:r>
          </w:p>
        </w:tc>
        <w:tc>
          <w:tcPr>
            <w:tcW w:w="1100" w:type="dxa"/>
            <w:vAlign w:val="bottom"/>
          </w:tcPr>
          <w:p w:rsidR="001D2E73" w:rsidRDefault="001D2E73">
            <w:pPr>
              <w:spacing w:before="40" w:after="40" w:line="220" w:lineRule="exact"/>
              <w:jc w:val="right"/>
              <w:rPr>
                <w:sz w:val="18"/>
                <w:szCs w:val="18"/>
              </w:rPr>
            </w:pPr>
            <w:r>
              <w:rPr>
                <w:sz w:val="18"/>
                <w:szCs w:val="18"/>
              </w:rPr>
              <w:t>110,0</w:t>
            </w:r>
          </w:p>
        </w:tc>
        <w:tc>
          <w:tcPr>
            <w:tcW w:w="1100" w:type="dxa"/>
            <w:vAlign w:val="bottom"/>
          </w:tcPr>
          <w:p w:rsidR="001D2E73" w:rsidRDefault="001D2E73">
            <w:pPr>
              <w:spacing w:before="40" w:after="40" w:line="220" w:lineRule="exact"/>
              <w:jc w:val="right"/>
              <w:rPr>
                <w:sz w:val="18"/>
                <w:szCs w:val="18"/>
              </w:rPr>
            </w:pPr>
            <w:r>
              <w:rPr>
                <w:sz w:val="18"/>
                <w:szCs w:val="18"/>
              </w:rPr>
              <w:t>4 984</w:t>
            </w:r>
          </w:p>
        </w:tc>
        <w:tc>
          <w:tcPr>
            <w:tcW w:w="1131" w:type="dxa"/>
            <w:vAlign w:val="bottom"/>
          </w:tcPr>
          <w:p w:rsidR="001D2E73" w:rsidRDefault="001D2E73">
            <w:pPr>
              <w:spacing w:before="40" w:after="40" w:line="220" w:lineRule="exact"/>
              <w:jc w:val="right"/>
              <w:rPr>
                <w:sz w:val="18"/>
                <w:szCs w:val="18"/>
              </w:rPr>
            </w:pPr>
            <w:r>
              <w:rPr>
                <w:sz w:val="18"/>
                <w:szCs w:val="18"/>
              </w:rPr>
              <w:t>110,0</w:t>
            </w:r>
          </w:p>
        </w:tc>
        <w:tc>
          <w:tcPr>
            <w:tcW w:w="975" w:type="dxa"/>
            <w:vAlign w:val="bottom"/>
          </w:tcPr>
          <w:p w:rsidR="001D2E73" w:rsidRDefault="001D2E73">
            <w:pPr>
              <w:spacing w:before="40" w:after="40" w:line="220" w:lineRule="exact"/>
              <w:jc w:val="right"/>
              <w:rPr>
                <w:sz w:val="18"/>
                <w:szCs w:val="18"/>
              </w:rPr>
            </w:pPr>
            <w:r>
              <w:rPr>
                <w:sz w:val="18"/>
                <w:szCs w:val="18"/>
              </w:rPr>
              <w:t>5 093</w:t>
            </w:r>
          </w:p>
        </w:tc>
        <w:tc>
          <w:tcPr>
            <w:tcW w:w="1092"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113,4</w:t>
            </w:r>
          </w:p>
        </w:tc>
      </w:tr>
      <w:tr w:rsidR="001D2E73">
        <w:trPr>
          <w:trHeight w:val="300"/>
          <w:jc w:val="right"/>
        </w:trPr>
        <w:tc>
          <w:tcPr>
            <w:tcW w:w="2104" w:type="dxa"/>
            <w:noWrap/>
          </w:tcPr>
          <w:p w:rsidR="001D2E73" w:rsidRDefault="001D2E73">
            <w:pPr>
              <w:spacing w:before="40" w:after="40" w:line="220" w:lineRule="exact"/>
              <w:rPr>
                <w:sz w:val="18"/>
                <w:szCs w:val="18"/>
              </w:rPr>
            </w:pPr>
            <w:r>
              <w:rPr>
                <w:sz w:val="18"/>
                <w:szCs w:val="18"/>
              </w:rPr>
              <w:t>Para entierro</w:t>
            </w:r>
          </w:p>
        </w:tc>
        <w:tc>
          <w:tcPr>
            <w:tcW w:w="1000" w:type="dxa"/>
            <w:vAlign w:val="bottom"/>
          </w:tcPr>
          <w:p w:rsidR="001D2E73" w:rsidRDefault="001D2E73">
            <w:pPr>
              <w:spacing w:before="40" w:after="40" w:line="220" w:lineRule="exact"/>
              <w:jc w:val="right"/>
              <w:rPr>
                <w:sz w:val="18"/>
                <w:szCs w:val="18"/>
              </w:rPr>
            </w:pPr>
            <w:r>
              <w:rPr>
                <w:sz w:val="18"/>
                <w:szCs w:val="18"/>
              </w:rPr>
              <w:t>1 782</w:t>
            </w:r>
          </w:p>
        </w:tc>
        <w:tc>
          <w:tcPr>
            <w:tcW w:w="1100" w:type="dxa"/>
            <w:vAlign w:val="bottom"/>
          </w:tcPr>
          <w:p w:rsidR="001D2E73" w:rsidRDefault="001D2E73">
            <w:pPr>
              <w:spacing w:before="40" w:after="40" w:line="220" w:lineRule="exact"/>
              <w:jc w:val="right"/>
              <w:rPr>
                <w:sz w:val="18"/>
                <w:szCs w:val="18"/>
              </w:rPr>
            </w:pPr>
            <w:r>
              <w:rPr>
                <w:sz w:val="18"/>
                <w:szCs w:val="18"/>
              </w:rPr>
              <w:t>60,0</w:t>
            </w:r>
          </w:p>
        </w:tc>
        <w:tc>
          <w:tcPr>
            <w:tcW w:w="1100" w:type="dxa"/>
            <w:vAlign w:val="bottom"/>
          </w:tcPr>
          <w:p w:rsidR="001D2E73" w:rsidRDefault="001D2E73">
            <w:pPr>
              <w:spacing w:before="40" w:after="40" w:line="220" w:lineRule="exact"/>
              <w:jc w:val="right"/>
              <w:rPr>
                <w:sz w:val="18"/>
                <w:szCs w:val="18"/>
              </w:rPr>
            </w:pPr>
            <w:r>
              <w:rPr>
                <w:sz w:val="18"/>
                <w:szCs w:val="18"/>
              </w:rPr>
              <w:t>2 095</w:t>
            </w:r>
          </w:p>
        </w:tc>
        <w:tc>
          <w:tcPr>
            <w:tcW w:w="1131" w:type="dxa"/>
            <w:vAlign w:val="bottom"/>
          </w:tcPr>
          <w:p w:rsidR="001D2E73" w:rsidRDefault="001D2E73">
            <w:pPr>
              <w:spacing w:before="40" w:after="40" w:line="220" w:lineRule="exact"/>
              <w:jc w:val="right"/>
              <w:rPr>
                <w:sz w:val="18"/>
                <w:szCs w:val="18"/>
              </w:rPr>
            </w:pPr>
            <w:r>
              <w:rPr>
                <w:sz w:val="18"/>
                <w:szCs w:val="18"/>
              </w:rPr>
              <w:t>63,42</w:t>
            </w:r>
          </w:p>
        </w:tc>
        <w:tc>
          <w:tcPr>
            <w:tcW w:w="975" w:type="dxa"/>
            <w:vAlign w:val="bottom"/>
          </w:tcPr>
          <w:p w:rsidR="001D2E73" w:rsidRDefault="001D2E73">
            <w:pPr>
              <w:spacing w:before="40" w:after="40" w:line="220" w:lineRule="exact"/>
              <w:jc w:val="right"/>
              <w:rPr>
                <w:sz w:val="18"/>
                <w:szCs w:val="18"/>
              </w:rPr>
            </w:pPr>
            <w:r>
              <w:rPr>
                <w:sz w:val="18"/>
                <w:szCs w:val="18"/>
              </w:rPr>
              <w:t>2 044</w:t>
            </w:r>
          </w:p>
        </w:tc>
        <w:tc>
          <w:tcPr>
            <w:tcW w:w="1092" w:type="dxa"/>
            <w:tcBorders>
              <w:left w:val="nil"/>
              <w:bottom w:val="single" w:sz="12" w:space="0" w:color="auto"/>
              <w:right w:val="nil"/>
              <w:tl2br w:val="nil"/>
              <w:tr2bl w:val="nil"/>
            </w:tcBorders>
            <w:vAlign w:val="bottom"/>
          </w:tcPr>
          <w:p w:rsidR="001D2E73" w:rsidRDefault="001D2E73">
            <w:pPr>
              <w:spacing w:before="40" w:after="40" w:line="220" w:lineRule="exact"/>
              <w:jc w:val="right"/>
              <w:rPr>
                <w:sz w:val="18"/>
                <w:szCs w:val="18"/>
              </w:rPr>
            </w:pPr>
            <w:r>
              <w:rPr>
                <w:sz w:val="18"/>
                <w:szCs w:val="18"/>
              </w:rPr>
              <w:t>71,11</w:t>
            </w:r>
          </w:p>
        </w:tc>
      </w:tr>
    </w:tbl>
    <w:p w:rsidR="001D2E73" w:rsidRDefault="001D2E73">
      <w:pPr>
        <w:pStyle w:val="SingleTxtG"/>
        <w:tabs>
          <w:tab w:val="left" w:pos="1260"/>
        </w:tabs>
        <w:spacing w:before="120" w:line="200" w:lineRule="atLeast"/>
        <w:jc w:val="left"/>
        <w:rPr>
          <w:sz w:val="18"/>
          <w:szCs w:val="18"/>
          <w:lang w:val="es-ES"/>
        </w:rPr>
      </w:pPr>
      <w:r>
        <w:rPr>
          <w:sz w:val="18"/>
          <w:szCs w:val="18"/>
          <w:lang w:val="es-ES"/>
        </w:rPr>
        <w:tab/>
      </w:r>
      <w:r>
        <w:rPr>
          <w:i/>
          <w:sz w:val="18"/>
          <w:szCs w:val="18"/>
          <w:vertAlign w:val="superscript"/>
          <w:lang w:val="es-ES"/>
        </w:rPr>
        <w:t>1</w:t>
      </w:r>
      <w:r>
        <w:rPr>
          <w:sz w:val="18"/>
          <w:szCs w:val="18"/>
          <w:lang w:val="es-ES"/>
        </w:rPr>
        <w:t xml:space="preserve">  De conformidad con la Ley de los derechos del niño se modificó la edad límite de los niños.</w:t>
      </w:r>
    </w:p>
    <w:p w:rsidR="001D2E73" w:rsidRDefault="001D2E73">
      <w:pPr>
        <w:pStyle w:val="SingleTxtGR"/>
        <w:spacing w:before="240"/>
        <w:rPr>
          <w:spacing w:val="0"/>
          <w:lang w:val="es-ES"/>
        </w:rPr>
      </w:pPr>
      <w:r>
        <w:rPr>
          <w:spacing w:val="0"/>
          <w:lang w:val="es-ES"/>
        </w:rPr>
        <w:t>251.</w:t>
      </w:r>
      <w:r>
        <w:rPr>
          <w:spacing w:val="0"/>
          <w:lang w:val="es-ES"/>
        </w:rPr>
        <w:tab/>
        <w:t xml:space="preserve">A partir del 1º de julio de 2006 se empezó a asignar la asistencia social del Estado a las familias de bajos ingresos. </w:t>
      </w:r>
    </w:p>
    <w:p w:rsidR="001D2E73" w:rsidRDefault="001D2E73">
      <w:pPr>
        <w:pStyle w:val="SingleTxtGR"/>
        <w:rPr>
          <w:spacing w:val="0"/>
          <w:lang w:val="es-ES"/>
        </w:rPr>
      </w:pPr>
      <w:r>
        <w:rPr>
          <w:spacing w:val="0"/>
          <w:lang w:val="es-ES"/>
        </w:rPr>
        <w:t>252.</w:t>
      </w:r>
      <w:r>
        <w:rPr>
          <w:spacing w:val="0"/>
          <w:lang w:val="es-ES"/>
        </w:rPr>
        <w:tab/>
        <w:t>De conformidad con el artículo 4 de la Ley de asignación de la ayuda social del Estado, que entró en v</w:t>
      </w:r>
      <w:r>
        <w:rPr>
          <w:spacing w:val="0"/>
          <w:lang w:val="es-ES"/>
        </w:rPr>
        <w:t>i</w:t>
      </w:r>
      <w:r>
        <w:rPr>
          <w:spacing w:val="0"/>
          <w:lang w:val="es-ES"/>
        </w:rPr>
        <w:t xml:space="preserve">gor el 1º de enero de 2006, uno de los tres principios de la ayuda social es el principio de igualdad. </w:t>
      </w:r>
    </w:p>
    <w:p w:rsidR="001D2E73" w:rsidRDefault="001D2E73">
      <w:pPr>
        <w:spacing w:before="240" w:after="120"/>
        <w:ind w:left="1134" w:hanging="1134"/>
      </w:pPr>
      <w:r>
        <w:tab/>
        <w:t>Cuadro 14</w:t>
      </w:r>
      <w:r>
        <w:br/>
      </w:r>
      <w:r>
        <w:rPr>
          <w:b/>
        </w:rPr>
        <w:t>Ayuda del Estado prestada a familias de bajos ingresos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717"/>
        <w:gridCol w:w="932"/>
        <w:gridCol w:w="870"/>
        <w:gridCol w:w="851"/>
      </w:tblGrid>
      <w:tr w:rsidR="001D2E73">
        <w:trPr>
          <w:trHeight w:val="315"/>
        </w:trPr>
        <w:tc>
          <w:tcPr>
            <w:tcW w:w="4717" w:type="dxa"/>
            <w:vMerge w:val="restart"/>
            <w:tcBorders>
              <w:top w:val="single" w:sz="4" w:space="0" w:color="auto"/>
            </w:tcBorders>
            <w:shd w:val="clear" w:color="auto" w:fill="auto"/>
            <w:noWrap/>
          </w:tcPr>
          <w:p w:rsidR="001D2E73" w:rsidRDefault="001D2E73">
            <w:pPr>
              <w:spacing w:before="80" w:after="80" w:line="200" w:lineRule="exact"/>
              <w:rPr>
                <w:i/>
                <w:sz w:val="16"/>
              </w:rPr>
            </w:pPr>
            <w:r>
              <w:rPr>
                <w:i/>
                <w:sz w:val="16"/>
              </w:rPr>
              <w:t> </w:t>
            </w:r>
          </w:p>
          <w:p w:rsidR="001D2E73" w:rsidRDefault="001D2E73">
            <w:pPr>
              <w:spacing w:before="80" w:after="80" w:line="200" w:lineRule="exact"/>
              <w:rPr>
                <w:i/>
                <w:sz w:val="16"/>
              </w:rPr>
            </w:pPr>
            <w:r>
              <w:rPr>
                <w:i/>
                <w:sz w:val="16"/>
              </w:rPr>
              <w:t> </w:t>
            </w:r>
          </w:p>
        </w:tc>
        <w:tc>
          <w:tcPr>
            <w:tcW w:w="2653" w:type="dxa"/>
            <w:gridSpan w:val="3"/>
            <w:tcBorders>
              <w:top w:val="single" w:sz="4" w:space="0" w:color="auto"/>
              <w:left w:val="nil"/>
              <w:bottom w:val="single" w:sz="4" w:space="0" w:color="auto"/>
              <w:right w:val="nil"/>
              <w:tl2br w:val="nil"/>
              <w:tr2bl w:val="nil"/>
            </w:tcBorders>
            <w:shd w:val="clear" w:color="auto" w:fill="auto"/>
          </w:tcPr>
          <w:p w:rsidR="001D2E73" w:rsidRDefault="001D2E73">
            <w:pPr>
              <w:spacing w:before="80" w:after="80" w:line="200" w:lineRule="exact"/>
              <w:jc w:val="center"/>
              <w:rPr>
                <w:i/>
                <w:sz w:val="16"/>
              </w:rPr>
            </w:pPr>
            <w:r>
              <w:rPr>
                <w:i/>
                <w:sz w:val="16"/>
              </w:rPr>
              <w:t>A principios de año</w:t>
            </w:r>
          </w:p>
        </w:tc>
      </w:tr>
      <w:tr w:rsidR="001D2E73">
        <w:trPr>
          <w:trHeight w:val="242"/>
        </w:trPr>
        <w:tc>
          <w:tcPr>
            <w:tcW w:w="4717" w:type="dxa"/>
            <w:vMerge/>
            <w:tcBorders>
              <w:bottom w:val="single" w:sz="12" w:space="0" w:color="auto"/>
            </w:tcBorders>
            <w:shd w:val="clear" w:color="auto" w:fill="auto"/>
            <w:noWrap/>
          </w:tcPr>
          <w:p w:rsidR="001D2E73" w:rsidRDefault="001D2E73">
            <w:pPr>
              <w:spacing w:before="80" w:after="80" w:line="200" w:lineRule="exact"/>
              <w:rPr>
                <w:i/>
                <w:sz w:val="16"/>
              </w:rPr>
            </w:pPr>
          </w:p>
        </w:tc>
        <w:tc>
          <w:tcPr>
            <w:tcW w:w="932"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2007</w:t>
            </w:r>
          </w:p>
        </w:tc>
        <w:tc>
          <w:tcPr>
            <w:tcW w:w="870"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2008</w:t>
            </w:r>
          </w:p>
        </w:tc>
        <w:tc>
          <w:tcPr>
            <w:tcW w:w="851" w:type="dxa"/>
            <w:tcBorders>
              <w:top w:val="single" w:sz="4" w:space="0" w:color="auto"/>
              <w:left w:val="nil"/>
              <w:bottom w:val="single" w:sz="12" w:space="0" w:color="auto"/>
              <w:right w:val="nil"/>
              <w:tl2br w:val="nil"/>
              <w:tr2bl w:val="nil"/>
            </w:tcBorders>
            <w:shd w:val="clear" w:color="auto" w:fill="auto"/>
          </w:tcPr>
          <w:p w:rsidR="001D2E73" w:rsidRDefault="001D2E73">
            <w:pPr>
              <w:spacing w:before="80" w:after="80" w:line="200" w:lineRule="exact"/>
              <w:jc w:val="right"/>
              <w:rPr>
                <w:i/>
                <w:sz w:val="16"/>
              </w:rPr>
            </w:pPr>
            <w:r>
              <w:rPr>
                <w:i/>
                <w:sz w:val="16"/>
              </w:rPr>
              <w:t>2009</w:t>
            </w:r>
          </w:p>
        </w:tc>
      </w:tr>
      <w:tr w:rsidR="001D2E73">
        <w:trPr>
          <w:trHeight w:val="379"/>
        </w:trPr>
        <w:tc>
          <w:tcPr>
            <w:tcW w:w="4717" w:type="dxa"/>
            <w:vAlign w:val="bottom"/>
          </w:tcPr>
          <w:p w:rsidR="001D2E73" w:rsidRDefault="001D2E73">
            <w:pPr>
              <w:spacing w:before="40" w:after="40" w:line="220" w:lineRule="exact"/>
              <w:rPr>
                <w:sz w:val="18"/>
                <w:szCs w:val="18"/>
              </w:rPr>
            </w:pPr>
            <w:r>
              <w:rPr>
                <w:sz w:val="18"/>
                <w:szCs w:val="18"/>
              </w:rPr>
              <w:t xml:space="preserve">Número de familias, que reciben ayuda social del Estado </w:t>
            </w:r>
          </w:p>
        </w:tc>
        <w:tc>
          <w:tcPr>
            <w:tcW w:w="932" w:type="dxa"/>
            <w:vAlign w:val="bottom"/>
          </w:tcPr>
          <w:p w:rsidR="001D2E73" w:rsidRDefault="001D2E73">
            <w:pPr>
              <w:spacing w:before="40" w:after="40" w:line="220" w:lineRule="exact"/>
              <w:jc w:val="right"/>
              <w:rPr>
                <w:sz w:val="18"/>
                <w:szCs w:val="18"/>
              </w:rPr>
            </w:pPr>
            <w:r>
              <w:rPr>
                <w:sz w:val="18"/>
                <w:szCs w:val="18"/>
              </w:rPr>
              <w:t>48 705</w:t>
            </w:r>
          </w:p>
        </w:tc>
        <w:tc>
          <w:tcPr>
            <w:tcW w:w="870" w:type="dxa"/>
            <w:vAlign w:val="bottom"/>
          </w:tcPr>
          <w:p w:rsidR="001D2E73" w:rsidRDefault="001D2E73">
            <w:pPr>
              <w:spacing w:before="40" w:after="40" w:line="220" w:lineRule="exact"/>
              <w:jc w:val="right"/>
              <w:rPr>
                <w:sz w:val="18"/>
                <w:szCs w:val="18"/>
              </w:rPr>
            </w:pPr>
            <w:r>
              <w:rPr>
                <w:sz w:val="18"/>
                <w:szCs w:val="18"/>
              </w:rPr>
              <w:t>78 092</w:t>
            </w:r>
          </w:p>
        </w:tc>
        <w:tc>
          <w:tcPr>
            <w:tcW w:w="851"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163 409</w:t>
            </w:r>
          </w:p>
        </w:tc>
      </w:tr>
      <w:tr w:rsidR="001D2E73">
        <w:trPr>
          <w:trHeight w:val="454"/>
        </w:trPr>
        <w:tc>
          <w:tcPr>
            <w:tcW w:w="4717" w:type="dxa"/>
            <w:tcBorders>
              <w:bottom w:val="nil"/>
            </w:tcBorders>
          </w:tcPr>
          <w:p w:rsidR="001D2E73" w:rsidRDefault="001D2E73">
            <w:pPr>
              <w:spacing w:before="40" w:after="40" w:line="220" w:lineRule="exact"/>
              <w:rPr>
                <w:sz w:val="18"/>
                <w:szCs w:val="18"/>
              </w:rPr>
            </w:pPr>
            <w:r>
              <w:rPr>
                <w:sz w:val="18"/>
                <w:szCs w:val="18"/>
              </w:rPr>
              <w:t>Número de miembros de la familia que reciben ayuda s</w:t>
            </w:r>
            <w:r>
              <w:rPr>
                <w:sz w:val="18"/>
                <w:szCs w:val="18"/>
              </w:rPr>
              <w:t>o</w:t>
            </w:r>
            <w:r>
              <w:rPr>
                <w:sz w:val="18"/>
                <w:szCs w:val="18"/>
              </w:rPr>
              <w:t>cial del Estado, personas</w:t>
            </w:r>
          </w:p>
        </w:tc>
        <w:tc>
          <w:tcPr>
            <w:tcW w:w="932" w:type="dxa"/>
            <w:tcBorders>
              <w:bottom w:val="nil"/>
            </w:tcBorders>
            <w:vAlign w:val="bottom"/>
          </w:tcPr>
          <w:p w:rsidR="001D2E73" w:rsidRDefault="001D2E73">
            <w:pPr>
              <w:spacing w:before="40" w:after="40" w:line="220" w:lineRule="exact"/>
              <w:jc w:val="right"/>
              <w:rPr>
                <w:sz w:val="18"/>
                <w:szCs w:val="18"/>
              </w:rPr>
            </w:pPr>
            <w:r>
              <w:rPr>
                <w:sz w:val="18"/>
                <w:szCs w:val="18"/>
              </w:rPr>
              <w:t>218 673</w:t>
            </w:r>
          </w:p>
        </w:tc>
        <w:tc>
          <w:tcPr>
            <w:tcW w:w="870" w:type="dxa"/>
            <w:tcBorders>
              <w:bottom w:val="nil"/>
            </w:tcBorders>
            <w:vAlign w:val="bottom"/>
          </w:tcPr>
          <w:p w:rsidR="001D2E73" w:rsidRDefault="001D2E73">
            <w:pPr>
              <w:spacing w:before="40" w:after="40" w:line="220" w:lineRule="exact"/>
              <w:jc w:val="right"/>
              <w:rPr>
                <w:sz w:val="18"/>
                <w:szCs w:val="18"/>
              </w:rPr>
            </w:pPr>
            <w:r>
              <w:rPr>
                <w:sz w:val="18"/>
                <w:szCs w:val="18"/>
              </w:rPr>
              <w:t>364 059</w:t>
            </w:r>
          </w:p>
        </w:tc>
        <w:tc>
          <w:tcPr>
            <w:tcW w:w="851"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749 965</w:t>
            </w:r>
          </w:p>
        </w:tc>
      </w:tr>
      <w:tr w:rsidR="001D2E73">
        <w:trPr>
          <w:trHeight w:val="315"/>
        </w:trPr>
        <w:tc>
          <w:tcPr>
            <w:tcW w:w="4717" w:type="dxa"/>
            <w:tcBorders>
              <w:top w:val="nil"/>
              <w:bottom w:val="nil"/>
            </w:tcBorders>
          </w:tcPr>
          <w:p w:rsidR="001D2E73" w:rsidRDefault="001D2E73">
            <w:pPr>
              <w:spacing w:before="40" w:after="40" w:line="220" w:lineRule="exact"/>
              <w:rPr>
                <w:sz w:val="18"/>
                <w:szCs w:val="18"/>
              </w:rPr>
            </w:pPr>
            <w:r>
              <w:rPr>
                <w:sz w:val="18"/>
                <w:szCs w:val="18"/>
              </w:rPr>
              <w:t>de ellas, mujeres</w:t>
            </w:r>
          </w:p>
        </w:tc>
        <w:tc>
          <w:tcPr>
            <w:tcW w:w="932" w:type="dxa"/>
            <w:tcBorders>
              <w:top w:val="nil"/>
              <w:bottom w:val="nil"/>
            </w:tcBorders>
            <w:vAlign w:val="bottom"/>
          </w:tcPr>
          <w:p w:rsidR="001D2E73" w:rsidRDefault="001D2E73">
            <w:pPr>
              <w:spacing w:before="40" w:after="40" w:line="220" w:lineRule="exact"/>
              <w:jc w:val="right"/>
              <w:rPr>
                <w:sz w:val="18"/>
                <w:szCs w:val="18"/>
              </w:rPr>
            </w:pPr>
            <w:r>
              <w:rPr>
                <w:sz w:val="18"/>
                <w:szCs w:val="18"/>
              </w:rPr>
              <w:t>83 529</w:t>
            </w:r>
          </w:p>
        </w:tc>
        <w:tc>
          <w:tcPr>
            <w:tcW w:w="870" w:type="dxa"/>
            <w:tcBorders>
              <w:top w:val="nil"/>
              <w:bottom w:val="nil"/>
            </w:tcBorders>
            <w:vAlign w:val="bottom"/>
          </w:tcPr>
          <w:p w:rsidR="001D2E73" w:rsidRDefault="001D2E73">
            <w:pPr>
              <w:spacing w:before="40" w:after="40" w:line="220" w:lineRule="exact"/>
              <w:jc w:val="right"/>
              <w:rPr>
                <w:sz w:val="18"/>
                <w:szCs w:val="18"/>
              </w:rPr>
            </w:pPr>
            <w:r>
              <w:rPr>
                <w:sz w:val="18"/>
                <w:szCs w:val="18"/>
              </w:rPr>
              <w:t>168 007</w:t>
            </w:r>
          </w:p>
        </w:tc>
        <w:tc>
          <w:tcPr>
            <w:tcW w:w="851" w:type="dxa"/>
            <w:tcBorders>
              <w:top w:val="nil"/>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387 609</w:t>
            </w:r>
          </w:p>
        </w:tc>
      </w:tr>
      <w:tr w:rsidR="001D2E73">
        <w:trPr>
          <w:trHeight w:val="270"/>
        </w:trPr>
        <w:tc>
          <w:tcPr>
            <w:tcW w:w="4717" w:type="dxa"/>
            <w:tcBorders>
              <w:top w:val="nil"/>
            </w:tcBorders>
            <w:vAlign w:val="bottom"/>
          </w:tcPr>
          <w:p w:rsidR="001D2E73" w:rsidRDefault="001D2E73">
            <w:pPr>
              <w:spacing w:before="40" w:after="40" w:line="220" w:lineRule="exact"/>
              <w:rPr>
                <w:sz w:val="18"/>
                <w:szCs w:val="18"/>
              </w:rPr>
            </w:pPr>
            <w:r>
              <w:rPr>
                <w:sz w:val="18"/>
                <w:szCs w:val="18"/>
              </w:rPr>
              <w:t>Monto medio mensual de la ayuda social que presta el E</w:t>
            </w:r>
            <w:r>
              <w:rPr>
                <w:sz w:val="18"/>
                <w:szCs w:val="18"/>
              </w:rPr>
              <w:t>s</w:t>
            </w:r>
            <w:r>
              <w:rPr>
                <w:sz w:val="18"/>
                <w:szCs w:val="18"/>
              </w:rPr>
              <w:t>tado por persona, en manat</w:t>
            </w:r>
          </w:p>
        </w:tc>
        <w:tc>
          <w:tcPr>
            <w:tcW w:w="932" w:type="dxa"/>
            <w:tcBorders>
              <w:top w:val="nil"/>
            </w:tcBorders>
            <w:vAlign w:val="bottom"/>
          </w:tcPr>
          <w:p w:rsidR="001D2E73" w:rsidRDefault="001D2E73">
            <w:pPr>
              <w:spacing w:before="40" w:after="40" w:line="220" w:lineRule="exact"/>
              <w:jc w:val="right"/>
              <w:rPr>
                <w:sz w:val="18"/>
                <w:szCs w:val="18"/>
              </w:rPr>
            </w:pPr>
            <w:r>
              <w:rPr>
                <w:sz w:val="18"/>
                <w:szCs w:val="18"/>
              </w:rPr>
              <w:t>8,36</w:t>
            </w:r>
          </w:p>
        </w:tc>
        <w:tc>
          <w:tcPr>
            <w:tcW w:w="870" w:type="dxa"/>
            <w:tcBorders>
              <w:top w:val="nil"/>
            </w:tcBorders>
            <w:vAlign w:val="bottom"/>
          </w:tcPr>
          <w:p w:rsidR="001D2E73" w:rsidRDefault="001D2E73">
            <w:pPr>
              <w:spacing w:before="40" w:after="40" w:line="220" w:lineRule="exact"/>
              <w:jc w:val="right"/>
              <w:rPr>
                <w:sz w:val="18"/>
                <w:szCs w:val="18"/>
              </w:rPr>
            </w:pPr>
            <w:r>
              <w:rPr>
                <w:sz w:val="18"/>
                <w:szCs w:val="18"/>
              </w:rPr>
              <w:t>17,38</w:t>
            </w:r>
          </w:p>
        </w:tc>
        <w:tc>
          <w:tcPr>
            <w:tcW w:w="851" w:type="dxa"/>
            <w:tcBorders>
              <w:top w:val="nil"/>
              <w:left w:val="nil"/>
              <w:bottom w:val="single" w:sz="12" w:space="0" w:color="auto"/>
              <w:right w:val="nil"/>
              <w:tl2br w:val="nil"/>
              <w:tr2bl w:val="nil"/>
            </w:tcBorders>
            <w:vAlign w:val="bottom"/>
          </w:tcPr>
          <w:p w:rsidR="001D2E73" w:rsidRDefault="001D2E73">
            <w:pPr>
              <w:spacing w:before="40" w:after="40" w:line="220" w:lineRule="exact"/>
              <w:jc w:val="right"/>
              <w:rPr>
                <w:sz w:val="18"/>
                <w:szCs w:val="18"/>
              </w:rPr>
            </w:pPr>
            <w:r>
              <w:rPr>
                <w:sz w:val="18"/>
                <w:szCs w:val="18"/>
              </w:rPr>
              <w:t>22,0</w:t>
            </w:r>
          </w:p>
        </w:tc>
      </w:tr>
    </w:tbl>
    <w:p w:rsidR="001D2E73" w:rsidRDefault="001D2E73">
      <w:pPr>
        <w:pStyle w:val="SingleTxtGR"/>
        <w:spacing w:before="240"/>
        <w:rPr>
          <w:spacing w:val="0"/>
          <w:lang w:val="es-ES"/>
        </w:rPr>
      </w:pPr>
      <w:r>
        <w:rPr>
          <w:spacing w:val="0"/>
          <w:lang w:val="es-ES"/>
        </w:rPr>
        <w:t>253.</w:t>
      </w:r>
      <w:r>
        <w:rPr>
          <w:spacing w:val="0"/>
          <w:lang w:val="es-ES"/>
        </w:rPr>
        <w:tab/>
        <w:t xml:space="preserve">Según datos de 2009, en todo Azerbaiyán se asignó ayuda social del Estado a 163.409 familias (9% de ellas eran familias de refugiados); 749.965 miembros de estas familias recibieron ayuda por la suma de 22 manat (27,5 dólares de los Estados Unidos) por persona y 101 manat (126,25 dólares de los Estados Unidos) por familia. </w:t>
      </w:r>
    </w:p>
    <w:p w:rsidR="001D2E73" w:rsidRDefault="001D2E73">
      <w:pPr>
        <w:pStyle w:val="SingleTxtGR"/>
        <w:rPr>
          <w:spacing w:val="0"/>
          <w:lang w:val="es-ES"/>
        </w:rPr>
      </w:pPr>
      <w:r>
        <w:rPr>
          <w:spacing w:val="0"/>
          <w:lang w:val="es-ES"/>
        </w:rPr>
        <w:t>254.</w:t>
      </w:r>
      <w:r>
        <w:rPr>
          <w:spacing w:val="0"/>
          <w:lang w:val="es-ES"/>
        </w:rPr>
        <w:tab/>
        <w:t>Con arreglo al artículo 77 y a los párrafos a) y b) del artículo 70 del Código del Trabajo, cuando se rescinde un contrato de trabajo (por liquidación de una empresa o reducción de la plantilla o del número de trabajadores), se pagará a los trab</w:t>
      </w:r>
      <w:r>
        <w:rPr>
          <w:spacing w:val="0"/>
          <w:lang w:val="es-ES"/>
        </w:rPr>
        <w:t>a</w:t>
      </w:r>
      <w:r>
        <w:rPr>
          <w:spacing w:val="0"/>
          <w:lang w:val="es-ES"/>
        </w:rPr>
        <w:t>jadores: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 xml:space="preserve">Una indemnización por despido equivalente al salario medio mensual como mínimo; </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 xml:space="preserve">El salario medio mensual durante los meses segundo y tercero a contar del día del despido hasta la admisión en el nuevo trabajo. </w:t>
      </w:r>
    </w:p>
    <w:p w:rsidR="001D2E73" w:rsidRDefault="001D2E73">
      <w:pPr>
        <w:pStyle w:val="SingleTxtGR"/>
        <w:rPr>
          <w:iCs/>
          <w:spacing w:val="0"/>
          <w:lang w:val="es-ES"/>
        </w:rPr>
      </w:pPr>
      <w:r>
        <w:rPr>
          <w:spacing w:val="0"/>
          <w:lang w:val="es-ES"/>
        </w:rPr>
        <w:t>255.</w:t>
      </w:r>
      <w:r>
        <w:rPr>
          <w:spacing w:val="0"/>
          <w:lang w:val="es-ES"/>
        </w:rPr>
        <w:tab/>
        <w:t>Cuando se rescinde un contrato de trabajo conforme al apartado b) del párrafo 2 del artículo 68 (cambio en las condiciones de trabajo) y a los apartados a) y b) del párrafo I del artículo 74 del Código vigente (llamamiento del trabajador al servicio militar o alternativo e imposibilidad del trabajador de cumplir sus funciones debido a incapacidad total para trabajar ininterrumpidamente durante más de seis meses), el empleador pagará al trabajador una prestación por una suma no menor del doble del salario medio mensual. Cuando se rescinde un contrarío debido al fallecimiento del trabajador, los herederos reciben una prestación por una suma no inferior al triple del salario medio mensual.</w:t>
      </w:r>
      <w:r>
        <w:rPr>
          <w:iCs/>
          <w:spacing w:val="0"/>
          <w:lang w:val="es-ES"/>
        </w:rPr>
        <w:t xml:space="preserve"> Cuando se da por terminado un contrato de trabajo de conformidad con el apartado d) del párrafo 2 del artículo 68 del Código (debido al cambio de </w:t>
      </w:r>
      <w:r>
        <w:rPr>
          <w:spacing w:val="0"/>
          <w:lang w:val="es-ES"/>
        </w:rPr>
        <w:t>propietario de la empresa), el empleador pagará al trabajador una indemnización como mínimo equivalente al triple del salario medio mensual</w:t>
      </w:r>
      <w:r>
        <w:rPr>
          <w:iCs/>
          <w:spacing w:val="0"/>
          <w:lang w:val="es-ES"/>
        </w:rPr>
        <w:t>.</w:t>
      </w:r>
    </w:p>
    <w:p w:rsidR="001D2E73" w:rsidRDefault="001D2E73">
      <w:pPr>
        <w:pStyle w:val="SingleTxtGR"/>
        <w:rPr>
          <w:spacing w:val="0"/>
          <w:lang w:val="es-ES"/>
        </w:rPr>
      </w:pPr>
      <w:r>
        <w:rPr>
          <w:spacing w:val="0"/>
          <w:lang w:val="es-ES"/>
        </w:rPr>
        <w:t>256.</w:t>
      </w:r>
      <w:r>
        <w:rPr>
          <w:spacing w:val="0"/>
          <w:lang w:val="es-ES"/>
        </w:rPr>
        <w:tab/>
        <w:t xml:space="preserve">En caso de accidente de trabajo, el empleador culpable pagará una prestación mensual con cargo a sus propios recursos, así como otros gastos de curación, alimentación y colocación de </w:t>
      </w:r>
      <w:smartTag w:uri="urn:schemas-microsoft-com:office:smarttags" w:element="PersonName">
        <w:smartTagPr>
          <w:attr w:name="ProductID" w:val="la pr￳tesis. Conforme"/>
        </w:smartTagPr>
        <w:r>
          <w:rPr>
            <w:spacing w:val="0"/>
            <w:lang w:val="es-ES"/>
          </w:rPr>
          <w:t>la prótesis. Conforme</w:t>
        </w:r>
      </w:smartTag>
      <w:r>
        <w:rPr>
          <w:spacing w:val="0"/>
          <w:lang w:val="es-ES"/>
        </w:rPr>
        <w:t xml:space="preserve"> a la resolución del Consejo de Ministros de 9 de enero de 2003 no se paga la prestación de una sola vez.</w:t>
      </w:r>
    </w:p>
    <w:p w:rsidR="001D2E73" w:rsidRDefault="001D2E73">
      <w:pPr>
        <w:pStyle w:val="SingleTxtGR"/>
        <w:rPr>
          <w:spacing w:val="0"/>
          <w:lang w:val="es-ES"/>
        </w:rPr>
      </w:pPr>
      <w:r>
        <w:rPr>
          <w:spacing w:val="0"/>
          <w:lang w:val="es-ES"/>
        </w:rPr>
        <w:t>257.</w:t>
      </w:r>
      <w:r>
        <w:rPr>
          <w:spacing w:val="0"/>
          <w:lang w:val="es-ES"/>
        </w:rPr>
        <w:tab/>
        <w:t>La remuneración mensual se calcula a partir del salario medio mensual por cada por ciento de pérdida de la capacidad laboral (profesional o general). En caso de muerte, los herederos del difunto reciben el 100% del sal</w:t>
      </w:r>
      <w:r>
        <w:rPr>
          <w:spacing w:val="0"/>
          <w:lang w:val="es-ES"/>
        </w:rPr>
        <w:t>a</w:t>
      </w:r>
      <w:r>
        <w:rPr>
          <w:spacing w:val="0"/>
          <w:lang w:val="es-ES"/>
        </w:rPr>
        <w:t>rio medio.</w:t>
      </w:r>
    </w:p>
    <w:p w:rsidR="001D2E73" w:rsidRDefault="001D2E73">
      <w:pPr>
        <w:pStyle w:val="SingleTxtGR"/>
        <w:rPr>
          <w:spacing w:val="0"/>
          <w:lang w:val="es-ES"/>
        </w:rPr>
      </w:pPr>
      <w:r>
        <w:rPr>
          <w:spacing w:val="0"/>
          <w:lang w:val="es-ES"/>
        </w:rPr>
        <w:t>258.</w:t>
      </w:r>
      <w:r>
        <w:rPr>
          <w:spacing w:val="0"/>
          <w:lang w:val="es-ES"/>
        </w:rPr>
        <w:tab/>
        <w:t>Las empresas y las organizaciones pueden prever en los convenios colectivos y los contratos laborales el pago de sumas más elevadas a los que sufran daños. Dichos pagos se efectúan independientemente del grado de culpabilidad del accidentado, quien además recibe otros pagos incluido el salario, una pensión y prestaciones.</w:t>
      </w:r>
    </w:p>
    <w:p w:rsidR="001D2E73" w:rsidRDefault="001D2E73">
      <w:pPr>
        <w:pStyle w:val="SingleTxtGR"/>
        <w:rPr>
          <w:spacing w:val="0"/>
          <w:lang w:val="es-ES"/>
        </w:rPr>
      </w:pPr>
      <w:r>
        <w:rPr>
          <w:spacing w:val="0"/>
          <w:lang w:val="es-ES"/>
        </w:rPr>
        <w:t>259.</w:t>
      </w:r>
      <w:r>
        <w:rPr>
          <w:spacing w:val="0"/>
          <w:lang w:val="es-ES"/>
        </w:rPr>
        <w:tab/>
        <w:t>Por el mismo procedimiento y en igual cuantía se paga la indemnización por daños y perjuicios causados por enfermedad profesional.</w:t>
      </w:r>
    </w:p>
    <w:p w:rsidR="001D2E73" w:rsidRDefault="001D2E73">
      <w:pPr>
        <w:pStyle w:val="SingleTxtGR"/>
        <w:rPr>
          <w:spacing w:val="0"/>
          <w:lang w:val="es-ES"/>
        </w:rPr>
      </w:pPr>
      <w:r>
        <w:rPr>
          <w:spacing w:val="0"/>
          <w:lang w:val="es-ES"/>
        </w:rPr>
        <w:t>260.</w:t>
      </w:r>
      <w:r>
        <w:rPr>
          <w:spacing w:val="0"/>
          <w:lang w:val="es-ES"/>
        </w:rPr>
        <w:tab/>
        <w:t xml:space="preserve">Con arreglo al artículo 125 del Código del Trabajo, los trabajadores contribuyen al seguro social obligatorio contratado por el empleado conforme al procedimiento y en las condiciones que establece </w:t>
      </w:r>
      <w:smartTag w:uri="urn:schemas-microsoft-com:office:smarttags" w:element="PersonName">
        <w:smartTagPr>
          <w:attr w:name="ProductID" w:val="la ley. Los"/>
        </w:smartTagPr>
        <w:r>
          <w:rPr>
            <w:spacing w:val="0"/>
            <w:lang w:val="es-ES"/>
          </w:rPr>
          <w:t>la ley. Los</w:t>
        </w:r>
      </w:smartTag>
      <w:r>
        <w:rPr>
          <w:spacing w:val="0"/>
          <w:lang w:val="es-ES"/>
        </w:rPr>
        <w:t xml:space="preserve"> trabajadores que realizan tareas de alto riesgo están asegurados por el empleador contra accidentes de trabajo y enfermedades profesionales. La lista de trabajadores que tienen que contribuir al seguro social obligatorio contra accidentes y enfermedades profesionales y el monto del seguro se determinan en el convenio colectivo y el contrato de trabajo sobre la base de los convenios suscritos con las aseguradoras. </w:t>
      </w:r>
    </w:p>
    <w:p w:rsidR="001D2E73" w:rsidRDefault="001D2E73">
      <w:pPr>
        <w:pStyle w:val="SingleTxtGR"/>
        <w:rPr>
          <w:bCs/>
          <w:spacing w:val="0"/>
          <w:lang w:val="es-ES"/>
        </w:rPr>
      </w:pPr>
      <w:r>
        <w:rPr>
          <w:bCs/>
          <w:spacing w:val="0"/>
          <w:lang w:val="es-ES"/>
        </w:rPr>
        <w:t>261.</w:t>
      </w:r>
      <w:r>
        <w:rPr>
          <w:bCs/>
          <w:spacing w:val="0"/>
          <w:lang w:val="es-ES"/>
        </w:rPr>
        <w:tab/>
        <w:t>La solución de los problemas sociales de los refugiados y desplazados forz</w:t>
      </w:r>
      <w:r>
        <w:rPr>
          <w:bCs/>
          <w:spacing w:val="0"/>
          <w:lang w:val="es-ES"/>
        </w:rPr>
        <w:t>o</w:t>
      </w:r>
      <w:r>
        <w:rPr>
          <w:bCs/>
          <w:spacing w:val="0"/>
          <w:lang w:val="es-ES"/>
        </w:rPr>
        <w:t>sos es el principal problema de nuestro país y es preocupación constante del Estado. El Gobierno de Azerbaiyán no deja de adoptar las medidas correspondientes orient</w:t>
      </w:r>
      <w:r>
        <w:rPr>
          <w:bCs/>
          <w:spacing w:val="0"/>
          <w:lang w:val="es-ES"/>
        </w:rPr>
        <w:t>a</w:t>
      </w:r>
      <w:r>
        <w:rPr>
          <w:bCs/>
          <w:spacing w:val="0"/>
          <w:lang w:val="es-ES"/>
        </w:rPr>
        <w:t xml:space="preserve">das a la solución de este problema. </w:t>
      </w:r>
    </w:p>
    <w:p w:rsidR="001D2E73" w:rsidRDefault="001D2E73">
      <w:pPr>
        <w:pStyle w:val="SingleTxtGR"/>
        <w:rPr>
          <w:bCs/>
          <w:spacing w:val="0"/>
          <w:lang w:val="es-ES"/>
        </w:rPr>
      </w:pPr>
      <w:r>
        <w:rPr>
          <w:spacing w:val="0"/>
          <w:lang w:val="es-ES"/>
        </w:rPr>
        <w:t>262.</w:t>
      </w:r>
      <w:r>
        <w:rPr>
          <w:spacing w:val="0"/>
          <w:lang w:val="es-ES"/>
        </w:rPr>
        <w:tab/>
        <w:t>Un importante papel en la protección social de los desplazados forzosos c</w:t>
      </w:r>
      <w:r>
        <w:rPr>
          <w:spacing w:val="0"/>
          <w:lang w:val="es-ES"/>
        </w:rPr>
        <w:t>o</w:t>
      </w:r>
      <w:r>
        <w:rPr>
          <w:spacing w:val="0"/>
          <w:lang w:val="es-ES"/>
        </w:rPr>
        <w:t>rresponde al Programa estatal para la solución de los problemas de los refugiados y desplazados forzosos aprobado en 1998; al Programa nacional de mejora de las condiciones de vivienda y aumento del porcentaje de empleo entre los refugiados y los desplazados forzosos de 2004, así como a la aprobación de adiciones al Programa en 2007.</w:t>
      </w:r>
    </w:p>
    <w:p w:rsidR="001D2E73" w:rsidRDefault="001D2E73">
      <w:pPr>
        <w:pStyle w:val="SingleTxtGR"/>
        <w:rPr>
          <w:spacing w:val="0"/>
          <w:lang w:val="es-ES"/>
        </w:rPr>
      </w:pPr>
      <w:r>
        <w:rPr>
          <w:bCs/>
          <w:spacing w:val="0"/>
          <w:lang w:val="es-ES"/>
        </w:rPr>
        <w:t>263.</w:t>
      </w:r>
      <w:r>
        <w:rPr>
          <w:bCs/>
          <w:spacing w:val="0"/>
          <w:lang w:val="es-ES"/>
        </w:rPr>
        <w:tab/>
        <w:t xml:space="preserve">Durante los últimos 5 años se gastaron </w:t>
      </w:r>
      <w:r>
        <w:rPr>
          <w:spacing w:val="0"/>
          <w:lang w:val="es-ES"/>
        </w:rPr>
        <w:t>607,5 millones de dólares de los Estados Unidos en la construcción de nuevos asentamientos para los desplazados forzosos, de los cuales se asignaron 183,5 millones de dólares de los Estados Unidos en 2008.</w:t>
      </w:r>
    </w:p>
    <w:p w:rsidR="001D2E73" w:rsidRDefault="001D2E73">
      <w:pPr>
        <w:pStyle w:val="SingleTxtGR"/>
        <w:rPr>
          <w:spacing w:val="0"/>
          <w:lang w:val="es-ES"/>
        </w:rPr>
      </w:pPr>
      <w:r>
        <w:rPr>
          <w:spacing w:val="0"/>
          <w:lang w:val="es-ES"/>
        </w:rPr>
        <w:t>264.</w:t>
      </w:r>
      <w:r>
        <w:rPr>
          <w:spacing w:val="0"/>
          <w:lang w:val="es-ES"/>
        </w:rPr>
        <w:tab/>
        <w:t>En el período 2001-2008, se construyeron 61 asentamientos con la correspo</w:t>
      </w:r>
      <w:r>
        <w:rPr>
          <w:spacing w:val="0"/>
          <w:lang w:val="es-ES"/>
        </w:rPr>
        <w:t>n</w:t>
      </w:r>
      <w:r>
        <w:rPr>
          <w:spacing w:val="0"/>
          <w:lang w:val="es-ES"/>
        </w:rPr>
        <w:t>diente infraestructura social, con un total de 17.000 viviendas para refugiados y de</w:t>
      </w:r>
      <w:r>
        <w:rPr>
          <w:spacing w:val="0"/>
          <w:lang w:val="es-ES"/>
        </w:rPr>
        <w:t>s</w:t>
      </w:r>
      <w:r>
        <w:rPr>
          <w:spacing w:val="0"/>
          <w:lang w:val="es-ES"/>
        </w:rPr>
        <w:t>plazados forzosos. En diciembre de 2007, en Azerbaiyán quedaron eliminados los últimos campamentos de tiendas de camp</w:t>
      </w:r>
      <w:r>
        <w:rPr>
          <w:spacing w:val="0"/>
          <w:lang w:val="es-ES"/>
        </w:rPr>
        <w:t>a</w:t>
      </w:r>
      <w:r>
        <w:rPr>
          <w:spacing w:val="0"/>
          <w:lang w:val="es-ES"/>
        </w:rPr>
        <w:t xml:space="preserve">ña. </w:t>
      </w:r>
    </w:p>
    <w:p w:rsidR="001D2E73" w:rsidRDefault="001D2E73">
      <w:pPr>
        <w:pStyle w:val="SingleTxtGR"/>
        <w:rPr>
          <w:bCs/>
          <w:spacing w:val="0"/>
          <w:lang w:val="es-ES"/>
        </w:rPr>
      </w:pPr>
      <w:r>
        <w:rPr>
          <w:spacing w:val="0"/>
          <w:lang w:val="es-ES"/>
        </w:rPr>
        <w:t>265.</w:t>
      </w:r>
      <w:r>
        <w:rPr>
          <w:spacing w:val="0"/>
          <w:lang w:val="es-ES"/>
        </w:rPr>
        <w:tab/>
        <w:t xml:space="preserve">En los últimos </w:t>
      </w:r>
      <w:r>
        <w:rPr>
          <w:bCs/>
          <w:spacing w:val="0"/>
          <w:lang w:val="es-ES"/>
        </w:rPr>
        <w:t xml:space="preserve">5 años, encontraron empleo 72.647 refugiados y desplazados forzosos. </w:t>
      </w:r>
    </w:p>
    <w:p w:rsidR="001D2E73" w:rsidRDefault="001D2E73">
      <w:pPr>
        <w:pStyle w:val="SingleTxtGR"/>
        <w:rPr>
          <w:bCs/>
          <w:spacing w:val="0"/>
          <w:lang w:val="es-ES"/>
        </w:rPr>
      </w:pPr>
      <w:r>
        <w:rPr>
          <w:bCs/>
          <w:spacing w:val="0"/>
          <w:lang w:val="es-ES"/>
        </w:rPr>
        <w:t>266.</w:t>
      </w:r>
      <w:r>
        <w:rPr>
          <w:bCs/>
          <w:spacing w:val="0"/>
          <w:lang w:val="es-ES"/>
        </w:rPr>
        <w:tab/>
        <w:t xml:space="preserve">Además de lo anterior, durante el mismo período se asignaron más de 1.250 millones de dólares de los Estados Unidos (a saber 667,7 millones de dólares de los Estados Unidos con cargo al presupuesto estatal y 582,5 millones de dólares de los </w:t>
      </w:r>
      <w:r w:rsidR="0094705E">
        <w:rPr>
          <w:bCs/>
          <w:spacing w:val="0"/>
          <w:lang w:val="es-ES"/>
        </w:rPr>
        <w:t xml:space="preserve">Estados Unidos </w:t>
      </w:r>
      <w:r>
        <w:rPr>
          <w:bCs/>
          <w:spacing w:val="0"/>
          <w:lang w:val="es-ES"/>
        </w:rPr>
        <w:t>con cargo al Fondo Estatal del Petróleo) a la protección social de los refugiados y desplazados forzosos.</w:t>
      </w:r>
    </w:p>
    <w:p w:rsidR="001D2E73" w:rsidRDefault="001D2E73">
      <w:pPr>
        <w:pStyle w:val="SingleTxtGR"/>
        <w:rPr>
          <w:spacing w:val="0"/>
          <w:lang w:val="es-ES"/>
        </w:rPr>
      </w:pPr>
      <w:r>
        <w:rPr>
          <w:spacing w:val="0"/>
          <w:lang w:val="es-ES"/>
        </w:rPr>
        <w:t>267.</w:t>
      </w:r>
      <w:r>
        <w:rPr>
          <w:spacing w:val="0"/>
          <w:lang w:val="es-ES"/>
        </w:rPr>
        <w:tab/>
        <w:t>Cabe señalar que la colaboración con el Banco Mundial marcha satisfactori</w:t>
      </w:r>
      <w:r>
        <w:rPr>
          <w:spacing w:val="0"/>
          <w:lang w:val="es-ES"/>
        </w:rPr>
        <w:t>a</w:t>
      </w:r>
      <w:r>
        <w:rPr>
          <w:spacing w:val="0"/>
          <w:lang w:val="es-ES"/>
        </w:rPr>
        <w:t>mente, en particular en la ejecución de proyectos en la esfera de la protección social. En el marco del nuevo proyecto Pensiones y seguridad social, que comenzó a ejec</w:t>
      </w:r>
      <w:r>
        <w:rPr>
          <w:spacing w:val="0"/>
          <w:lang w:val="es-ES"/>
        </w:rPr>
        <w:t>u</w:t>
      </w:r>
      <w:r>
        <w:rPr>
          <w:spacing w:val="0"/>
          <w:lang w:val="es-ES"/>
        </w:rPr>
        <w:t>tarse a principios de 2009 y se prolongará hasta 2013, se ha previsto aumentar el p</w:t>
      </w:r>
      <w:r>
        <w:rPr>
          <w:spacing w:val="0"/>
          <w:lang w:val="es-ES"/>
        </w:rPr>
        <w:t>o</w:t>
      </w:r>
      <w:r>
        <w:rPr>
          <w:spacing w:val="0"/>
          <w:lang w:val="es-ES"/>
        </w:rPr>
        <w:t>tencial institucional y mejorar la preparación de cuadros de los órganos estatales c</w:t>
      </w:r>
      <w:r>
        <w:rPr>
          <w:spacing w:val="0"/>
          <w:lang w:val="es-ES"/>
        </w:rPr>
        <w:t>o</w:t>
      </w:r>
      <w:r>
        <w:rPr>
          <w:spacing w:val="0"/>
          <w:lang w:val="es-ES"/>
        </w:rPr>
        <w:t>rrespondientes, mejorar la calidad de los servicios que se prestan a la población en el mercado labor y la protección social mediante el perfeccionamiento y fortalecimie</w:t>
      </w:r>
      <w:r>
        <w:rPr>
          <w:spacing w:val="0"/>
          <w:lang w:val="es-ES"/>
        </w:rPr>
        <w:t>n</w:t>
      </w:r>
      <w:r>
        <w:rPr>
          <w:spacing w:val="0"/>
          <w:lang w:val="es-ES"/>
        </w:rPr>
        <w:t>to de los programas de seguridad social dirigidos a determinados grupos.</w:t>
      </w:r>
    </w:p>
    <w:p w:rsidR="001D2E73" w:rsidRDefault="001D2E73">
      <w:pPr>
        <w:pStyle w:val="SingleTxtGR"/>
        <w:rPr>
          <w:spacing w:val="0"/>
          <w:lang w:val="es-ES"/>
        </w:rPr>
      </w:pPr>
      <w:r>
        <w:rPr>
          <w:spacing w:val="0"/>
          <w:lang w:val="es-ES"/>
        </w:rPr>
        <w:t>268.</w:t>
      </w:r>
      <w:r>
        <w:rPr>
          <w:spacing w:val="0"/>
          <w:lang w:val="es-ES"/>
        </w:rPr>
        <w:tab/>
        <w:t>Por otra parte, entre 2003 y 2005, el país llevó a cabo con éxito actividades experimentales y preparatorias para el funcionamiento del sistema de pensiones, b</w:t>
      </w:r>
      <w:r>
        <w:rPr>
          <w:spacing w:val="0"/>
          <w:lang w:val="es-ES"/>
        </w:rPr>
        <w:t>a</w:t>
      </w:r>
      <w:r>
        <w:rPr>
          <w:spacing w:val="0"/>
          <w:lang w:val="es-ES"/>
        </w:rPr>
        <w:t>sado en el cálculo personificado. A partir del 1º de enero de 2006 comenzó el tránsito hacia el nuevo sistema de pensiones de jubilación b</w:t>
      </w:r>
      <w:r>
        <w:rPr>
          <w:spacing w:val="0"/>
          <w:lang w:val="es-ES"/>
        </w:rPr>
        <w:t>a</w:t>
      </w:r>
      <w:r>
        <w:rPr>
          <w:spacing w:val="0"/>
          <w:lang w:val="es-ES"/>
        </w:rPr>
        <w:t xml:space="preserve">sado en las contribuciones al seguro. </w:t>
      </w:r>
    </w:p>
    <w:p w:rsidR="001D2E73" w:rsidRDefault="001D2E73">
      <w:pPr>
        <w:pStyle w:val="SingleTxtGR"/>
        <w:rPr>
          <w:spacing w:val="0"/>
          <w:lang w:val="es-ES"/>
        </w:rPr>
      </w:pPr>
      <w:r>
        <w:rPr>
          <w:spacing w:val="0"/>
          <w:lang w:val="es-ES"/>
        </w:rPr>
        <w:t>269.</w:t>
      </w:r>
      <w:r>
        <w:rPr>
          <w:spacing w:val="0"/>
          <w:lang w:val="es-ES"/>
        </w:rPr>
        <w:tab/>
        <w:t>Lo esencial del nuevo sistema que garantiza una relación directa entre las contribuciones al seguro social basadas en los principios de cálculo personificado y lo que se paga a cada asegurado, así como garantizar su pensión consiste en que las pensiones se asignan a los ciudadanos sobre la base del cálculo personificado, lo que equivale a garantizar de manera justa y transparente el derecho a la protección social de los ciudadanos. Este sistema permite a cada ciudadano, así como a los extranjeros que reciban ingresos de fuentes aze</w:t>
      </w:r>
      <w:r>
        <w:rPr>
          <w:spacing w:val="0"/>
          <w:lang w:val="es-ES"/>
        </w:rPr>
        <w:t>r</w:t>
      </w:r>
      <w:r>
        <w:rPr>
          <w:spacing w:val="0"/>
          <w:lang w:val="es-ES"/>
        </w:rPr>
        <w:t>baiyanas, participar en el sistema de seguro social y disfrutar del derecho a recibir una pensión y prestaciones dignas.</w:t>
      </w:r>
    </w:p>
    <w:p w:rsidR="001D2E73" w:rsidRDefault="001D2E73">
      <w:pPr>
        <w:pStyle w:val="SingleTxtGR"/>
        <w:rPr>
          <w:spacing w:val="0"/>
          <w:lang w:val="es-ES"/>
        </w:rPr>
      </w:pPr>
      <w:r>
        <w:rPr>
          <w:spacing w:val="0"/>
          <w:lang w:val="es-ES"/>
        </w:rPr>
        <w:t>270.</w:t>
      </w:r>
      <w:r>
        <w:rPr>
          <w:spacing w:val="0"/>
          <w:lang w:val="es-ES"/>
        </w:rPr>
        <w:tab/>
        <w:t>Una de las características del tránsito hacia el nuevo sistema de contribuciones sociales en Azerbaiyán es el respeto de la justicia social en la prote</w:t>
      </w:r>
      <w:r>
        <w:rPr>
          <w:spacing w:val="0"/>
          <w:lang w:val="es-ES"/>
        </w:rPr>
        <w:t>c</w:t>
      </w:r>
      <w:r>
        <w:rPr>
          <w:spacing w:val="0"/>
          <w:lang w:val="es-ES"/>
        </w:rPr>
        <w:t>ción de los derechos de jubilación de los beneficiarios del sistema anterior y su int</w:t>
      </w:r>
      <w:r>
        <w:rPr>
          <w:spacing w:val="0"/>
          <w:lang w:val="es-ES"/>
        </w:rPr>
        <w:t>e</w:t>
      </w:r>
      <w:r>
        <w:rPr>
          <w:spacing w:val="0"/>
          <w:lang w:val="es-ES"/>
        </w:rPr>
        <w:t>gración sin ningún tipo de limitación en las nuevas condiciones. Como resultado de las medidas aplicadas en esta dirección, el pago garantizado de las pensiones a todos los ben</w:t>
      </w:r>
      <w:r>
        <w:rPr>
          <w:spacing w:val="0"/>
          <w:lang w:val="es-ES"/>
        </w:rPr>
        <w:t>e</w:t>
      </w:r>
      <w:r>
        <w:rPr>
          <w:spacing w:val="0"/>
          <w:lang w:val="es-ES"/>
        </w:rPr>
        <w:t>ficiarios del anterior sistema de pensiones se ha hecho plenamente compatible con las nuevas normas. Se incrementaron simultáneamente las pensiones de todo el conti</w:t>
      </w:r>
      <w:r>
        <w:rPr>
          <w:spacing w:val="0"/>
          <w:lang w:val="es-ES"/>
        </w:rPr>
        <w:t>n</w:t>
      </w:r>
      <w:r>
        <w:rPr>
          <w:spacing w:val="0"/>
          <w:lang w:val="es-ES"/>
        </w:rPr>
        <w:t xml:space="preserve">gente de beneficiarios de pensiones. </w:t>
      </w:r>
    </w:p>
    <w:p w:rsidR="001D2E73" w:rsidRDefault="001D2E73">
      <w:pPr>
        <w:pStyle w:val="SingleTxtGR"/>
        <w:rPr>
          <w:spacing w:val="0"/>
          <w:lang w:val="es-ES"/>
        </w:rPr>
      </w:pPr>
      <w:r>
        <w:rPr>
          <w:spacing w:val="0"/>
          <w:lang w:val="es-ES"/>
        </w:rPr>
        <w:t>271.</w:t>
      </w:r>
      <w:r>
        <w:rPr>
          <w:spacing w:val="0"/>
          <w:lang w:val="es-ES"/>
        </w:rPr>
        <w:tab/>
        <w:t>El cambio del mecanismo de incremento de las pensiones en un nuevo sistema de pensiones y contribuciones que cumple los requisitos de la economía de mercado, es decir el aumento parejo del componente básico de todas las pensiones no menos de una vez al año y nunca por debajo del nivel del índice de los precios al consum</w:t>
      </w:r>
      <w:r>
        <w:rPr>
          <w:spacing w:val="0"/>
          <w:lang w:val="es-ES"/>
        </w:rPr>
        <w:t>i</w:t>
      </w:r>
      <w:r>
        <w:rPr>
          <w:spacing w:val="0"/>
          <w:lang w:val="es-ES"/>
        </w:rPr>
        <w:t>dor, así como la indización del componente contributivo, permitieron una distrib</w:t>
      </w:r>
      <w:r>
        <w:rPr>
          <w:spacing w:val="0"/>
          <w:lang w:val="es-ES"/>
        </w:rPr>
        <w:t>u</w:t>
      </w:r>
      <w:r>
        <w:rPr>
          <w:spacing w:val="0"/>
          <w:lang w:val="es-ES"/>
        </w:rPr>
        <w:t>ción justa de los recursos financieros existentes entre los jubilados y la protección de los recursos destinados a pensiones contra la infl</w:t>
      </w:r>
      <w:r>
        <w:rPr>
          <w:spacing w:val="0"/>
          <w:lang w:val="es-ES"/>
        </w:rPr>
        <w:t>a</w:t>
      </w:r>
      <w:r>
        <w:rPr>
          <w:spacing w:val="0"/>
          <w:lang w:val="es-ES"/>
        </w:rPr>
        <w:t xml:space="preserve">ción. </w:t>
      </w:r>
    </w:p>
    <w:p w:rsidR="001D2E73" w:rsidRDefault="001D2E73">
      <w:pPr>
        <w:pStyle w:val="SingleTxtGR"/>
        <w:rPr>
          <w:spacing w:val="0"/>
          <w:lang w:val="es-ES"/>
        </w:rPr>
      </w:pPr>
      <w:r>
        <w:rPr>
          <w:spacing w:val="0"/>
          <w:lang w:val="es-ES"/>
        </w:rPr>
        <w:t>272.</w:t>
      </w:r>
      <w:r>
        <w:rPr>
          <w:spacing w:val="0"/>
          <w:lang w:val="es-ES"/>
        </w:rPr>
        <w:tab/>
        <w:t>Gracias a las reformas llevadas a cabo, tras el traspaso al Fondo Estatal de Protección Social el 1º de enero de 2006, de la gestión de los pagos de prestaciones sociales con cargo a las contribuciones obligatorias al seguro social estatal por parte de las instituciones y organizaciones, se logró eliminar los problemas que surgen debido al pago de pensiones y prestaciones a los trabajadores según el puesto de trabajo y en los casos en que surgen deudas por prestaciones sociales. Además, se logró organizar estos pagos en las nuevas condiciones y se introdujo el pago mediante tarj</w:t>
      </w:r>
      <w:r>
        <w:rPr>
          <w:spacing w:val="0"/>
          <w:lang w:val="es-ES"/>
        </w:rPr>
        <w:t>e</w:t>
      </w:r>
      <w:r>
        <w:rPr>
          <w:spacing w:val="0"/>
          <w:lang w:val="es-ES"/>
        </w:rPr>
        <w:t>tas plásticas. Por otra parte, se eliminó la práctica negativa del pago del 50% de la pensión a los jubilados, que ahora reciben su pensión completa.</w:t>
      </w:r>
    </w:p>
    <w:p w:rsidR="001D2E73" w:rsidRDefault="001D2E73">
      <w:pPr>
        <w:pStyle w:val="SingleTxtGR"/>
        <w:rPr>
          <w:spacing w:val="0"/>
          <w:lang w:val="es-ES"/>
        </w:rPr>
      </w:pPr>
      <w:r>
        <w:rPr>
          <w:spacing w:val="0"/>
          <w:lang w:val="es-ES"/>
        </w:rPr>
        <w:t>273.</w:t>
      </w:r>
      <w:r>
        <w:rPr>
          <w:spacing w:val="0"/>
          <w:lang w:val="es-ES"/>
        </w:rPr>
        <w:tab/>
        <w:t>El 1º de enero de 2006 comenzaron a calcularse las pensiones sin aplicar limitaciones al salario.</w:t>
      </w:r>
    </w:p>
    <w:p w:rsidR="001D2E73" w:rsidRDefault="001D2E73">
      <w:pPr>
        <w:pStyle w:val="SingleTxtGR"/>
        <w:rPr>
          <w:spacing w:val="0"/>
          <w:lang w:val="es-ES"/>
        </w:rPr>
      </w:pPr>
      <w:r>
        <w:rPr>
          <w:spacing w:val="0"/>
          <w:lang w:val="es-ES"/>
        </w:rPr>
        <w:t>274.</w:t>
      </w:r>
      <w:r>
        <w:rPr>
          <w:spacing w:val="0"/>
          <w:lang w:val="es-ES"/>
        </w:rPr>
        <w:tab/>
        <w:t>A partir del 1º de enero de 2007 se dio por terminado en el país el proceso de creación del sistema único de pensiones y seguro social con la incorporación al sistema de seguro social obligatorio de los militares y personas que tienen una condición social especial, así como de los empleados públicos, y se ofreció a todos la posibilidad de aprovechar las ventajas de este sistema.</w:t>
      </w:r>
    </w:p>
    <w:p w:rsidR="001D2E73" w:rsidRDefault="001D2E73">
      <w:pPr>
        <w:pStyle w:val="SingleTxtGR"/>
        <w:rPr>
          <w:spacing w:val="0"/>
          <w:lang w:val="es-ES"/>
        </w:rPr>
      </w:pPr>
      <w:r>
        <w:rPr>
          <w:spacing w:val="0"/>
          <w:lang w:val="es-ES"/>
        </w:rPr>
        <w:t>275.</w:t>
      </w:r>
      <w:r>
        <w:rPr>
          <w:spacing w:val="0"/>
          <w:lang w:val="es-ES"/>
        </w:rPr>
        <w:tab/>
        <w:t>Entre las medidas llevadas a cabo en la esfera de la protección de los derechos sociales de los jubilados, cabe señalar especialmente la aplicación de la tecnología moderna al pago de las pensiones a partir de 2004. Las medidas adoptadas en esta esfera eliminaron muchos problemas que existían en el pago de las pensiones. A</w:t>
      </w:r>
      <w:r>
        <w:rPr>
          <w:spacing w:val="0"/>
          <w:lang w:val="es-ES"/>
        </w:rPr>
        <w:t>c</w:t>
      </w:r>
      <w:r>
        <w:rPr>
          <w:spacing w:val="0"/>
          <w:lang w:val="es-ES"/>
        </w:rPr>
        <w:t xml:space="preserve">tualmente 100% de los jubilados que viven en las ciudades y 91,3% en el campo, un promedio de 95% de los jubilados, o sea 1.075.000 personas, reciben sus pensiones por medio de tarjetas plásticas. </w:t>
      </w:r>
    </w:p>
    <w:p w:rsidR="001D2E73" w:rsidRDefault="001D2E73">
      <w:pPr>
        <w:pStyle w:val="SingleTxtGR"/>
        <w:rPr>
          <w:spacing w:val="0"/>
          <w:lang w:val="es-ES"/>
        </w:rPr>
      </w:pPr>
      <w:r>
        <w:rPr>
          <w:spacing w:val="0"/>
          <w:lang w:val="es-ES"/>
        </w:rPr>
        <w:t>276.</w:t>
      </w:r>
      <w:r>
        <w:rPr>
          <w:spacing w:val="0"/>
          <w:lang w:val="es-ES"/>
        </w:rPr>
        <w:tab/>
        <w:t xml:space="preserve">El modelo de pensiones de Azerbaiyán ha recibido una alta valoración de prestigiosas organizaciones internacionales y de las instituciones financieras que lo han recomendado como ejemplo para los países con economías en transición. </w:t>
      </w:r>
    </w:p>
    <w:p w:rsidR="001D2E73" w:rsidRDefault="001D2E73">
      <w:pPr>
        <w:pStyle w:val="SingleTxtGR"/>
        <w:rPr>
          <w:spacing w:val="0"/>
          <w:lang w:val="es-ES"/>
        </w:rPr>
      </w:pPr>
      <w:r>
        <w:rPr>
          <w:spacing w:val="0"/>
          <w:lang w:val="es-ES"/>
        </w:rPr>
        <w:t>277.</w:t>
      </w:r>
      <w:r>
        <w:rPr>
          <w:spacing w:val="0"/>
          <w:lang w:val="es-ES"/>
        </w:rPr>
        <w:tab/>
        <w:t xml:space="preserve">En septiembre de 2004, nuestro país fue elegido miembro de la Mesa de </w:t>
      </w:r>
      <w:smartTag w:uri="urn:schemas-microsoft-com:office:smarttags" w:element="PersonName">
        <w:smartTagPr>
          <w:attr w:name="ProductID" w:val="la Asociaci￳n Internacional"/>
        </w:smartTagPr>
        <w:r>
          <w:rPr>
            <w:spacing w:val="0"/>
            <w:lang w:val="es-ES"/>
          </w:rPr>
          <w:t>la Asociación Internacional</w:t>
        </w:r>
      </w:smartTag>
      <w:r>
        <w:rPr>
          <w:spacing w:val="0"/>
          <w:lang w:val="es-ES"/>
        </w:rPr>
        <w:t xml:space="preserve"> de </w:t>
      </w:r>
      <w:smartTag w:uri="urn:schemas-microsoft-com:office:smarttags" w:element="PersonName">
        <w:smartTagPr>
          <w:attr w:name="ProductID" w:val="la Seguridad Social"/>
        </w:smartTagPr>
        <w:r>
          <w:rPr>
            <w:spacing w:val="0"/>
            <w:lang w:val="es-ES"/>
          </w:rPr>
          <w:t>la Seguridad Social</w:t>
        </w:r>
      </w:smartTag>
      <w:r>
        <w:rPr>
          <w:spacing w:val="0"/>
          <w:lang w:val="es-ES"/>
        </w:rPr>
        <w:t xml:space="preserve">, en septiembre de 2005 se celebró en Bakú la reunión europea de la Asociación. </w:t>
      </w:r>
    </w:p>
    <w:p w:rsidR="001D2E73" w:rsidRDefault="001D2E73">
      <w:pPr>
        <w:pStyle w:val="SingleTxtGR"/>
        <w:rPr>
          <w:spacing w:val="0"/>
          <w:lang w:val="es-ES"/>
        </w:rPr>
      </w:pPr>
      <w:r>
        <w:rPr>
          <w:spacing w:val="0"/>
          <w:lang w:val="es-ES"/>
        </w:rPr>
        <w:t>278.</w:t>
      </w:r>
      <w:r>
        <w:rPr>
          <w:spacing w:val="0"/>
          <w:lang w:val="es-ES"/>
        </w:rPr>
        <w:tab/>
        <w:t>En junio de 2007, en la oficina central del Banco Mundial, por primera vez entre los países de la CEI, se hizo una amplia presentación del sistema de pensiones de Azerbaiyán. En esa actividad, las reformas llevadas a cabo en el sistema de pe</w:t>
      </w:r>
      <w:r>
        <w:rPr>
          <w:spacing w:val="0"/>
          <w:lang w:val="es-ES"/>
        </w:rPr>
        <w:t>n</w:t>
      </w:r>
      <w:r>
        <w:rPr>
          <w:spacing w:val="0"/>
          <w:lang w:val="es-ES"/>
        </w:rPr>
        <w:t xml:space="preserve">siones de Azerbaiyán, así como el modelo creado, fueron recomendados por el Banco Mundial como ejemplo para los países con economías en transición. </w:t>
      </w:r>
    </w:p>
    <w:p w:rsidR="001D2E73" w:rsidRDefault="001D2E73">
      <w:pPr>
        <w:pStyle w:val="SingleTxtGR"/>
        <w:rPr>
          <w:spacing w:val="0"/>
          <w:lang w:val="es-ES"/>
        </w:rPr>
      </w:pPr>
      <w:r>
        <w:rPr>
          <w:spacing w:val="0"/>
          <w:lang w:val="es-ES"/>
        </w:rPr>
        <w:t>279.</w:t>
      </w:r>
      <w:r>
        <w:rPr>
          <w:spacing w:val="0"/>
          <w:lang w:val="es-ES"/>
        </w:rPr>
        <w:tab/>
        <w:t xml:space="preserve">En octubre de 2008 se celebró en Bakú, un seminario técnico internacional, organizado conjuntamente por </w:t>
      </w:r>
      <w:smartTag w:uri="urn:schemas-microsoft-com:office:smarttags" w:element="PersonName">
        <w:smartTagPr>
          <w:attr w:name="ProductID" w:val="la Asociaci￳n Mundial"/>
        </w:smartTagPr>
        <w:r>
          <w:rPr>
            <w:spacing w:val="0"/>
            <w:lang w:val="es-ES"/>
          </w:rPr>
          <w:t>la Asociación Mundial</w:t>
        </w:r>
      </w:smartTag>
      <w:r>
        <w:rPr>
          <w:spacing w:val="0"/>
          <w:lang w:val="es-ES"/>
        </w:rPr>
        <w:t xml:space="preserve"> de </w:t>
      </w:r>
      <w:smartTag w:uri="urn:schemas-microsoft-com:office:smarttags" w:element="PersonName">
        <w:smartTagPr>
          <w:attr w:name="ProductID" w:val="la Seguridad Social"/>
        </w:smartTagPr>
        <w:r>
          <w:rPr>
            <w:spacing w:val="0"/>
            <w:lang w:val="es-ES"/>
          </w:rPr>
          <w:t>la Seguridad Social</w:t>
        </w:r>
      </w:smartTag>
      <w:r>
        <w:rPr>
          <w:spacing w:val="0"/>
          <w:lang w:val="es-ES"/>
        </w:rPr>
        <w:t xml:space="preserve"> y el Fondo Estatal de Protección Social de la República de Azerbaiyán, en el que partic</w:t>
      </w:r>
      <w:r>
        <w:rPr>
          <w:spacing w:val="0"/>
          <w:lang w:val="es-ES"/>
        </w:rPr>
        <w:t>i</w:t>
      </w:r>
      <w:r>
        <w:rPr>
          <w:spacing w:val="0"/>
          <w:lang w:val="es-ES"/>
        </w:rPr>
        <w:t xml:space="preserve">paron 16 países miembros de la Asociación. </w:t>
      </w:r>
    </w:p>
    <w:p w:rsidR="001D2E73" w:rsidRDefault="001D2E73">
      <w:pPr>
        <w:pStyle w:val="SingleTxtGR"/>
        <w:rPr>
          <w:spacing w:val="0"/>
          <w:lang w:val="es-ES"/>
        </w:rPr>
      </w:pPr>
      <w:r>
        <w:rPr>
          <w:spacing w:val="0"/>
          <w:lang w:val="es-ES"/>
        </w:rPr>
        <w:t>280.</w:t>
      </w:r>
      <w:r>
        <w:rPr>
          <w:spacing w:val="0"/>
          <w:lang w:val="es-ES"/>
        </w:rPr>
        <w:tab/>
        <w:t>Nuestro país atribuye gran importancia al logra futuro de un sistema de pensiones autorregulado que se desarrolle de manera independiente y a la determinación de los objetivos fundamentales, las tareas y las medidas que quedan por delante.</w:t>
      </w:r>
    </w:p>
    <w:p w:rsidR="001D2E73" w:rsidRDefault="001D2E73">
      <w:pPr>
        <w:pStyle w:val="SingleTxtGR"/>
        <w:rPr>
          <w:spacing w:val="0"/>
          <w:lang w:val="es-ES"/>
        </w:rPr>
      </w:pPr>
      <w:r>
        <w:rPr>
          <w:spacing w:val="0"/>
          <w:lang w:val="es-ES"/>
        </w:rPr>
        <w:t>281.</w:t>
      </w:r>
      <w:r>
        <w:rPr>
          <w:spacing w:val="0"/>
          <w:lang w:val="es-ES"/>
        </w:rPr>
        <w:tab/>
        <w:t>El Programa estatal de ampliación del sistema de pensiones de Azerbaiyán para 2009-2015, aprobado por Instrucción del Presidente, de 30 de diciembre de 2008, procura hallar una solución integral a las tareas antes señaladas y es la continuación de las reformas realizadas en el sistema de pensiones de nuestro país.</w:t>
      </w:r>
    </w:p>
    <w:p w:rsidR="001D2E73" w:rsidRDefault="001D2E73">
      <w:pPr>
        <w:pStyle w:val="SingleTxtGR"/>
        <w:rPr>
          <w:spacing w:val="0"/>
          <w:lang w:val="es-ES"/>
        </w:rPr>
      </w:pPr>
      <w:r>
        <w:rPr>
          <w:spacing w:val="0"/>
          <w:lang w:val="es-ES"/>
        </w:rPr>
        <w:t>282.</w:t>
      </w:r>
      <w:r>
        <w:rPr>
          <w:spacing w:val="0"/>
          <w:lang w:val="es-ES"/>
        </w:rPr>
        <w:tab/>
        <w:t>En la realización de las medidas establecidas en el Programa, se procurará lograr en particular la estabilidad financiera del sistema de pensiones, fort</w:t>
      </w:r>
      <w:r>
        <w:rPr>
          <w:spacing w:val="0"/>
          <w:lang w:val="es-ES"/>
        </w:rPr>
        <w:t>a</w:t>
      </w:r>
      <w:r>
        <w:rPr>
          <w:spacing w:val="0"/>
          <w:lang w:val="es-ES"/>
        </w:rPr>
        <w:t>lecer los principios de la pensión social, así como asegurar las pensiones de los ciudadanos en el futuro.</w:t>
      </w:r>
    </w:p>
    <w:p w:rsidR="001D2E73" w:rsidRDefault="001D2E73">
      <w:pPr>
        <w:keepNext/>
        <w:keepLines/>
        <w:spacing w:before="240" w:after="120"/>
        <w:rPr>
          <w:iCs/>
          <w:sz w:val="16"/>
          <w:szCs w:val="16"/>
        </w:rPr>
      </w:pPr>
      <w:r>
        <w:tab/>
      </w:r>
      <w:r>
        <w:tab/>
        <w:t>Cuadro 15</w:t>
      </w:r>
      <w:r>
        <w:br/>
      </w:r>
      <w:r>
        <w:tab/>
      </w:r>
      <w:r>
        <w:tab/>
      </w:r>
      <w:r>
        <w:rPr>
          <w:b/>
        </w:rPr>
        <w:t xml:space="preserve">Monto medio de las pensiones mensuales asignadas </w:t>
      </w:r>
      <w:r>
        <w:rPr>
          <w:b/>
        </w:rPr>
        <w:br/>
      </w:r>
      <w:r>
        <w:rPr>
          <w:b/>
        </w:rPr>
        <w:tab/>
      </w:r>
      <w:r>
        <w:rPr>
          <w:b/>
        </w:rPr>
        <w:tab/>
      </w:r>
      <w:r>
        <w:rPr>
          <w:iCs/>
          <w:sz w:val="16"/>
          <w:szCs w:val="16"/>
        </w:rPr>
        <w:t>(a principios de año, en manat) (1 manat = 1,25 dólar de los Estados Unidos)</w:t>
      </w:r>
    </w:p>
    <w:tbl>
      <w:tblPr>
        <w:tblpPr w:leftFromText="180" w:rightFromText="180" w:vertAnchor="text" w:tblpX="1108" w:tblpY="1"/>
        <w:tblOverlap w:val="never"/>
        <w:tblW w:w="8530"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5730"/>
        <w:gridCol w:w="933"/>
        <w:gridCol w:w="933"/>
        <w:gridCol w:w="934"/>
      </w:tblGrid>
      <w:tr w:rsidR="001D2E73">
        <w:trPr>
          <w:trHeight w:val="315"/>
        </w:trPr>
        <w:tc>
          <w:tcPr>
            <w:tcW w:w="5730"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rPr>
                <w:i/>
                <w:sz w:val="16"/>
              </w:rPr>
            </w:pPr>
            <w:r>
              <w:rPr>
                <w:i/>
                <w:sz w:val="16"/>
              </w:rPr>
              <w:t> </w:t>
            </w:r>
          </w:p>
        </w:tc>
        <w:tc>
          <w:tcPr>
            <w:tcW w:w="933"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rPr>
            </w:pPr>
            <w:r>
              <w:rPr>
                <w:i/>
                <w:sz w:val="16"/>
              </w:rPr>
              <w:t>2004</w:t>
            </w:r>
          </w:p>
        </w:tc>
        <w:tc>
          <w:tcPr>
            <w:tcW w:w="933"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rPr>
            </w:pPr>
            <w:r>
              <w:rPr>
                <w:i/>
                <w:sz w:val="16"/>
              </w:rPr>
              <w:t>2005</w:t>
            </w:r>
          </w:p>
        </w:tc>
        <w:tc>
          <w:tcPr>
            <w:tcW w:w="934" w:type="dxa"/>
            <w:tcBorders>
              <w:top w:val="single" w:sz="4" w:space="0" w:color="auto"/>
              <w:left w:val="nil"/>
              <w:bottom w:val="single" w:sz="12" w:space="0" w:color="auto"/>
              <w:right w:val="nil"/>
              <w:tl2br w:val="nil"/>
              <w:tr2bl w:val="nil"/>
            </w:tcBorders>
            <w:shd w:val="clear" w:color="auto" w:fill="auto"/>
            <w:noWrap/>
          </w:tcPr>
          <w:p w:rsidR="001D2E73" w:rsidRDefault="001D2E73">
            <w:pPr>
              <w:keepNext/>
              <w:keepLines/>
              <w:spacing w:before="80" w:after="80" w:line="200" w:lineRule="exact"/>
              <w:jc w:val="right"/>
              <w:rPr>
                <w:i/>
                <w:sz w:val="16"/>
              </w:rPr>
            </w:pPr>
            <w:r>
              <w:rPr>
                <w:i/>
                <w:sz w:val="16"/>
              </w:rPr>
              <w:t>2006</w:t>
            </w:r>
          </w:p>
        </w:tc>
      </w:tr>
      <w:tr w:rsidR="001D2E73">
        <w:trPr>
          <w:trHeight w:val="321"/>
        </w:trPr>
        <w:tc>
          <w:tcPr>
            <w:tcW w:w="5730" w:type="dxa"/>
            <w:tcBorders>
              <w:top w:val="single" w:sz="12" w:space="0" w:color="auto"/>
              <w:bottom w:val="single" w:sz="4" w:space="0" w:color="auto"/>
            </w:tcBorders>
          </w:tcPr>
          <w:p w:rsidR="001D2E73" w:rsidRDefault="001D2E73">
            <w:pPr>
              <w:keepNext/>
              <w:keepLines/>
              <w:spacing w:before="80" w:after="80" w:line="220" w:lineRule="exact"/>
              <w:ind w:left="284"/>
              <w:rPr>
                <w:b/>
                <w:sz w:val="18"/>
                <w:szCs w:val="18"/>
              </w:rPr>
            </w:pPr>
            <w:r>
              <w:rPr>
                <w:b/>
                <w:sz w:val="18"/>
                <w:szCs w:val="18"/>
              </w:rPr>
              <w:t>Monto medio de la pensión mensual asignada, T</w:t>
            </w:r>
            <w:r>
              <w:rPr>
                <w:b/>
                <w:sz w:val="18"/>
                <w:szCs w:val="18"/>
              </w:rPr>
              <w:t>o</w:t>
            </w:r>
            <w:r>
              <w:rPr>
                <w:b/>
                <w:sz w:val="18"/>
                <w:szCs w:val="18"/>
              </w:rPr>
              <w:t>tal</w:t>
            </w:r>
          </w:p>
        </w:tc>
        <w:tc>
          <w:tcPr>
            <w:tcW w:w="933" w:type="dxa"/>
            <w:tcBorders>
              <w:top w:val="single" w:sz="12" w:space="0" w:color="auto"/>
              <w:bottom w:val="single" w:sz="4" w:space="0" w:color="auto"/>
            </w:tcBorders>
            <w:noWrap/>
          </w:tcPr>
          <w:p w:rsidR="001D2E73" w:rsidRDefault="001D2E73">
            <w:pPr>
              <w:keepNext/>
              <w:keepLines/>
              <w:spacing w:before="80" w:after="80" w:line="220" w:lineRule="exact"/>
              <w:jc w:val="right"/>
              <w:rPr>
                <w:b/>
                <w:sz w:val="18"/>
                <w:szCs w:val="18"/>
              </w:rPr>
            </w:pPr>
            <w:r>
              <w:rPr>
                <w:b/>
                <w:sz w:val="18"/>
                <w:szCs w:val="18"/>
              </w:rPr>
              <w:t>23,8</w:t>
            </w:r>
          </w:p>
        </w:tc>
        <w:tc>
          <w:tcPr>
            <w:tcW w:w="933" w:type="dxa"/>
            <w:tcBorders>
              <w:top w:val="single" w:sz="12" w:space="0" w:color="auto"/>
              <w:bottom w:val="single" w:sz="4" w:space="0" w:color="auto"/>
            </w:tcBorders>
            <w:noWrap/>
          </w:tcPr>
          <w:p w:rsidR="001D2E73" w:rsidRDefault="001D2E73">
            <w:pPr>
              <w:keepNext/>
              <w:keepLines/>
              <w:spacing w:before="80" w:after="80" w:line="220" w:lineRule="exact"/>
              <w:jc w:val="right"/>
              <w:rPr>
                <w:b/>
                <w:sz w:val="18"/>
                <w:szCs w:val="18"/>
              </w:rPr>
            </w:pPr>
            <w:r>
              <w:rPr>
                <w:b/>
                <w:sz w:val="18"/>
                <w:szCs w:val="18"/>
              </w:rPr>
              <w:t>24,0</w:t>
            </w:r>
          </w:p>
        </w:tc>
        <w:tc>
          <w:tcPr>
            <w:tcW w:w="934" w:type="dxa"/>
            <w:tcBorders>
              <w:top w:val="single" w:sz="12" w:space="0" w:color="auto"/>
              <w:left w:val="nil"/>
              <w:bottom w:val="single" w:sz="4" w:space="0" w:color="auto"/>
              <w:right w:val="nil"/>
              <w:tl2br w:val="nil"/>
              <w:tr2bl w:val="nil"/>
            </w:tcBorders>
          </w:tcPr>
          <w:p w:rsidR="001D2E73" w:rsidRDefault="001D2E73">
            <w:pPr>
              <w:keepNext/>
              <w:keepLines/>
              <w:spacing w:before="80" w:after="80" w:line="220" w:lineRule="exact"/>
              <w:jc w:val="right"/>
              <w:rPr>
                <w:b/>
                <w:sz w:val="18"/>
                <w:szCs w:val="18"/>
              </w:rPr>
            </w:pPr>
            <w:r>
              <w:rPr>
                <w:b/>
                <w:sz w:val="18"/>
                <w:szCs w:val="18"/>
              </w:rPr>
              <w:t>28,5</w:t>
            </w:r>
          </w:p>
        </w:tc>
      </w:tr>
      <w:tr w:rsidR="001D2E73">
        <w:trPr>
          <w:trHeight w:val="315"/>
        </w:trPr>
        <w:tc>
          <w:tcPr>
            <w:tcW w:w="5730" w:type="dxa"/>
            <w:tcBorders>
              <w:top w:val="single" w:sz="4" w:space="0" w:color="auto"/>
            </w:tcBorders>
            <w:noWrap/>
          </w:tcPr>
          <w:p w:rsidR="001D2E73" w:rsidRDefault="001D2E73">
            <w:pPr>
              <w:keepNext/>
              <w:keepLines/>
              <w:spacing w:before="40" w:after="40" w:line="220" w:lineRule="exact"/>
              <w:rPr>
                <w:i/>
                <w:sz w:val="18"/>
                <w:szCs w:val="18"/>
              </w:rPr>
            </w:pPr>
            <w:r>
              <w:rPr>
                <w:i/>
                <w:sz w:val="18"/>
                <w:szCs w:val="18"/>
              </w:rPr>
              <w:t>Desglosado:</w:t>
            </w:r>
          </w:p>
        </w:tc>
        <w:tc>
          <w:tcPr>
            <w:tcW w:w="933" w:type="dxa"/>
            <w:tcBorders>
              <w:top w:val="single" w:sz="4" w:space="0" w:color="auto"/>
            </w:tcBorders>
            <w:noWrap/>
          </w:tcPr>
          <w:p w:rsidR="001D2E73" w:rsidRDefault="001D2E73">
            <w:pPr>
              <w:keepNext/>
              <w:keepLines/>
              <w:spacing w:before="40" w:after="40" w:line="220" w:lineRule="exact"/>
              <w:jc w:val="right"/>
              <w:rPr>
                <w:sz w:val="18"/>
                <w:szCs w:val="18"/>
              </w:rPr>
            </w:pPr>
          </w:p>
        </w:tc>
        <w:tc>
          <w:tcPr>
            <w:tcW w:w="933" w:type="dxa"/>
            <w:tcBorders>
              <w:top w:val="single" w:sz="4" w:space="0" w:color="auto"/>
            </w:tcBorders>
            <w:noWrap/>
          </w:tcPr>
          <w:p w:rsidR="001D2E73" w:rsidRDefault="001D2E73">
            <w:pPr>
              <w:keepNext/>
              <w:keepLines/>
              <w:spacing w:before="40" w:after="40" w:line="220" w:lineRule="exact"/>
              <w:jc w:val="right"/>
              <w:rPr>
                <w:sz w:val="18"/>
                <w:szCs w:val="18"/>
              </w:rPr>
            </w:pPr>
          </w:p>
        </w:tc>
        <w:tc>
          <w:tcPr>
            <w:tcW w:w="934" w:type="dxa"/>
            <w:tcBorders>
              <w:top w:val="single" w:sz="4" w:space="0" w:color="auto"/>
              <w:left w:val="nil"/>
              <w:bottom w:val="nil"/>
              <w:right w:val="nil"/>
              <w:tl2br w:val="nil"/>
              <w:tr2bl w:val="nil"/>
            </w:tcBorders>
            <w:noWrap/>
          </w:tcPr>
          <w:p w:rsidR="001D2E73" w:rsidRDefault="001D2E73">
            <w:pPr>
              <w:keepNext/>
              <w:keepLines/>
              <w:spacing w:before="40" w:after="40" w:line="220" w:lineRule="exact"/>
              <w:jc w:val="right"/>
              <w:rPr>
                <w:sz w:val="18"/>
                <w:szCs w:val="18"/>
              </w:rPr>
            </w:pPr>
          </w:p>
        </w:tc>
      </w:tr>
      <w:tr w:rsidR="001D2E73">
        <w:trPr>
          <w:trHeight w:val="315"/>
        </w:trPr>
        <w:tc>
          <w:tcPr>
            <w:tcW w:w="5730" w:type="dxa"/>
            <w:noWrap/>
          </w:tcPr>
          <w:p w:rsidR="001D2E73" w:rsidRDefault="001D2E73">
            <w:pPr>
              <w:spacing w:before="40" w:after="40" w:line="220" w:lineRule="exact"/>
              <w:rPr>
                <w:sz w:val="18"/>
                <w:szCs w:val="18"/>
              </w:rPr>
            </w:pPr>
            <w:r>
              <w:rPr>
                <w:sz w:val="18"/>
                <w:szCs w:val="18"/>
              </w:rPr>
              <w:t>Por edades</w:t>
            </w:r>
          </w:p>
        </w:tc>
        <w:tc>
          <w:tcPr>
            <w:tcW w:w="933" w:type="dxa"/>
            <w:noWrap/>
          </w:tcPr>
          <w:p w:rsidR="001D2E73" w:rsidRDefault="001D2E73">
            <w:pPr>
              <w:spacing w:before="40" w:after="40" w:line="220" w:lineRule="exact"/>
              <w:jc w:val="right"/>
              <w:rPr>
                <w:sz w:val="18"/>
                <w:szCs w:val="18"/>
              </w:rPr>
            </w:pPr>
            <w:r>
              <w:rPr>
                <w:sz w:val="18"/>
                <w:szCs w:val="18"/>
              </w:rPr>
              <w:t>24,8</w:t>
            </w:r>
          </w:p>
        </w:tc>
        <w:tc>
          <w:tcPr>
            <w:tcW w:w="933" w:type="dxa"/>
            <w:noWrap/>
          </w:tcPr>
          <w:p w:rsidR="001D2E73" w:rsidRDefault="001D2E73">
            <w:pPr>
              <w:spacing w:before="40" w:after="40" w:line="220" w:lineRule="exact"/>
              <w:jc w:val="right"/>
              <w:rPr>
                <w:sz w:val="18"/>
                <w:szCs w:val="18"/>
              </w:rPr>
            </w:pPr>
            <w:r>
              <w:rPr>
                <w:sz w:val="18"/>
                <w:szCs w:val="18"/>
              </w:rPr>
              <w:t>25,0</w:t>
            </w:r>
          </w:p>
        </w:tc>
        <w:tc>
          <w:tcPr>
            <w:tcW w:w="934"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29,5</w:t>
            </w:r>
          </w:p>
        </w:tc>
      </w:tr>
      <w:tr w:rsidR="001D2E73">
        <w:trPr>
          <w:trHeight w:val="315"/>
        </w:trPr>
        <w:tc>
          <w:tcPr>
            <w:tcW w:w="5730" w:type="dxa"/>
            <w:noWrap/>
          </w:tcPr>
          <w:p w:rsidR="001D2E73" w:rsidRDefault="001D2E73">
            <w:pPr>
              <w:spacing w:before="40" w:after="40" w:line="220" w:lineRule="exact"/>
              <w:rPr>
                <w:sz w:val="18"/>
                <w:szCs w:val="18"/>
              </w:rPr>
            </w:pPr>
            <w:r>
              <w:rPr>
                <w:sz w:val="18"/>
                <w:szCs w:val="18"/>
              </w:rPr>
              <w:t>Por discapacidad</w:t>
            </w:r>
          </w:p>
        </w:tc>
        <w:tc>
          <w:tcPr>
            <w:tcW w:w="933" w:type="dxa"/>
            <w:noWrap/>
          </w:tcPr>
          <w:p w:rsidR="001D2E73" w:rsidRDefault="001D2E73">
            <w:pPr>
              <w:spacing w:before="40" w:after="40" w:line="220" w:lineRule="exact"/>
              <w:jc w:val="right"/>
              <w:rPr>
                <w:sz w:val="18"/>
                <w:szCs w:val="18"/>
              </w:rPr>
            </w:pPr>
            <w:r>
              <w:rPr>
                <w:sz w:val="18"/>
                <w:szCs w:val="18"/>
              </w:rPr>
              <w:t>26,3</w:t>
            </w:r>
          </w:p>
        </w:tc>
        <w:tc>
          <w:tcPr>
            <w:tcW w:w="933" w:type="dxa"/>
            <w:noWrap/>
          </w:tcPr>
          <w:p w:rsidR="001D2E73" w:rsidRDefault="001D2E73">
            <w:pPr>
              <w:spacing w:before="40" w:after="40" w:line="220" w:lineRule="exact"/>
              <w:jc w:val="right"/>
              <w:rPr>
                <w:sz w:val="18"/>
                <w:szCs w:val="18"/>
              </w:rPr>
            </w:pPr>
            <w:r>
              <w:rPr>
                <w:sz w:val="18"/>
                <w:szCs w:val="18"/>
              </w:rPr>
              <w:t>26,5</w:t>
            </w:r>
          </w:p>
        </w:tc>
        <w:tc>
          <w:tcPr>
            <w:tcW w:w="934"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32,3</w:t>
            </w:r>
          </w:p>
        </w:tc>
      </w:tr>
      <w:tr w:rsidR="001D2E73">
        <w:trPr>
          <w:trHeight w:val="315"/>
        </w:trPr>
        <w:tc>
          <w:tcPr>
            <w:tcW w:w="5730" w:type="dxa"/>
          </w:tcPr>
          <w:p w:rsidR="001D2E73" w:rsidRDefault="001D2E73">
            <w:pPr>
              <w:spacing w:before="40" w:after="40" w:line="220" w:lineRule="exact"/>
              <w:rPr>
                <w:sz w:val="18"/>
                <w:szCs w:val="18"/>
              </w:rPr>
            </w:pPr>
            <w:r>
              <w:rPr>
                <w:sz w:val="18"/>
                <w:szCs w:val="18"/>
              </w:rPr>
              <w:t>Por pérdida del sostén de la familia</w:t>
            </w:r>
          </w:p>
        </w:tc>
        <w:tc>
          <w:tcPr>
            <w:tcW w:w="933" w:type="dxa"/>
            <w:noWrap/>
          </w:tcPr>
          <w:p w:rsidR="001D2E73" w:rsidRDefault="001D2E73">
            <w:pPr>
              <w:spacing w:before="40" w:after="40" w:line="220" w:lineRule="exact"/>
              <w:jc w:val="right"/>
              <w:rPr>
                <w:sz w:val="18"/>
                <w:szCs w:val="18"/>
              </w:rPr>
            </w:pPr>
            <w:r>
              <w:rPr>
                <w:sz w:val="18"/>
                <w:szCs w:val="18"/>
              </w:rPr>
              <w:t>21,0</w:t>
            </w:r>
          </w:p>
        </w:tc>
        <w:tc>
          <w:tcPr>
            <w:tcW w:w="933" w:type="dxa"/>
            <w:noWrap/>
          </w:tcPr>
          <w:p w:rsidR="001D2E73" w:rsidRDefault="001D2E73">
            <w:pPr>
              <w:spacing w:before="40" w:after="40" w:line="220" w:lineRule="exact"/>
              <w:jc w:val="right"/>
              <w:rPr>
                <w:sz w:val="18"/>
                <w:szCs w:val="18"/>
              </w:rPr>
            </w:pPr>
            <w:r>
              <w:rPr>
                <w:sz w:val="18"/>
                <w:szCs w:val="18"/>
              </w:rPr>
              <w:t>20,9</w:t>
            </w:r>
          </w:p>
        </w:tc>
        <w:tc>
          <w:tcPr>
            <w:tcW w:w="934"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26,5</w:t>
            </w:r>
          </w:p>
        </w:tc>
      </w:tr>
      <w:tr w:rsidR="001D2E73">
        <w:trPr>
          <w:trHeight w:val="318"/>
        </w:trPr>
        <w:tc>
          <w:tcPr>
            <w:tcW w:w="5730" w:type="dxa"/>
          </w:tcPr>
          <w:p w:rsidR="001D2E73" w:rsidRDefault="001D2E73">
            <w:pPr>
              <w:spacing w:before="40" w:after="40" w:line="220" w:lineRule="exact"/>
              <w:rPr>
                <w:sz w:val="18"/>
                <w:szCs w:val="18"/>
              </w:rPr>
            </w:pPr>
            <w:r>
              <w:rPr>
                <w:sz w:val="18"/>
                <w:szCs w:val="18"/>
              </w:rPr>
              <w:t>Pensiones sociales y por años de servicio</w:t>
            </w:r>
          </w:p>
        </w:tc>
        <w:tc>
          <w:tcPr>
            <w:tcW w:w="933" w:type="dxa"/>
            <w:noWrap/>
          </w:tcPr>
          <w:p w:rsidR="001D2E73" w:rsidRDefault="001D2E73">
            <w:pPr>
              <w:spacing w:before="40" w:after="40" w:line="220" w:lineRule="exact"/>
              <w:jc w:val="right"/>
              <w:rPr>
                <w:sz w:val="18"/>
                <w:szCs w:val="18"/>
              </w:rPr>
            </w:pPr>
            <w:r>
              <w:rPr>
                <w:sz w:val="18"/>
                <w:szCs w:val="18"/>
              </w:rPr>
              <w:t>18,7</w:t>
            </w:r>
          </w:p>
        </w:tc>
        <w:tc>
          <w:tcPr>
            <w:tcW w:w="933" w:type="dxa"/>
            <w:noWrap/>
          </w:tcPr>
          <w:p w:rsidR="001D2E73" w:rsidRDefault="001D2E73">
            <w:pPr>
              <w:spacing w:before="40" w:after="40" w:line="220" w:lineRule="exact"/>
              <w:jc w:val="right"/>
              <w:rPr>
                <w:sz w:val="18"/>
                <w:szCs w:val="18"/>
              </w:rPr>
            </w:pPr>
            <w:r>
              <w:rPr>
                <w:sz w:val="18"/>
                <w:szCs w:val="18"/>
              </w:rPr>
              <w:t>18,8</w:t>
            </w:r>
          </w:p>
        </w:tc>
        <w:tc>
          <w:tcPr>
            <w:tcW w:w="934"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20,8</w:t>
            </w:r>
          </w:p>
        </w:tc>
      </w:tr>
      <w:tr w:rsidR="001D2E73">
        <w:trPr>
          <w:trHeight w:val="318"/>
        </w:trPr>
        <w:tc>
          <w:tcPr>
            <w:tcW w:w="5730" w:type="dxa"/>
            <w:tcBorders>
              <w:bottom w:val="single" w:sz="4" w:space="0" w:color="auto"/>
            </w:tcBorders>
          </w:tcPr>
          <w:p w:rsidR="001D2E73" w:rsidRDefault="001D2E73">
            <w:pPr>
              <w:spacing w:before="40" w:after="40" w:line="220" w:lineRule="exact"/>
              <w:rPr>
                <w:sz w:val="18"/>
                <w:szCs w:val="18"/>
              </w:rPr>
            </w:pPr>
            <w:r>
              <w:rPr>
                <w:sz w:val="18"/>
                <w:szCs w:val="18"/>
              </w:rPr>
              <w:t>Monto de la pensión mínima</w:t>
            </w:r>
          </w:p>
        </w:tc>
        <w:tc>
          <w:tcPr>
            <w:tcW w:w="933" w:type="dxa"/>
            <w:tcBorders>
              <w:bottom w:val="single" w:sz="4" w:space="0" w:color="auto"/>
            </w:tcBorders>
            <w:noWrap/>
          </w:tcPr>
          <w:p w:rsidR="001D2E73" w:rsidRDefault="001D2E73">
            <w:pPr>
              <w:spacing w:before="40" w:after="40" w:line="220" w:lineRule="exact"/>
              <w:jc w:val="right"/>
              <w:rPr>
                <w:sz w:val="18"/>
                <w:szCs w:val="18"/>
              </w:rPr>
            </w:pPr>
            <w:r>
              <w:rPr>
                <w:sz w:val="18"/>
                <w:szCs w:val="18"/>
              </w:rPr>
              <w:t>20,0</w:t>
            </w:r>
          </w:p>
        </w:tc>
        <w:tc>
          <w:tcPr>
            <w:tcW w:w="933" w:type="dxa"/>
            <w:tcBorders>
              <w:bottom w:val="single" w:sz="4" w:space="0" w:color="auto"/>
            </w:tcBorders>
            <w:noWrap/>
          </w:tcPr>
          <w:p w:rsidR="001D2E73" w:rsidRDefault="001D2E73">
            <w:pPr>
              <w:spacing w:before="40" w:after="40" w:line="220" w:lineRule="exact"/>
              <w:jc w:val="right"/>
              <w:rPr>
                <w:sz w:val="18"/>
                <w:szCs w:val="18"/>
              </w:rPr>
            </w:pPr>
            <w:r>
              <w:rPr>
                <w:sz w:val="18"/>
                <w:szCs w:val="18"/>
              </w:rPr>
              <w:t>20,0</w:t>
            </w:r>
          </w:p>
        </w:tc>
        <w:tc>
          <w:tcPr>
            <w:tcW w:w="934" w:type="dxa"/>
            <w:tcBorders>
              <w:left w:val="nil"/>
              <w:bottom w:val="single" w:sz="4" w:space="0" w:color="auto"/>
              <w:right w:val="nil"/>
              <w:tl2br w:val="nil"/>
              <w:tr2bl w:val="nil"/>
            </w:tcBorders>
            <w:noWrap/>
          </w:tcPr>
          <w:p w:rsidR="001D2E73" w:rsidRDefault="001D2E73">
            <w:pPr>
              <w:spacing w:before="40" w:after="40" w:line="220" w:lineRule="exact"/>
              <w:jc w:val="right"/>
              <w:rPr>
                <w:sz w:val="18"/>
                <w:szCs w:val="18"/>
              </w:rPr>
            </w:pPr>
            <w:r>
              <w:rPr>
                <w:sz w:val="18"/>
                <w:szCs w:val="18"/>
              </w:rPr>
              <w:t>25,0</w:t>
            </w:r>
          </w:p>
        </w:tc>
      </w:tr>
      <w:tr w:rsidR="001D2E73">
        <w:trPr>
          <w:trHeight w:val="375"/>
        </w:trPr>
        <w:tc>
          <w:tcPr>
            <w:tcW w:w="5730" w:type="dxa"/>
            <w:tcBorders>
              <w:top w:val="single" w:sz="4" w:space="0" w:color="auto"/>
              <w:bottom w:val="single" w:sz="12" w:space="0" w:color="auto"/>
            </w:tcBorders>
            <w:shd w:val="clear" w:color="auto" w:fill="auto"/>
            <w:noWrap/>
          </w:tcPr>
          <w:p w:rsidR="001D2E73" w:rsidRDefault="001D2E73">
            <w:pPr>
              <w:spacing w:before="80" w:after="80" w:line="220" w:lineRule="exact"/>
              <w:rPr>
                <w:i/>
                <w:sz w:val="18"/>
                <w:szCs w:val="18"/>
              </w:rPr>
            </w:pPr>
            <w:r>
              <w:rPr>
                <w:i/>
                <w:sz w:val="18"/>
                <w:szCs w:val="18"/>
              </w:rPr>
              <w:t> </w:t>
            </w:r>
          </w:p>
        </w:tc>
        <w:tc>
          <w:tcPr>
            <w:tcW w:w="933" w:type="dxa"/>
            <w:tcBorders>
              <w:top w:val="single" w:sz="4" w:space="0" w:color="auto"/>
              <w:bottom w:val="single" w:sz="12" w:space="0" w:color="auto"/>
            </w:tcBorders>
            <w:shd w:val="clear" w:color="auto" w:fill="auto"/>
            <w:noWrap/>
          </w:tcPr>
          <w:p w:rsidR="001D2E73" w:rsidRDefault="001D2E73">
            <w:pPr>
              <w:spacing w:before="80" w:after="80" w:line="220" w:lineRule="exact"/>
              <w:jc w:val="right"/>
              <w:rPr>
                <w:i/>
                <w:sz w:val="16"/>
                <w:szCs w:val="16"/>
              </w:rPr>
            </w:pPr>
            <w:r>
              <w:rPr>
                <w:i/>
                <w:sz w:val="16"/>
                <w:szCs w:val="16"/>
              </w:rPr>
              <w:t>2007</w:t>
            </w:r>
          </w:p>
        </w:tc>
        <w:tc>
          <w:tcPr>
            <w:tcW w:w="933" w:type="dxa"/>
            <w:tcBorders>
              <w:top w:val="single" w:sz="4" w:space="0" w:color="auto"/>
              <w:bottom w:val="single" w:sz="12" w:space="0" w:color="auto"/>
            </w:tcBorders>
            <w:shd w:val="clear" w:color="auto" w:fill="auto"/>
            <w:noWrap/>
          </w:tcPr>
          <w:p w:rsidR="001D2E73" w:rsidRDefault="001D2E73">
            <w:pPr>
              <w:spacing w:before="80" w:after="80" w:line="220" w:lineRule="exact"/>
              <w:jc w:val="right"/>
              <w:rPr>
                <w:i/>
                <w:sz w:val="16"/>
                <w:szCs w:val="16"/>
              </w:rPr>
            </w:pPr>
            <w:r>
              <w:rPr>
                <w:i/>
                <w:sz w:val="16"/>
                <w:szCs w:val="16"/>
              </w:rPr>
              <w:t>2008</w:t>
            </w:r>
            <w:r>
              <w:rPr>
                <w:i/>
                <w:sz w:val="18"/>
                <w:szCs w:val="18"/>
                <w:vertAlign w:val="superscript"/>
              </w:rPr>
              <w:t>a</w:t>
            </w:r>
          </w:p>
        </w:tc>
        <w:tc>
          <w:tcPr>
            <w:tcW w:w="934" w:type="dxa"/>
            <w:tcBorders>
              <w:top w:val="single" w:sz="4" w:space="0" w:color="auto"/>
              <w:left w:val="nil"/>
              <w:bottom w:val="single" w:sz="12" w:space="0" w:color="auto"/>
              <w:right w:val="nil"/>
              <w:tl2br w:val="nil"/>
              <w:tr2bl w:val="nil"/>
            </w:tcBorders>
            <w:shd w:val="clear" w:color="auto" w:fill="auto"/>
            <w:noWrap/>
          </w:tcPr>
          <w:p w:rsidR="001D2E73" w:rsidRDefault="001D2E73">
            <w:pPr>
              <w:spacing w:before="80" w:after="80" w:line="220" w:lineRule="exact"/>
              <w:jc w:val="right"/>
              <w:rPr>
                <w:i/>
                <w:sz w:val="16"/>
                <w:szCs w:val="16"/>
              </w:rPr>
            </w:pPr>
            <w:r>
              <w:rPr>
                <w:i/>
                <w:sz w:val="16"/>
                <w:szCs w:val="16"/>
              </w:rPr>
              <w:t>2009</w:t>
            </w:r>
            <w:r>
              <w:rPr>
                <w:i/>
                <w:sz w:val="18"/>
                <w:szCs w:val="18"/>
                <w:vertAlign w:val="superscript"/>
              </w:rPr>
              <w:t>a</w:t>
            </w:r>
          </w:p>
        </w:tc>
      </w:tr>
      <w:tr w:rsidR="001D2E73">
        <w:trPr>
          <w:trHeight w:val="320"/>
        </w:trPr>
        <w:tc>
          <w:tcPr>
            <w:tcW w:w="5730" w:type="dxa"/>
            <w:tcBorders>
              <w:top w:val="single" w:sz="12" w:space="0" w:color="auto"/>
              <w:bottom w:val="single" w:sz="4" w:space="0" w:color="auto"/>
            </w:tcBorders>
          </w:tcPr>
          <w:p w:rsidR="001D2E73" w:rsidRDefault="001D2E73">
            <w:pPr>
              <w:spacing w:before="80" w:after="80" w:line="220" w:lineRule="exact"/>
              <w:ind w:left="284"/>
              <w:rPr>
                <w:b/>
                <w:sz w:val="18"/>
                <w:szCs w:val="18"/>
              </w:rPr>
            </w:pPr>
            <w:r>
              <w:rPr>
                <w:b/>
                <w:sz w:val="18"/>
                <w:szCs w:val="18"/>
              </w:rPr>
              <w:t>Monto medio de la pensión mensual asignada, T</w:t>
            </w:r>
            <w:r>
              <w:rPr>
                <w:b/>
                <w:sz w:val="18"/>
                <w:szCs w:val="18"/>
              </w:rPr>
              <w:t>o</w:t>
            </w:r>
            <w:r>
              <w:rPr>
                <w:b/>
                <w:sz w:val="18"/>
                <w:szCs w:val="18"/>
              </w:rPr>
              <w:t>tal</w:t>
            </w:r>
          </w:p>
        </w:tc>
        <w:tc>
          <w:tcPr>
            <w:tcW w:w="933" w:type="dxa"/>
            <w:tcBorders>
              <w:top w:val="single" w:sz="12" w:space="0" w:color="auto"/>
              <w:bottom w:val="single" w:sz="4" w:space="0" w:color="auto"/>
            </w:tcBorders>
            <w:noWrap/>
          </w:tcPr>
          <w:p w:rsidR="001D2E73" w:rsidRDefault="001D2E73">
            <w:pPr>
              <w:spacing w:before="80" w:after="80" w:line="220" w:lineRule="exact"/>
              <w:jc w:val="right"/>
              <w:rPr>
                <w:b/>
                <w:sz w:val="18"/>
                <w:szCs w:val="18"/>
              </w:rPr>
            </w:pPr>
            <w:r>
              <w:rPr>
                <w:b/>
                <w:sz w:val="18"/>
                <w:szCs w:val="18"/>
              </w:rPr>
              <w:t>41,1</w:t>
            </w:r>
          </w:p>
        </w:tc>
        <w:tc>
          <w:tcPr>
            <w:tcW w:w="933" w:type="dxa"/>
            <w:tcBorders>
              <w:top w:val="single" w:sz="12" w:space="0" w:color="auto"/>
              <w:bottom w:val="single" w:sz="4" w:space="0" w:color="auto"/>
            </w:tcBorders>
            <w:noWrap/>
          </w:tcPr>
          <w:p w:rsidR="001D2E73" w:rsidRDefault="001D2E73">
            <w:pPr>
              <w:spacing w:before="80" w:after="80" w:line="220" w:lineRule="exact"/>
              <w:jc w:val="right"/>
              <w:rPr>
                <w:b/>
                <w:sz w:val="18"/>
                <w:szCs w:val="18"/>
              </w:rPr>
            </w:pPr>
            <w:r>
              <w:rPr>
                <w:b/>
                <w:sz w:val="18"/>
                <w:szCs w:val="18"/>
              </w:rPr>
              <w:t>62,9</w:t>
            </w:r>
          </w:p>
        </w:tc>
        <w:tc>
          <w:tcPr>
            <w:tcW w:w="934" w:type="dxa"/>
            <w:tcBorders>
              <w:top w:val="single" w:sz="12" w:space="0" w:color="auto"/>
              <w:left w:val="nil"/>
              <w:bottom w:val="single" w:sz="4" w:space="0" w:color="auto"/>
              <w:right w:val="nil"/>
              <w:tl2br w:val="nil"/>
              <w:tr2bl w:val="nil"/>
            </w:tcBorders>
            <w:noWrap/>
          </w:tcPr>
          <w:p w:rsidR="001D2E73" w:rsidRDefault="001D2E73">
            <w:pPr>
              <w:spacing w:before="80" w:after="80" w:line="220" w:lineRule="exact"/>
              <w:jc w:val="right"/>
              <w:rPr>
                <w:b/>
                <w:sz w:val="18"/>
                <w:szCs w:val="18"/>
              </w:rPr>
            </w:pPr>
            <w:r>
              <w:rPr>
                <w:b/>
                <w:sz w:val="18"/>
                <w:szCs w:val="18"/>
              </w:rPr>
              <w:t>95,8</w:t>
            </w:r>
          </w:p>
        </w:tc>
      </w:tr>
      <w:tr w:rsidR="001D2E73">
        <w:trPr>
          <w:trHeight w:val="318"/>
        </w:trPr>
        <w:tc>
          <w:tcPr>
            <w:tcW w:w="5730" w:type="dxa"/>
            <w:tcBorders>
              <w:top w:val="single" w:sz="4" w:space="0" w:color="auto"/>
            </w:tcBorders>
            <w:noWrap/>
          </w:tcPr>
          <w:p w:rsidR="001D2E73" w:rsidRDefault="001D2E73">
            <w:pPr>
              <w:spacing w:before="40" w:after="40" w:line="220" w:lineRule="exact"/>
              <w:rPr>
                <w:i/>
                <w:sz w:val="18"/>
                <w:szCs w:val="18"/>
              </w:rPr>
            </w:pPr>
            <w:r>
              <w:rPr>
                <w:i/>
                <w:sz w:val="18"/>
                <w:szCs w:val="18"/>
              </w:rPr>
              <w:t>Desglosado:</w:t>
            </w:r>
          </w:p>
        </w:tc>
        <w:tc>
          <w:tcPr>
            <w:tcW w:w="933" w:type="dxa"/>
            <w:tcBorders>
              <w:top w:val="single" w:sz="4" w:space="0" w:color="auto"/>
            </w:tcBorders>
            <w:noWrap/>
          </w:tcPr>
          <w:p w:rsidR="001D2E73" w:rsidRDefault="001D2E73">
            <w:pPr>
              <w:spacing w:before="40" w:after="40" w:line="220" w:lineRule="exact"/>
              <w:jc w:val="right"/>
              <w:rPr>
                <w:sz w:val="18"/>
                <w:szCs w:val="18"/>
              </w:rPr>
            </w:pPr>
          </w:p>
        </w:tc>
        <w:tc>
          <w:tcPr>
            <w:tcW w:w="933" w:type="dxa"/>
            <w:tcBorders>
              <w:top w:val="single" w:sz="4" w:space="0" w:color="auto"/>
            </w:tcBorders>
            <w:noWrap/>
          </w:tcPr>
          <w:p w:rsidR="001D2E73" w:rsidRDefault="001D2E73">
            <w:pPr>
              <w:spacing w:before="40" w:after="40" w:line="220" w:lineRule="exact"/>
              <w:jc w:val="right"/>
              <w:rPr>
                <w:sz w:val="18"/>
                <w:szCs w:val="18"/>
              </w:rPr>
            </w:pPr>
          </w:p>
        </w:tc>
        <w:tc>
          <w:tcPr>
            <w:tcW w:w="934" w:type="dxa"/>
            <w:tcBorders>
              <w:top w:val="single" w:sz="4" w:space="0" w:color="auto"/>
              <w:left w:val="nil"/>
              <w:bottom w:val="nil"/>
              <w:right w:val="nil"/>
              <w:tl2br w:val="nil"/>
              <w:tr2bl w:val="nil"/>
            </w:tcBorders>
            <w:noWrap/>
          </w:tcPr>
          <w:p w:rsidR="001D2E73" w:rsidRDefault="001D2E73">
            <w:pPr>
              <w:spacing w:before="40" w:after="40" w:line="220" w:lineRule="exact"/>
              <w:jc w:val="right"/>
              <w:rPr>
                <w:sz w:val="18"/>
                <w:szCs w:val="18"/>
              </w:rPr>
            </w:pPr>
          </w:p>
        </w:tc>
      </w:tr>
      <w:tr w:rsidR="001D2E73">
        <w:trPr>
          <w:trHeight w:val="318"/>
        </w:trPr>
        <w:tc>
          <w:tcPr>
            <w:tcW w:w="5730" w:type="dxa"/>
            <w:noWrap/>
          </w:tcPr>
          <w:p w:rsidR="001D2E73" w:rsidRDefault="001D2E73">
            <w:pPr>
              <w:spacing w:before="40" w:after="40" w:line="220" w:lineRule="exact"/>
              <w:rPr>
                <w:sz w:val="18"/>
                <w:szCs w:val="18"/>
              </w:rPr>
            </w:pPr>
            <w:r>
              <w:rPr>
                <w:sz w:val="18"/>
                <w:szCs w:val="18"/>
              </w:rPr>
              <w:t>Por edades</w:t>
            </w:r>
          </w:p>
        </w:tc>
        <w:tc>
          <w:tcPr>
            <w:tcW w:w="933" w:type="dxa"/>
            <w:noWrap/>
          </w:tcPr>
          <w:p w:rsidR="001D2E73" w:rsidRDefault="001D2E73">
            <w:pPr>
              <w:spacing w:before="40" w:after="40" w:line="220" w:lineRule="exact"/>
              <w:jc w:val="right"/>
              <w:rPr>
                <w:sz w:val="18"/>
                <w:szCs w:val="18"/>
              </w:rPr>
            </w:pPr>
            <w:r>
              <w:rPr>
                <w:sz w:val="18"/>
                <w:szCs w:val="18"/>
              </w:rPr>
              <w:t>41,0</w:t>
            </w:r>
          </w:p>
        </w:tc>
        <w:tc>
          <w:tcPr>
            <w:tcW w:w="933" w:type="dxa"/>
            <w:noWrap/>
          </w:tcPr>
          <w:p w:rsidR="001D2E73" w:rsidRDefault="001D2E73">
            <w:pPr>
              <w:spacing w:before="40" w:after="40" w:line="220" w:lineRule="exact"/>
              <w:jc w:val="right"/>
              <w:rPr>
                <w:sz w:val="18"/>
                <w:szCs w:val="18"/>
              </w:rPr>
            </w:pPr>
            <w:r>
              <w:rPr>
                <w:sz w:val="18"/>
                <w:szCs w:val="18"/>
              </w:rPr>
              <w:t>64,3</w:t>
            </w:r>
          </w:p>
        </w:tc>
        <w:tc>
          <w:tcPr>
            <w:tcW w:w="934"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99,4</w:t>
            </w:r>
          </w:p>
        </w:tc>
      </w:tr>
      <w:tr w:rsidR="001D2E73">
        <w:trPr>
          <w:trHeight w:val="318"/>
        </w:trPr>
        <w:tc>
          <w:tcPr>
            <w:tcW w:w="5730" w:type="dxa"/>
            <w:noWrap/>
          </w:tcPr>
          <w:p w:rsidR="001D2E73" w:rsidRDefault="001D2E73">
            <w:pPr>
              <w:spacing w:before="40" w:after="40" w:line="220" w:lineRule="exact"/>
              <w:rPr>
                <w:sz w:val="18"/>
                <w:szCs w:val="18"/>
              </w:rPr>
            </w:pPr>
            <w:r>
              <w:rPr>
                <w:sz w:val="18"/>
                <w:szCs w:val="18"/>
              </w:rPr>
              <w:t>Por discapacidad</w:t>
            </w:r>
          </w:p>
        </w:tc>
        <w:tc>
          <w:tcPr>
            <w:tcW w:w="933" w:type="dxa"/>
            <w:noWrap/>
          </w:tcPr>
          <w:p w:rsidR="001D2E73" w:rsidRDefault="001D2E73">
            <w:pPr>
              <w:spacing w:before="40" w:after="40" w:line="220" w:lineRule="exact"/>
              <w:jc w:val="right"/>
              <w:rPr>
                <w:sz w:val="18"/>
                <w:szCs w:val="18"/>
              </w:rPr>
            </w:pPr>
            <w:r>
              <w:rPr>
                <w:sz w:val="18"/>
                <w:szCs w:val="18"/>
              </w:rPr>
              <w:t>45,4</w:t>
            </w:r>
          </w:p>
        </w:tc>
        <w:tc>
          <w:tcPr>
            <w:tcW w:w="933" w:type="dxa"/>
            <w:noWrap/>
          </w:tcPr>
          <w:p w:rsidR="001D2E73" w:rsidRDefault="001D2E73">
            <w:pPr>
              <w:spacing w:before="40" w:after="40" w:line="220" w:lineRule="exact"/>
              <w:jc w:val="right"/>
              <w:rPr>
                <w:sz w:val="18"/>
                <w:szCs w:val="18"/>
              </w:rPr>
            </w:pPr>
            <w:r>
              <w:rPr>
                <w:sz w:val="18"/>
                <w:szCs w:val="18"/>
              </w:rPr>
              <w:t>64,6</w:t>
            </w:r>
          </w:p>
        </w:tc>
        <w:tc>
          <w:tcPr>
            <w:tcW w:w="934"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94,8</w:t>
            </w:r>
          </w:p>
        </w:tc>
      </w:tr>
      <w:tr w:rsidR="001D2E73">
        <w:trPr>
          <w:trHeight w:val="318"/>
        </w:trPr>
        <w:tc>
          <w:tcPr>
            <w:tcW w:w="5730" w:type="dxa"/>
          </w:tcPr>
          <w:p w:rsidR="001D2E73" w:rsidRDefault="001D2E73">
            <w:pPr>
              <w:spacing w:before="40" w:after="40" w:line="220" w:lineRule="exact"/>
              <w:rPr>
                <w:sz w:val="18"/>
                <w:szCs w:val="18"/>
              </w:rPr>
            </w:pPr>
            <w:r>
              <w:rPr>
                <w:sz w:val="18"/>
                <w:szCs w:val="18"/>
              </w:rPr>
              <w:t>Por pérdida del sostén de la familia</w:t>
            </w:r>
          </w:p>
        </w:tc>
        <w:tc>
          <w:tcPr>
            <w:tcW w:w="933" w:type="dxa"/>
            <w:noWrap/>
          </w:tcPr>
          <w:p w:rsidR="001D2E73" w:rsidRDefault="001D2E73">
            <w:pPr>
              <w:spacing w:before="40" w:after="40" w:line="220" w:lineRule="exact"/>
              <w:jc w:val="right"/>
              <w:rPr>
                <w:sz w:val="18"/>
                <w:szCs w:val="18"/>
              </w:rPr>
            </w:pPr>
            <w:r>
              <w:rPr>
                <w:sz w:val="18"/>
                <w:szCs w:val="18"/>
              </w:rPr>
              <w:t>32,6</w:t>
            </w:r>
          </w:p>
        </w:tc>
        <w:tc>
          <w:tcPr>
            <w:tcW w:w="933" w:type="dxa"/>
            <w:noWrap/>
          </w:tcPr>
          <w:p w:rsidR="001D2E73" w:rsidRDefault="001D2E73">
            <w:pPr>
              <w:spacing w:before="40" w:after="40" w:line="220" w:lineRule="exact"/>
              <w:jc w:val="right"/>
              <w:rPr>
                <w:sz w:val="18"/>
                <w:szCs w:val="18"/>
              </w:rPr>
            </w:pPr>
            <w:r>
              <w:rPr>
                <w:sz w:val="18"/>
                <w:szCs w:val="18"/>
              </w:rPr>
              <w:t>50,6</w:t>
            </w:r>
          </w:p>
        </w:tc>
        <w:tc>
          <w:tcPr>
            <w:tcW w:w="934"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76,4</w:t>
            </w:r>
          </w:p>
        </w:tc>
      </w:tr>
      <w:tr w:rsidR="001D2E73">
        <w:trPr>
          <w:trHeight w:val="318"/>
        </w:trPr>
        <w:tc>
          <w:tcPr>
            <w:tcW w:w="5730" w:type="dxa"/>
          </w:tcPr>
          <w:p w:rsidR="001D2E73" w:rsidRDefault="001D2E73">
            <w:pPr>
              <w:spacing w:before="40" w:after="40" w:line="220" w:lineRule="exact"/>
              <w:rPr>
                <w:sz w:val="18"/>
                <w:szCs w:val="18"/>
              </w:rPr>
            </w:pPr>
            <w:r>
              <w:rPr>
                <w:sz w:val="18"/>
                <w:szCs w:val="18"/>
              </w:rPr>
              <w:t>Monto de la pensión mínima</w:t>
            </w:r>
          </w:p>
        </w:tc>
        <w:tc>
          <w:tcPr>
            <w:tcW w:w="933" w:type="dxa"/>
            <w:noWrap/>
          </w:tcPr>
          <w:p w:rsidR="001D2E73" w:rsidRDefault="001D2E73">
            <w:pPr>
              <w:spacing w:before="40" w:after="40" w:line="220" w:lineRule="exact"/>
              <w:jc w:val="right"/>
              <w:rPr>
                <w:sz w:val="18"/>
                <w:szCs w:val="18"/>
              </w:rPr>
            </w:pPr>
            <w:r>
              <w:rPr>
                <w:sz w:val="18"/>
                <w:szCs w:val="18"/>
              </w:rPr>
              <w:t>40,0</w:t>
            </w:r>
          </w:p>
        </w:tc>
        <w:tc>
          <w:tcPr>
            <w:tcW w:w="933" w:type="dxa"/>
            <w:noWrap/>
          </w:tcPr>
          <w:p w:rsidR="001D2E73" w:rsidRDefault="001D2E73">
            <w:pPr>
              <w:spacing w:before="40" w:after="40" w:line="220" w:lineRule="exact"/>
              <w:jc w:val="right"/>
              <w:rPr>
                <w:sz w:val="18"/>
                <w:szCs w:val="18"/>
              </w:rPr>
            </w:pPr>
            <w:r>
              <w:rPr>
                <w:sz w:val="18"/>
                <w:szCs w:val="18"/>
              </w:rPr>
              <w:t>60,0</w:t>
            </w:r>
          </w:p>
        </w:tc>
        <w:tc>
          <w:tcPr>
            <w:tcW w:w="934"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75,0</w:t>
            </w:r>
          </w:p>
        </w:tc>
      </w:tr>
    </w:tbl>
    <w:p w:rsidR="001D2E73" w:rsidRDefault="001D2E73">
      <w:pPr>
        <w:pStyle w:val="SingleTxtG"/>
        <w:spacing w:before="100" w:beforeAutospacing="1" w:line="60" w:lineRule="exact"/>
        <w:rPr>
          <w:b/>
          <w:bCs/>
          <w:lang w:val="es-ES"/>
        </w:rPr>
      </w:pPr>
      <w:r>
        <w:rPr>
          <w:b/>
          <w:bCs/>
          <w:lang w:val="es-ES"/>
        </w:rPr>
        <w:br w:type="textWrapping" w:clear="all"/>
      </w:r>
    </w:p>
    <w:p w:rsidR="001D2E73" w:rsidRDefault="001D2E73">
      <w:pPr>
        <w:pStyle w:val="SingleTxtG"/>
        <w:tabs>
          <w:tab w:val="left" w:pos="1260"/>
        </w:tabs>
        <w:spacing w:before="120"/>
        <w:rPr>
          <w:b/>
          <w:bCs/>
          <w:sz w:val="18"/>
          <w:szCs w:val="18"/>
          <w:lang w:val="es-ES"/>
        </w:rPr>
      </w:pPr>
      <w:r>
        <w:rPr>
          <w:sz w:val="18"/>
          <w:szCs w:val="18"/>
          <w:vertAlign w:val="superscript"/>
          <w:lang w:val="es-ES"/>
        </w:rPr>
        <w:tab/>
      </w:r>
      <w:r>
        <w:rPr>
          <w:i/>
          <w:sz w:val="18"/>
          <w:szCs w:val="18"/>
          <w:vertAlign w:val="superscript"/>
          <w:lang w:val="es-ES"/>
        </w:rPr>
        <w:t>a</w:t>
      </w:r>
      <w:r w:rsidRPr="0094705E">
        <w:rPr>
          <w:i/>
          <w:sz w:val="18"/>
          <w:szCs w:val="18"/>
          <w:lang w:val="es-ES"/>
        </w:rPr>
        <w:t xml:space="preserve">  </w:t>
      </w:r>
      <w:r>
        <w:rPr>
          <w:sz w:val="18"/>
          <w:szCs w:val="18"/>
          <w:lang w:val="es-ES"/>
        </w:rPr>
        <w:t>Incluye las pensiones de los militares y de personas de categoría especial.</w:t>
      </w:r>
    </w:p>
    <w:p w:rsidR="001D2E73" w:rsidRDefault="001D2E73">
      <w:pPr>
        <w:pStyle w:val="H1G"/>
        <w:rPr>
          <w:lang w:val="es-ES"/>
        </w:rPr>
      </w:pPr>
      <w:r>
        <w:rPr>
          <w:lang w:val="es-ES"/>
        </w:rPr>
        <w:tab/>
      </w:r>
      <w:r>
        <w:rPr>
          <w:lang w:val="es-ES"/>
        </w:rPr>
        <w:tab/>
        <w:t>Artículo 10</w:t>
      </w:r>
    </w:p>
    <w:p w:rsidR="001D2E73" w:rsidRDefault="001D2E73">
      <w:pPr>
        <w:pStyle w:val="SingleTxtGR"/>
        <w:rPr>
          <w:spacing w:val="0"/>
          <w:lang w:val="es-ES"/>
        </w:rPr>
      </w:pPr>
      <w:r>
        <w:rPr>
          <w:spacing w:val="0"/>
          <w:lang w:val="es-ES"/>
        </w:rPr>
        <w:t>283.</w:t>
      </w:r>
      <w:r>
        <w:rPr>
          <w:spacing w:val="0"/>
          <w:lang w:val="es-ES"/>
        </w:rPr>
        <w:tab/>
        <w:t>En el párrafo 1 del artículo 17 de la Constitución se entiende por familia la célula fundamental de la sociedad que se encuentra bajo protección del Estado.</w:t>
      </w:r>
    </w:p>
    <w:p w:rsidR="001D2E73" w:rsidRDefault="001D2E73">
      <w:pPr>
        <w:pStyle w:val="SingleTxtGR"/>
        <w:rPr>
          <w:spacing w:val="0"/>
          <w:lang w:val="es-ES"/>
        </w:rPr>
      </w:pPr>
      <w:r>
        <w:rPr>
          <w:spacing w:val="0"/>
          <w:lang w:val="es-ES"/>
        </w:rPr>
        <w:t>284.</w:t>
      </w:r>
      <w:r>
        <w:rPr>
          <w:spacing w:val="0"/>
          <w:lang w:val="es-ES"/>
        </w:rPr>
        <w:tab/>
      </w:r>
      <w:r>
        <w:rPr>
          <w:snapToGrid w:val="0"/>
          <w:spacing w:val="0"/>
          <w:lang w:val="es-ES"/>
        </w:rPr>
        <w:t>De conformidad con el artículo 28 del Código, la capacidad de obrar de las personas físicas es su capacidad de, mediante sus actos personales, adquirir y ejercer derechos y contraer para sí obligaciones y cumplirlas</w:t>
      </w:r>
      <w:r>
        <w:rPr>
          <w:spacing w:val="0"/>
          <w:lang w:val="es-ES"/>
        </w:rPr>
        <w:t>.</w:t>
      </w:r>
    </w:p>
    <w:p w:rsidR="001D2E73" w:rsidRDefault="001D2E73">
      <w:pPr>
        <w:pStyle w:val="SingleTxtGR"/>
        <w:rPr>
          <w:spacing w:val="0"/>
          <w:lang w:val="es-ES"/>
        </w:rPr>
      </w:pPr>
      <w:r>
        <w:rPr>
          <w:spacing w:val="0"/>
          <w:lang w:val="es-ES"/>
        </w:rPr>
        <w:t>285.</w:t>
      </w:r>
      <w:r>
        <w:rPr>
          <w:spacing w:val="0"/>
          <w:lang w:val="es-ES"/>
        </w:rPr>
        <w:tab/>
      </w:r>
      <w:r>
        <w:rPr>
          <w:snapToGrid w:val="0"/>
          <w:spacing w:val="0"/>
          <w:lang w:val="es-ES"/>
        </w:rPr>
        <w:t>La capacidad de obrar se alcanza con plenitud en la mayoría de edad, es decir a los 18 años</w:t>
      </w:r>
      <w:r>
        <w:rPr>
          <w:spacing w:val="0"/>
          <w:lang w:val="es-ES"/>
        </w:rPr>
        <w:t>.</w:t>
      </w:r>
    </w:p>
    <w:p w:rsidR="001D2E73" w:rsidRDefault="001D2E73">
      <w:pPr>
        <w:pStyle w:val="SingleTxtGR"/>
        <w:rPr>
          <w:spacing w:val="0"/>
          <w:lang w:val="es-ES"/>
        </w:rPr>
      </w:pPr>
      <w:r>
        <w:rPr>
          <w:spacing w:val="0"/>
          <w:lang w:val="es-ES"/>
        </w:rPr>
        <w:t>286.</w:t>
      </w:r>
      <w:r>
        <w:rPr>
          <w:spacing w:val="0"/>
          <w:lang w:val="es-ES"/>
        </w:rPr>
        <w:tab/>
        <w:t>Se podrá reconocer la plena capacidad de obrar de un menor que haya cumplido 16 años y trabaje mediante contrato de trabajo o con el consentimiento de sus padres biológicos, adoptivos o del tutor, y realice una actividad empresarial. Se reconocerá plenamente la capacidad de obrar (emancipación) del menor por decisión del órgano de tutela y guarda con el consentimiento de los padres biológicos o adoptivos o el tutor y, en su defecto, por fallo judicial.</w:t>
      </w:r>
    </w:p>
    <w:p w:rsidR="001D2E73" w:rsidRDefault="001D2E73">
      <w:pPr>
        <w:pStyle w:val="SingleTxtGR"/>
        <w:rPr>
          <w:spacing w:val="0"/>
          <w:lang w:val="es-ES"/>
        </w:rPr>
      </w:pPr>
      <w:r>
        <w:rPr>
          <w:spacing w:val="0"/>
          <w:lang w:val="es-ES"/>
        </w:rPr>
        <w:t>287.</w:t>
      </w:r>
      <w:r>
        <w:rPr>
          <w:spacing w:val="0"/>
          <w:lang w:val="es-ES"/>
        </w:rPr>
        <w:tab/>
        <w:t>Los padres biológicos, los padres adoptivos y los tutores no tienen responsabilidad alguna por las obligaciones que contraiga un menor cuya capacidad de obrar haya sido plenamente reconocida, en particular responsabilidades que surjan como consecuencia de daños que el menor pueda causar.</w:t>
      </w:r>
    </w:p>
    <w:p w:rsidR="001D2E73" w:rsidRDefault="001D2E73">
      <w:pPr>
        <w:pStyle w:val="SingleTxtGR"/>
        <w:rPr>
          <w:spacing w:val="0"/>
          <w:lang w:val="es-ES"/>
        </w:rPr>
      </w:pPr>
      <w:r>
        <w:rPr>
          <w:spacing w:val="0"/>
          <w:lang w:val="es-ES"/>
        </w:rPr>
        <w:t>288.</w:t>
      </w:r>
      <w:r>
        <w:rPr>
          <w:spacing w:val="0"/>
          <w:lang w:val="es-ES"/>
        </w:rPr>
        <w:tab/>
        <w:t>De conformidad con el artículo 34 de la Constitución, toda persona tiene der</w:t>
      </w:r>
      <w:r>
        <w:rPr>
          <w:spacing w:val="0"/>
          <w:lang w:val="es-ES"/>
        </w:rPr>
        <w:t>e</w:t>
      </w:r>
      <w:r>
        <w:rPr>
          <w:spacing w:val="0"/>
          <w:lang w:val="es-ES"/>
        </w:rPr>
        <w:t xml:space="preserve">cho a fundar una familia al cumplir la edad prevista en </w:t>
      </w:r>
      <w:smartTag w:uri="urn:schemas-microsoft-com:office:smarttags" w:element="PersonName">
        <w:smartTagPr>
          <w:attr w:name="ProductID" w:val="la ley. El"/>
        </w:smartTagPr>
        <w:r>
          <w:rPr>
            <w:spacing w:val="0"/>
            <w:lang w:val="es-ES"/>
          </w:rPr>
          <w:t>la ley. El</w:t>
        </w:r>
      </w:smartTag>
      <w:r>
        <w:rPr>
          <w:spacing w:val="0"/>
          <w:lang w:val="es-ES"/>
        </w:rPr>
        <w:t xml:space="preserve"> matrimonio se basa en el consentimiento voluntario de las partes contrayentes.</w:t>
      </w:r>
    </w:p>
    <w:p w:rsidR="001D2E73" w:rsidRDefault="001D2E73">
      <w:pPr>
        <w:pStyle w:val="SingleTxtGR"/>
        <w:spacing w:before="240"/>
        <w:jc w:val="left"/>
        <w:rPr>
          <w:b/>
          <w:spacing w:val="0"/>
          <w:lang w:val="es-ES"/>
        </w:rPr>
      </w:pPr>
      <w:r>
        <w:rPr>
          <w:spacing w:val="0"/>
          <w:lang w:val="es-ES"/>
        </w:rPr>
        <w:t>Cuadro 16</w:t>
      </w:r>
      <w:r>
        <w:rPr>
          <w:spacing w:val="0"/>
          <w:lang w:val="es-ES"/>
        </w:rPr>
        <w:br/>
      </w:r>
      <w:r>
        <w:rPr>
          <w:b/>
          <w:spacing w:val="0"/>
          <w:lang w:val="es-ES"/>
        </w:rPr>
        <w:t xml:space="preserve">Edad promedio para contraer matrimonio del hombre y la mujer </w:t>
      </w:r>
      <w:r>
        <w:rPr>
          <w:b/>
          <w:spacing w:val="0"/>
          <w:lang w:val="es-ES"/>
        </w:rPr>
        <w:br/>
      </w:r>
      <w:r>
        <w:rPr>
          <w:spacing w:val="0"/>
          <w:sz w:val="16"/>
          <w:szCs w:val="16"/>
          <w:lang w:val="es-ES"/>
        </w:rPr>
        <w:t>(años)</w:t>
      </w:r>
    </w:p>
    <w:tbl>
      <w:tblPr>
        <w:tblW w:w="7405"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136"/>
        <w:gridCol w:w="1567"/>
        <w:gridCol w:w="1567"/>
        <w:gridCol w:w="1567"/>
        <w:gridCol w:w="1568"/>
      </w:tblGrid>
      <w:tr w:rsidR="001D2E73">
        <w:trPr>
          <w:trHeight w:hRule="exact" w:val="20"/>
        </w:trPr>
        <w:tc>
          <w:tcPr>
            <w:tcW w:w="1137" w:type="dxa"/>
            <w:vMerge w:val="restart"/>
            <w:tcBorders>
              <w:top w:val="single" w:sz="4" w:space="0" w:color="auto"/>
              <w:bottom w:val="nil"/>
            </w:tcBorders>
            <w:shd w:val="clear" w:color="auto" w:fill="auto"/>
            <w:vAlign w:val="bottom"/>
          </w:tcPr>
          <w:p w:rsidR="001D2E73" w:rsidRDefault="001D2E73">
            <w:pPr>
              <w:spacing w:before="80" w:after="80" w:line="200" w:lineRule="exact"/>
              <w:rPr>
                <w:i/>
                <w:sz w:val="16"/>
              </w:rPr>
            </w:pPr>
            <w:r>
              <w:rPr>
                <w:i/>
                <w:sz w:val="16"/>
              </w:rPr>
              <w:t>Años</w:t>
            </w:r>
          </w:p>
        </w:tc>
        <w:tc>
          <w:tcPr>
            <w:tcW w:w="3133" w:type="dxa"/>
            <w:gridSpan w:val="2"/>
            <w:vMerge w:val="restart"/>
            <w:tcBorders>
              <w:top w:val="single" w:sz="4" w:space="0" w:color="auto"/>
              <w:bottom w:val="single" w:sz="4" w:space="0" w:color="auto"/>
            </w:tcBorders>
            <w:shd w:val="clear" w:color="auto" w:fill="auto"/>
            <w:noWrap/>
            <w:vAlign w:val="bottom"/>
          </w:tcPr>
          <w:p w:rsidR="001D2E73" w:rsidRDefault="001D2E73">
            <w:pPr>
              <w:spacing w:before="80" w:after="80" w:line="200" w:lineRule="exact"/>
              <w:jc w:val="center"/>
              <w:rPr>
                <w:i/>
                <w:sz w:val="16"/>
              </w:rPr>
            </w:pPr>
            <w:r>
              <w:rPr>
                <w:i/>
                <w:sz w:val="16"/>
              </w:rPr>
              <w:t>Edad promedio para contraer matrimonio</w:t>
            </w:r>
          </w:p>
        </w:tc>
        <w:tc>
          <w:tcPr>
            <w:tcW w:w="3135" w:type="dxa"/>
            <w:gridSpan w:val="2"/>
            <w:vMerge w:val="restart"/>
            <w:tcBorders>
              <w:top w:val="single" w:sz="4" w:space="0" w:color="auto"/>
              <w:left w:val="nil"/>
              <w:bottom w:val="single" w:sz="4" w:space="0" w:color="auto"/>
              <w:right w:val="nil"/>
              <w:tl2br w:val="nil"/>
              <w:tr2bl w:val="nil"/>
            </w:tcBorders>
            <w:shd w:val="clear" w:color="auto" w:fill="auto"/>
            <w:noWrap/>
            <w:vAlign w:val="bottom"/>
          </w:tcPr>
          <w:p w:rsidR="001D2E73" w:rsidRDefault="001D2E73">
            <w:pPr>
              <w:spacing w:before="80" w:after="80" w:line="200" w:lineRule="exact"/>
              <w:jc w:val="center"/>
              <w:rPr>
                <w:i/>
                <w:sz w:val="16"/>
              </w:rPr>
            </w:pPr>
            <w:r>
              <w:rPr>
                <w:i/>
                <w:sz w:val="16"/>
              </w:rPr>
              <w:t>Edad promedio para contraer matrimonio</w:t>
            </w:r>
          </w:p>
        </w:tc>
      </w:tr>
      <w:tr w:rsidR="001D2E73">
        <w:trPr>
          <w:trHeight w:val="360"/>
        </w:trPr>
        <w:tc>
          <w:tcPr>
            <w:tcW w:w="1137" w:type="dxa"/>
            <w:vMerge/>
            <w:tcBorders>
              <w:top w:val="nil"/>
              <w:bottom w:val="nil"/>
            </w:tcBorders>
            <w:shd w:val="clear" w:color="auto" w:fill="auto"/>
          </w:tcPr>
          <w:p w:rsidR="001D2E73" w:rsidRDefault="001D2E73">
            <w:pPr>
              <w:spacing w:before="80" w:after="80" w:line="200" w:lineRule="exact"/>
              <w:rPr>
                <w:i/>
                <w:sz w:val="16"/>
              </w:rPr>
            </w:pPr>
          </w:p>
        </w:tc>
        <w:tc>
          <w:tcPr>
            <w:tcW w:w="3133" w:type="dxa"/>
            <w:gridSpan w:val="2"/>
            <w:vMerge/>
            <w:tcBorders>
              <w:top w:val="nil"/>
              <w:bottom w:val="single" w:sz="4" w:space="0" w:color="auto"/>
            </w:tcBorders>
            <w:shd w:val="clear" w:color="auto" w:fill="auto"/>
            <w:noWrap/>
          </w:tcPr>
          <w:p w:rsidR="001D2E73" w:rsidRDefault="001D2E73">
            <w:pPr>
              <w:spacing w:before="80" w:after="80" w:line="200" w:lineRule="exact"/>
              <w:rPr>
                <w:i/>
                <w:sz w:val="16"/>
              </w:rPr>
            </w:pPr>
          </w:p>
        </w:tc>
        <w:tc>
          <w:tcPr>
            <w:tcW w:w="3135" w:type="dxa"/>
            <w:gridSpan w:val="2"/>
            <w:vMerge/>
            <w:tcBorders>
              <w:top w:val="nil"/>
              <w:left w:val="nil"/>
              <w:bottom w:val="single" w:sz="4" w:space="0" w:color="auto"/>
              <w:right w:val="nil"/>
              <w:tl2br w:val="nil"/>
              <w:tr2bl w:val="nil"/>
            </w:tcBorders>
            <w:shd w:val="clear" w:color="auto" w:fill="auto"/>
            <w:noWrap/>
          </w:tcPr>
          <w:p w:rsidR="001D2E73" w:rsidRDefault="001D2E73">
            <w:pPr>
              <w:spacing w:before="80" w:after="80" w:line="200" w:lineRule="exact"/>
              <w:rPr>
                <w:i/>
                <w:sz w:val="16"/>
              </w:rPr>
            </w:pPr>
          </w:p>
        </w:tc>
      </w:tr>
      <w:tr w:rsidR="001D2E73">
        <w:trPr>
          <w:trHeight w:val="113"/>
        </w:trPr>
        <w:tc>
          <w:tcPr>
            <w:tcW w:w="1137" w:type="dxa"/>
            <w:vMerge/>
            <w:tcBorders>
              <w:top w:val="nil"/>
              <w:bottom w:val="single" w:sz="12" w:space="0" w:color="auto"/>
            </w:tcBorders>
            <w:shd w:val="clear" w:color="auto" w:fill="auto"/>
          </w:tcPr>
          <w:p w:rsidR="001D2E73" w:rsidRDefault="001D2E73">
            <w:pPr>
              <w:spacing w:before="80" w:after="80" w:line="200" w:lineRule="exact"/>
              <w:rPr>
                <w:i/>
                <w:sz w:val="16"/>
              </w:rPr>
            </w:pPr>
          </w:p>
        </w:tc>
        <w:tc>
          <w:tcPr>
            <w:tcW w:w="1567"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Hombres</w:t>
            </w:r>
          </w:p>
        </w:tc>
        <w:tc>
          <w:tcPr>
            <w:tcW w:w="1567"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Mujeres</w:t>
            </w:r>
          </w:p>
        </w:tc>
        <w:tc>
          <w:tcPr>
            <w:tcW w:w="1567"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Hombres</w:t>
            </w:r>
          </w:p>
        </w:tc>
        <w:tc>
          <w:tcPr>
            <w:tcW w:w="1567" w:type="dxa"/>
            <w:tcBorders>
              <w:top w:val="single" w:sz="4" w:space="0" w:color="auto"/>
              <w:left w:val="nil"/>
              <w:bottom w:val="single" w:sz="12" w:space="0" w:color="auto"/>
              <w:right w:val="nil"/>
              <w:tl2br w:val="nil"/>
              <w:tr2bl w:val="nil"/>
            </w:tcBorders>
            <w:shd w:val="clear" w:color="auto" w:fill="auto"/>
            <w:noWrap/>
          </w:tcPr>
          <w:p w:rsidR="001D2E73" w:rsidRDefault="001D2E73">
            <w:pPr>
              <w:spacing w:before="80" w:after="80" w:line="200" w:lineRule="exact"/>
              <w:jc w:val="right"/>
              <w:rPr>
                <w:i/>
                <w:sz w:val="16"/>
              </w:rPr>
            </w:pPr>
            <w:r>
              <w:rPr>
                <w:i/>
                <w:sz w:val="16"/>
              </w:rPr>
              <w:t>Mujeres</w:t>
            </w:r>
          </w:p>
        </w:tc>
      </w:tr>
      <w:tr w:rsidR="001D2E73">
        <w:trPr>
          <w:trHeight w:val="315"/>
        </w:trPr>
        <w:tc>
          <w:tcPr>
            <w:tcW w:w="1137" w:type="dxa"/>
            <w:tcBorders>
              <w:top w:val="single" w:sz="12" w:space="0" w:color="auto"/>
            </w:tcBorders>
            <w:noWrap/>
          </w:tcPr>
          <w:p w:rsidR="001D2E73" w:rsidRDefault="001D2E73">
            <w:pPr>
              <w:spacing w:before="40" w:after="40" w:line="220" w:lineRule="exact"/>
              <w:rPr>
                <w:sz w:val="18"/>
                <w:szCs w:val="18"/>
              </w:rPr>
            </w:pPr>
            <w:r>
              <w:rPr>
                <w:sz w:val="18"/>
                <w:szCs w:val="18"/>
              </w:rPr>
              <w:t>2003</w:t>
            </w:r>
          </w:p>
        </w:tc>
        <w:tc>
          <w:tcPr>
            <w:tcW w:w="1567" w:type="dxa"/>
            <w:tcBorders>
              <w:top w:val="single" w:sz="12" w:space="0" w:color="auto"/>
            </w:tcBorders>
            <w:noWrap/>
          </w:tcPr>
          <w:p w:rsidR="001D2E73" w:rsidRDefault="001D2E73">
            <w:pPr>
              <w:spacing w:before="40" w:after="40" w:line="220" w:lineRule="exact"/>
              <w:jc w:val="right"/>
              <w:rPr>
                <w:sz w:val="18"/>
                <w:szCs w:val="18"/>
              </w:rPr>
            </w:pPr>
            <w:r>
              <w:rPr>
                <w:sz w:val="18"/>
                <w:szCs w:val="18"/>
              </w:rPr>
              <w:t>28,6</w:t>
            </w:r>
          </w:p>
        </w:tc>
        <w:tc>
          <w:tcPr>
            <w:tcW w:w="1567" w:type="dxa"/>
            <w:tcBorders>
              <w:top w:val="single" w:sz="12" w:space="0" w:color="auto"/>
            </w:tcBorders>
            <w:noWrap/>
          </w:tcPr>
          <w:p w:rsidR="001D2E73" w:rsidRDefault="001D2E73">
            <w:pPr>
              <w:spacing w:before="40" w:after="40" w:line="220" w:lineRule="exact"/>
              <w:jc w:val="right"/>
              <w:rPr>
                <w:sz w:val="18"/>
                <w:szCs w:val="18"/>
              </w:rPr>
            </w:pPr>
            <w:r>
              <w:rPr>
                <w:sz w:val="18"/>
                <w:szCs w:val="18"/>
              </w:rPr>
              <w:t>23,7</w:t>
            </w:r>
          </w:p>
        </w:tc>
        <w:tc>
          <w:tcPr>
            <w:tcW w:w="1567" w:type="dxa"/>
            <w:tcBorders>
              <w:top w:val="single" w:sz="12" w:space="0" w:color="auto"/>
            </w:tcBorders>
            <w:noWrap/>
          </w:tcPr>
          <w:p w:rsidR="001D2E73" w:rsidRDefault="001D2E73">
            <w:pPr>
              <w:spacing w:before="40" w:after="40" w:line="220" w:lineRule="exact"/>
              <w:jc w:val="right"/>
              <w:rPr>
                <w:sz w:val="18"/>
                <w:szCs w:val="18"/>
              </w:rPr>
            </w:pPr>
            <w:r>
              <w:rPr>
                <w:sz w:val="18"/>
                <w:szCs w:val="18"/>
              </w:rPr>
              <w:t>27,6</w:t>
            </w:r>
          </w:p>
        </w:tc>
        <w:tc>
          <w:tcPr>
            <w:tcW w:w="1567" w:type="dxa"/>
            <w:tcBorders>
              <w:top w:val="single" w:sz="12" w:space="0" w:color="auto"/>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23,3</w:t>
            </w:r>
          </w:p>
        </w:tc>
      </w:tr>
      <w:tr w:rsidR="001D2E73">
        <w:trPr>
          <w:trHeight w:val="315"/>
        </w:trPr>
        <w:tc>
          <w:tcPr>
            <w:tcW w:w="1137" w:type="dxa"/>
            <w:noWrap/>
          </w:tcPr>
          <w:p w:rsidR="001D2E73" w:rsidRDefault="001D2E73">
            <w:pPr>
              <w:spacing w:before="40" w:after="40" w:line="220" w:lineRule="exact"/>
              <w:rPr>
                <w:sz w:val="18"/>
                <w:szCs w:val="18"/>
              </w:rPr>
            </w:pPr>
            <w:r>
              <w:rPr>
                <w:sz w:val="18"/>
                <w:szCs w:val="18"/>
              </w:rPr>
              <w:t>2004</w:t>
            </w:r>
          </w:p>
        </w:tc>
        <w:tc>
          <w:tcPr>
            <w:tcW w:w="1567" w:type="dxa"/>
            <w:noWrap/>
          </w:tcPr>
          <w:p w:rsidR="001D2E73" w:rsidRDefault="001D2E73">
            <w:pPr>
              <w:spacing w:before="40" w:after="40" w:line="220" w:lineRule="exact"/>
              <w:jc w:val="right"/>
              <w:rPr>
                <w:sz w:val="18"/>
                <w:szCs w:val="18"/>
              </w:rPr>
            </w:pPr>
            <w:r>
              <w:rPr>
                <w:sz w:val="18"/>
                <w:szCs w:val="18"/>
              </w:rPr>
              <w:t>28,5</w:t>
            </w:r>
          </w:p>
        </w:tc>
        <w:tc>
          <w:tcPr>
            <w:tcW w:w="1567" w:type="dxa"/>
            <w:noWrap/>
          </w:tcPr>
          <w:p w:rsidR="001D2E73" w:rsidRDefault="001D2E73">
            <w:pPr>
              <w:spacing w:before="40" w:after="40" w:line="220" w:lineRule="exact"/>
              <w:jc w:val="right"/>
              <w:rPr>
                <w:sz w:val="18"/>
                <w:szCs w:val="18"/>
              </w:rPr>
            </w:pPr>
            <w:r>
              <w:rPr>
                <w:sz w:val="18"/>
                <w:szCs w:val="18"/>
              </w:rPr>
              <w:t>23,7</w:t>
            </w:r>
          </w:p>
        </w:tc>
        <w:tc>
          <w:tcPr>
            <w:tcW w:w="1567" w:type="dxa"/>
            <w:noWrap/>
          </w:tcPr>
          <w:p w:rsidR="001D2E73" w:rsidRDefault="001D2E73">
            <w:pPr>
              <w:spacing w:before="40" w:after="40" w:line="220" w:lineRule="exact"/>
              <w:jc w:val="right"/>
              <w:rPr>
                <w:sz w:val="18"/>
                <w:szCs w:val="18"/>
              </w:rPr>
            </w:pPr>
            <w:r>
              <w:rPr>
                <w:sz w:val="18"/>
                <w:szCs w:val="18"/>
              </w:rPr>
              <w:t>27,5</w:t>
            </w:r>
          </w:p>
        </w:tc>
        <w:tc>
          <w:tcPr>
            <w:tcW w:w="156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23,3</w:t>
            </w:r>
          </w:p>
        </w:tc>
      </w:tr>
      <w:tr w:rsidR="001D2E73">
        <w:trPr>
          <w:trHeight w:val="315"/>
        </w:trPr>
        <w:tc>
          <w:tcPr>
            <w:tcW w:w="1137" w:type="dxa"/>
            <w:noWrap/>
          </w:tcPr>
          <w:p w:rsidR="001D2E73" w:rsidRDefault="001D2E73">
            <w:pPr>
              <w:spacing w:before="40" w:after="40" w:line="220" w:lineRule="exact"/>
              <w:rPr>
                <w:sz w:val="18"/>
                <w:szCs w:val="18"/>
              </w:rPr>
            </w:pPr>
            <w:r>
              <w:rPr>
                <w:sz w:val="18"/>
                <w:szCs w:val="18"/>
              </w:rPr>
              <w:t>2005</w:t>
            </w:r>
          </w:p>
        </w:tc>
        <w:tc>
          <w:tcPr>
            <w:tcW w:w="1567" w:type="dxa"/>
            <w:noWrap/>
          </w:tcPr>
          <w:p w:rsidR="001D2E73" w:rsidRDefault="001D2E73">
            <w:pPr>
              <w:spacing w:before="40" w:after="40" w:line="220" w:lineRule="exact"/>
              <w:jc w:val="right"/>
              <w:rPr>
                <w:sz w:val="18"/>
                <w:szCs w:val="18"/>
              </w:rPr>
            </w:pPr>
            <w:r>
              <w:rPr>
                <w:sz w:val="18"/>
                <w:szCs w:val="18"/>
              </w:rPr>
              <w:t>28,4</w:t>
            </w:r>
          </w:p>
        </w:tc>
        <w:tc>
          <w:tcPr>
            <w:tcW w:w="1567" w:type="dxa"/>
            <w:noWrap/>
          </w:tcPr>
          <w:p w:rsidR="001D2E73" w:rsidRDefault="001D2E73">
            <w:pPr>
              <w:spacing w:before="40" w:after="40" w:line="220" w:lineRule="exact"/>
              <w:jc w:val="right"/>
              <w:rPr>
                <w:sz w:val="18"/>
                <w:szCs w:val="18"/>
              </w:rPr>
            </w:pPr>
            <w:r>
              <w:rPr>
                <w:sz w:val="18"/>
                <w:szCs w:val="18"/>
              </w:rPr>
              <w:t>23,7</w:t>
            </w:r>
          </w:p>
        </w:tc>
        <w:tc>
          <w:tcPr>
            <w:tcW w:w="1567" w:type="dxa"/>
            <w:noWrap/>
          </w:tcPr>
          <w:p w:rsidR="001D2E73" w:rsidRDefault="001D2E73">
            <w:pPr>
              <w:spacing w:before="40" w:after="40" w:line="220" w:lineRule="exact"/>
              <w:jc w:val="right"/>
              <w:rPr>
                <w:sz w:val="18"/>
                <w:szCs w:val="18"/>
              </w:rPr>
            </w:pPr>
            <w:r>
              <w:rPr>
                <w:sz w:val="18"/>
                <w:szCs w:val="18"/>
              </w:rPr>
              <w:t>27,5</w:t>
            </w:r>
          </w:p>
        </w:tc>
        <w:tc>
          <w:tcPr>
            <w:tcW w:w="156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23,4</w:t>
            </w:r>
          </w:p>
        </w:tc>
      </w:tr>
      <w:tr w:rsidR="001D2E73">
        <w:trPr>
          <w:trHeight w:val="315"/>
        </w:trPr>
        <w:tc>
          <w:tcPr>
            <w:tcW w:w="1137" w:type="dxa"/>
            <w:noWrap/>
          </w:tcPr>
          <w:p w:rsidR="001D2E73" w:rsidRDefault="001D2E73">
            <w:pPr>
              <w:spacing w:before="40" w:after="40" w:line="220" w:lineRule="exact"/>
              <w:rPr>
                <w:sz w:val="18"/>
                <w:szCs w:val="18"/>
              </w:rPr>
            </w:pPr>
            <w:r>
              <w:rPr>
                <w:sz w:val="18"/>
                <w:szCs w:val="18"/>
              </w:rPr>
              <w:t>2006</w:t>
            </w:r>
          </w:p>
        </w:tc>
        <w:tc>
          <w:tcPr>
            <w:tcW w:w="1567" w:type="dxa"/>
            <w:noWrap/>
          </w:tcPr>
          <w:p w:rsidR="001D2E73" w:rsidRDefault="001D2E73">
            <w:pPr>
              <w:spacing w:before="40" w:after="40" w:line="220" w:lineRule="exact"/>
              <w:jc w:val="right"/>
              <w:rPr>
                <w:sz w:val="18"/>
                <w:szCs w:val="18"/>
              </w:rPr>
            </w:pPr>
            <w:r>
              <w:rPr>
                <w:sz w:val="18"/>
                <w:szCs w:val="18"/>
              </w:rPr>
              <w:t>28,2</w:t>
            </w:r>
          </w:p>
        </w:tc>
        <w:tc>
          <w:tcPr>
            <w:tcW w:w="1567" w:type="dxa"/>
            <w:noWrap/>
          </w:tcPr>
          <w:p w:rsidR="001D2E73" w:rsidRDefault="001D2E73">
            <w:pPr>
              <w:spacing w:before="40" w:after="40" w:line="220" w:lineRule="exact"/>
              <w:jc w:val="right"/>
              <w:rPr>
                <w:sz w:val="18"/>
                <w:szCs w:val="18"/>
              </w:rPr>
            </w:pPr>
            <w:r>
              <w:rPr>
                <w:sz w:val="18"/>
                <w:szCs w:val="18"/>
              </w:rPr>
              <w:t>23,5</w:t>
            </w:r>
          </w:p>
        </w:tc>
        <w:tc>
          <w:tcPr>
            <w:tcW w:w="1567" w:type="dxa"/>
            <w:noWrap/>
          </w:tcPr>
          <w:p w:rsidR="001D2E73" w:rsidRDefault="001D2E73">
            <w:pPr>
              <w:spacing w:before="40" w:after="40" w:line="220" w:lineRule="exact"/>
              <w:jc w:val="right"/>
              <w:rPr>
                <w:sz w:val="18"/>
                <w:szCs w:val="18"/>
              </w:rPr>
            </w:pPr>
            <w:r>
              <w:rPr>
                <w:sz w:val="18"/>
                <w:szCs w:val="18"/>
              </w:rPr>
              <w:t>27,5</w:t>
            </w:r>
          </w:p>
        </w:tc>
        <w:tc>
          <w:tcPr>
            <w:tcW w:w="1567"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23,3</w:t>
            </w:r>
          </w:p>
        </w:tc>
      </w:tr>
      <w:tr w:rsidR="001D2E73">
        <w:trPr>
          <w:trHeight w:val="315"/>
        </w:trPr>
        <w:tc>
          <w:tcPr>
            <w:tcW w:w="1137" w:type="dxa"/>
            <w:noWrap/>
          </w:tcPr>
          <w:p w:rsidR="001D2E73" w:rsidRDefault="001D2E73">
            <w:pPr>
              <w:spacing w:before="40" w:after="40" w:line="220" w:lineRule="exact"/>
              <w:rPr>
                <w:sz w:val="18"/>
                <w:szCs w:val="18"/>
              </w:rPr>
            </w:pPr>
            <w:r>
              <w:rPr>
                <w:sz w:val="18"/>
                <w:szCs w:val="18"/>
              </w:rPr>
              <w:t>2007</w:t>
            </w:r>
          </w:p>
        </w:tc>
        <w:tc>
          <w:tcPr>
            <w:tcW w:w="1567" w:type="dxa"/>
            <w:noWrap/>
          </w:tcPr>
          <w:p w:rsidR="001D2E73" w:rsidRDefault="001D2E73">
            <w:pPr>
              <w:spacing w:before="40" w:after="40" w:line="220" w:lineRule="exact"/>
              <w:jc w:val="right"/>
              <w:rPr>
                <w:sz w:val="18"/>
                <w:szCs w:val="18"/>
              </w:rPr>
            </w:pPr>
            <w:r>
              <w:rPr>
                <w:sz w:val="18"/>
                <w:szCs w:val="18"/>
              </w:rPr>
              <w:t>28,1</w:t>
            </w:r>
          </w:p>
        </w:tc>
        <w:tc>
          <w:tcPr>
            <w:tcW w:w="1567" w:type="dxa"/>
            <w:noWrap/>
          </w:tcPr>
          <w:p w:rsidR="001D2E73" w:rsidRDefault="001D2E73">
            <w:pPr>
              <w:spacing w:before="40" w:after="40" w:line="220" w:lineRule="exact"/>
              <w:jc w:val="right"/>
              <w:rPr>
                <w:sz w:val="18"/>
                <w:szCs w:val="18"/>
              </w:rPr>
            </w:pPr>
            <w:r>
              <w:rPr>
                <w:sz w:val="18"/>
                <w:szCs w:val="18"/>
              </w:rPr>
              <w:t>23,5</w:t>
            </w:r>
          </w:p>
        </w:tc>
        <w:tc>
          <w:tcPr>
            <w:tcW w:w="1567" w:type="dxa"/>
            <w:noWrap/>
          </w:tcPr>
          <w:p w:rsidR="001D2E73" w:rsidRDefault="001D2E73">
            <w:pPr>
              <w:spacing w:before="40" w:after="40" w:line="220" w:lineRule="exact"/>
              <w:jc w:val="right"/>
              <w:rPr>
                <w:sz w:val="18"/>
                <w:szCs w:val="18"/>
              </w:rPr>
            </w:pPr>
            <w:r>
              <w:rPr>
                <w:sz w:val="18"/>
                <w:szCs w:val="18"/>
              </w:rPr>
              <w:t>27,4</w:t>
            </w:r>
          </w:p>
        </w:tc>
        <w:tc>
          <w:tcPr>
            <w:tcW w:w="1567"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23,3</w:t>
            </w:r>
          </w:p>
        </w:tc>
      </w:tr>
    </w:tbl>
    <w:p w:rsidR="001D2E73" w:rsidRDefault="001D2E73">
      <w:pPr>
        <w:pStyle w:val="SingleTxtGR"/>
        <w:spacing w:before="240"/>
        <w:rPr>
          <w:spacing w:val="0"/>
          <w:lang w:val="es-ES"/>
        </w:rPr>
      </w:pPr>
      <w:r>
        <w:rPr>
          <w:spacing w:val="0"/>
          <w:lang w:val="es-ES"/>
        </w:rPr>
        <w:t>289.</w:t>
      </w:r>
      <w:r>
        <w:rPr>
          <w:spacing w:val="0"/>
          <w:lang w:val="es-ES"/>
        </w:rPr>
        <w:tab/>
        <w:t>En el Código de la Familia de Azerbaiyán se establece el procedimiento para contraer matrimonio sobre la base del consentimiento pleno y libre de los contraye</w:t>
      </w:r>
      <w:r>
        <w:rPr>
          <w:spacing w:val="0"/>
          <w:lang w:val="es-ES"/>
        </w:rPr>
        <w:t>n</w:t>
      </w:r>
      <w:r>
        <w:rPr>
          <w:spacing w:val="0"/>
          <w:lang w:val="es-ES"/>
        </w:rPr>
        <w:t>tes.</w:t>
      </w:r>
    </w:p>
    <w:p w:rsidR="001D2E73" w:rsidRDefault="001D2E73">
      <w:pPr>
        <w:pStyle w:val="SingleTxtGR"/>
        <w:rPr>
          <w:spacing w:val="0"/>
          <w:lang w:val="es-ES"/>
        </w:rPr>
      </w:pPr>
      <w:r>
        <w:rPr>
          <w:spacing w:val="0"/>
          <w:lang w:val="es-ES"/>
        </w:rPr>
        <w:t>290.</w:t>
      </w:r>
      <w:r>
        <w:rPr>
          <w:spacing w:val="0"/>
          <w:lang w:val="es-ES"/>
        </w:rPr>
        <w:tab/>
        <w:t>De conformidad con los párrafos 3 y 4 del artículo 2 del Código de la Familia, el matrimonio es la unión voluntaria de un hombre y una mujer con el fin de crear una familia, inscrita ante la autoridad pública competente. Se prohíbe toda forma de limitación de los derechos de los ciudadanos cuando contraen matrim</w:t>
      </w:r>
      <w:r>
        <w:rPr>
          <w:spacing w:val="0"/>
          <w:lang w:val="es-ES"/>
        </w:rPr>
        <w:t>o</w:t>
      </w:r>
      <w:r>
        <w:rPr>
          <w:spacing w:val="0"/>
          <w:lang w:val="es-ES"/>
        </w:rPr>
        <w:t>nio y en las relaciones familiares por motivo de origen social, raza, nacionalidad, r</w:t>
      </w:r>
      <w:r>
        <w:rPr>
          <w:spacing w:val="0"/>
          <w:lang w:val="es-ES"/>
        </w:rPr>
        <w:t>e</w:t>
      </w:r>
      <w:r>
        <w:rPr>
          <w:spacing w:val="0"/>
          <w:lang w:val="es-ES"/>
        </w:rPr>
        <w:t xml:space="preserve">ligión o idioma. </w:t>
      </w:r>
    </w:p>
    <w:p w:rsidR="001D2E73" w:rsidRDefault="001D2E73">
      <w:pPr>
        <w:pStyle w:val="SingleTxtGR"/>
        <w:rPr>
          <w:spacing w:val="0"/>
          <w:lang w:val="es-ES"/>
        </w:rPr>
      </w:pPr>
      <w:r>
        <w:rPr>
          <w:spacing w:val="0"/>
          <w:lang w:val="es-ES"/>
        </w:rPr>
        <w:t>291.</w:t>
      </w:r>
      <w:r>
        <w:rPr>
          <w:spacing w:val="0"/>
          <w:lang w:val="es-ES"/>
        </w:rPr>
        <w:tab/>
        <w:t>El Código Penal de Azerbaiyán (art.174) prevé sanciones por actos ilíc</w:t>
      </w:r>
      <w:r>
        <w:rPr>
          <w:spacing w:val="0"/>
          <w:lang w:val="es-ES"/>
        </w:rPr>
        <w:t>i</w:t>
      </w:r>
      <w:r>
        <w:rPr>
          <w:spacing w:val="0"/>
          <w:lang w:val="es-ES"/>
        </w:rPr>
        <w:t xml:space="preserve">tos de adopción de niños, su entrega bajo tutela (guarda) o para su crianza con familias de acogida realizados con fines de lucro. Se incurrirá en responsabilidad penal por la sustitución de un niño en centros hospitalarios debido a intereses egoístas, venganza o cualesquiera otros bajos instintos por una persona que tiene la responsabilidad de proteger al niño y cuidarlo (art.172). </w:t>
      </w:r>
    </w:p>
    <w:p w:rsidR="001D2E73" w:rsidRDefault="001D2E73">
      <w:pPr>
        <w:pStyle w:val="SingleTxtGR"/>
        <w:rPr>
          <w:spacing w:val="0"/>
          <w:lang w:val="es-ES"/>
        </w:rPr>
      </w:pPr>
      <w:r>
        <w:rPr>
          <w:spacing w:val="0"/>
          <w:lang w:val="es-ES"/>
        </w:rPr>
        <w:t>292.</w:t>
      </w:r>
      <w:r>
        <w:rPr>
          <w:spacing w:val="0"/>
          <w:lang w:val="es-ES"/>
        </w:rPr>
        <w:tab/>
        <w:t>En 2004 la República de Azerbaiyán se adhirió al Convenio de La Haya sobre la Protección de los Niños y la Cooperación en materia de Adopción Intern</w:t>
      </w:r>
      <w:r>
        <w:rPr>
          <w:spacing w:val="0"/>
          <w:lang w:val="es-ES"/>
        </w:rPr>
        <w:t>a</w:t>
      </w:r>
      <w:r>
        <w:rPr>
          <w:spacing w:val="0"/>
          <w:lang w:val="es-ES"/>
        </w:rPr>
        <w:t xml:space="preserve">cional. Por Decreto presidencial de 12 de marzo de 2007, </w:t>
      </w:r>
      <w:smartTag w:uri="urn:schemas-microsoft-com:office:smarttags" w:element="PersonName">
        <w:smartTagPr>
          <w:attr w:name="ProductID" w:val="la Comisi￳n Nacional"/>
        </w:smartTagPr>
        <w:r>
          <w:rPr>
            <w:spacing w:val="0"/>
            <w:lang w:val="es-ES"/>
          </w:rPr>
          <w:t>la Comisión Nacional</w:t>
        </w:r>
      </w:smartTag>
      <w:r>
        <w:rPr>
          <w:spacing w:val="0"/>
          <w:lang w:val="es-ES"/>
        </w:rPr>
        <w:t xml:space="preserve"> de Asuntos de la Familia, la Mujer y la Infancia fue nombrada órgano central encargado de aplicar ese Convenio.</w:t>
      </w:r>
    </w:p>
    <w:p w:rsidR="001D2E73" w:rsidRDefault="001D2E73">
      <w:pPr>
        <w:pStyle w:val="SingleTxtGR"/>
        <w:rPr>
          <w:spacing w:val="0"/>
          <w:lang w:val="es-ES"/>
        </w:rPr>
      </w:pPr>
      <w:r>
        <w:rPr>
          <w:spacing w:val="0"/>
          <w:lang w:val="es-ES"/>
        </w:rPr>
        <w:t>293.</w:t>
      </w:r>
      <w:r>
        <w:rPr>
          <w:spacing w:val="0"/>
          <w:lang w:val="es-ES"/>
        </w:rPr>
        <w:tab/>
        <w:t>En 2006 se introdujeron enmiendas en el Código de la Familia y el Código de Proced</w:t>
      </w:r>
      <w:r>
        <w:rPr>
          <w:spacing w:val="0"/>
          <w:lang w:val="es-ES"/>
        </w:rPr>
        <w:t>i</w:t>
      </w:r>
      <w:r>
        <w:rPr>
          <w:spacing w:val="0"/>
          <w:lang w:val="es-ES"/>
        </w:rPr>
        <w:t>miento Civil destinadas a crear un sistema eficaz de control y perfeccionar la gestión estatal y los procedimientos internos relacionados con la adopción entre Estados. De resultas de ello, el procedimiento de gestión interestatal mejoró sustancialmente, se estableció el control estatal en las distintas instancias del proceso de ado</w:t>
      </w:r>
      <w:r>
        <w:rPr>
          <w:spacing w:val="0"/>
          <w:lang w:val="es-ES"/>
        </w:rPr>
        <w:t>p</w:t>
      </w:r>
      <w:r>
        <w:rPr>
          <w:spacing w:val="0"/>
          <w:lang w:val="es-ES"/>
        </w:rPr>
        <w:t>ción, en el cual se hace participar a todos los organismos estatales que de una manera u otra tienen que ver con esta cuestión. Asimismo se delimitaron con precisión sus facultades y se pusieron en claro las atribuciones de control del órgano central durante el examen prel</w:t>
      </w:r>
      <w:r>
        <w:rPr>
          <w:spacing w:val="0"/>
          <w:lang w:val="es-ES"/>
        </w:rPr>
        <w:t>i</w:t>
      </w:r>
      <w:r>
        <w:rPr>
          <w:spacing w:val="0"/>
          <w:lang w:val="es-ES"/>
        </w:rPr>
        <w:t>minar de la cuestión.</w:t>
      </w:r>
    </w:p>
    <w:p w:rsidR="001D2E73" w:rsidRDefault="001D2E73">
      <w:pPr>
        <w:pStyle w:val="SingleTxtGR"/>
        <w:rPr>
          <w:spacing w:val="0"/>
          <w:lang w:val="es-ES"/>
        </w:rPr>
      </w:pPr>
      <w:r>
        <w:rPr>
          <w:spacing w:val="0"/>
          <w:lang w:val="es-ES"/>
        </w:rPr>
        <w:t>294.</w:t>
      </w:r>
      <w:r>
        <w:rPr>
          <w:spacing w:val="0"/>
          <w:lang w:val="es-ES"/>
        </w:rPr>
        <w:tab/>
        <w:t>En 2008, el Consejo de Ministros aprobó también el reglamento de acredit</w:t>
      </w:r>
      <w:r>
        <w:rPr>
          <w:spacing w:val="0"/>
          <w:lang w:val="es-ES"/>
        </w:rPr>
        <w:t>a</w:t>
      </w:r>
      <w:r>
        <w:rPr>
          <w:spacing w:val="0"/>
          <w:lang w:val="es-ES"/>
        </w:rPr>
        <w:t>ción de los órganos que prestan servicios jurídicos relacionados con la adopción.</w:t>
      </w:r>
    </w:p>
    <w:p w:rsidR="001D2E73" w:rsidRDefault="001D2E73">
      <w:pPr>
        <w:pStyle w:val="SingleTxtGR"/>
        <w:rPr>
          <w:spacing w:val="0"/>
          <w:lang w:val="es-ES"/>
        </w:rPr>
      </w:pPr>
      <w:r>
        <w:rPr>
          <w:spacing w:val="0"/>
          <w:lang w:val="es-ES"/>
        </w:rPr>
        <w:t>295.</w:t>
      </w:r>
      <w:r>
        <w:rPr>
          <w:spacing w:val="0"/>
          <w:lang w:val="es-ES"/>
        </w:rPr>
        <w:tab/>
        <w:t>De conformidad con el artículo 125 del Código del Trabajo, las mujeres trab</w:t>
      </w:r>
      <w:r>
        <w:rPr>
          <w:spacing w:val="0"/>
          <w:lang w:val="es-ES"/>
        </w:rPr>
        <w:t>a</w:t>
      </w:r>
      <w:r>
        <w:rPr>
          <w:spacing w:val="0"/>
          <w:lang w:val="es-ES"/>
        </w:rPr>
        <w:t>jadoras disfrutan de licencia remunerada durante el embarazo y después del parto por un período de 126 días naturales (70 días naturales antes del parto y 56 días naturales después). Cuando se presentan complicaciones en el parto o el parto es múltiple, el descanso después del parto dura 70 días nat</w:t>
      </w:r>
      <w:r>
        <w:rPr>
          <w:spacing w:val="0"/>
          <w:lang w:val="es-ES"/>
        </w:rPr>
        <w:t>u</w:t>
      </w:r>
      <w:r>
        <w:rPr>
          <w:spacing w:val="0"/>
          <w:lang w:val="es-ES"/>
        </w:rPr>
        <w:t>rales.</w:t>
      </w:r>
    </w:p>
    <w:p w:rsidR="001D2E73" w:rsidRDefault="001D2E73">
      <w:pPr>
        <w:pStyle w:val="SingleTxtGR"/>
        <w:rPr>
          <w:spacing w:val="0"/>
          <w:lang w:val="es-ES"/>
        </w:rPr>
      </w:pPr>
      <w:r>
        <w:rPr>
          <w:spacing w:val="0"/>
          <w:lang w:val="es-ES"/>
        </w:rPr>
        <w:t>296.</w:t>
      </w:r>
      <w:r>
        <w:rPr>
          <w:spacing w:val="0"/>
          <w:lang w:val="es-ES"/>
        </w:rPr>
        <w:tab/>
        <w:t>Las mujeres que trabajan en la producción agrícola disfrutan de licencia por embarazo y maternidad como se indica a continuación:</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a)</w:t>
      </w:r>
      <w:r>
        <w:rPr>
          <w:spacing w:val="0"/>
          <w:lang w:val="es-ES"/>
        </w:rPr>
        <w:tab/>
        <w:t>En partos normales: 140 días naturales (70 días naturales antes del parto y 70 después);</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b)</w:t>
      </w:r>
      <w:r>
        <w:rPr>
          <w:spacing w:val="0"/>
          <w:lang w:val="es-ES"/>
        </w:rPr>
        <w:tab/>
        <w:t>Con complicaciones del embarazo: 156 días naturales (70 días naturales antes del parto y 86 después);</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c)</w:t>
      </w:r>
      <w:r>
        <w:rPr>
          <w:spacing w:val="0"/>
          <w:lang w:val="es-ES"/>
        </w:rPr>
        <w:tab/>
        <w:t>Parto múltiple de dos o más hijos: 180 días naturales (70 días naturales antes del parto y 110 días naturales después).</w:t>
      </w:r>
    </w:p>
    <w:p w:rsidR="001D2E73" w:rsidRDefault="001D2E73">
      <w:pPr>
        <w:pStyle w:val="SingleTxtGR"/>
        <w:rPr>
          <w:spacing w:val="0"/>
          <w:lang w:val="es-ES"/>
        </w:rPr>
      </w:pPr>
      <w:r>
        <w:rPr>
          <w:spacing w:val="0"/>
          <w:lang w:val="es-ES"/>
        </w:rPr>
        <w:t>297.</w:t>
      </w:r>
      <w:r>
        <w:rPr>
          <w:spacing w:val="0"/>
          <w:lang w:val="es-ES"/>
        </w:rPr>
        <w:tab/>
        <w:t>De conformidad con el artículo 126, las mujeres que adopten o críen niños de menos de dos meses de edad sin adopción tienen derecho a disfrutar de los 56 días naturales establecidos por ley después del parto, así como a la licencia parcialmente remunerada establecida en el artículo 117 del Código, complementada y prevista en el artículo 127 del Código.</w:t>
      </w:r>
    </w:p>
    <w:p w:rsidR="001D2E73" w:rsidRDefault="001D2E73">
      <w:pPr>
        <w:pStyle w:val="SingleTxtGR"/>
        <w:rPr>
          <w:spacing w:val="0"/>
          <w:lang w:val="es-ES"/>
        </w:rPr>
      </w:pPr>
      <w:r>
        <w:rPr>
          <w:spacing w:val="0"/>
          <w:lang w:val="es-ES"/>
        </w:rPr>
        <w:t>298.</w:t>
      </w:r>
      <w:r>
        <w:rPr>
          <w:spacing w:val="0"/>
          <w:lang w:val="es-ES"/>
        </w:rPr>
        <w:tab/>
        <w:t>Con arreglo al artículo 127 del Código del Trabajo, uno de los progenitores u otro miembro de la familia que se encargue directamente del cuidado del niño antes de que cumpla tres años de edad tiene derecho a disfrutar de licencia social remun</w:t>
      </w:r>
      <w:r>
        <w:rPr>
          <w:spacing w:val="0"/>
          <w:lang w:val="es-ES"/>
        </w:rPr>
        <w:t>e</w:t>
      </w:r>
      <w:r>
        <w:rPr>
          <w:spacing w:val="0"/>
          <w:lang w:val="es-ES"/>
        </w:rPr>
        <w:t>rada por el monto establecido en la ley.</w:t>
      </w:r>
    </w:p>
    <w:p w:rsidR="001D2E73" w:rsidRDefault="001D2E73">
      <w:pPr>
        <w:pStyle w:val="SingleTxtGR"/>
        <w:rPr>
          <w:spacing w:val="0"/>
          <w:lang w:val="es-ES"/>
        </w:rPr>
      </w:pPr>
      <w:r>
        <w:rPr>
          <w:spacing w:val="0"/>
          <w:lang w:val="es-ES"/>
        </w:rPr>
        <w:t>299.</w:t>
      </w:r>
      <w:r>
        <w:rPr>
          <w:spacing w:val="0"/>
          <w:lang w:val="es-ES"/>
        </w:rPr>
        <w:tab/>
        <w:t>La persona que tenga un niño a su cargo podrá ejercer su derecho al descanso remunerado total o parcialmente previa solicitud por escrito.</w:t>
      </w:r>
    </w:p>
    <w:p w:rsidR="001D2E73" w:rsidRDefault="001D2E73">
      <w:pPr>
        <w:pStyle w:val="SingleTxtGR"/>
        <w:rPr>
          <w:spacing w:val="0"/>
          <w:lang w:val="es-ES"/>
        </w:rPr>
      </w:pPr>
      <w:r>
        <w:rPr>
          <w:spacing w:val="0"/>
          <w:lang w:val="es-ES"/>
        </w:rPr>
        <w:t>300.</w:t>
      </w:r>
      <w:r>
        <w:rPr>
          <w:spacing w:val="0"/>
          <w:lang w:val="es-ES"/>
        </w:rPr>
        <w:tab/>
        <w:t>Con arreglo al artículo 240 del Código del Trabajo, está prohibido negarse a firmar un contrato de trabajo con una mujer por estar embarazada o tener hijos menores de 3 años. Esta disposición no se aplica cuando la denegación obedezca a que ese puesto (cargo) no existe o cuando se trata de un empleo en el que está prohibido utilizar el trabajo de la mujer.</w:t>
      </w:r>
    </w:p>
    <w:p w:rsidR="001D2E73" w:rsidRDefault="001D2E73">
      <w:pPr>
        <w:pStyle w:val="SingleTxtGR"/>
        <w:rPr>
          <w:spacing w:val="0"/>
          <w:lang w:val="es-ES"/>
        </w:rPr>
      </w:pPr>
      <w:r>
        <w:rPr>
          <w:spacing w:val="0"/>
          <w:lang w:val="es-ES"/>
        </w:rPr>
        <w:t>301.</w:t>
      </w:r>
      <w:r>
        <w:rPr>
          <w:spacing w:val="0"/>
          <w:lang w:val="es-ES"/>
        </w:rPr>
        <w:tab/>
        <w:t>Cuando el empleador se niegue a firmar un contrato de trabajo con una mujer por estar embarazada o tener hijos menores de 3 años, la mujer tendrá derecho a exigir una respuesta por escrito, en la que se expliquen las causas del rechazo. La mujer que no haya podido suscribir un contrato de trabajo podrá acudir a los tribunales para defender sus derechos.</w:t>
      </w:r>
    </w:p>
    <w:p w:rsidR="001D2E73" w:rsidRDefault="001D2E73">
      <w:pPr>
        <w:pStyle w:val="SingleTxtGR"/>
        <w:rPr>
          <w:spacing w:val="0"/>
          <w:lang w:val="es-ES"/>
        </w:rPr>
      </w:pPr>
      <w:r>
        <w:rPr>
          <w:spacing w:val="0"/>
          <w:lang w:val="es-ES"/>
        </w:rPr>
        <w:t>302.</w:t>
      </w:r>
      <w:r>
        <w:rPr>
          <w:spacing w:val="0"/>
          <w:lang w:val="es-ES"/>
        </w:rPr>
        <w:tab/>
        <w:t>De conformidad con el artículo 241 de dicho Código, se prohíbe asignar a una mujer puestos de trabajo con condiciones difíciles y peligrosas, así como en túneles, minas o pozos subterráneos y dedicarse a otras profesiones en el subsuelo.</w:t>
      </w:r>
    </w:p>
    <w:p w:rsidR="001D2E73" w:rsidRDefault="001D2E73">
      <w:pPr>
        <w:pStyle w:val="SingleTxtGR"/>
        <w:rPr>
          <w:spacing w:val="0"/>
          <w:lang w:val="es-ES"/>
        </w:rPr>
      </w:pPr>
      <w:r>
        <w:rPr>
          <w:spacing w:val="0"/>
          <w:lang w:val="es-ES"/>
        </w:rPr>
        <w:t>303.</w:t>
      </w:r>
      <w:r>
        <w:rPr>
          <w:spacing w:val="0"/>
          <w:lang w:val="es-ES"/>
        </w:rPr>
        <w:tab/>
        <w:t>Como norma general, toda mujer que no realice un trabajo físico, sino que esté empleada en puestos directivos o prestando asistencia social o servicios de salud, seguridad o médicos, o realizando tareas en el subsuelo que no la obliguen a levantar o transportar pesos, tiene derecho a trabajar en el subsuelo por un período determinado. Las mujeres no pueden trabajar levantando y transportando pesos que superen la norma establecida</w:t>
      </w:r>
    </w:p>
    <w:p w:rsidR="001D2E73" w:rsidRDefault="001D2E73">
      <w:pPr>
        <w:pStyle w:val="SingleTxtGR"/>
        <w:rPr>
          <w:spacing w:val="0"/>
          <w:lang w:val="es-ES"/>
        </w:rPr>
      </w:pPr>
      <w:r>
        <w:rPr>
          <w:spacing w:val="0"/>
          <w:lang w:val="es-ES"/>
        </w:rPr>
        <w:t>304.</w:t>
      </w:r>
      <w:r>
        <w:rPr>
          <w:spacing w:val="0"/>
          <w:lang w:val="es-ES"/>
        </w:rPr>
        <w:tab/>
        <w:t>Las mujeres podrán realizar trabajos (prestar se</w:t>
      </w:r>
      <w:r>
        <w:rPr>
          <w:spacing w:val="0"/>
          <w:lang w:val="es-ES"/>
        </w:rPr>
        <w:t>r</w:t>
      </w:r>
      <w:r>
        <w:rPr>
          <w:spacing w:val="0"/>
          <w:lang w:val="es-ES"/>
        </w:rPr>
        <w:t>vicios) que obliguen a levantar y trasladar manualmente objetos solo dentro de los límites de las normas siguie</w:t>
      </w:r>
      <w:r>
        <w:rPr>
          <w:spacing w:val="0"/>
          <w:lang w:val="es-ES"/>
        </w:rPr>
        <w:t>n</w:t>
      </w:r>
      <w:r>
        <w:rPr>
          <w:spacing w:val="0"/>
          <w:lang w:val="es-ES"/>
        </w:rPr>
        <w:t>tes: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Los objetos levantados o transportados manualmente de un lugar a otro no pueden pesar más de 15 kg si se realizan además otras tareas;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Los objetos levantados a una altura mayor de 1,5 m no pueden pesar más de 10 kg;</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Los objetos levantados y transportados manualmente como única actividad durante toda la jornada laboral (o turno) no pueden pesar más de 10 kg;</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Los objetos que requieran aplicar una fuerza de más de 15 kilogramos deberán transportarse en carretillas u otros dispositivos móviles.</w:t>
      </w:r>
    </w:p>
    <w:p w:rsidR="001D2E73" w:rsidRDefault="001D2E73">
      <w:pPr>
        <w:pStyle w:val="SingleTxtGR"/>
        <w:rPr>
          <w:spacing w:val="0"/>
          <w:lang w:val="es-ES"/>
        </w:rPr>
      </w:pPr>
      <w:r>
        <w:rPr>
          <w:spacing w:val="0"/>
          <w:lang w:val="es-ES"/>
        </w:rPr>
        <w:t>305.</w:t>
      </w:r>
      <w:r>
        <w:rPr>
          <w:spacing w:val="0"/>
          <w:lang w:val="es-ES"/>
        </w:rPr>
        <w:tab/>
        <w:t>Las mujeres embarazadas y las mujeres con hijos menores de 3 años de edad no pueden realizar las tareas descritas en dicho artículo. El organismo estatal competente aprueba la lista de empleos y oficios (o puestos) con condiciones de trabajo peligrosas o difíciles o en el subsuelo, en los que está prohibido emplear a las mujeres.</w:t>
      </w:r>
    </w:p>
    <w:p w:rsidR="001D2E73" w:rsidRDefault="001D2E73">
      <w:pPr>
        <w:pStyle w:val="SingleTxtGR"/>
        <w:rPr>
          <w:spacing w:val="0"/>
          <w:lang w:val="es-ES"/>
        </w:rPr>
      </w:pPr>
      <w:r>
        <w:rPr>
          <w:spacing w:val="0"/>
          <w:lang w:val="es-ES"/>
        </w:rPr>
        <w:t>306.</w:t>
      </w:r>
      <w:r>
        <w:rPr>
          <w:spacing w:val="0"/>
          <w:lang w:val="es-ES"/>
        </w:rPr>
        <w:tab/>
        <w:t>De conformidad con el artículo 242, se prohíbe emplear a mujeres embarazadas o con hijos menores de tres años en trabajos nocturnos, en horas extraordinarias, días de descanso, feriados y otros días no laborables, así como enviarlas en comisión de servicios.</w:t>
      </w:r>
    </w:p>
    <w:p w:rsidR="001D2E73" w:rsidRDefault="001D2E73">
      <w:pPr>
        <w:pStyle w:val="SingleTxtGR"/>
        <w:rPr>
          <w:spacing w:val="0"/>
          <w:lang w:val="es-ES"/>
        </w:rPr>
      </w:pPr>
      <w:r>
        <w:rPr>
          <w:spacing w:val="0"/>
          <w:lang w:val="es-ES"/>
        </w:rPr>
        <w:t>307.</w:t>
      </w:r>
      <w:r>
        <w:rPr>
          <w:spacing w:val="0"/>
          <w:lang w:val="es-ES"/>
        </w:rPr>
        <w:tab/>
        <w:t>Las embarazadas solo podrán trabajar en horario nocturno, horas extraordinarias, días de descanso, feriados y otras fechas que se consideran no laborables, si dan su consentimiento, lo mismo se aplica a las mujeres que tengan hijos de 3 a 14 años, o un hijo discapacitado menor de 16 años, cuando el empleador considere encargarles un viaje de trabajo.</w:t>
      </w:r>
    </w:p>
    <w:p w:rsidR="001D2E73" w:rsidRDefault="001D2E73">
      <w:pPr>
        <w:pStyle w:val="SingleTxtGR"/>
        <w:rPr>
          <w:spacing w:val="0"/>
          <w:lang w:val="es-ES"/>
        </w:rPr>
      </w:pPr>
      <w:r>
        <w:rPr>
          <w:spacing w:val="0"/>
          <w:lang w:val="es-ES"/>
        </w:rPr>
        <w:t>308.</w:t>
      </w:r>
      <w:r>
        <w:rPr>
          <w:spacing w:val="0"/>
          <w:lang w:val="es-ES"/>
        </w:rPr>
        <w:tab/>
        <w:t>Con arreglo al artículo 243 del Código del Trabajo, siempre que medie un dictamen médico, la norma de producción o de servicio de la embarazada se reducirá o se la trasladará a un puesto donde existan condiciones de trabajo menos perjudiciales. Si la trabajadora tiene un hijo menor de año y medio y no tiene condiciones idóneas para alimentarlo debidamente o amamantarlo debido a la labor que realiza, el empleador atenderá su solicitud de traslado y la colocará en otro puesto de trabajo y dispondrá lo necesario para que la trabajadora pueda atender debidamente al hijo hasta que este cumpla año y medio. Cuando se traslada a la mujer a otro puesto de trabajo en los casos previstos en este artículo, se le mantendrá el salario medio mensual del puesto que ocupaba. Se prohíbe reducir el salario de la mujer por motivo de embarazo o alimentación del hijo.</w:t>
      </w:r>
    </w:p>
    <w:p w:rsidR="001D2E73" w:rsidRDefault="001D2E73">
      <w:pPr>
        <w:pStyle w:val="SingleTxtGR"/>
        <w:rPr>
          <w:spacing w:val="0"/>
          <w:lang w:val="es-ES"/>
        </w:rPr>
      </w:pPr>
      <w:r>
        <w:rPr>
          <w:spacing w:val="0"/>
          <w:lang w:val="es-ES"/>
        </w:rPr>
        <w:t>309.</w:t>
      </w:r>
      <w:r>
        <w:rPr>
          <w:spacing w:val="0"/>
          <w:lang w:val="es-ES"/>
        </w:rPr>
        <w:tab/>
        <w:t>De conformidad con el artículo 244 del Código, las mujeres con hijos de menos de año y medio, además de la pausa general para descansar y alimentarse, disfr</w:t>
      </w:r>
      <w:r>
        <w:rPr>
          <w:spacing w:val="0"/>
          <w:lang w:val="es-ES"/>
        </w:rPr>
        <w:t>u</w:t>
      </w:r>
      <w:r>
        <w:rPr>
          <w:spacing w:val="0"/>
          <w:lang w:val="es-ES"/>
        </w:rPr>
        <w:t>tarán de descanso adicional para alimentar al bebé (lactancia materna). Cada una de estas pausas durará no menos de 30 minutos cada tres horas. Las mujeres con dos o más hijos de hasta año y medio disfrutarán de pausas con una duración mínima de una hora. Las pausas para alimentar al bebé forman parte de la jornada laboral, por lo que se mantendrá el salario medio. Si la mujer así lo desea, el tiempo de duración de las pausas para alimentar al bebé se podrá sumar al horario de almuerzo y de de</w:t>
      </w:r>
      <w:r>
        <w:rPr>
          <w:spacing w:val="0"/>
          <w:lang w:val="es-ES"/>
        </w:rPr>
        <w:t>s</w:t>
      </w:r>
      <w:r>
        <w:rPr>
          <w:spacing w:val="0"/>
          <w:lang w:val="es-ES"/>
        </w:rPr>
        <w:t>canso y se podrá utilizar al comienzo y al final de la jornada (turno de trabajo). Si la mujer desea utilizar la pausa para alimentar al bebé al final de la jornada laboral, después de sumarlas la jornada laboral se le reducirá el tiempo que duran esas pa</w:t>
      </w:r>
      <w:r>
        <w:rPr>
          <w:spacing w:val="0"/>
          <w:lang w:val="es-ES"/>
        </w:rPr>
        <w:t>u</w:t>
      </w:r>
      <w:r>
        <w:rPr>
          <w:spacing w:val="0"/>
          <w:lang w:val="es-ES"/>
        </w:rPr>
        <w:t>sas.</w:t>
      </w:r>
    </w:p>
    <w:p w:rsidR="001D2E73" w:rsidRDefault="001D2E73">
      <w:pPr>
        <w:pStyle w:val="SingleTxtGR"/>
        <w:rPr>
          <w:spacing w:val="0"/>
          <w:lang w:val="es-ES"/>
        </w:rPr>
      </w:pPr>
      <w:r>
        <w:rPr>
          <w:spacing w:val="0"/>
          <w:lang w:val="es-ES"/>
        </w:rPr>
        <w:t>310.</w:t>
      </w:r>
      <w:r>
        <w:rPr>
          <w:spacing w:val="0"/>
          <w:lang w:val="es-ES"/>
        </w:rPr>
        <w:tab/>
        <w:t>Por otra parte, de conformidad con el artículo 245 del Código, a petición de la embarazada o de la mujer que tenga un hijo menor de 14 años o un hijo discapacitado menor de 16 años, o cuide de un miembro de la familia enfermo por prescripción facultativa, el empleador está en la obligación de asignarle un trabajo a jornada parcial o una semana de trabajo incompleta con pago del salario proporcional al tiempo trabajado. En este caso, las horas diarias de trabajo o los días de la semana que trabajarán se establecerán por acuerdo de las partes. En los días en que la embarazada o la trabajadora que tenga un hijo menor de tres años y sus hijos tengan consulta en la clínica o examen médico se mantendrá el salario medio. El e</w:t>
      </w:r>
      <w:r>
        <w:rPr>
          <w:spacing w:val="0"/>
          <w:lang w:val="es-ES"/>
        </w:rPr>
        <w:t>m</w:t>
      </w:r>
      <w:r>
        <w:rPr>
          <w:spacing w:val="0"/>
          <w:lang w:val="es-ES"/>
        </w:rPr>
        <w:t xml:space="preserve">pleador deberá crear las condiciones necesarias para que la embarazada pueda asistir a las consultas médicas periódicas </w:t>
      </w:r>
    </w:p>
    <w:p w:rsidR="001D2E73" w:rsidRDefault="001D2E73">
      <w:pPr>
        <w:pStyle w:val="SingleTxtGR"/>
        <w:rPr>
          <w:spacing w:val="0"/>
          <w:lang w:val="es-ES"/>
        </w:rPr>
      </w:pPr>
      <w:r>
        <w:rPr>
          <w:spacing w:val="0"/>
          <w:lang w:val="es-ES"/>
        </w:rPr>
        <w:t>311.</w:t>
      </w:r>
      <w:r>
        <w:rPr>
          <w:spacing w:val="0"/>
          <w:lang w:val="es-ES"/>
        </w:rPr>
        <w:tab/>
        <w:t>Con arreglo al artículo 247 del Código del Trabajo y teniendo en cuenta fact</w:t>
      </w:r>
      <w:r>
        <w:rPr>
          <w:spacing w:val="0"/>
          <w:lang w:val="es-ES"/>
        </w:rPr>
        <w:t>o</w:t>
      </w:r>
      <w:r>
        <w:rPr>
          <w:spacing w:val="0"/>
          <w:lang w:val="es-ES"/>
        </w:rPr>
        <w:t>res relacionados con la experiencia laboral y profesional, la poca antigüedad en el trabajo y su estado fisiológico, en el Código se reglamentan las condiciones de utilización del trabajo de menores de 18 años y las garantías correspondientes. El e</w:t>
      </w:r>
      <w:r>
        <w:rPr>
          <w:spacing w:val="0"/>
          <w:lang w:val="es-ES"/>
        </w:rPr>
        <w:t>m</w:t>
      </w:r>
      <w:r>
        <w:rPr>
          <w:spacing w:val="0"/>
          <w:lang w:val="es-ES"/>
        </w:rPr>
        <w:t>pleador está en la obligación de respetar las garantías establecidas en el Código del Trabajo para los trabajadores menores de 18 años y con miras a aumentar su experiencia laboral y profesional, el empleador está en la obligación de garantizar y pr</w:t>
      </w:r>
      <w:r>
        <w:rPr>
          <w:spacing w:val="0"/>
          <w:lang w:val="es-ES"/>
        </w:rPr>
        <w:t>e</w:t>
      </w:r>
      <w:r>
        <w:rPr>
          <w:spacing w:val="0"/>
          <w:lang w:val="es-ES"/>
        </w:rPr>
        <w:t>ver condiciones y compromisos adicionales.</w:t>
      </w:r>
    </w:p>
    <w:p w:rsidR="001D2E73" w:rsidRDefault="001D2E73">
      <w:pPr>
        <w:pStyle w:val="SingleTxtGR"/>
        <w:rPr>
          <w:spacing w:val="0"/>
          <w:lang w:val="es-ES"/>
        </w:rPr>
      </w:pPr>
      <w:r>
        <w:rPr>
          <w:spacing w:val="0"/>
          <w:lang w:val="es-ES"/>
        </w:rPr>
        <w:t>312.</w:t>
      </w:r>
      <w:r>
        <w:rPr>
          <w:spacing w:val="0"/>
          <w:lang w:val="es-ES"/>
        </w:rPr>
        <w:tab/>
        <w:t>De conformidad con el artículo 250 del Código del Trabajo, se prohíbe el trabajo de menores de 18 años en puestos de trabajo pesado y con condiciones peligr</w:t>
      </w:r>
      <w:r>
        <w:rPr>
          <w:spacing w:val="0"/>
          <w:lang w:val="es-ES"/>
        </w:rPr>
        <w:t>o</w:t>
      </w:r>
      <w:r>
        <w:rPr>
          <w:spacing w:val="0"/>
          <w:lang w:val="es-ES"/>
        </w:rPr>
        <w:t>sas, en túneles subterráneos, minas y otros trabajos subterráneos, así como en clubes nocturnos, casinos, bares, que ejercen una influencia negativa en el desarrollo y la madurez, y en trabajos relacionados con la producción, el transporte, la venta y el almacenamiento de bebidas alcohólicas y preparados tóxicos, y con la venta de estupefacientes, sustancias psicotrópicas y sus precursores. Se prohíbe contratar a men</w:t>
      </w:r>
      <w:r>
        <w:rPr>
          <w:spacing w:val="0"/>
          <w:lang w:val="es-ES"/>
        </w:rPr>
        <w:t>o</w:t>
      </w:r>
      <w:r>
        <w:rPr>
          <w:spacing w:val="0"/>
          <w:lang w:val="es-ES"/>
        </w:rPr>
        <w:t>res de 18 años a quienes se aplica la ley de la enseñanza media obligatoria</w:t>
      </w:r>
      <w:r>
        <w:rPr>
          <w:iCs/>
          <w:spacing w:val="0"/>
          <w:lang w:val="es-ES"/>
        </w:rPr>
        <w:t xml:space="preserve"> porque puede privarles de la posibilidad de terminar sus estudios. </w:t>
      </w:r>
    </w:p>
    <w:p w:rsidR="001D2E73" w:rsidRDefault="001D2E73">
      <w:pPr>
        <w:pStyle w:val="SingleTxtGR"/>
        <w:rPr>
          <w:spacing w:val="0"/>
          <w:lang w:val="es-ES"/>
        </w:rPr>
      </w:pPr>
      <w:r>
        <w:rPr>
          <w:spacing w:val="0"/>
          <w:lang w:val="es-ES"/>
        </w:rPr>
        <w:t>313.</w:t>
      </w:r>
      <w:r>
        <w:rPr>
          <w:spacing w:val="0"/>
          <w:lang w:val="es-ES"/>
        </w:rPr>
        <w:tab/>
        <w:t>Con arreglo al artículo 251 del Código del Trabajo, se prohíbe contratar a m</w:t>
      </w:r>
      <w:r>
        <w:rPr>
          <w:spacing w:val="0"/>
          <w:lang w:val="es-ES"/>
        </w:rPr>
        <w:t>e</w:t>
      </w:r>
      <w:r>
        <w:rPr>
          <w:spacing w:val="0"/>
          <w:lang w:val="es-ES"/>
        </w:rPr>
        <w:t>nores de 18 años en trabajos que les obligue a levantar y trasladar objetos pesados de un lugar a otro por encima de las normas establecidas en este artículo. En la activ</w:t>
      </w:r>
      <w:r>
        <w:rPr>
          <w:spacing w:val="0"/>
          <w:lang w:val="es-ES"/>
        </w:rPr>
        <w:t>i</w:t>
      </w:r>
      <w:r>
        <w:rPr>
          <w:spacing w:val="0"/>
          <w:lang w:val="es-ES"/>
        </w:rPr>
        <w:t>dad laboral de los trabajadores de 16 a 18 años podrán incluirse tareas (servicios prestados) que incluyan levantar y trasladar manualmente objetos pesados solamente dentro de los límites de peso establecidos en las siguientes normas: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Los hombres, además de cumplir otras tareas, podrán cargar y trasladar a otro lugar objetos con un peso máximo de 15 kil</w:t>
      </w:r>
      <w:r>
        <w:rPr>
          <w:spacing w:val="0"/>
          <w:lang w:val="es-ES"/>
        </w:rPr>
        <w:t>o</w:t>
      </w:r>
      <w:r>
        <w:rPr>
          <w:spacing w:val="0"/>
          <w:lang w:val="es-ES"/>
        </w:rPr>
        <w:t>gramos, así como levantar a una altura superior a metro y medio objetos con un peso máximo de 10 kilogramos;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Las mujeres, además de cumplir otras tareas, podrán cargar y trasladar objetos con un peso máximo de 10 kilogramos, así como alzar objetos a una altura superior a metro y medio con un peso máximo de 5 kilogramos;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De ordinario durante la jornada laboral (turno de trabajo) solo se podrá cargar y trasladar a otro lugar objetos que no pesen más de 10 kilogramos;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Traslado de objetos en carretillas u otros medios de tracción que requieran la aplicación de una fuerza de más de 15 kilogramos.</w:t>
      </w:r>
    </w:p>
    <w:p w:rsidR="001D2E73" w:rsidRDefault="001D2E73">
      <w:pPr>
        <w:pStyle w:val="SingleTxtGR"/>
        <w:rPr>
          <w:spacing w:val="0"/>
          <w:lang w:val="es-ES"/>
        </w:rPr>
      </w:pPr>
      <w:r>
        <w:rPr>
          <w:spacing w:val="0"/>
          <w:lang w:val="es-ES"/>
        </w:rPr>
        <w:t>314.</w:t>
      </w:r>
      <w:r>
        <w:rPr>
          <w:spacing w:val="0"/>
          <w:lang w:val="es-ES"/>
        </w:rPr>
        <w:tab/>
        <w:t>Las niñas menores de 16 años se podrán encargar, solo con su consentimiento, de tareas que requieran levantar y trasladar objetos con un peso correspondiente al 1/3 del establecido en las normas previstas en los apartados a), b) y c) del párrafo 2 del mencionado artículo del Código del Trabajo. Se prohíbe emplear a niñas men</w:t>
      </w:r>
      <w:r>
        <w:rPr>
          <w:spacing w:val="0"/>
          <w:lang w:val="es-ES"/>
        </w:rPr>
        <w:t>o</w:t>
      </w:r>
      <w:r>
        <w:rPr>
          <w:spacing w:val="0"/>
          <w:lang w:val="es-ES"/>
        </w:rPr>
        <w:t>res de 16 años en trabajos que la obliguen a levantar y trasladar pesos con cierta frecuencia durante la jornada laboral. El Consejo de Ministros de Azerbaiyán aprueba la lista de actividades y profesiones (puestos) con condiciones de trabajo peligrosas o trabajos pesados, así como trabajos subterráneos donde se prohíbe el trabajo de men</w:t>
      </w:r>
      <w:r>
        <w:rPr>
          <w:spacing w:val="0"/>
          <w:lang w:val="es-ES"/>
        </w:rPr>
        <w:t>o</w:t>
      </w:r>
      <w:r>
        <w:rPr>
          <w:spacing w:val="0"/>
          <w:lang w:val="es-ES"/>
        </w:rPr>
        <w:t>res de 18 años.</w:t>
      </w:r>
    </w:p>
    <w:p w:rsidR="001D2E73" w:rsidRDefault="001D2E73">
      <w:pPr>
        <w:pStyle w:val="SingleTxtGR"/>
        <w:rPr>
          <w:spacing w:val="0"/>
          <w:lang w:val="es-ES"/>
        </w:rPr>
      </w:pPr>
      <w:r>
        <w:rPr>
          <w:spacing w:val="0"/>
          <w:lang w:val="es-ES"/>
        </w:rPr>
        <w:t>315.</w:t>
      </w:r>
      <w:r>
        <w:rPr>
          <w:spacing w:val="0"/>
          <w:lang w:val="es-ES"/>
        </w:rPr>
        <w:tab/>
        <w:t>Cabe señalar que un amplio conjunto de normas para aumentar la eficacia de la protección de los derechos del niño quedaron consagradas también en las adiciones y enmiendas a la Constitución aprobadas por referendo. Así pues, en la Const</w:t>
      </w:r>
      <w:r>
        <w:rPr>
          <w:spacing w:val="0"/>
          <w:lang w:val="es-ES"/>
        </w:rPr>
        <w:t>i</w:t>
      </w:r>
      <w:r>
        <w:rPr>
          <w:spacing w:val="0"/>
          <w:lang w:val="es-ES"/>
        </w:rPr>
        <w:t>tución quedaron consagradas en las normas que prohíben utilizar a niños en activid</w:t>
      </w:r>
      <w:r>
        <w:rPr>
          <w:spacing w:val="0"/>
          <w:lang w:val="es-ES"/>
        </w:rPr>
        <w:t>a</w:t>
      </w:r>
      <w:r>
        <w:rPr>
          <w:spacing w:val="0"/>
          <w:lang w:val="es-ES"/>
        </w:rPr>
        <w:t xml:space="preserve">des que puedan constituir un peligro para su vida, su salud y la moral y contratar a niños que no han cumplido aún los 15 años. </w:t>
      </w:r>
    </w:p>
    <w:p w:rsidR="001D2E73" w:rsidRDefault="001D2E73">
      <w:pPr>
        <w:pStyle w:val="SingleTxtGR"/>
        <w:rPr>
          <w:spacing w:val="0"/>
          <w:lang w:val="es-ES"/>
        </w:rPr>
      </w:pPr>
      <w:r>
        <w:rPr>
          <w:spacing w:val="0"/>
          <w:lang w:val="es-ES"/>
        </w:rPr>
        <w:t>316.</w:t>
      </w:r>
      <w:r>
        <w:rPr>
          <w:spacing w:val="0"/>
          <w:lang w:val="es-ES"/>
        </w:rPr>
        <w:tab/>
        <w:t>Además, también quedó consagrada constitucionalmente la norma de que los niños privados del cuidado de sus padres y que no tienen tutores quedan al cuidado del Estado.</w:t>
      </w:r>
    </w:p>
    <w:p w:rsidR="001D2E73" w:rsidRDefault="001D2E73">
      <w:pPr>
        <w:pStyle w:val="SingleTxtGR"/>
        <w:rPr>
          <w:spacing w:val="0"/>
          <w:lang w:val="es-ES"/>
        </w:rPr>
      </w:pPr>
      <w:r>
        <w:rPr>
          <w:spacing w:val="0"/>
          <w:lang w:val="es-ES"/>
        </w:rPr>
        <w:t>317.</w:t>
      </w:r>
      <w:r>
        <w:rPr>
          <w:spacing w:val="0"/>
          <w:lang w:val="es-ES"/>
        </w:rPr>
        <w:tab/>
        <w:t>En la Constitución también quedó consagrada la norma de que el Estado velará directamente por que se respeten los der</w:t>
      </w:r>
      <w:r>
        <w:rPr>
          <w:spacing w:val="0"/>
          <w:lang w:val="es-ES"/>
        </w:rPr>
        <w:t>e</w:t>
      </w:r>
      <w:r>
        <w:rPr>
          <w:spacing w:val="0"/>
          <w:lang w:val="es-ES"/>
        </w:rPr>
        <w:t xml:space="preserve">chos del niño. </w:t>
      </w:r>
    </w:p>
    <w:p w:rsidR="001D2E73" w:rsidRDefault="001D2E73">
      <w:pPr>
        <w:pStyle w:val="SingleTxtGR"/>
        <w:rPr>
          <w:spacing w:val="0"/>
          <w:lang w:val="es-ES"/>
        </w:rPr>
      </w:pPr>
      <w:r>
        <w:rPr>
          <w:spacing w:val="0"/>
          <w:lang w:val="es-ES"/>
        </w:rPr>
        <w:t>318.</w:t>
      </w:r>
      <w:r>
        <w:rPr>
          <w:spacing w:val="0"/>
          <w:lang w:val="es-ES"/>
        </w:rPr>
        <w:tab/>
        <w:t>De conformidad con el artículo 252 del Código del Trabajo, solo se podrá a</w:t>
      </w:r>
      <w:r>
        <w:rPr>
          <w:spacing w:val="0"/>
          <w:lang w:val="es-ES"/>
        </w:rPr>
        <w:t>d</w:t>
      </w:r>
      <w:r>
        <w:rPr>
          <w:spacing w:val="0"/>
          <w:lang w:val="es-ES"/>
        </w:rPr>
        <w:t>mitir al empleo a menores de 18 años después que hayan pasado un examen médico y posteriormente todos los años hasta que cumplan los 18 años, el empleador sufr</w:t>
      </w:r>
      <w:r>
        <w:rPr>
          <w:spacing w:val="0"/>
          <w:lang w:val="es-ES"/>
        </w:rPr>
        <w:t>a</w:t>
      </w:r>
      <w:r>
        <w:rPr>
          <w:spacing w:val="0"/>
          <w:lang w:val="es-ES"/>
        </w:rPr>
        <w:t>gará los gastos de ese examen médico.</w:t>
      </w:r>
    </w:p>
    <w:p w:rsidR="001D2E73" w:rsidRDefault="001D2E73">
      <w:pPr>
        <w:pStyle w:val="SingleTxtGR"/>
        <w:rPr>
          <w:spacing w:val="0"/>
          <w:lang w:val="es-ES"/>
        </w:rPr>
      </w:pPr>
      <w:r>
        <w:rPr>
          <w:spacing w:val="0"/>
          <w:lang w:val="es-ES"/>
        </w:rPr>
        <w:t>319.</w:t>
      </w:r>
      <w:r>
        <w:rPr>
          <w:spacing w:val="0"/>
          <w:lang w:val="es-ES"/>
        </w:rPr>
        <w:tab/>
        <w:t>Con arreglo al artículo 253 del Código, el salario de los trabajadores que no hayan cumplido 18 años de edad y tengan una jornada laboral reducida, como se e</w:t>
      </w:r>
      <w:r>
        <w:rPr>
          <w:spacing w:val="0"/>
          <w:lang w:val="es-ES"/>
        </w:rPr>
        <w:t>s</w:t>
      </w:r>
      <w:r>
        <w:rPr>
          <w:spacing w:val="0"/>
          <w:lang w:val="es-ES"/>
        </w:rPr>
        <w:t>tablece en el artículo 91 del Código del Trabajo, se pagará como corresponde a un trabajador adulto según las tareas asignadas y cumplidas y el oficio que desempeña. El trabajo de menores de 18 años remunerado según el rendimiento se pagará sobre la base de las mismas tarifas que se pagan a los trabajadores adultos, menos la dif</w:t>
      </w:r>
      <w:r>
        <w:rPr>
          <w:spacing w:val="0"/>
          <w:lang w:val="es-ES"/>
        </w:rPr>
        <w:t>e</w:t>
      </w:r>
      <w:r>
        <w:rPr>
          <w:spacing w:val="0"/>
          <w:lang w:val="es-ES"/>
        </w:rPr>
        <w:t>rencia entre la jornada laboral reducida que se establece en el artículo 91 del Código y la duración de la jornada laboral de un adulto.</w:t>
      </w:r>
    </w:p>
    <w:p w:rsidR="001D2E73" w:rsidRDefault="001D2E73">
      <w:pPr>
        <w:pStyle w:val="SingleTxtGR"/>
        <w:rPr>
          <w:spacing w:val="0"/>
          <w:lang w:val="es-ES"/>
        </w:rPr>
      </w:pPr>
      <w:r>
        <w:rPr>
          <w:spacing w:val="0"/>
          <w:lang w:val="es-ES"/>
        </w:rPr>
        <w:t>320.</w:t>
      </w:r>
      <w:r>
        <w:rPr>
          <w:spacing w:val="0"/>
          <w:lang w:val="es-ES"/>
        </w:rPr>
        <w:tab/>
        <w:t xml:space="preserve">De conformidad con el artículo 254 del Código del Trabajo, se prohíbe la asignar trabajo a menores de 18 años en horario nocturno y en horas extraordinarias, durante los días de descanso que se consideran feriados, no laborables y otros días festivos, así como asignarles comisiones de servicio. El horario entre las 20.00 horas y las 07.00 se considera horario nocturno para los trabajadores menores de 18 años. Para los demás trabajadores el horario nocturno comienza a las 22.00 horas hasta las 06.00 horas. </w:t>
      </w:r>
    </w:p>
    <w:p w:rsidR="001D2E73" w:rsidRDefault="001D2E73">
      <w:pPr>
        <w:pStyle w:val="SingleTxtGR"/>
        <w:rPr>
          <w:spacing w:val="0"/>
          <w:lang w:val="es-ES"/>
        </w:rPr>
      </w:pPr>
      <w:r>
        <w:rPr>
          <w:spacing w:val="0"/>
          <w:lang w:val="es-ES"/>
        </w:rPr>
        <w:t>321.</w:t>
      </w:r>
      <w:r>
        <w:rPr>
          <w:spacing w:val="0"/>
          <w:lang w:val="es-ES"/>
        </w:rPr>
        <w:tab/>
        <w:t xml:space="preserve">La República de Azerbaiyán es parte en la Convención sobre los Derechos del Niño, además ha ratificado los siguientes convenios de la OIT: </w:t>
      </w:r>
    </w:p>
    <w:p w:rsidR="001D2E73" w:rsidRDefault="001D2E73">
      <w:pPr>
        <w:pStyle w:val="Bullet1G"/>
        <w:rPr>
          <w:lang w:val="es-ES"/>
        </w:rPr>
      </w:pPr>
      <w:r>
        <w:rPr>
          <w:lang w:val="es-ES"/>
        </w:rPr>
        <w:t>Nº 138 sobre la edad mínima de admisión al empleo;</w:t>
      </w:r>
    </w:p>
    <w:p w:rsidR="001D2E73" w:rsidRDefault="001D2E73">
      <w:pPr>
        <w:pStyle w:val="Bullet1G"/>
        <w:rPr>
          <w:lang w:val="es-ES"/>
        </w:rPr>
      </w:pPr>
      <w:r>
        <w:rPr>
          <w:lang w:val="es-ES"/>
        </w:rPr>
        <w:t>Nº 90 sobre el trabajo nocturno de los menores (industria) ;</w:t>
      </w:r>
    </w:p>
    <w:p w:rsidR="001D2E73" w:rsidRDefault="001D2E73">
      <w:pPr>
        <w:pStyle w:val="Bullet1G"/>
        <w:rPr>
          <w:lang w:val="es-ES"/>
        </w:rPr>
      </w:pPr>
      <w:r>
        <w:rPr>
          <w:lang w:val="es-ES"/>
        </w:rPr>
        <w:t>Nº 79 sobre el trabajo nocturno de los menores (trabajos no industriales);</w:t>
      </w:r>
    </w:p>
    <w:p w:rsidR="001D2E73" w:rsidRDefault="001D2E73">
      <w:pPr>
        <w:pStyle w:val="Bullet1G"/>
        <w:rPr>
          <w:lang w:val="es-ES"/>
        </w:rPr>
      </w:pPr>
      <w:r>
        <w:rPr>
          <w:lang w:val="es-ES"/>
        </w:rPr>
        <w:t>Nº 77 sobre el examen médico de los menores (industria);</w:t>
      </w:r>
    </w:p>
    <w:p w:rsidR="001D2E73" w:rsidRDefault="001D2E73">
      <w:pPr>
        <w:pStyle w:val="Bullet1G"/>
        <w:rPr>
          <w:lang w:val="es-ES"/>
        </w:rPr>
      </w:pPr>
      <w:r>
        <w:rPr>
          <w:lang w:val="es-ES"/>
        </w:rPr>
        <w:t>Nº 78 sobre el examen médico de los menores (trabajos no industriales);</w:t>
      </w:r>
    </w:p>
    <w:p w:rsidR="001D2E73" w:rsidRDefault="001D2E73">
      <w:pPr>
        <w:pStyle w:val="Bullet1G"/>
        <w:rPr>
          <w:lang w:val="es-ES"/>
        </w:rPr>
      </w:pPr>
      <w:r>
        <w:rPr>
          <w:lang w:val="es-ES"/>
        </w:rPr>
        <w:t>Nº 124 sobre el examen médico de los menores (trabajo subterráneo);</w:t>
      </w:r>
    </w:p>
    <w:p w:rsidR="001D2E73" w:rsidRDefault="001D2E73">
      <w:pPr>
        <w:pStyle w:val="SingleTxtGR"/>
        <w:rPr>
          <w:spacing w:val="0"/>
          <w:lang w:val="es-ES"/>
        </w:rPr>
      </w:pPr>
      <w:r>
        <w:rPr>
          <w:spacing w:val="0"/>
          <w:lang w:val="es-ES"/>
        </w:rPr>
        <w:t>322.</w:t>
      </w:r>
      <w:r>
        <w:rPr>
          <w:spacing w:val="0"/>
          <w:lang w:val="es-ES"/>
        </w:rPr>
        <w:tab/>
        <w:t xml:space="preserve">En diciembre de 2003, </w:t>
      </w:r>
      <w:r>
        <w:rPr>
          <w:snapToGrid w:val="0"/>
          <w:spacing w:val="0"/>
          <w:lang w:val="es-ES"/>
        </w:rPr>
        <w:t>la República de Azerbaiyán ratificó el Convenio Nº 182 de la OIT s</w:t>
      </w:r>
      <w:r>
        <w:rPr>
          <w:rFonts w:eastAsia="Calibri"/>
          <w:spacing w:val="0"/>
          <w:lang w:val="es-ES"/>
        </w:rPr>
        <w:t>obre la prohibición de las peores formas de trabajo infantil</w:t>
      </w:r>
      <w:r>
        <w:rPr>
          <w:spacing w:val="0"/>
          <w:lang w:val="es-ES"/>
        </w:rPr>
        <w:t>.</w:t>
      </w:r>
    </w:p>
    <w:p w:rsidR="001D2E73" w:rsidRDefault="001D2E73">
      <w:pPr>
        <w:pStyle w:val="SingleTxtGR"/>
        <w:rPr>
          <w:spacing w:val="0"/>
          <w:lang w:val="es-ES"/>
        </w:rPr>
      </w:pPr>
      <w:r>
        <w:rPr>
          <w:spacing w:val="0"/>
          <w:lang w:val="es-ES"/>
        </w:rPr>
        <w:t>323.</w:t>
      </w:r>
      <w:r>
        <w:rPr>
          <w:spacing w:val="0"/>
          <w:lang w:val="es-ES"/>
        </w:rPr>
        <w:tab/>
        <w:t>El Gobierno de la República de Azerbaiyán a la OIT presenta informes periódicos a la OIT sobre la apl</w:t>
      </w:r>
      <w:r>
        <w:rPr>
          <w:spacing w:val="0"/>
          <w:lang w:val="es-ES"/>
        </w:rPr>
        <w:t>i</w:t>
      </w:r>
      <w:r>
        <w:rPr>
          <w:spacing w:val="0"/>
          <w:lang w:val="es-ES"/>
        </w:rPr>
        <w:t xml:space="preserve">cación de las disposiciones de esos convenios. </w:t>
      </w:r>
    </w:p>
    <w:p w:rsidR="001D2E73" w:rsidRDefault="001D2E73">
      <w:pPr>
        <w:pStyle w:val="SingleTxtGR"/>
        <w:rPr>
          <w:spacing w:val="0"/>
          <w:lang w:val="es-ES"/>
        </w:rPr>
      </w:pPr>
      <w:r>
        <w:rPr>
          <w:spacing w:val="0"/>
          <w:lang w:val="es-ES"/>
        </w:rPr>
        <w:t>324.</w:t>
      </w:r>
      <w:r>
        <w:rPr>
          <w:spacing w:val="0"/>
          <w:lang w:val="es-ES"/>
        </w:rPr>
        <w:tab/>
        <w:t>Por otra parte, el Gobierno ha aprobado un conjunto de instrumentos normat</w:t>
      </w:r>
      <w:r>
        <w:rPr>
          <w:spacing w:val="0"/>
          <w:lang w:val="es-ES"/>
        </w:rPr>
        <w:t>i</w:t>
      </w:r>
      <w:r>
        <w:rPr>
          <w:spacing w:val="0"/>
          <w:lang w:val="es-ES"/>
        </w:rPr>
        <w:t>vos destinados a proteger los derechos del niño, prevenir la violencia contra los m</w:t>
      </w:r>
      <w:r>
        <w:rPr>
          <w:spacing w:val="0"/>
          <w:lang w:val="es-ES"/>
        </w:rPr>
        <w:t>e</w:t>
      </w:r>
      <w:r>
        <w:rPr>
          <w:spacing w:val="0"/>
          <w:lang w:val="es-ES"/>
        </w:rPr>
        <w:t>nores y la trata de niños y mejorar su bienestar social, entre ellos, la Ley de derechos del niño, la Ley de ratificación de las Disposiciones sobre las comisiones encargadas de asuntos de menores y de la protección de sus derechos y la Ley de prevención del abandono y de los delitos de m</w:t>
      </w:r>
      <w:r>
        <w:rPr>
          <w:spacing w:val="0"/>
          <w:lang w:val="es-ES"/>
        </w:rPr>
        <w:t>e</w:t>
      </w:r>
      <w:r>
        <w:rPr>
          <w:spacing w:val="0"/>
          <w:lang w:val="es-ES"/>
        </w:rPr>
        <w:t>nores.</w:t>
      </w:r>
    </w:p>
    <w:p w:rsidR="001D2E73" w:rsidRDefault="001D2E73">
      <w:pPr>
        <w:pStyle w:val="SingleTxtGR"/>
        <w:rPr>
          <w:spacing w:val="0"/>
          <w:lang w:val="es-ES"/>
        </w:rPr>
      </w:pPr>
      <w:r>
        <w:rPr>
          <w:spacing w:val="0"/>
          <w:lang w:val="es-ES"/>
        </w:rPr>
        <w:t>325.</w:t>
      </w:r>
      <w:r>
        <w:rPr>
          <w:spacing w:val="0"/>
          <w:lang w:val="es-ES"/>
        </w:rPr>
        <w:tab/>
        <w:t>El Programa nacional integral para combatir la violencia cotidiana en una sociedad democrática fue aprobado por el Consejo de Ministros el 25 de enero de 2007. El Programa se propone prevenir la violencia cotidiana en la sociedad, velar por la seguridad de la vida de la persona y por el respeto de las normas jurídicas, reducir el riesgo de intimidación contra las personas en lugares públicos, en la fam</w:t>
      </w:r>
      <w:r>
        <w:rPr>
          <w:spacing w:val="0"/>
          <w:lang w:val="es-ES"/>
        </w:rPr>
        <w:t>i</w:t>
      </w:r>
      <w:r>
        <w:rPr>
          <w:spacing w:val="0"/>
          <w:lang w:val="es-ES"/>
        </w:rPr>
        <w:t>lia, en el hogar, etc.</w:t>
      </w:r>
    </w:p>
    <w:p w:rsidR="001D2E73" w:rsidRDefault="001D2E73">
      <w:pPr>
        <w:pStyle w:val="SingleTxtGR"/>
        <w:rPr>
          <w:spacing w:val="0"/>
          <w:lang w:val="es-ES"/>
        </w:rPr>
      </w:pPr>
      <w:r>
        <w:rPr>
          <w:spacing w:val="0"/>
          <w:lang w:val="es-ES"/>
        </w:rPr>
        <w:t>326.</w:t>
      </w:r>
      <w:r>
        <w:rPr>
          <w:spacing w:val="0"/>
          <w:lang w:val="es-ES"/>
        </w:rPr>
        <w:tab/>
        <w:t>Actualmente, el Parlamento examina un proyecto de ley de prevención de la violencia doméstica que, entre otras cosas, establece el marco jurídico de la prote</w:t>
      </w:r>
      <w:r>
        <w:rPr>
          <w:spacing w:val="0"/>
          <w:lang w:val="es-ES"/>
        </w:rPr>
        <w:t>c</w:t>
      </w:r>
      <w:r>
        <w:rPr>
          <w:spacing w:val="0"/>
          <w:lang w:val="es-ES"/>
        </w:rPr>
        <w:t>ción contra la violencia y prevé el establecimiento de centros de rehabilitación para las mujeres y los niños que sean víctimas de la violencia.</w:t>
      </w:r>
    </w:p>
    <w:p w:rsidR="001D2E73" w:rsidRDefault="001D2E73">
      <w:pPr>
        <w:pStyle w:val="SingleTxtGR"/>
        <w:rPr>
          <w:spacing w:val="0"/>
          <w:lang w:val="es-ES"/>
        </w:rPr>
      </w:pPr>
      <w:r>
        <w:rPr>
          <w:spacing w:val="0"/>
          <w:lang w:val="es-ES"/>
        </w:rPr>
        <w:t>327.</w:t>
      </w:r>
      <w:r>
        <w:rPr>
          <w:spacing w:val="0"/>
          <w:lang w:val="es-ES"/>
        </w:rPr>
        <w:tab/>
        <w:t>Azerbaiyán participó también en la Campaña del Consejo de Europa de dos años de duración para combatir la violencia contra la mujer, incluida la violencia doméstica, iniciada en noviembre de 2006.</w:t>
      </w:r>
    </w:p>
    <w:p w:rsidR="001D2E73" w:rsidRDefault="001D2E73">
      <w:pPr>
        <w:pStyle w:val="SingleTxtGR"/>
        <w:rPr>
          <w:spacing w:val="0"/>
          <w:lang w:val="es-ES"/>
        </w:rPr>
      </w:pPr>
      <w:r>
        <w:rPr>
          <w:spacing w:val="0"/>
          <w:lang w:val="es-ES"/>
        </w:rPr>
        <w:t>328.</w:t>
      </w:r>
      <w:r>
        <w:rPr>
          <w:spacing w:val="0"/>
          <w:lang w:val="es-ES"/>
        </w:rPr>
        <w:tab/>
        <w:t xml:space="preserve">Desde enero de 2008, </w:t>
      </w:r>
      <w:smartTag w:uri="urn:schemas-microsoft-com:office:smarttags" w:element="PersonName">
        <w:smartTagPr>
          <w:attr w:name="ProductID" w:val="la Comisi￳n Nacional"/>
        </w:smartTagPr>
        <w:r>
          <w:rPr>
            <w:spacing w:val="0"/>
            <w:lang w:val="es-ES"/>
          </w:rPr>
          <w:t>la Comisión Nacional</w:t>
        </w:r>
      </w:smartTag>
      <w:r>
        <w:rPr>
          <w:spacing w:val="0"/>
          <w:lang w:val="es-ES"/>
        </w:rPr>
        <w:t xml:space="preserve"> de Asuntos de la Familia, la M</w:t>
      </w:r>
      <w:r>
        <w:rPr>
          <w:spacing w:val="0"/>
          <w:lang w:val="es-ES"/>
        </w:rPr>
        <w:t>u</w:t>
      </w:r>
      <w:r>
        <w:rPr>
          <w:spacing w:val="0"/>
          <w:lang w:val="es-ES"/>
        </w:rPr>
        <w:t>jer y la Infancia, el Fondo Gaidar Aliev y el Fondo de Población de las Naciones Unidas estén ejecutando el proyecto conjunto "Un siglo XXI sin violencia contra la mujer". En el marco de este proyecto se llevan a cabo seminarios regionales, se p</w:t>
      </w:r>
      <w:r>
        <w:rPr>
          <w:spacing w:val="0"/>
          <w:lang w:val="es-ES"/>
        </w:rPr>
        <w:t>u</w:t>
      </w:r>
      <w:r>
        <w:rPr>
          <w:spacing w:val="0"/>
          <w:lang w:val="es-ES"/>
        </w:rPr>
        <w:t>blican materiales correspondientes sobre derechos humanos e igualdad entre los sexos y se elaboran estrategias de prestación de asistencia a las víctimas de la vi</w:t>
      </w:r>
      <w:r>
        <w:rPr>
          <w:spacing w:val="0"/>
          <w:lang w:val="es-ES"/>
        </w:rPr>
        <w:t>o</w:t>
      </w:r>
      <w:r>
        <w:rPr>
          <w:spacing w:val="0"/>
          <w:lang w:val="es-ES"/>
        </w:rPr>
        <w:t>lencia de género. En la televisión nacional se exhiben vídeos sobre estos temas.</w:t>
      </w:r>
    </w:p>
    <w:p w:rsidR="001D2E73" w:rsidRDefault="001D2E73">
      <w:pPr>
        <w:pStyle w:val="SingleTxtGR"/>
        <w:rPr>
          <w:spacing w:val="0"/>
          <w:lang w:val="es-ES"/>
        </w:rPr>
      </w:pPr>
      <w:r>
        <w:rPr>
          <w:spacing w:val="0"/>
          <w:lang w:val="es-ES"/>
        </w:rPr>
        <w:t>329.</w:t>
      </w:r>
      <w:r>
        <w:rPr>
          <w:spacing w:val="0"/>
          <w:lang w:val="es-ES"/>
        </w:rPr>
        <w:tab/>
        <w:t>En el marco de la colaboración, el Ministerio del Interior de Azerbaiyán, conjuntamente con representantes de la Organización para la Seguridad y la Cooper</w:t>
      </w:r>
      <w:r>
        <w:rPr>
          <w:spacing w:val="0"/>
          <w:lang w:val="es-ES"/>
        </w:rPr>
        <w:t>a</w:t>
      </w:r>
      <w:r>
        <w:rPr>
          <w:spacing w:val="0"/>
          <w:lang w:val="es-ES"/>
        </w:rPr>
        <w:t>ción en Europa (OSCE) y el Fondo de las Naciones Unidas para la Infancia (UNICEF) celebran periódicamente en Bakú seminarios, mesas redondas y confere</w:t>
      </w:r>
      <w:r>
        <w:rPr>
          <w:spacing w:val="0"/>
          <w:lang w:val="es-ES"/>
        </w:rPr>
        <w:t>n</w:t>
      </w:r>
      <w:r>
        <w:rPr>
          <w:spacing w:val="0"/>
          <w:lang w:val="es-ES"/>
        </w:rPr>
        <w:t xml:space="preserve">cias de rechazo a la violencia contra la mujer. </w:t>
      </w:r>
    </w:p>
    <w:p w:rsidR="001D2E73" w:rsidRDefault="001D2E73">
      <w:pPr>
        <w:pStyle w:val="SingleTxtGR"/>
        <w:rPr>
          <w:spacing w:val="0"/>
          <w:lang w:val="es-ES"/>
        </w:rPr>
      </w:pPr>
      <w:r>
        <w:rPr>
          <w:spacing w:val="0"/>
          <w:lang w:val="es-ES"/>
        </w:rPr>
        <w:t>330.</w:t>
      </w:r>
      <w:r>
        <w:rPr>
          <w:spacing w:val="0"/>
          <w:lang w:val="es-ES"/>
        </w:rPr>
        <w:tab/>
        <w:t>Por medio de cursos especiales impartidos a algunos inspectores de distritos e inspectores encargados de asuntos de menores, el Ministerio del Interior preparó a 140 instructores que se encargan de problemas relacionados con la violencia doméstica.</w:t>
      </w:r>
    </w:p>
    <w:p w:rsidR="001D2E73" w:rsidRDefault="001D2E73">
      <w:pPr>
        <w:pStyle w:val="SingleTxtGR"/>
        <w:rPr>
          <w:spacing w:val="0"/>
          <w:lang w:val="es-ES"/>
        </w:rPr>
      </w:pPr>
      <w:r>
        <w:rPr>
          <w:spacing w:val="0"/>
          <w:lang w:val="es-ES"/>
        </w:rPr>
        <w:t>331.</w:t>
      </w:r>
      <w:r>
        <w:rPr>
          <w:spacing w:val="0"/>
          <w:lang w:val="es-ES"/>
        </w:rPr>
        <w:tab/>
        <w:t>Para evitar que los funcionarios de los órganos locales de la policía actúen con negligencia en casos de denuncias de delitos relacionados con conflictos familiares, en el Ministerio del Interior se creó el servicio 102, que perm</w:t>
      </w:r>
      <w:r>
        <w:rPr>
          <w:spacing w:val="0"/>
          <w:lang w:val="es-ES"/>
        </w:rPr>
        <w:t>i</w:t>
      </w:r>
      <w:r>
        <w:rPr>
          <w:spacing w:val="0"/>
          <w:lang w:val="es-ES"/>
        </w:rPr>
        <w:t>te a los ciudadanos presentar directamente sus denuncias y quejas a la dirección del Ministerio.</w:t>
      </w:r>
    </w:p>
    <w:p w:rsidR="001D2E73" w:rsidRDefault="001D2E73">
      <w:pPr>
        <w:pStyle w:val="SingleTxtGR"/>
        <w:rPr>
          <w:spacing w:val="0"/>
          <w:lang w:val="es-ES"/>
        </w:rPr>
      </w:pPr>
      <w:r>
        <w:rPr>
          <w:spacing w:val="0"/>
          <w:lang w:val="es-ES"/>
        </w:rPr>
        <w:t>332.</w:t>
      </w:r>
      <w:r>
        <w:rPr>
          <w:spacing w:val="0"/>
          <w:lang w:val="es-ES"/>
        </w:rPr>
        <w:tab/>
        <w:t>Gracias a las medidas preventivas específicas adoptadas por los órganos del interior, en 2008 se registró un 7,6% de delitos cometidos debido a conflictos fam</w:t>
      </w:r>
      <w:r>
        <w:rPr>
          <w:spacing w:val="0"/>
          <w:lang w:val="es-ES"/>
        </w:rPr>
        <w:t>i</w:t>
      </w:r>
      <w:r>
        <w:rPr>
          <w:spacing w:val="0"/>
          <w:lang w:val="es-ES"/>
        </w:rPr>
        <w:t xml:space="preserve">liares. </w:t>
      </w:r>
    </w:p>
    <w:p w:rsidR="001D2E73" w:rsidRDefault="001D2E73">
      <w:pPr>
        <w:pStyle w:val="SingleTxtGR"/>
        <w:rPr>
          <w:spacing w:val="0"/>
          <w:lang w:val="es-ES"/>
        </w:rPr>
      </w:pPr>
      <w:r>
        <w:rPr>
          <w:spacing w:val="0"/>
          <w:lang w:val="es-ES"/>
        </w:rPr>
        <w:t>333.</w:t>
      </w:r>
      <w:r>
        <w:rPr>
          <w:spacing w:val="0"/>
          <w:lang w:val="es-ES"/>
        </w:rPr>
        <w:tab/>
        <w:t>Por otra parte, según los resultados de la encuesta realizada por el Comité E</w:t>
      </w:r>
      <w:r>
        <w:rPr>
          <w:spacing w:val="0"/>
          <w:lang w:val="es-ES"/>
        </w:rPr>
        <w:t>s</w:t>
      </w:r>
      <w:r>
        <w:rPr>
          <w:spacing w:val="0"/>
          <w:lang w:val="es-ES"/>
        </w:rPr>
        <w:t>tatal de Estadística de Azerbaiyán, el porcentaje de mujeres de 15 a 49 años que han sido objeto al menos una vez de violencia física representó 12% en la ciudad y 15% en el campo. El porcentaje general de mujeres de 15 a 49 años objeto de violencia física o sexual en la ciudad representó el 13% y en el campo, 14%.</w:t>
      </w:r>
    </w:p>
    <w:p w:rsidR="001D2E73" w:rsidRDefault="001D2E73">
      <w:pPr>
        <w:pStyle w:val="SingleTxtGR"/>
        <w:rPr>
          <w:spacing w:val="0"/>
          <w:lang w:val="es-ES"/>
        </w:rPr>
      </w:pPr>
      <w:r>
        <w:rPr>
          <w:spacing w:val="0"/>
          <w:lang w:val="es-ES"/>
        </w:rPr>
        <w:t>334.</w:t>
      </w:r>
      <w:r>
        <w:rPr>
          <w:spacing w:val="0"/>
          <w:lang w:val="es-ES"/>
        </w:rPr>
        <w:tab/>
        <w:t>El Código Penal y la legislación sobre procedimiento penal establecen los mecanismos de protección de las víctimas de la violencia sexual y doméstica y las p</w:t>
      </w:r>
      <w:r>
        <w:rPr>
          <w:spacing w:val="0"/>
          <w:lang w:val="es-ES"/>
        </w:rPr>
        <w:t>e</w:t>
      </w:r>
      <w:r>
        <w:rPr>
          <w:spacing w:val="0"/>
          <w:lang w:val="es-ES"/>
        </w:rPr>
        <w:t xml:space="preserve">nas en que incurren los culpables de este tipo de delitos. </w:t>
      </w:r>
    </w:p>
    <w:p w:rsidR="001D2E73" w:rsidRDefault="001D2E73">
      <w:pPr>
        <w:pStyle w:val="SingleTxtGR"/>
        <w:rPr>
          <w:b/>
          <w:spacing w:val="0"/>
          <w:lang w:val="es-ES"/>
        </w:rPr>
      </w:pPr>
      <w:r>
        <w:rPr>
          <w:spacing w:val="0"/>
          <w:lang w:val="es-ES"/>
        </w:rPr>
        <w:t>335.</w:t>
      </w:r>
      <w:r>
        <w:rPr>
          <w:spacing w:val="0"/>
          <w:lang w:val="es-ES"/>
        </w:rPr>
        <w:tab/>
        <w:t>En 2005 se introdujeron adiciones al Código Penal y se estableció la pena por la trata de personas (artículo 144-1), el trabajo forzoso (artículo 144-2), así como la divulgación de información confidencial sobre las personas que hayan sido víctimas de la trata de personas (artíc</w:t>
      </w:r>
      <w:r>
        <w:rPr>
          <w:spacing w:val="0"/>
          <w:lang w:val="es-ES"/>
        </w:rPr>
        <w:t>u</w:t>
      </w:r>
      <w:r>
        <w:rPr>
          <w:spacing w:val="0"/>
          <w:lang w:val="es-ES"/>
        </w:rPr>
        <w:t xml:space="preserve">lo 316-1). </w:t>
      </w:r>
    </w:p>
    <w:p w:rsidR="001D2E73" w:rsidRDefault="001D2E73">
      <w:pPr>
        <w:pStyle w:val="SingleTxtGR"/>
        <w:rPr>
          <w:spacing w:val="0"/>
          <w:lang w:val="es-ES"/>
        </w:rPr>
      </w:pPr>
      <w:r>
        <w:rPr>
          <w:spacing w:val="0"/>
          <w:lang w:val="es-ES"/>
        </w:rPr>
        <w:t>336.</w:t>
      </w:r>
      <w:r>
        <w:rPr>
          <w:spacing w:val="0"/>
          <w:lang w:val="es-ES"/>
        </w:rPr>
        <w:tab/>
        <w:t>De conformidad con el artículo 144-1 del Código Penal de Azerbaiyán, la trata de menores se castiga con privación de libertad de ocho a doce años y embargo de los bienes. En los últimos años se ha condenado a 167 personas en aplicación del artículo 144-1 del Código Penal.</w:t>
      </w:r>
    </w:p>
    <w:p w:rsidR="001D2E73" w:rsidRDefault="001D2E73">
      <w:pPr>
        <w:pStyle w:val="SingleTxtGR"/>
        <w:rPr>
          <w:spacing w:val="0"/>
          <w:lang w:val="es-ES"/>
        </w:rPr>
      </w:pPr>
      <w:r>
        <w:rPr>
          <w:spacing w:val="0"/>
          <w:lang w:val="es-ES"/>
        </w:rPr>
        <w:t>337.</w:t>
      </w:r>
      <w:r>
        <w:rPr>
          <w:spacing w:val="0"/>
          <w:lang w:val="es-ES"/>
        </w:rPr>
        <w:tab/>
        <w:t>En 2004 por Instrucción del Presidente se aprobó el Plan de acción nacional de l</w:t>
      </w:r>
      <w:r>
        <w:rPr>
          <w:spacing w:val="0"/>
          <w:lang w:val="es-ES"/>
        </w:rPr>
        <w:t>u</w:t>
      </w:r>
      <w:r>
        <w:rPr>
          <w:spacing w:val="0"/>
          <w:lang w:val="es-ES"/>
        </w:rPr>
        <w:t>cha contra la trata de personas en Azerbaiyán, por el que se definieron las principales obligaciones de los organismos estatales en la lucha contra la trata de personas, las cuestiones de la colaboración de los órganos de poder estatal, las organizaciones no gubernamentales e internacionales en su cumplimiento y la coordinación de la act</w:t>
      </w:r>
      <w:r>
        <w:rPr>
          <w:spacing w:val="0"/>
          <w:lang w:val="es-ES"/>
        </w:rPr>
        <w:t>i</w:t>
      </w:r>
      <w:r>
        <w:rPr>
          <w:spacing w:val="0"/>
          <w:lang w:val="es-ES"/>
        </w:rPr>
        <w:t>vidad de esos órganos por parte del Coordinador Nacional.</w:t>
      </w:r>
    </w:p>
    <w:p w:rsidR="001D2E73" w:rsidRDefault="001D2E73">
      <w:pPr>
        <w:pStyle w:val="SingleTxtGR"/>
        <w:rPr>
          <w:spacing w:val="0"/>
          <w:lang w:val="es-ES"/>
        </w:rPr>
      </w:pPr>
      <w:r>
        <w:rPr>
          <w:spacing w:val="0"/>
          <w:lang w:val="es-ES"/>
        </w:rPr>
        <w:t>338.</w:t>
      </w:r>
      <w:r>
        <w:rPr>
          <w:spacing w:val="0"/>
          <w:lang w:val="es-ES"/>
        </w:rPr>
        <w:tab/>
        <w:t xml:space="preserve">En el marco del Plan de acción y con la participación de las organizaciones no gubernamentales del país, durante el período sobre el que se informa se llevaron a cabo actividades de divulgación, se prepararon las correspondientes páginas de Internet y programas de televisión y se llevaron a cabo estudios sociológicos especiales con el fin de determinar las causas de la comisión de esos delitos. </w:t>
      </w:r>
    </w:p>
    <w:p w:rsidR="001D2E73" w:rsidRDefault="001D2E73">
      <w:pPr>
        <w:pStyle w:val="SingleTxtGR"/>
        <w:rPr>
          <w:spacing w:val="0"/>
          <w:lang w:val="es-ES"/>
        </w:rPr>
      </w:pPr>
      <w:r>
        <w:rPr>
          <w:spacing w:val="0"/>
          <w:lang w:val="es-ES"/>
        </w:rPr>
        <w:t>339.</w:t>
      </w:r>
      <w:r>
        <w:rPr>
          <w:spacing w:val="0"/>
          <w:lang w:val="es-ES"/>
        </w:rPr>
        <w:tab/>
        <w:t>Es menester subrayar que para proseguir la lucha contra la trata de personas y al mismo tiempo perfeccionar la base jurídica y normativa en esa esfera, el 9 de febrero de 2009 el Presidente de Azerbaiyán aprobó el segundo Plan de acción naci</w:t>
      </w:r>
      <w:r>
        <w:rPr>
          <w:spacing w:val="0"/>
          <w:lang w:val="es-ES"/>
        </w:rPr>
        <w:t>o</w:t>
      </w:r>
      <w:r>
        <w:rPr>
          <w:spacing w:val="0"/>
          <w:lang w:val="es-ES"/>
        </w:rPr>
        <w:t xml:space="preserve">nal para 2009-2013. </w:t>
      </w:r>
    </w:p>
    <w:p w:rsidR="001D2E73" w:rsidRDefault="001D2E73">
      <w:pPr>
        <w:pStyle w:val="SingleTxtGR"/>
        <w:rPr>
          <w:spacing w:val="0"/>
          <w:lang w:val="es-ES"/>
        </w:rPr>
      </w:pPr>
      <w:r>
        <w:rPr>
          <w:spacing w:val="0"/>
          <w:lang w:val="es-ES"/>
        </w:rPr>
        <w:t>340.</w:t>
      </w:r>
      <w:r>
        <w:rPr>
          <w:spacing w:val="0"/>
          <w:lang w:val="es-ES"/>
        </w:rPr>
        <w:tab/>
        <w:t>Se siguen adoptando las medidas legislativas y sociales correspondientes para luchar contra la trata de personas. Se aprobó la Ley de lucha contra la trata de personas, se aprobó el Procedimiento de creación, financiación y funcionamiento de instituciones especializadas para las víctimas de la trata de personas, así como de control de sus actividades, el Reglamento del fondo de ayuda a las víctimas de la trata de personas, la Resolución sobre la fijación del monto de las prestaciones pagaderas durante la reintegración de las víctimas de la trata de personas, el Reglamento para la reinserción social de las víctimas de la trata de personas, el Régimen de entrega directa de las víctimas de la trata de personas a la institución especializada de la policía y el Estatuto de la línea telefónica de servicio ininterrumpido para las víctimas o posibles víctimas de la trata de personas.</w:t>
      </w:r>
    </w:p>
    <w:p w:rsidR="001D2E73" w:rsidRDefault="001D2E73">
      <w:pPr>
        <w:pStyle w:val="SingleTxtGR"/>
        <w:rPr>
          <w:spacing w:val="0"/>
          <w:lang w:val="es-ES"/>
        </w:rPr>
      </w:pPr>
      <w:r>
        <w:rPr>
          <w:spacing w:val="0"/>
          <w:lang w:val="es-ES"/>
        </w:rPr>
        <w:t>341.</w:t>
      </w:r>
      <w:r>
        <w:rPr>
          <w:spacing w:val="0"/>
          <w:lang w:val="es-ES"/>
        </w:rPr>
        <w:tab/>
        <w:t>En la Ley de lucha contra la trata de personas, de 28 de junio 2005, se establecen los fundamentos jurídicos de la prevención de la trata de personas, la rehabilitación social y la protección de las víctimas de la trata de personas.</w:t>
      </w:r>
    </w:p>
    <w:p w:rsidR="001D2E73" w:rsidRDefault="001D2E73">
      <w:pPr>
        <w:pStyle w:val="SingleTxtGR"/>
        <w:rPr>
          <w:spacing w:val="0"/>
          <w:lang w:val="es-ES"/>
        </w:rPr>
      </w:pPr>
      <w:r>
        <w:rPr>
          <w:spacing w:val="0"/>
          <w:lang w:val="es-ES"/>
        </w:rPr>
        <w:t>342.</w:t>
      </w:r>
      <w:r>
        <w:rPr>
          <w:spacing w:val="0"/>
          <w:lang w:val="es-ES"/>
        </w:rPr>
        <w:tab/>
        <w:t>Además, en la Ley se prevé la creación de instituciones especializadas en la protección de las víctimas de la trata, albergues para su alojamiento temporal y centros de ayuda a las víctimas de la trata, y se definen los fundamentos y principios jurídicos de la actividad de esas instituciones.</w:t>
      </w:r>
    </w:p>
    <w:p w:rsidR="001D2E73" w:rsidRDefault="001D2E73">
      <w:pPr>
        <w:pStyle w:val="SingleTxtGR"/>
        <w:rPr>
          <w:spacing w:val="0"/>
          <w:lang w:val="es-ES"/>
        </w:rPr>
      </w:pPr>
      <w:r>
        <w:rPr>
          <w:spacing w:val="0"/>
          <w:lang w:val="es-ES"/>
        </w:rPr>
        <w:t>343.</w:t>
      </w:r>
      <w:r>
        <w:rPr>
          <w:spacing w:val="0"/>
          <w:lang w:val="es-ES"/>
        </w:rPr>
        <w:tab/>
        <w:t>La finalidad de los albergues de estancia temporal es ofrecer a las víctimas de la trata condiciones de vida dignas, garantizar su seguridad, proporcionarles alimentos y medicamentos y prestarles asistencia médica, psicológica, social y letrada inmediata. En los albergues, las víctimas de la trata de personas tienen la posibilidad de comunicarse por teléfono y utilizar los servicios de un intérprete. Se destinan salas especiales para la celebración de conversaciones confidenciales. Los albergues velan por la confidencialidad de la información sobre las víctimas de la trata de personas.</w:t>
      </w:r>
    </w:p>
    <w:p w:rsidR="001D2E73" w:rsidRDefault="001D2E73">
      <w:pPr>
        <w:pStyle w:val="SingleTxtGR"/>
        <w:rPr>
          <w:spacing w:val="0"/>
          <w:lang w:val="es-ES"/>
        </w:rPr>
      </w:pPr>
      <w:r>
        <w:rPr>
          <w:spacing w:val="0"/>
          <w:lang w:val="es-ES"/>
        </w:rPr>
        <w:t>344.</w:t>
      </w:r>
      <w:r>
        <w:rPr>
          <w:spacing w:val="0"/>
          <w:lang w:val="es-ES"/>
        </w:rPr>
        <w:tab/>
        <w:t xml:space="preserve">Los centros de ayuda a las víctimas de la trata de personas se crean con el fin de explicar a las víctimas de la trata de personas los procedimientos administrativos y legales existentes para la protección de sus derechos e intereses, prestarles la asistencia médica, psicológica y de otra índole necesaria, así como apoyar la rehabilitación social de las víctimas de </w:t>
      </w:r>
      <w:smartTag w:uri="urn:schemas-microsoft-com:office:smarttags" w:element="PersonName">
        <w:smartTagPr>
          <w:attr w:name="ProductID" w:val="la trata. En"/>
        </w:smartTagPr>
        <w:r>
          <w:rPr>
            <w:spacing w:val="0"/>
            <w:lang w:val="es-ES"/>
          </w:rPr>
          <w:t>la trata. En</w:t>
        </w:r>
      </w:smartTag>
      <w:r>
        <w:rPr>
          <w:spacing w:val="0"/>
          <w:lang w:val="es-ES"/>
        </w:rPr>
        <w:t xml:space="preserve"> los centros de ayuda se garantiza el anonimato de las víctimas de </w:t>
      </w:r>
      <w:smartTag w:uri="urn:schemas-microsoft-com:office:smarttags" w:element="PersonName">
        <w:smartTagPr>
          <w:attr w:name="ProductID" w:val="la trata. Si"/>
        </w:smartTagPr>
        <w:r>
          <w:rPr>
            <w:spacing w:val="0"/>
            <w:lang w:val="es-ES"/>
          </w:rPr>
          <w:t>la trata. Si</w:t>
        </w:r>
      </w:smartTag>
      <w:r>
        <w:rPr>
          <w:spacing w:val="0"/>
          <w:lang w:val="es-ES"/>
        </w:rPr>
        <w:t xml:space="preserve"> las víctimas son niños, la información sobre ellos se transmite de inmediato a los órganos de tutela y guarda y a la comisión de asuntos de los adolescentes y de protección de sus derechos.</w:t>
      </w:r>
    </w:p>
    <w:p w:rsidR="001D2E73" w:rsidRDefault="001D2E73">
      <w:pPr>
        <w:pStyle w:val="SingleTxtGR"/>
        <w:rPr>
          <w:spacing w:val="0"/>
          <w:lang w:val="es-ES"/>
        </w:rPr>
      </w:pPr>
      <w:r>
        <w:rPr>
          <w:spacing w:val="0"/>
          <w:lang w:val="es-ES"/>
        </w:rPr>
        <w:t>345.</w:t>
      </w:r>
      <w:r>
        <w:rPr>
          <w:spacing w:val="0"/>
          <w:lang w:val="es-ES"/>
        </w:rPr>
        <w:tab/>
        <w:t xml:space="preserve">Con el fin de crear condiciones de vivienda propicias para las víctimas de la trata de personas, garantizar la seguridad de las personas que encuentran refugio y prestarles asistencia médica, psicológica, social y jurídica inmediata, en octubre de 2006 el Ministerio del Interior creó un refugio especial. En enero de 2006 la Dirección de Lucha contra la Trata de Personas inauguró una línea telefónica de ayuda, sobre la cual se informó ampliamente a la opinión pública. En el marco de la colaboración con las ONG, en </w:t>
      </w:r>
      <w:smartTag w:uri="urn:schemas-microsoft-com:office:smarttags" w:element="PersonName">
        <w:smartTagPr>
          <w:attr w:name="ProductID" w:val="ﴣ̾ﴩͅﴮͅﴮͅﴮͅﴮͅﴮͅﴮ&#10;ĝȈބᓝ⛰๾뚰ჁĖȈ뎜Ⴡ멠Ⴡ똸ჁēȈ佴ミ㐠Ⴑ델ჁČȌ⾸ᗯ⾸ᗯ¸˯ƈ⼠ᗯĈȈ뗼˥ಀ๾떐˥3MąȈ佴ミ㐠깤ర๾ǾȈ16892￼倃!7 ǻȌ㺬ヸ佈ミ㹼ヸ㐠ꗜヘ౸๾倂 ǰȈ౔๾ഘ๾ீ๾倂+ǭȈ佴ミ㐠﬌˧ೈ๾ ǦȌ㺬ヸ佈ミ㹼ヸ㐠ꗜヘഐ๾ 1 ǟȈ೬๾ෘ๾ಀ๾ctuaǘȈ佴ミ㐠잤˥ඈ๾ǕȈ34215￼stum ǎȌ㺬ヸ佈ミ㹼ヸ㐠ꗜヘැ๾ ǇȈඬ๾᎘๾ഘ๾ǀȈ601°ƿȈinternacionalesneral ƶȌ㺬ヸ佈ミ㹼ヸ㐠ꗜヘॐ   ƯȌ㺬ヸ佈ミ㹼ヸ㐠ꗜヘ຀&#10; ƤȌ滈瑫溴瑫.턌຀撄瑫ᖜ瑫0&#10;ƚȈ혜˧襀˥김ƗȈ37ƒȈresponsabilidadj냸຀&amp;ƍȈ庈ႵF㣸ᖚ㦐ᖚ㨨ᖚ㫀ᖚ㭘ᖚ㯰ᖚ㲰ᖚ㵰ᖚ㸈ᖚ㺸ᖚ㽨ᖚ䀸ᖚ䃨ᖚ䆨ᖚ䉘ᖚ䌘ᖚ䏈ᖚ䑸ᖚ䔨ᖚ䗘ᖚ䚘ᖚ䝈ᖚ䟸ᖚ䢨ᖚ䥘ᖚ䨈ᖚ䪸ᖚ䭨ᖚ䰘ᖚ䳘ᖚ䶈ᖚ丸ᖚ仨ᖚ侘ᖚ偈ᖚ儈ᖚ冸ᖚ剸ᖚ匨ᖚ变ᖚ咈ᖚ唸ᖚ嗨ᖚ嚘ᖚ坈ᖚ埸ᖚ墨ᖚ奨ᖚ娘ᖚ嫈ᖚ學ᖚ尨ᖚ峘ᖚ嶈ᖚ常ᖚ廨ᖚ徘ᖚ恘ᖚ愈ᖚ懈ᖚ扸ᖚ挨ᖚ揘ᖚ撈ᖚ攸ᖚ旨ᖚ暨ᖚ杘ᖚ栈ᖚ梸ᖚ&amp;ŧȈ팜˧ᄨ๾˛ŠȈ佴ミ㐠˧釐ŝȈ釴Ꝑ˥ი๾ĀऀჰŖȈ佴ミ㐠"/>
        </w:smartTagPr>
        <w:r>
          <w:rPr>
            <w:spacing w:val="0"/>
            <w:lang w:val="es-ES"/>
          </w:rPr>
          <w:t>la organización Mundo Limpio</w:t>
        </w:r>
      </w:smartTag>
      <w:r>
        <w:rPr>
          <w:spacing w:val="0"/>
          <w:lang w:val="es-ES"/>
        </w:rPr>
        <w:t xml:space="preserve"> se creó también una línea telefónica de ayuda.</w:t>
      </w:r>
    </w:p>
    <w:p w:rsidR="001D2E73" w:rsidRDefault="001D2E73">
      <w:pPr>
        <w:pStyle w:val="SingleTxtGR"/>
        <w:rPr>
          <w:spacing w:val="0"/>
          <w:lang w:val="es-ES"/>
        </w:rPr>
      </w:pPr>
      <w:r>
        <w:rPr>
          <w:spacing w:val="0"/>
          <w:lang w:val="es-ES"/>
        </w:rPr>
        <w:t>346.</w:t>
      </w:r>
      <w:r>
        <w:rPr>
          <w:spacing w:val="0"/>
          <w:lang w:val="es-ES"/>
        </w:rPr>
        <w:tab/>
        <w:t xml:space="preserve">Estos centros prestan ayuda a toda víctima de la trata que lo solicite, sea cual sea su actitud y su deseo o no en cuanto a colaborar con los órganos judiciales y prestar testimonio contra los traficantes de personas. </w:t>
      </w:r>
    </w:p>
    <w:p w:rsidR="001D2E73" w:rsidRDefault="001D2E73">
      <w:pPr>
        <w:pStyle w:val="SingleTxtGR"/>
        <w:rPr>
          <w:spacing w:val="0"/>
          <w:lang w:val="es-ES"/>
        </w:rPr>
      </w:pPr>
      <w:r>
        <w:rPr>
          <w:spacing w:val="0"/>
          <w:lang w:val="es-ES"/>
        </w:rPr>
        <w:t>347.</w:t>
      </w:r>
      <w:r>
        <w:rPr>
          <w:spacing w:val="0"/>
          <w:lang w:val="es-ES"/>
        </w:rPr>
        <w:tab/>
        <w:t>Todos los servicios que prestan estas instituciones especiales son gratuitos. Se prohíbe cobrar por los servicios de estas instituciones.</w:t>
      </w:r>
    </w:p>
    <w:p w:rsidR="001D2E73" w:rsidRDefault="001D2E73">
      <w:pPr>
        <w:pStyle w:val="SingleTxtGR"/>
        <w:rPr>
          <w:spacing w:val="0"/>
          <w:lang w:val="es-ES"/>
        </w:rPr>
      </w:pPr>
      <w:r>
        <w:rPr>
          <w:spacing w:val="0"/>
          <w:lang w:val="es-ES"/>
        </w:rPr>
        <w:t>348.</w:t>
      </w:r>
      <w:r>
        <w:rPr>
          <w:spacing w:val="0"/>
          <w:lang w:val="es-ES"/>
        </w:rPr>
        <w:tab/>
        <w:t>La rehabilitación social de las víctimas de la trata de personas tiene como finalidad su reintegración en la sociedad y lograr que se reintegren nuevamente a una vida normal, además se prevé ofrecer a las víctimas de la trata la posibilidad de prestarles asistencia letrada y de que continúen sus estudios, llevar a la práctica medidas de rehabilitación psicológica, médica y profesional y garantizarles trabajo y un lugar donde vivir. Durante la reinserción social de las víctimas de la trata de personas, se prohíbe imponer restricciones del tipo que sea a sus derechos humanos y civiles consagrados en la Constit</w:t>
      </w:r>
      <w:r>
        <w:rPr>
          <w:spacing w:val="0"/>
          <w:lang w:val="es-ES"/>
        </w:rPr>
        <w:t>u</w:t>
      </w:r>
      <w:r>
        <w:rPr>
          <w:spacing w:val="0"/>
          <w:lang w:val="es-ES"/>
        </w:rPr>
        <w:t>ción, las leyes del país y los tratados internacionales en los que Azerbaiyán sea parte o aplicar las medidas de reinserción en contra de su voluntad. Para la reinserción se tendrán en cuenta la edad, el sexo y las necesidades de las víctimas de la trata, en particular si se trata de niños, por ejemplo, si necesitan albergue, educación y cuidados.</w:t>
      </w:r>
    </w:p>
    <w:p w:rsidR="001D2E73" w:rsidRDefault="001D2E73">
      <w:pPr>
        <w:pStyle w:val="SingleTxtGR"/>
        <w:rPr>
          <w:spacing w:val="0"/>
          <w:lang w:val="es-ES"/>
        </w:rPr>
      </w:pPr>
      <w:r>
        <w:rPr>
          <w:spacing w:val="0"/>
          <w:lang w:val="es-ES"/>
        </w:rPr>
        <w:t>349.</w:t>
      </w:r>
      <w:r>
        <w:rPr>
          <w:spacing w:val="0"/>
          <w:lang w:val="es-ES"/>
        </w:rPr>
        <w:tab/>
        <w:t>Atendiendo a una solicitud de las autoridades de fiscalía, los organismos estatales, dentro de los límites de las atribuciones de que están investidos, y los albergues y centros de ayuda, en el desempeño de sus funciones, deberán prestar ayuda a las víctimas de la trata de personas. De conformidad con la legislación nacional, las víctimas de la trata de personas reciben una prestación con cargo al presupuesto estatal y a otras fuentes por el monto establecido por el Consejo de Ministros durante el período de reinserción.</w:t>
      </w:r>
    </w:p>
    <w:p w:rsidR="001D2E73" w:rsidRDefault="001D2E73">
      <w:pPr>
        <w:pStyle w:val="SingleTxtGR"/>
        <w:rPr>
          <w:spacing w:val="0"/>
          <w:lang w:val="es-ES"/>
        </w:rPr>
      </w:pPr>
      <w:r>
        <w:rPr>
          <w:spacing w:val="0"/>
          <w:lang w:val="es-ES"/>
        </w:rPr>
        <w:t>350.</w:t>
      </w:r>
      <w:r>
        <w:rPr>
          <w:spacing w:val="0"/>
          <w:lang w:val="es-ES"/>
        </w:rPr>
        <w:tab/>
        <w:t>Por decisión del Consejo de Ministros de la República de Azerbaiyán de 17 de junio de 2006, el monto de la prestación que se paga a las víctimas de la trata durante la reintegración, previsto en el artículo 17.2 de la Ley de lucha contra la trata de personas, se fijó en 30 unidades financieras convencionales.</w:t>
      </w:r>
    </w:p>
    <w:p w:rsidR="001D2E73" w:rsidRDefault="001D2E73">
      <w:pPr>
        <w:pStyle w:val="SingleTxtGR"/>
        <w:rPr>
          <w:spacing w:val="0"/>
          <w:lang w:val="es-ES"/>
        </w:rPr>
      </w:pPr>
      <w:r>
        <w:rPr>
          <w:spacing w:val="0"/>
          <w:lang w:val="es-ES"/>
        </w:rPr>
        <w:t>351.</w:t>
      </w:r>
      <w:r>
        <w:rPr>
          <w:spacing w:val="0"/>
          <w:lang w:val="es-ES"/>
        </w:rPr>
        <w:tab/>
        <w:t>Según lo establecido y en los casos determinados en la Ley, las víctimas de la trata no incurren en responsabilidad civil, administrativa y penal por actos cometidos bajo coacción o amenaza.</w:t>
      </w:r>
    </w:p>
    <w:p w:rsidR="001D2E73" w:rsidRDefault="001D2E73">
      <w:pPr>
        <w:pStyle w:val="SingleTxtGR"/>
        <w:rPr>
          <w:spacing w:val="0"/>
          <w:lang w:val="es-ES"/>
        </w:rPr>
      </w:pPr>
      <w:r>
        <w:rPr>
          <w:spacing w:val="0"/>
          <w:lang w:val="es-ES"/>
        </w:rPr>
        <w:t>352.</w:t>
      </w:r>
      <w:r>
        <w:rPr>
          <w:spacing w:val="0"/>
          <w:lang w:val="es-ES"/>
        </w:rPr>
        <w:tab/>
        <w:t xml:space="preserve">Durante 2008, se detectaron 76 delitos de trata de personas en los que estuvieron involucradas 96 personas, los culpables fueron instruidos de cargos. </w:t>
      </w:r>
    </w:p>
    <w:p w:rsidR="001D2E73" w:rsidRDefault="001D2E73">
      <w:pPr>
        <w:pStyle w:val="SingleTxtGR"/>
        <w:rPr>
          <w:spacing w:val="0"/>
          <w:lang w:val="es-ES"/>
        </w:rPr>
      </w:pPr>
      <w:r>
        <w:rPr>
          <w:spacing w:val="0"/>
          <w:lang w:val="es-ES"/>
        </w:rPr>
        <w:t>353.</w:t>
      </w:r>
      <w:r>
        <w:rPr>
          <w:spacing w:val="0"/>
          <w:lang w:val="es-ES"/>
        </w:rPr>
        <w:tab/>
        <w:t xml:space="preserve">En 2008 recibieron albergue temporal 52 víctimas de la trata de personas, 9 víctimas recibieron capacitación de oficios y 13 mujeres encontraron empleo. La novena víctima recibió indemnización por pérdidas materiales. De conformidad con la resolución correspondiente del Consejo de Ministros de la República de Azerbaiyán, 41 víctimas de la trata recibieron prestaciones durante su reintegración. </w:t>
      </w:r>
    </w:p>
    <w:p w:rsidR="001D2E73" w:rsidRDefault="001D2E73">
      <w:pPr>
        <w:pStyle w:val="SingleTxtGR"/>
        <w:rPr>
          <w:spacing w:val="0"/>
          <w:lang w:val="es-ES"/>
        </w:rPr>
      </w:pPr>
      <w:r>
        <w:rPr>
          <w:spacing w:val="0"/>
          <w:lang w:val="es-ES"/>
        </w:rPr>
        <w:t>354.</w:t>
      </w:r>
      <w:r>
        <w:rPr>
          <w:spacing w:val="0"/>
          <w:lang w:val="es-ES"/>
        </w:rPr>
        <w:tab/>
        <w:t>En 2008, en cumplimiento de la Ley de lucha contra la trata de personas, las organizaciones no gubernamentales detectaron y entregaron a la policía a 4 víctimas de la trata.</w:t>
      </w:r>
    </w:p>
    <w:p w:rsidR="001D2E73" w:rsidRDefault="001D2E73">
      <w:pPr>
        <w:pStyle w:val="SingleTxtGR"/>
        <w:rPr>
          <w:spacing w:val="0"/>
          <w:lang w:val="es-ES"/>
        </w:rPr>
      </w:pPr>
      <w:r>
        <w:rPr>
          <w:spacing w:val="0"/>
          <w:lang w:val="es-ES"/>
        </w:rPr>
        <w:t>355.</w:t>
      </w:r>
      <w:r>
        <w:rPr>
          <w:spacing w:val="0"/>
          <w:lang w:val="es-ES"/>
        </w:rPr>
        <w:tab/>
        <w:t>Desde el 1º de agosto de 2006 funciona en el Ministerio del Interior un Servicio policial especializado en la lucha contra la trata de personas.</w:t>
      </w:r>
    </w:p>
    <w:p w:rsidR="001D2E73" w:rsidRDefault="001D2E73">
      <w:pPr>
        <w:pStyle w:val="SingleTxtGR"/>
        <w:rPr>
          <w:spacing w:val="0"/>
          <w:lang w:val="es-ES"/>
        </w:rPr>
      </w:pPr>
      <w:r>
        <w:rPr>
          <w:spacing w:val="0"/>
          <w:lang w:val="es-ES"/>
        </w:rPr>
        <w:t>356.</w:t>
      </w:r>
      <w:r>
        <w:rPr>
          <w:spacing w:val="0"/>
          <w:lang w:val="es-ES"/>
        </w:rPr>
        <w:tab/>
        <w:t>De conformidad con el artículo 20 de la Ley, cuando un extranjero o apátrida sea reconocido como víctima de la trata de personas, en el período de un año no se podrá instruir contra esa persona una orden de extradición.</w:t>
      </w:r>
    </w:p>
    <w:p w:rsidR="001D2E73" w:rsidRDefault="001D2E73">
      <w:pPr>
        <w:pStyle w:val="SingleTxtGR"/>
        <w:rPr>
          <w:spacing w:val="0"/>
          <w:lang w:val="es-ES"/>
        </w:rPr>
      </w:pPr>
      <w:r>
        <w:rPr>
          <w:spacing w:val="0"/>
          <w:lang w:val="es-ES"/>
        </w:rPr>
        <w:t>357.</w:t>
      </w:r>
      <w:r>
        <w:rPr>
          <w:spacing w:val="0"/>
          <w:lang w:val="es-ES"/>
        </w:rPr>
        <w:tab/>
        <w:t>No obstante, transcurrido ese plazo, si el extranjero o apátrida está cooperando con los órganos judiciales en la investigación del delito de trata de personas, la extradición por vía administrativa no procederá mientras no haya concluido el procedimiento penal.</w:t>
      </w:r>
    </w:p>
    <w:p w:rsidR="001D2E73" w:rsidRDefault="001D2E73">
      <w:pPr>
        <w:pStyle w:val="SingleTxtGR"/>
        <w:rPr>
          <w:spacing w:val="0"/>
          <w:lang w:val="es-ES"/>
        </w:rPr>
      </w:pPr>
      <w:r>
        <w:rPr>
          <w:spacing w:val="0"/>
          <w:lang w:val="es-ES"/>
        </w:rPr>
        <w:t>358.</w:t>
      </w:r>
      <w:r>
        <w:rPr>
          <w:spacing w:val="0"/>
          <w:lang w:val="es-ES"/>
        </w:rPr>
        <w:tab/>
        <w:t xml:space="preserve">La extradición por vía administrativa nunca se aplicará a un niño que haya sido víctima de la trata de personas. El retorno de niños que han sido víctimas de la trata de personas a su país o la devolución a sus padres se permitirá solo en caso de que quede excluida la probabilidad de que el niño vuelva a ser víctima de </w:t>
      </w:r>
      <w:smartTag w:uri="urn:schemas-microsoft-com:office:smarttags" w:element="PersonName">
        <w:smartTagPr>
          <w:attr w:name="ProductID" w:val="la trata. Si"/>
        </w:smartTagPr>
        <w:r>
          <w:rPr>
            <w:spacing w:val="0"/>
            <w:lang w:val="es-ES"/>
          </w:rPr>
          <w:t>la trata. Si</w:t>
        </w:r>
      </w:smartTag>
      <w:r>
        <w:rPr>
          <w:spacing w:val="0"/>
          <w:lang w:val="es-ES"/>
        </w:rPr>
        <w:t xml:space="preserve"> el niño ha cumplido ya 10 años, se consultará su opinión antes de determinar si el menor que ha sido víctima de la trata debe regresar a su país o ser devuelto a sus padres.</w:t>
      </w:r>
    </w:p>
    <w:p w:rsidR="001D2E73" w:rsidRDefault="001D2E73">
      <w:pPr>
        <w:pStyle w:val="SingleTxtGR"/>
        <w:rPr>
          <w:spacing w:val="0"/>
          <w:lang w:val="es-ES"/>
        </w:rPr>
      </w:pPr>
      <w:r>
        <w:rPr>
          <w:spacing w:val="0"/>
          <w:lang w:val="es-ES"/>
        </w:rPr>
        <w:t>359.</w:t>
      </w:r>
      <w:r>
        <w:rPr>
          <w:spacing w:val="0"/>
          <w:lang w:val="es-ES"/>
        </w:rPr>
        <w:tab/>
        <w:t>Si la víctima desea abandonar Azerbaiyán se adoptan las disposiciones necesarias para entregarle la documentación correspondiente, pagar el transporte y otros gastos indispensables, y se les recomienda cómo proceder para reducir el peligro de que vuelva a ser víctima de la trata en el país de acogida.</w:t>
      </w:r>
    </w:p>
    <w:p w:rsidR="001D2E73" w:rsidRDefault="001D2E73">
      <w:pPr>
        <w:pStyle w:val="SingleTxtGR"/>
        <w:rPr>
          <w:spacing w:val="0"/>
          <w:lang w:val="es-ES"/>
        </w:rPr>
      </w:pPr>
      <w:r>
        <w:rPr>
          <w:spacing w:val="0"/>
          <w:lang w:val="es-ES"/>
        </w:rPr>
        <w:t>360.</w:t>
      </w:r>
      <w:r>
        <w:rPr>
          <w:spacing w:val="0"/>
          <w:lang w:val="es-ES"/>
        </w:rPr>
        <w:tab/>
        <w:t>El extranjero o apátrida que sea víctima de la trata puede acudir a los órganos estatales correspondientes para recibir el permiso de residencia conforme al procedimiento establecido. Al examinar la solicitud se tiene en cuenta si la víctima está cooperando con los órganos judiciales, su sufrimiento físico y moral, el tiempo que ha padecido esa situación, así como el peligro de que vuelva a ser víctima o de sufrir acoso de los traficantes de personas tras su repatriación.</w:t>
      </w:r>
    </w:p>
    <w:p w:rsidR="001D2E73" w:rsidRDefault="001D2E73">
      <w:pPr>
        <w:pStyle w:val="SingleTxtGR"/>
        <w:rPr>
          <w:spacing w:val="0"/>
          <w:lang w:val="es-ES"/>
        </w:rPr>
      </w:pPr>
      <w:r>
        <w:rPr>
          <w:spacing w:val="0"/>
          <w:lang w:val="es-ES"/>
        </w:rPr>
        <w:t>361.</w:t>
      </w:r>
      <w:r>
        <w:rPr>
          <w:spacing w:val="0"/>
          <w:lang w:val="es-ES"/>
        </w:rPr>
        <w:tab/>
        <w:t>No se podrá otorgar permiso de residencia en Azerbaiyán a las víctimas de la trata que sean extranjeros o apátridas cuya identidad no se pueda precisar. En este caso se adoptan medidas administrativas para su extradición.</w:t>
      </w:r>
    </w:p>
    <w:p w:rsidR="001D2E73" w:rsidRDefault="001D2E73">
      <w:pPr>
        <w:pStyle w:val="SingleTxtGR"/>
        <w:rPr>
          <w:spacing w:val="0"/>
          <w:lang w:val="es-ES"/>
        </w:rPr>
      </w:pPr>
      <w:r>
        <w:rPr>
          <w:spacing w:val="0"/>
          <w:lang w:val="es-ES"/>
        </w:rPr>
        <w:t>362.</w:t>
      </w:r>
      <w:r>
        <w:rPr>
          <w:spacing w:val="0"/>
          <w:lang w:val="es-ES"/>
        </w:rPr>
        <w:tab/>
        <w:t>La víctima de la trata de personas que haya obtenido un permiso de residencia en la República de Azerbaiyán, adquiere la condición de inmigrante y goza de t</w:t>
      </w:r>
      <w:r>
        <w:rPr>
          <w:spacing w:val="0"/>
          <w:lang w:val="es-ES"/>
        </w:rPr>
        <w:t>o</w:t>
      </w:r>
      <w:r>
        <w:rPr>
          <w:spacing w:val="0"/>
          <w:lang w:val="es-ES"/>
        </w:rPr>
        <w:t>dos los derechos y tiene las mismas obligaciones que dimanan de esa condición.</w:t>
      </w:r>
    </w:p>
    <w:p w:rsidR="001D2E73" w:rsidRDefault="001D2E73">
      <w:pPr>
        <w:pStyle w:val="SingleTxtGR"/>
        <w:rPr>
          <w:spacing w:val="0"/>
          <w:lang w:val="es-ES"/>
        </w:rPr>
      </w:pPr>
      <w:r>
        <w:rPr>
          <w:spacing w:val="0"/>
          <w:lang w:val="es-ES"/>
        </w:rPr>
        <w:t>363.</w:t>
      </w:r>
      <w:r>
        <w:rPr>
          <w:spacing w:val="0"/>
          <w:lang w:val="es-ES"/>
        </w:rPr>
        <w:tab/>
        <w:t>Los extranjeros y apátridas que hayan sido víctimas de la trata de personas gozan de igual protección y ayuda que los ciudadanos del país.</w:t>
      </w:r>
    </w:p>
    <w:p w:rsidR="001D2E73" w:rsidRDefault="001D2E73">
      <w:pPr>
        <w:pStyle w:val="SingleTxtGR"/>
        <w:rPr>
          <w:spacing w:val="0"/>
          <w:lang w:val="es-ES"/>
        </w:rPr>
      </w:pPr>
      <w:r>
        <w:rPr>
          <w:spacing w:val="0"/>
          <w:lang w:val="es-ES"/>
        </w:rPr>
        <w:t>364.</w:t>
      </w:r>
      <w:r>
        <w:rPr>
          <w:spacing w:val="0"/>
          <w:lang w:val="es-ES"/>
        </w:rPr>
        <w:tab/>
        <w:t>La seguridad de las víctimas de la trata de personas se garantiza de conformidad con las disposiciones de la Ley de protección estatal de las personas involucradas en un procedimiento penal, de 11 de diciembre 1998. El juez de instrucción deberá informar a la víctima acerca de la posibilidad de garantizar su seguridad y de las medidas de protección adoptadas.</w:t>
      </w:r>
    </w:p>
    <w:p w:rsidR="001D2E73" w:rsidRDefault="001D2E73">
      <w:pPr>
        <w:pStyle w:val="SingleTxtGR"/>
        <w:rPr>
          <w:spacing w:val="0"/>
          <w:lang w:val="es-ES"/>
        </w:rPr>
      </w:pPr>
      <w:r>
        <w:rPr>
          <w:spacing w:val="0"/>
          <w:lang w:val="es-ES"/>
        </w:rPr>
        <w:t>365.</w:t>
      </w:r>
      <w:r>
        <w:rPr>
          <w:spacing w:val="0"/>
          <w:lang w:val="es-ES"/>
        </w:rPr>
        <w:tab/>
        <w:t>Las medidas de seguridad aplicadas en relación con personas que han sido víctimas de la trata de personas se aplican hasta que ha desaparecido todo tipo de peligro, incluso después de practicadas las diligencias previas, de celebrado el juicio y de haber pronunciado el juez su veredicto.</w:t>
      </w:r>
    </w:p>
    <w:p w:rsidR="001D2E73" w:rsidRDefault="001D2E73">
      <w:pPr>
        <w:pStyle w:val="SingleTxtGR"/>
        <w:rPr>
          <w:spacing w:val="0"/>
          <w:lang w:val="es-ES"/>
        </w:rPr>
      </w:pPr>
      <w:r>
        <w:rPr>
          <w:spacing w:val="0"/>
          <w:lang w:val="es-ES"/>
        </w:rPr>
        <w:t>366.</w:t>
      </w:r>
      <w:r>
        <w:rPr>
          <w:spacing w:val="0"/>
          <w:lang w:val="es-ES"/>
        </w:rPr>
        <w:tab/>
        <w:t xml:space="preserve">Cabe señalar que el período por el que se otorga la condición de refugiado puede prorrogarse atendiendo a una solicitud de los departamentos especiales de la policía o de las propias víctimas de </w:t>
      </w:r>
      <w:smartTag w:uri="urn:schemas-microsoft-com:office:smarttags" w:element="PersonName">
        <w:smartTagPr>
          <w:attr w:name="ProductID" w:val="la trata. En"/>
        </w:smartTagPr>
        <w:r>
          <w:rPr>
            <w:spacing w:val="0"/>
            <w:lang w:val="es-ES"/>
          </w:rPr>
          <w:t>la trata. En</w:t>
        </w:r>
      </w:smartTag>
      <w:r>
        <w:rPr>
          <w:spacing w:val="0"/>
          <w:lang w:val="es-ES"/>
        </w:rPr>
        <w:t xml:space="preserve"> cualquier caso, la prórroga de la permanencia cuenta siempre con el consentimiento de las propias víctimas de la trata.</w:t>
      </w:r>
    </w:p>
    <w:p w:rsidR="001D2E73" w:rsidRDefault="001D2E73">
      <w:pPr>
        <w:pStyle w:val="SingleTxtGR"/>
        <w:rPr>
          <w:spacing w:val="0"/>
          <w:lang w:val="es-ES"/>
        </w:rPr>
      </w:pPr>
      <w:r>
        <w:rPr>
          <w:spacing w:val="0"/>
          <w:lang w:val="es-ES"/>
        </w:rPr>
        <w:t>367.</w:t>
      </w:r>
      <w:r>
        <w:rPr>
          <w:spacing w:val="0"/>
          <w:lang w:val="es-ES"/>
        </w:rPr>
        <w:tab/>
        <w:t xml:space="preserve">Al prestar ayuda a un niño víctima de la trata deberán primar sus intereses y se aplicarán todas las medidas de protección de sus derechos e intereses legítimos de conformidad con lo dispuesto en la Ley de derechos del niño, la Convención de las Naciones Unidas sobre los Derechos del Niño, así como las demás leyes de Azerbaiyán y los tratados internacionales en los que Azerbaiyán es parte. </w:t>
      </w:r>
    </w:p>
    <w:p w:rsidR="001D2E73" w:rsidRDefault="001D2E73">
      <w:pPr>
        <w:pStyle w:val="SingleTxtGR"/>
        <w:rPr>
          <w:spacing w:val="0"/>
          <w:lang w:val="es-ES"/>
        </w:rPr>
      </w:pPr>
      <w:r>
        <w:rPr>
          <w:spacing w:val="0"/>
          <w:lang w:val="es-ES"/>
        </w:rPr>
        <w:t>368.</w:t>
      </w:r>
      <w:r>
        <w:rPr>
          <w:spacing w:val="0"/>
          <w:lang w:val="es-ES"/>
        </w:rPr>
        <w:tab/>
        <w:t xml:space="preserve">Así pues, por Ley de 30 de marzo de 2004, la República de Azerbaiyán se adhirió al </w:t>
      </w:r>
      <w:r>
        <w:rPr>
          <w:rStyle w:val="a0"/>
          <w:spacing w:val="0"/>
          <w:lang w:val="es-ES"/>
        </w:rPr>
        <w:t>Convenio relativo a la Protección del Niño y a la Cooperación en materia de Adopción Internacional</w:t>
      </w:r>
      <w:r>
        <w:rPr>
          <w:spacing w:val="0"/>
          <w:lang w:val="es-ES"/>
        </w:rPr>
        <w:t xml:space="preserve">. Además por Ley de 13 de mayo de 2003 fueron ratificados la Convención de las Naciones Unidas contra </w:t>
      </w:r>
      <w:smartTag w:uri="urn:schemas-microsoft-com:office:smarttags" w:element="PersonName">
        <w:smartTagPr>
          <w:attr w:name="ProductID" w:val="la Delincuencia Organizada Transnacional"/>
        </w:smartTagPr>
        <w:r>
          <w:rPr>
            <w:spacing w:val="0"/>
            <w:lang w:val="es-ES"/>
          </w:rPr>
          <w:t>la Delincuencia Organizada Transnacional</w:t>
        </w:r>
      </w:smartTag>
      <w:r>
        <w:rPr>
          <w:spacing w:val="0"/>
          <w:lang w:val="es-ES"/>
        </w:rPr>
        <w:t xml:space="preserve"> y su Protocolo para prevenir, reprimir y sancionar la trata de personas, especialmente mujeres y niños y el Protocolo contra el tráfico ilícito de migrantes por tierra, mar y aire, que la complementan.</w:t>
      </w:r>
    </w:p>
    <w:p w:rsidR="001D2E73" w:rsidRDefault="001D2E73">
      <w:pPr>
        <w:pStyle w:val="SingleTxtGR"/>
        <w:rPr>
          <w:spacing w:val="0"/>
          <w:lang w:val="es-ES"/>
        </w:rPr>
      </w:pPr>
      <w:r>
        <w:rPr>
          <w:spacing w:val="0"/>
          <w:lang w:val="es-ES"/>
        </w:rPr>
        <w:t>369.</w:t>
      </w:r>
      <w:r>
        <w:rPr>
          <w:spacing w:val="0"/>
          <w:lang w:val="es-ES"/>
        </w:rPr>
        <w:tab/>
        <w:t>En la Ley se establecen también las normas para la repatriación de extranjeros y apátridas que han sido víctimas de la trata de personas.</w:t>
      </w:r>
    </w:p>
    <w:p w:rsidR="001D2E73" w:rsidRDefault="001D2E73">
      <w:pPr>
        <w:pStyle w:val="SingleTxtGR"/>
        <w:rPr>
          <w:spacing w:val="0"/>
          <w:lang w:val="es-ES"/>
        </w:rPr>
      </w:pPr>
      <w:r>
        <w:rPr>
          <w:spacing w:val="0"/>
          <w:lang w:val="es-ES"/>
        </w:rPr>
        <w:t>370.</w:t>
      </w:r>
      <w:r>
        <w:rPr>
          <w:spacing w:val="0"/>
          <w:lang w:val="es-ES"/>
        </w:rPr>
        <w:tab/>
        <w:t>El extranjero o apátrida que haya sido víctima de la trata, durante el período en que no proceda la repatriación, podrá acudir a los órganos estatales correspondientes conforme a lo establecido en la legislación para solicitar un permiso de residencia en Azerbaiyán. Al examinar esa solicitud se tiene en cuenta si la víctima está colaborando con los órganos judiciales, el sufrimiento físico y moral que ha padecido, así como el peligro de que vuelva a ser víctima o de sufrir acoso de los traficantes de personas tras su repatriación.</w:t>
      </w:r>
    </w:p>
    <w:p w:rsidR="001D2E73" w:rsidRDefault="001D2E73">
      <w:pPr>
        <w:pStyle w:val="H1G"/>
        <w:rPr>
          <w:lang w:val="es-ES"/>
        </w:rPr>
      </w:pPr>
      <w:r>
        <w:rPr>
          <w:lang w:val="es-ES"/>
        </w:rPr>
        <w:tab/>
      </w:r>
      <w:r>
        <w:rPr>
          <w:lang w:val="es-ES"/>
        </w:rPr>
        <w:tab/>
        <w:t>Artículo 11</w:t>
      </w:r>
    </w:p>
    <w:p w:rsidR="001D2E73" w:rsidRDefault="001D2E73">
      <w:pPr>
        <w:pStyle w:val="SingleTxtGR"/>
        <w:rPr>
          <w:bCs/>
          <w:spacing w:val="0"/>
          <w:lang w:val="es-ES"/>
        </w:rPr>
      </w:pPr>
      <w:r>
        <w:rPr>
          <w:spacing w:val="0"/>
          <w:lang w:val="es-ES"/>
        </w:rPr>
        <w:t>371.</w:t>
      </w:r>
      <w:r>
        <w:rPr>
          <w:spacing w:val="0"/>
          <w:lang w:val="es-ES"/>
        </w:rPr>
        <w:tab/>
        <w:t>Con el fin de garantizar también el ejercicio de los derechos económicos y sociales, el Gobierno aprobó programas estatales, entre ellos la Estrategia de empleo para 2006-2015, el Plan de aplicación de la Estrategia de empleo para 2007-2010 y el Programa de desarrollo socioeconómico de las regiones de Azerbaiyán para 2009-2013.</w:t>
      </w:r>
      <w:r>
        <w:rPr>
          <w:bCs/>
          <w:spacing w:val="0"/>
          <w:lang w:val="es-ES"/>
        </w:rPr>
        <w:t xml:space="preserve"> </w:t>
      </w:r>
    </w:p>
    <w:p w:rsidR="001D2E73" w:rsidRDefault="001D2E73">
      <w:pPr>
        <w:pStyle w:val="SingleTxtGR"/>
        <w:rPr>
          <w:spacing w:val="0"/>
          <w:lang w:val="es-ES"/>
        </w:rPr>
      </w:pPr>
      <w:r>
        <w:rPr>
          <w:spacing w:val="0"/>
          <w:lang w:val="es-ES"/>
        </w:rPr>
        <w:t>372.</w:t>
      </w:r>
      <w:r>
        <w:rPr>
          <w:spacing w:val="0"/>
          <w:lang w:val="es-ES"/>
        </w:rPr>
        <w:tab/>
        <w:t>Tras la aplicación de medidas de gran alcance, el nivel de p</w:t>
      </w:r>
      <w:r>
        <w:rPr>
          <w:spacing w:val="0"/>
          <w:lang w:val="es-ES"/>
        </w:rPr>
        <w:t>o</w:t>
      </w:r>
      <w:r>
        <w:rPr>
          <w:spacing w:val="0"/>
          <w:lang w:val="es-ES"/>
        </w:rPr>
        <w:t xml:space="preserve">breza se redujo en 2008 en comparación con 2002 de 46,7% a 13,2%. El nivel de pobreza se calcula sobre la base del mínimo vital del país. </w:t>
      </w:r>
    </w:p>
    <w:p w:rsidR="001D2E73" w:rsidRDefault="001D2E73">
      <w:pPr>
        <w:pStyle w:val="SingleTxtGR"/>
        <w:rPr>
          <w:spacing w:val="0"/>
          <w:lang w:val="es-ES"/>
        </w:rPr>
      </w:pPr>
      <w:r>
        <w:rPr>
          <w:spacing w:val="0"/>
          <w:lang w:val="es-ES"/>
        </w:rPr>
        <w:t>373.</w:t>
      </w:r>
      <w:r>
        <w:rPr>
          <w:spacing w:val="0"/>
          <w:lang w:val="es-ES"/>
        </w:rPr>
        <w:tab/>
        <w:t>Si en 2003 el umbral de pobreza era de 35,8 manat (44,75 dólares de los Estados Unidos), en 2008 el indicador era de 70 manat (87,5 dólares de los Estados Unidos). En el cuadro que figura a continuación se indican los datos sobre el nivel y el umbral de pobreza:</w:t>
      </w:r>
    </w:p>
    <w:p w:rsidR="001D2E73" w:rsidRDefault="001D2E73">
      <w:pPr>
        <w:keepNext/>
        <w:keepLines/>
        <w:spacing w:before="240" w:after="120"/>
        <w:rPr>
          <w:b/>
        </w:rPr>
      </w:pPr>
      <w:r>
        <w:tab/>
      </w:r>
      <w:r>
        <w:tab/>
        <w:t>Cuadro 17</w:t>
      </w:r>
      <w:r>
        <w:br/>
      </w:r>
      <w:r>
        <w:rPr>
          <w:b/>
        </w:rPr>
        <w:tab/>
      </w:r>
      <w:r>
        <w:rPr>
          <w:b/>
        </w:rPr>
        <w:tab/>
        <w:t>Umbral y nivel de pobreza en Azerbaiyán</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259"/>
        <w:gridCol w:w="729"/>
        <w:gridCol w:w="729"/>
        <w:gridCol w:w="733"/>
        <w:gridCol w:w="730"/>
        <w:gridCol w:w="730"/>
        <w:gridCol w:w="730"/>
        <w:gridCol w:w="730"/>
      </w:tblGrid>
      <w:tr w:rsidR="001D2E73">
        <w:trPr>
          <w:trHeight w:val="20"/>
          <w:tblHeader/>
        </w:trPr>
        <w:tc>
          <w:tcPr>
            <w:tcW w:w="2648"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szCs w:val="16"/>
              </w:rPr>
            </w:pPr>
          </w:p>
        </w:tc>
        <w:tc>
          <w:tcPr>
            <w:tcW w:w="816"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2002</w:t>
            </w:r>
          </w:p>
        </w:tc>
        <w:tc>
          <w:tcPr>
            <w:tcW w:w="816"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2003</w:t>
            </w:r>
          </w:p>
        </w:tc>
        <w:tc>
          <w:tcPr>
            <w:tcW w:w="820"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2004</w:t>
            </w:r>
          </w:p>
        </w:tc>
        <w:tc>
          <w:tcPr>
            <w:tcW w:w="816"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2005</w:t>
            </w:r>
          </w:p>
        </w:tc>
        <w:tc>
          <w:tcPr>
            <w:tcW w:w="816"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2006</w:t>
            </w:r>
          </w:p>
        </w:tc>
        <w:tc>
          <w:tcPr>
            <w:tcW w:w="816" w:type="dxa"/>
            <w:tcBorders>
              <w:top w:val="single" w:sz="4" w:space="0" w:color="auto"/>
              <w:bottom w:val="single" w:sz="12" w:space="0" w:color="auto"/>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2007</w:t>
            </w:r>
          </w:p>
        </w:tc>
        <w:tc>
          <w:tcPr>
            <w:tcW w:w="816" w:type="dxa"/>
            <w:tcBorders>
              <w:top w:val="single" w:sz="4" w:space="0" w:color="auto"/>
              <w:left w:val="nil"/>
              <w:bottom w:val="single" w:sz="12" w:space="0" w:color="auto"/>
              <w:right w:val="nil"/>
              <w:tl2br w:val="nil"/>
              <w:tr2bl w:val="nil"/>
            </w:tcBorders>
            <w:shd w:val="clear" w:color="auto" w:fill="auto"/>
            <w:vAlign w:val="bottom"/>
          </w:tcPr>
          <w:p w:rsidR="001D2E73" w:rsidRDefault="001D2E73">
            <w:pPr>
              <w:keepNext/>
              <w:keepLines/>
              <w:spacing w:before="80" w:after="80" w:line="200" w:lineRule="exact"/>
              <w:jc w:val="right"/>
              <w:rPr>
                <w:i/>
                <w:sz w:val="16"/>
                <w:szCs w:val="16"/>
              </w:rPr>
            </w:pPr>
            <w:r>
              <w:rPr>
                <w:i/>
                <w:sz w:val="16"/>
                <w:szCs w:val="16"/>
              </w:rPr>
              <w:t>2008</w:t>
            </w:r>
          </w:p>
        </w:tc>
      </w:tr>
      <w:tr w:rsidR="001D2E73">
        <w:trPr>
          <w:trHeight w:val="20"/>
        </w:trPr>
        <w:tc>
          <w:tcPr>
            <w:tcW w:w="2648" w:type="dxa"/>
            <w:tcBorders>
              <w:top w:val="single" w:sz="12" w:space="0" w:color="auto"/>
            </w:tcBorders>
            <w:vAlign w:val="bottom"/>
          </w:tcPr>
          <w:p w:rsidR="001D2E73" w:rsidRDefault="001D2E73">
            <w:pPr>
              <w:keepNext/>
              <w:keepLines/>
              <w:spacing w:before="40" w:after="40" w:line="220" w:lineRule="exact"/>
              <w:rPr>
                <w:sz w:val="18"/>
                <w:szCs w:val="18"/>
              </w:rPr>
            </w:pPr>
            <w:r>
              <w:rPr>
                <w:sz w:val="18"/>
                <w:szCs w:val="18"/>
              </w:rPr>
              <w:t>Umbral de pobreza, manat</w:t>
            </w:r>
          </w:p>
        </w:tc>
        <w:tc>
          <w:tcPr>
            <w:tcW w:w="816" w:type="dxa"/>
            <w:tcBorders>
              <w:top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35</w:t>
            </w:r>
          </w:p>
        </w:tc>
        <w:tc>
          <w:tcPr>
            <w:tcW w:w="816" w:type="dxa"/>
            <w:tcBorders>
              <w:top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35,8</w:t>
            </w:r>
          </w:p>
        </w:tc>
        <w:tc>
          <w:tcPr>
            <w:tcW w:w="820" w:type="dxa"/>
            <w:tcBorders>
              <w:top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38,8</w:t>
            </w:r>
          </w:p>
        </w:tc>
        <w:tc>
          <w:tcPr>
            <w:tcW w:w="816" w:type="dxa"/>
            <w:tcBorders>
              <w:top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42,6</w:t>
            </w:r>
          </w:p>
        </w:tc>
        <w:tc>
          <w:tcPr>
            <w:tcW w:w="816" w:type="dxa"/>
            <w:tcBorders>
              <w:top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58</w:t>
            </w:r>
          </w:p>
        </w:tc>
        <w:tc>
          <w:tcPr>
            <w:tcW w:w="816" w:type="dxa"/>
            <w:tcBorders>
              <w:top w:val="single" w:sz="12" w:space="0" w:color="auto"/>
            </w:tcBorders>
            <w:vAlign w:val="bottom"/>
          </w:tcPr>
          <w:p w:rsidR="001D2E73" w:rsidRDefault="001D2E73">
            <w:pPr>
              <w:keepNext/>
              <w:keepLines/>
              <w:spacing w:before="40" w:after="40" w:line="220" w:lineRule="exact"/>
              <w:jc w:val="right"/>
              <w:rPr>
                <w:sz w:val="18"/>
                <w:szCs w:val="18"/>
              </w:rPr>
            </w:pPr>
            <w:r>
              <w:rPr>
                <w:sz w:val="18"/>
                <w:szCs w:val="18"/>
              </w:rPr>
              <w:t>64</w:t>
            </w:r>
          </w:p>
        </w:tc>
        <w:tc>
          <w:tcPr>
            <w:tcW w:w="816" w:type="dxa"/>
            <w:tcBorders>
              <w:top w:val="single" w:sz="12" w:space="0" w:color="auto"/>
              <w:left w:val="nil"/>
              <w:bottom w:val="nil"/>
              <w:right w:val="nil"/>
              <w:tl2br w:val="nil"/>
              <w:tr2bl w:val="nil"/>
            </w:tcBorders>
            <w:vAlign w:val="bottom"/>
          </w:tcPr>
          <w:p w:rsidR="001D2E73" w:rsidRDefault="001D2E73">
            <w:pPr>
              <w:keepNext/>
              <w:keepLines/>
              <w:spacing w:before="40" w:after="40" w:line="220" w:lineRule="exact"/>
              <w:jc w:val="right"/>
              <w:rPr>
                <w:sz w:val="18"/>
                <w:szCs w:val="18"/>
              </w:rPr>
            </w:pPr>
            <w:r>
              <w:rPr>
                <w:sz w:val="18"/>
                <w:szCs w:val="18"/>
              </w:rPr>
              <w:t>70</w:t>
            </w:r>
          </w:p>
        </w:tc>
      </w:tr>
      <w:tr w:rsidR="001D2E73">
        <w:trPr>
          <w:trHeight w:val="20"/>
        </w:trPr>
        <w:tc>
          <w:tcPr>
            <w:tcW w:w="2648" w:type="dxa"/>
            <w:vAlign w:val="bottom"/>
          </w:tcPr>
          <w:p w:rsidR="001D2E73" w:rsidRDefault="001D2E73">
            <w:pPr>
              <w:keepNext/>
              <w:keepLines/>
              <w:spacing w:before="40" w:after="40" w:line="220" w:lineRule="exact"/>
              <w:rPr>
                <w:sz w:val="18"/>
                <w:szCs w:val="18"/>
              </w:rPr>
            </w:pPr>
            <w:r>
              <w:rPr>
                <w:sz w:val="18"/>
                <w:szCs w:val="18"/>
              </w:rPr>
              <w:t>Nivel de pobreza, %</w:t>
            </w:r>
          </w:p>
        </w:tc>
        <w:tc>
          <w:tcPr>
            <w:tcW w:w="816" w:type="dxa"/>
            <w:vAlign w:val="bottom"/>
          </w:tcPr>
          <w:p w:rsidR="001D2E73" w:rsidRDefault="001D2E73">
            <w:pPr>
              <w:keepNext/>
              <w:keepLines/>
              <w:spacing w:before="40" w:after="40" w:line="220" w:lineRule="exact"/>
              <w:jc w:val="right"/>
              <w:rPr>
                <w:sz w:val="18"/>
                <w:szCs w:val="18"/>
              </w:rPr>
            </w:pPr>
            <w:r>
              <w:rPr>
                <w:sz w:val="18"/>
                <w:szCs w:val="18"/>
              </w:rPr>
              <w:t>46,7</w:t>
            </w:r>
          </w:p>
        </w:tc>
        <w:tc>
          <w:tcPr>
            <w:tcW w:w="816" w:type="dxa"/>
            <w:vAlign w:val="bottom"/>
          </w:tcPr>
          <w:p w:rsidR="001D2E73" w:rsidRDefault="001D2E73">
            <w:pPr>
              <w:keepNext/>
              <w:keepLines/>
              <w:spacing w:before="40" w:after="40" w:line="220" w:lineRule="exact"/>
              <w:jc w:val="right"/>
              <w:rPr>
                <w:sz w:val="18"/>
                <w:szCs w:val="18"/>
              </w:rPr>
            </w:pPr>
            <w:r>
              <w:rPr>
                <w:sz w:val="18"/>
                <w:szCs w:val="18"/>
              </w:rPr>
              <w:t>44,7</w:t>
            </w:r>
          </w:p>
        </w:tc>
        <w:tc>
          <w:tcPr>
            <w:tcW w:w="820" w:type="dxa"/>
            <w:vAlign w:val="bottom"/>
          </w:tcPr>
          <w:p w:rsidR="001D2E73" w:rsidRDefault="001D2E73">
            <w:pPr>
              <w:keepNext/>
              <w:keepLines/>
              <w:spacing w:before="40" w:after="40" w:line="220" w:lineRule="exact"/>
              <w:jc w:val="right"/>
              <w:rPr>
                <w:sz w:val="18"/>
                <w:szCs w:val="18"/>
              </w:rPr>
            </w:pPr>
            <w:r>
              <w:rPr>
                <w:sz w:val="18"/>
                <w:szCs w:val="18"/>
              </w:rPr>
              <w:t>40,2</w:t>
            </w:r>
          </w:p>
        </w:tc>
        <w:tc>
          <w:tcPr>
            <w:tcW w:w="816" w:type="dxa"/>
            <w:vAlign w:val="bottom"/>
          </w:tcPr>
          <w:p w:rsidR="001D2E73" w:rsidRDefault="001D2E73">
            <w:pPr>
              <w:keepNext/>
              <w:keepLines/>
              <w:spacing w:before="40" w:after="40" w:line="220" w:lineRule="exact"/>
              <w:jc w:val="right"/>
              <w:rPr>
                <w:sz w:val="18"/>
                <w:szCs w:val="18"/>
              </w:rPr>
            </w:pPr>
            <w:r>
              <w:rPr>
                <w:sz w:val="18"/>
                <w:szCs w:val="18"/>
              </w:rPr>
              <w:t>29,3</w:t>
            </w:r>
          </w:p>
        </w:tc>
        <w:tc>
          <w:tcPr>
            <w:tcW w:w="816" w:type="dxa"/>
            <w:vAlign w:val="bottom"/>
          </w:tcPr>
          <w:p w:rsidR="001D2E73" w:rsidRDefault="001D2E73">
            <w:pPr>
              <w:keepNext/>
              <w:keepLines/>
              <w:spacing w:before="40" w:after="40" w:line="220" w:lineRule="exact"/>
              <w:jc w:val="right"/>
              <w:rPr>
                <w:sz w:val="18"/>
                <w:szCs w:val="18"/>
              </w:rPr>
            </w:pPr>
            <w:r>
              <w:rPr>
                <w:sz w:val="18"/>
                <w:szCs w:val="18"/>
              </w:rPr>
              <w:t>20,8</w:t>
            </w:r>
          </w:p>
        </w:tc>
        <w:tc>
          <w:tcPr>
            <w:tcW w:w="816" w:type="dxa"/>
            <w:vAlign w:val="bottom"/>
          </w:tcPr>
          <w:p w:rsidR="001D2E73" w:rsidRDefault="001D2E73">
            <w:pPr>
              <w:keepNext/>
              <w:keepLines/>
              <w:spacing w:before="40" w:after="40" w:line="220" w:lineRule="exact"/>
              <w:jc w:val="right"/>
              <w:rPr>
                <w:sz w:val="18"/>
                <w:szCs w:val="18"/>
              </w:rPr>
            </w:pPr>
            <w:r>
              <w:rPr>
                <w:sz w:val="18"/>
                <w:szCs w:val="18"/>
              </w:rPr>
              <w:t>15,8</w:t>
            </w:r>
          </w:p>
        </w:tc>
        <w:tc>
          <w:tcPr>
            <w:tcW w:w="816" w:type="dxa"/>
            <w:tcBorders>
              <w:left w:val="nil"/>
              <w:bottom w:val="single" w:sz="12" w:space="0" w:color="auto"/>
              <w:right w:val="nil"/>
              <w:tl2br w:val="nil"/>
              <w:tr2bl w:val="nil"/>
            </w:tcBorders>
            <w:vAlign w:val="bottom"/>
          </w:tcPr>
          <w:p w:rsidR="001D2E73" w:rsidRDefault="001D2E73">
            <w:pPr>
              <w:keepNext/>
              <w:keepLines/>
              <w:spacing w:before="40" w:after="40" w:line="220" w:lineRule="exact"/>
              <w:jc w:val="right"/>
              <w:rPr>
                <w:sz w:val="18"/>
                <w:szCs w:val="18"/>
              </w:rPr>
            </w:pPr>
            <w:r>
              <w:rPr>
                <w:sz w:val="18"/>
                <w:szCs w:val="18"/>
              </w:rPr>
              <w:t>13,2</w:t>
            </w:r>
          </w:p>
        </w:tc>
      </w:tr>
    </w:tbl>
    <w:p w:rsidR="001D2E73" w:rsidRDefault="001D2E73">
      <w:pPr>
        <w:pStyle w:val="SingleTxtGR"/>
        <w:keepNext/>
        <w:keepLines/>
        <w:spacing w:before="240"/>
        <w:rPr>
          <w:b/>
          <w:spacing w:val="0"/>
          <w:lang w:val="es-ES"/>
        </w:rPr>
      </w:pPr>
      <w:r>
        <w:rPr>
          <w:spacing w:val="0"/>
          <w:lang w:val="es-ES"/>
        </w:rPr>
        <w:t>374.</w:t>
      </w:r>
      <w:r>
        <w:rPr>
          <w:spacing w:val="0"/>
          <w:lang w:val="es-ES"/>
        </w:rPr>
        <w:tab/>
        <w:t xml:space="preserve">Conforme a la Instrucción del Presidente sobre la aplicación de la Ley de fijación del mínimo vital en Azerbaiyán para 2009, de 10 de diciembre 2008, en 2009 el mínimo vital medio del país es de 84 manat, es decir 92 manat para la población que trabaja, 65 manat para los jubilados y 69 manat para los niños. </w:t>
      </w:r>
    </w:p>
    <w:p w:rsidR="001D2E73" w:rsidRDefault="001D2E73">
      <w:pPr>
        <w:pStyle w:val="SingleTxtGR"/>
        <w:spacing w:before="120"/>
        <w:rPr>
          <w:spacing w:val="0"/>
          <w:lang w:val="es-ES"/>
        </w:rPr>
      </w:pPr>
      <w:r>
        <w:rPr>
          <w:spacing w:val="0"/>
          <w:lang w:val="es-ES"/>
        </w:rPr>
        <w:t>375.</w:t>
      </w:r>
      <w:r>
        <w:rPr>
          <w:spacing w:val="0"/>
          <w:lang w:val="es-ES"/>
        </w:rPr>
        <w:tab/>
        <w:t>De conformidad con la Ley sobre el criterio del nivel de extrema pobreza en 2009 en Azerbaiyán de 25 de noviembre de 2008, el criterio del nivel de extrema pobreza en 2009 era de 60 manat (cerca de 75 dólares de los Estados Unidos).</w:t>
      </w:r>
    </w:p>
    <w:p w:rsidR="001D2E73" w:rsidRDefault="001D2E73">
      <w:pPr>
        <w:pStyle w:val="SingleTxtGR"/>
        <w:spacing w:before="120"/>
        <w:rPr>
          <w:b/>
          <w:spacing w:val="0"/>
          <w:lang w:val="es-ES"/>
        </w:rPr>
      </w:pPr>
      <w:r>
        <w:rPr>
          <w:spacing w:val="0"/>
          <w:lang w:val="es-ES"/>
        </w:rPr>
        <w:t>376.</w:t>
      </w:r>
      <w:r>
        <w:rPr>
          <w:spacing w:val="0"/>
          <w:lang w:val="es-ES"/>
        </w:rPr>
        <w:tab/>
        <w:t>A fin de mantener los logros alcanzados en el aumento del bienestar de la población, por Instrucción del Presidente de 15 de septiembre de 2008, fue aprobado el Programa estatal de reducción de la pobreza y desarrollo estable de Azerbaiyán para 2008-2015.</w:t>
      </w:r>
    </w:p>
    <w:p w:rsidR="001D2E73" w:rsidRDefault="001D2E73">
      <w:pPr>
        <w:pStyle w:val="SingleTxtGR"/>
        <w:spacing w:before="120"/>
        <w:rPr>
          <w:spacing w:val="0"/>
          <w:lang w:val="es-ES"/>
        </w:rPr>
      </w:pPr>
      <w:r>
        <w:rPr>
          <w:spacing w:val="0"/>
          <w:lang w:val="es-ES"/>
        </w:rPr>
        <w:t>377.</w:t>
      </w:r>
      <w:r>
        <w:rPr>
          <w:spacing w:val="0"/>
          <w:lang w:val="es-ES"/>
        </w:rPr>
        <w:tab/>
        <w:t xml:space="preserve">En el Programa estatal para 2008-2015 se definen 9 objetivos fundamentales: </w:t>
      </w:r>
    </w:p>
    <w:p w:rsidR="001D2E73" w:rsidRDefault="001D2E73">
      <w:pPr>
        <w:pStyle w:val="Bullet1G"/>
        <w:rPr>
          <w:lang w:val="es-ES"/>
        </w:rPr>
      </w:pPr>
      <w:r>
        <w:rPr>
          <w:lang w:val="es-ES"/>
        </w:rPr>
        <w:t>Mantenimiento de la estabilidad macroeconómica y garantía de un crecimiento económico estable, desarrollo equilibrado del sector no petrolero;</w:t>
      </w:r>
    </w:p>
    <w:p w:rsidR="001D2E73" w:rsidRDefault="001D2E73">
      <w:pPr>
        <w:pStyle w:val="Bullet1G"/>
        <w:rPr>
          <w:lang w:val="es-ES"/>
        </w:rPr>
      </w:pPr>
      <w:r>
        <w:rPr>
          <w:lang w:val="es-ES"/>
        </w:rPr>
        <w:t>Aumento del bienestar de la población y reducción significativa del número de habitantes de pocos recursos;</w:t>
      </w:r>
    </w:p>
    <w:p w:rsidR="001D2E73" w:rsidRDefault="001D2E73">
      <w:pPr>
        <w:pStyle w:val="Bullet1G"/>
        <w:rPr>
          <w:lang w:val="es-ES"/>
        </w:rPr>
      </w:pPr>
      <w:r>
        <w:rPr>
          <w:lang w:val="es-ES"/>
        </w:rPr>
        <w:t>Desarrollo efectivo del sistema de protección social, disminución del riesgo social para las capas de la población menos favorecidas;</w:t>
      </w:r>
    </w:p>
    <w:p w:rsidR="001D2E73" w:rsidRDefault="001D2E73">
      <w:pPr>
        <w:pStyle w:val="Bullet1G"/>
        <w:rPr>
          <w:lang w:val="es-ES"/>
        </w:rPr>
      </w:pPr>
      <w:r>
        <w:rPr>
          <w:lang w:val="es-ES"/>
        </w:rPr>
        <w:t>Continuación de las medidas de mejora sistemática de las condiciones de vida de los refugiados y desplazados forzosos;</w:t>
      </w:r>
    </w:p>
    <w:p w:rsidR="001D2E73" w:rsidRDefault="001D2E73">
      <w:pPr>
        <w:pStyle w:val="Bullet1G"/>
        <w:rPr>
          <w:lang w:val="es-ES"/>
        </w:rPr>
      </w:pPr>
      <w:r>
        <w:rPr>
          <w:lang w:val="es-ES"/>
        </w:rPr>
        <w:t>Aumento de la calidad de los servicios en la esfera de la educación y la salud y creación de igualdad de condiciones para obtenerlo;</w:t>
      </w:r>
    </w:p>
    <w:p w:rsidR="001D2E73" w:rsidRDefault="001D2E73">
      <w:pPr>
        <w:pStyle w:val="Bullet1G"/>
        <w:rPr>
          <w:lang w:val="es-ES"/>
        </w:rPr>
      </w:pPr>
      <w:r>
        <w:rPr>
          <w:lang w:val="es-ES"/>
        </w:rPr>
        <w:t>Mejora de la situación ecológica y garantía de la gobernanza estable del medio ambiente;</w:t>
      </w:r>
    </w:p>
    <w:p w:rsidR="001D2E73" w:rsidRDefault="001D2E73">
      <w:pPr>
        <w:pStyle w:val="Bullet1G"/>
        <w:rPr>
          <w:lang w:val="es-ES"/>
        </w:rPr>
      </w:pPr>
      <w:r>
        <w:rPr>
          <w:lang w:val="es-ES"/>
        </w:rPr>
        <w:t>Desarrollo de la infraestructura social y perfeccionamiento del sistema de servicios comunitarios;</w:t>
      </w:r>
    </w:p>
    <w:p w:rsidR="001D2E73" w:rsidRDefault="001D2E73">
      <w:pPr>
        <w:pStyle w:val="Bullet1G"/>
        <w:rPr>
          <w:lang w:val="es-ES"/>
        </w:rPr>
      </w:pPr>
      <w:r>
        <w:rPr>
          <w:lang w:val="es-ES"/>
        </w:rPr>
        <w:t>Apoyo a la igualdad entre hombres y mujeres;</w:t>
      </w:r>
    </w:p>
    <w:p w:rsidR="001D2E73" w:rsidRDefault="001D2E73">
      <w:pPr>
        <w:pStyle w:val="Bullet1G"/>
        <w:rPr>
          <w:lang w:val="es-ES"/>
        </w:rPr>
      </w:pPr>
      <w:r>
        <w:rPr>
          <w:lang w:val="es-ES"/>
        </w:rPr>
        <w:t>Realización de reformas institucionales y mejora de la gobernanza.</w:t>
      </w:r>
    </w:p>
    <w:p w:rsidR="001D2E73" w:rsidRDefault="001D2E73">
      <w:pPr>
        <w:pStyle w:val="SingleTxtGR"/>
        <w:spacing w:before="120"/>
        <w:rPr>
          <w:spacing w:val="0"/>
          <w:lang w:val="es-ES"/>
        </w:rPr>
      </w:pPr>
      <w:r>
        <w:rPr>
          <w:spacing w:val="0"/>
          <w:lang w:val="es-ES"/>
        </w:rPr>
        <w:t>378.</w:t>
      </w:r>
      <w:r>
        <w:rPr>
          <w:spacing w:val="0"/>
          <w:lang w:val="es-ES"/>
        </w:rPr>
        <w:tab/>
        <w:t xml:space="preserve">Con el fin de profundizar las reformas económicas en el país, aumentar la producción agrícola y mejorar el abastecimiento de productos alimenticios a la población, por Instrucción del Presidente de 2 de marzo de 2001 aprobó el Programa de seguridad alimentaria de Azerbaiyán. </w:t>
      </w:r>
    </w:p>
    <w:p w:rsidR="001D2E73" w:rsidRDefault="001D2E73">
      <w:pPr>
        <w:pStyle w:val="SingleTxtGR"/>
        <w:spacing w:before="120"/>
        <w:rPr>
          <w:spacing w:val="0"/>
          <w:lang w:val="es-ES"/>
        </w:rPr>
      </w:pPr>
      <w:r>
        <w:rPr>
          <w:spacing w:val="0"/>
          <w:lang w:val="es-ES"/>
        </w:rPr>
        <w:t>379.</w:t>
      </w:r>
      <w:r>
        <w:rPr>
          <w:spacing w:val="0"/>
          <w:lang w:val="es-ES"/>
        </w:rPr>
        <w:tab/>
        <w:t>Durante la ejecución de ese programa se llevaron a cabo las siguientes medidas: fortalecimiento de los mecanismos de dirección relacionados con la seguridad alimentaria; transformación del sector agrícola en estructuras que respondan a los requisitos de la economía de mercado; garantía de la diversificación de la producción de distintos tipos de productos alimenticios competitivos en el país; aplicación de la política estatal de inversiones que contribuya al desarrollo de la infraestructura agrícola.</w:t>
      </w:r>
    </w:p>
    <w:p w:rsidR="001D2E73" w:rsidRDefault="001D2E73">
      <w:pPr>
        <w:pStyle w:val="SingleTxtGR"/>
        <w:spacing w:before="120"/>
        <w:rPr>
          <w:spacing w:val="0"/>
          <w:lang w:val="es-ES"/>
        </w:rPr>
      </w:pPr>
      <w:r>
        <w:rPr>
          <w:spacing w:val="0"/>
          <w:lang w:val="es-ES"/>
        </w:rPr>
        <w:t>380.</w:t>
      </w:r>
      <w:r>
        <w:rPr>
          <w:spacing w:val="0"/>
          <w:lang w:val="es-ES"/>
        </w:rPr>
        <w:tab/>
        <w:t>Paralelamente, con el fin de estimular el aumento de la producción agrícola y mejorar el abastecimiento de alimentos de producción nacional a la población, por Instrucción del Presidente, de 25 de mayo de 2008, fue aprobado el Programa estatal de abastecimiento fiable a la población de productos alimenticios para 2008-2015.</w:t>
      </w:r>
    </w:p>
    <w:p w:rsidR="001D2E73" w:rsidRDefault="001D2E73">
      <w:pPr>
        <w:spacing w:before="240" w:after="120"/>
        <w:rPr>
          <w:b/>
        </w:rPr>
      </w:pPr>
      <w:r>
        <w:tab/>
      </w:r>
      <w:r>
        <w:tab/>
        <w:t>Cuadro 18</w:t>
      </w:r>
      <w:r>
        <w:br/>
      </w:r>
      <w:r>
        <w:rPr>
          <w:b/>
        </w:rPr>
        <w:tab/>
      </w:r>
      <w:r>
        <w:rPr>
          <w:b/>
        </w:rPr>
        <w:tab/>
      </w:r>
      <w:bookmarkStart w:id="4" w:name="RANGE!A3"/>
      <w:r>
        <w:rPr>
          <w:b/>
        </w:rPr>
        <w:t>Consumo medio de productos alimenticios per cápita al año, kg</w:t>
      </w:r>
      <w:bookmarkEnd w:id="4"/>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034"/>
        <w:gridCol w:w="722"/>
        <w:gridCol w:w="723"/>
        <w:gridCol w:w="723"/>
        <w:gridCol w:w="722"/>
        <w:gridCol w:w="723"/>
        <w:gridCol w:w="723"/>
      </w:tblGrid>
      <w:tr w:rsidR="001D2E73">
        <w:trPr>
          <w:trHeight w:val="315"/>
        </w:trPr>
        <w:tc>
          <w:tcPr>
            <w:tcW w:w="3034" w:type="dxa"/>
            <w:tcBorders>
              <w:top w:val="single" w:sz="4" w:space="0" w:color="auto"/>
              <w:bottom w:val="single" w:sz="12" w:space="0" w:color="auto"/>
            </w:tcBorders>
            <w:shd w:val="clear" w:color="auto" w:fill="auto"/>
          </w:tcPr>
          <w:p w:rsidR="001D2E73" w:rsidRDefault="001D2E73">
            <w:pPr>
              <w:spacing w:before="80" w:after="80" w:line="200" w:lineRule="exact"/>
              <w:rPr>
                <w:i/>
                <w:sz w:val="16"/>
              </w:rPr>
            </w:pPr>
            <w:r>
              <w:rPr>
                <w:i/>
                <w:sz w:val="16"/>
              </w:rPr>
              <w:t> </w:t>
            </w:r>
          </w:p>
        </w:tc>
        <w:tc>
          <w:tcPr>
            <w:tcW w:w="722"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2003</w:t>
            </w:r>
          </w:p>
        </w:tc>
        <w:tc>
          <w:tcPr>
            <w:tcW w:w="723"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2004</w:t>
            </w:r>
          </w:p>
        </w:tc>
        <w:tc>
          <w:tcPr>
            <w:tcW w:w="723"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2005</w:t>
            </w:r>
          </w:p>
        </w:tc>
        <w:tc>
          <w:tcPr>
            <w:tcW w:w="722"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2006</w:t>
            </w:r>
          </w:p>
        </w:tc>
        <w:tc>
          <w:tcPr>
            <w:tcW w:w="723"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2007</w:t>
            </w:r>
          </w:p>
        </w:tc>
        <w:tc>
          <w:tcPr>
            <w:tcW w:w="723" w:type="dxa"/>
            <w:tcBorders>
              <w:top w:val="single" w:sz="4" w:space="0" w:color="auto"/>
              <w:left w:val="nil"/>
              <w:bottom w:val="single" w:sz="12" w:space="0" w:color="auto"/>
              <w:right w:val="nil"/>
              <w:tl2br w:val="nil"/>
              <w:tr2bl w:val="nil"/>
            </w:tcBorders>
            <w:shd w:val="clear" w:color="auto" w:fill="auto"/>
          </w:tcPr>
          <w:p w:rsidR="001D2E73" w:rsidRDefault="001D2E73">
            <w:pPr>
              <w:spacing w:before="80" w:after="80" w:line="200" w:lineRule="exact"/>
              <w:jc w:val="right"/>
              <w:rPr>
                <w:i/>
                <w:sz w:val="16"/>
              </w:rPr>
            </w:pPr>
            <w:r>
              <w:rPr>
                <w:i/>
                <w:sz w:val="16"/>
              </w:rPr>
              <w:t>2008</w:t>
            </w:r>
          </w:p>
        </w:tc>
      </w:tr>
      <w:tr w:rsidR="001D2E73">
        <w:trPr>
          <w:trHeight w:val="315"/>
        </w:trPr>
        <w:tc>
          <w:tcPr>
            <w:tcW w:w="3034" w:type="dxa"/>
            <w:tcBorders>
              <w:top w:val="single" w:sz="12" w:space="0" w:color="auto"/>
            </w:tcBorders>
          </w:tcPr>
          <w:p w:rsidR="001D2E73" w:rsidRDefault="001D2E73">
            <w:pPr>
              <w:spacing w:before="40" w:after="40" w:line="220" w:lineRule="exact"/>
              <w:rPr>
                <w:sz w:val="18"/>
                <w:szCs w:val="18"/>
              </w:rPr>
            </w:pPr>
            <w:r>
              <w:rPr>
                <w:sz w:val="18"/>
                <w:szCs w:val="18"/>
              </w:rPr>
              <w:t>Pan y productos de panadería</w:t>
            </w:r>
          </w:p>
        </w:tc>
        <w:tc>
          <w:tcPr>
            <w:tcW w:w="72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157,6</w:t>
            </w:r>
          </w:p>
        </w:tc>
        <w:tc>
          <w:tcPr>
            <w:tcW w:w="723"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155,7</w:t>
            </w:r>
          </w:p>
        </w:tc>
        <w:tc>
          <w:tcPr>
            <w:tcW w:w="723"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156,5</w:t>
            </w:r>
          </w:p>
        </w:tc>
        <w:tc>
          <w:tcPr>
            <w:tcW w:w="722"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157,9</w:t>
            </w:r>
          </w:p>
        </w:tc>
        <w:tc>
          <w:tcPr>
            <w:tcW w:w="723" w:type="dxa"/>
            <w:tcBorders>
              <w:top w:val="single" w:sz="12" w:space="0" w:color="auto"/>
            </w:tcBorders>
            <w:vAlign w:val="bottom"/>
          </w:tcPr>
          <w:p w:rsidR="001D2E73" w:rsidRDefault="001D2E73">
            <w:pPr>
              <w:spacing w:before="40" w:after="40" w:line="220" w:lineRule="exact"/>
              <w:jc w:val="right"/>
              <w:rPr>
                <w:sz w:val="18"/>
                <w:szCs w:val="18"/>
              </w:rPr>
            </w:pPr>
            <w:r>
              <w:rPr>
                <w:sz w:val="18"/>
                <w:szCs w:val="18"/>
              </w:rPr>
              <w:t>158,9</w:t>
            </w:r>
          </w:p>
        </w:tc>
        <w:tc>
          <w:tcPr>
            <w:tcW w:w="723" w:type="dxa"/>
            <w:tcBorders>
              <w:top w:val="single" w:sz="12" w:space="0" w:color="auto"/>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156,8</w:t>
            </w:r>
          </w:p>
        </w:tc>
      </w:tr>
      <w:tr w:rsidR="001D2E73">
        <w:trPr>
          <w:trHeight w:val="315"/>
        </w:trPr>
        <w:tc>
          <w:tcPr>
            <w:tcW w:w="3034" w:type="dxa"/>
          </w:tcPr>
          <w:p w:rsidR="001D2E73" w:rsidRDefault="001D2E73">
            <w:pPr>
              <w:spacing w:before="40" w:after="40" w:line="220" w:lineRule="exact"/>
              <w:rPr>
                <w:sz w:val="18"/>
                <w:szCs w:val="18"/>
              </w:rPr>
            </w:pPr>
            <w:r>
              <w:rPr>
                <w:sz w:val="18"/>
                <w:szCs w:val="18"/>
              </w:rPr>
              <w:t>Papas</w:t>
            </w:r>
          </w:p>
        </w:tc>
        <w:tc>
          <w:tcPr>
            <w:tcW w:w="722" w:type="dxa"/>
            <w:vAlign w:val="bottom"/>
          </w:tcPr>
          <w:p w:rsidR="001D2E73" w:rsidRDefault="001D2E73">
            <w:pPr>
              <w:spacing w:before="40" w:after="40" w:line="220" w:lineRule="exact"/>
              <w:jc w:val="right"/>
              <w:rPr>
                <w:sz w:val="18"/>
                <w:szCs w:val="18"/>
              </w:rPr>
            </w:pPr>
            <w:r>
              <w:rPr>
                <w:sz w:val="18"/>
                <w:szCs w:val="18"/>
              </w:rPr>
              <w:t>47,2</w:t>
            </w:r>
          </w:p>
        </w:tc>
        <w:tc>
          <w:tcPr>
            <w:tcW w:w="723" w:type="dxa"/>
            <w:vAlign w:val="bottom"/>
          </w:tcPr>
          <w:p w:rsidR="001D2E73" w:rsidRDefault="001D2E73">
            <w:pPr>
              <w:spacing w:before="40" w:after="40" w:line="220" w:lineRule="exact"/>
              <w:jc w:val="right"/>
              <w:rPr>
                <w:sz w:val="18"/>
                <w:szCs w:val="18"/>
              </w:rPr>
            </w:pPr>
            <w:r>
              <w:rPr>
                <w:sz w:val="18"/>
                <w:szCs w:val="18"/>
              </w:rPr>
              <w:t>48,1</w:t>
            </w:r>
          </w:p>
        </w:tc>
        <w:tc>
          <w:tcPr>
            <w:tcW w:w="723" w:type="dxa"/>
            <w:vAlign w:val="bottom"/>
          </w:tcPr>
          <w:p w:rsidR="001D2E73" w:rsidRDefault="001D2E73">
            <w:pPr>
              <w:spacing w:before="40" w:after="40" w:line="220" w:lineRule="exact"/>
              <w:jc w:val="right"/>
              <w:rPr>
                <w:sz w:val="18"/>
                <w:szCs w:val="18"/>
              </w:rPr>
            </w:pPr>
            <w:r>
              <w:rPr>
                <w:sz w:val="18"/>
                <w:szCs w:val="18"/>
              </w:rPr>
              <w:t>48,5</w:t>
            </w:r>
          </w:p>
        </w:tc>
        <w:tc>
          <w:tcPr>
            <w:tcW w:w="722" w:type="dxa"/>
            <w:vAlign w:val="bottom"/>
          </w:tcPr>
          <w:p w:rsidR="001D2E73" w:rsidRDefault="001D2E73">
            <w:pPr>
              <w:spacing w:before="40" w:after="40" w:line="220" w:lineRule="exact"/>
              <w:jc w:val="right"/>
              <w:rPr>
                <w:sz w:val="18"/>
                <w:szCs w:val="18"/>
              </w:rPr>
            </w:pPr>
            <w:r>
              <w:rPr>
                <w:sz w:val="18"/>
                <w:szCs w:val="18"/>
              </w:rPr>
              <w:t>49,1</w:t>
            </w:r>
          </w:p>
        </w:tc>
        <w:tc>
          <w:tcPr>
            <w:tcW w:w="723" w:type="dxa"/>
            <w:vAlign w:val="bottom"/>
          </w:tcPr>
          <w:p w:rsidR="001D2E73" w:rsidRDefault="001D2E73">
            <w:pPr>
              <w:spacing w:before="40" w:after="40" w:line="220" w:lineRule="exact"/>
              <w:jc w:val="right"/>
              <w:rPr>
                <w:sz w:val="18"/>
                <w:szCs w:val="18"/>
              </w:rPr>
            </w:pPr>
            <w:r>
              <w:rPr>
                <w:sz w:val="18"/>
                <w:szCs w:val="18"/>
              </w:rPr>
              <w:t>50,8</w:t>
            </w:r>
          </w:p>
        </w:tc>
        <w:tc>
          <w:tcPr>
            <w:tcW w:w="72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51,5</w:t>
            </w:r>
          </w:p>
        </w:tc>
      </w:tr>
      <w:tr w:rsidR="001D2E73">
        <w:trPr>
          <w:trHeight w:val="315"/>
        </w:trPr>
        <w:tc>
          <w:tcPr>
            <w:tcW w:w="3034" w:type="dxa"/>
          </w:tcPr>
          <w:p w:rsidR="001D2E73" w:rsidRDefault="001D2E73">
            <w:pPr>
              <w:spacing w:before="40" w:after="40" w:line="220" w:lineRule="exact"/>
              <w:rPr>
                <w:sz w:val="18"/>
                <w:szCs w:val="18"/>
              </w:rPr>
            </w:pPr>
            <w:r>
              <w:rPr>
                <w:sz w:val="18"/>
                <w:szCs w:val="18"/>
              </w:rPr>
              <w:t>Hortalizas y verduras</w:t>
            </w:r>
          </w:p>
        </w:tc>
        <w:tc>
          <w:tcPr>
            <w:tcW w:w="722" w:type="dxa"/>
            <w:vAlign w:val="bottom"/>
          </w:tcPr>
          <w:p w:rsidR="001D2E73" w:rsidRDefault="001D2E73">
            <w:pPr>
              <w:spacing w:before="40" w:after="40" w:line="220" w:lineRule="exact"/>
              <w:jc w:val="right"/>
              <w:rPr>
                <w:sz w:val="18"/>
                <w:szCs w:val="18"/>
              </w:rPr>
            </w:pPr>
            <w:r>
              <w:rPr>
                <w:sz w:val="18"/>
                <w:szCs w:val="18"/>
              </w:rPr>
              <w:t>79,3</w:t>
            </w:r>
          </w:p>
        </w:tc>
        <w:tc>
          <w:tcPr>
            <w:tcW w:w="723" w:type="dxa"/>
            <w:vAlign w:val="bottom"/>
          </w:tcPr>
          <w:p w:rsidR="001D2E73" w:rsidRDefault="001D2E73">
            <w:pPr>
              <w:spacing w:before="40" w:after="40" w:line="220" w:lineRule="exact"/>
              <w:jc w:val="right"/>
              <w:rPr>
                <w:sz w:val="18"/>
                <w:szCs w:val="18"/>
              </w:rPr>
            </w:pPr>
            <w:r>
              <w:rPr>
                <w:sz w:val="18"/>
                <w:szCs w:val="18"/>
              </w:rPr>
              <w:t>78,8</w:t>
            </w:r>
          </w:p>
        </w:tc>
        <w:tc>
          <w:tcPr>
            <w:tcW w:w="723" w:type="dxa"/>
            <w:vAlign w:val="bottom"/>
          </w:tcPr>
          <w:p w:rsidR="001D2E73" w:rsidRDefault="001D2E73">
            <w:pPr>
              <w:spacing w:before="40" w:after="40" w:line="220" w:lineRule="exact"/>
              <w:jc w:val="right"/>
              <w:rPr>
                <w:sz w:val="18"/>
                <w:szCs w:val="18"/>
              </w:rPr>
            </w:pPr>
            <w:r>
              <w:rPr>
                <w:sz w:val="18"/>
                <w:szCs w:val="18"/>
              </w:rPr>
              <w:t>77,9</w:t>
            </w:r>
          </w:p>
        </w:tc>
        <w:tc>
          <w:tcPr>
            <w:tcW w:w="722" w:type="dxa"/>
            <w:vAlign w:val="bottom"/>
          </w:tcPr>
          <w:p w:rsidR="001D2E73" w:rsidRDefault="001D2E73">
            <w:pPr>
              <w:spacing w:before="40" w:after="40" w:line="220" w:lineRule="exact"/>
              <w:jc w:val="right"/>
              <w:rPr>
                <w:sz w:val="18"/>
                <w:szCs w:val="18"/>
              </w:rPr>
            </w:pPr>
            <w:r>
              <w:rPr>
                <w:sz w:val="18"/>
                <w:szCs w:val="18"/>
              </w:rPr>
              <w:t>78,4</w:t>
            </w:r>
          </w:p>
        </w:tc>
        <w:tc>
          <w:tcPr>
            <w:tcW w:w="723" w:type="dxa"/>
            <w:vAlign w:val="bottom"/>
          </w:tcPr>
          <w:p w:rsidR="001D2E73" w:rsidRDefault="001D2E73">
            <w:pPr>
              <w:spacing w:before="40" w:after="40" w:line="220" w:lineRule="exact"/>
              <w:jc w:val="right"/>
              <w:rPr>
                <w:sz w:val="18"/>
                <w:szCs w:val="18"/>
              </w:rPr>
            </w:pPr>
            <w:r>
              <w:rPr>
                <w:sz w:val="18"/>
                <w:szCs w:val="18"/>
              </w:rPr>
              <w:t>78,6</w:t>
            </w:r>
          </w:p>
        </w:tc>
        <w:tc>
          <w:tcPr>
            <w:tcW w:w="72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78,7</w:t>
            </w:r>
          </w:p>
        </w:tc>
      </w:tr>
      <w:tr w:rsidR="001D2E73">
        <w:trPr>
          <w:trHeight w:val="315"/>
        </w:trPr>
        <w:tc>
          <w:tcPr>
            <w:tcW w:w="3034" w:type="dxa"/>
          </w:tcPr>
          <w:p w:rsidR="001D2E73" w:rsidRDefault="001D2E73">
            <w:pPr>
              <w:spacing w:before="40" w:after="40" w:line="220" w:lineRule="exact"/>
              <w:rPr>
                <w:sz w:val="18"/>
                <w:szCs w:val="18"/>
              </w:rPr>
            </w:pPr>
            <w:r>
              <w:rPr>
                <w:sz w:val="18"/>
                <w:szCs w:val="18"/>
              </w:rPr>
              <w:t>Carne y derivados</w:t>
            </w:r>
          </w:p>
        </w:tc>
        <w:tc>
          <w:tcPr>
            <w:tcW w:w="722" w:type="dxa"/>
            <w:vAlign w:val="bottom"/>
          </w:tcPr>
          <w:p w:rsidR="001D2E73" w:rsidRDefault="001D2E73">
            <w:pPr>
              <w:spacing w:before="40" w:after="40" w:line="220" w:lineRule="exact"/>
              <w:jc w:val="right"/>
              <w:rPr>
                <w:sz w:val="18"/>
                <w:szCs w:val="18"/>
              </w:rPr>
            </w:pPr>
            <w:r>
              <w:rPr>
                <w:sz w:val="18"/>
                <w:szCs w:val="18"/>
              </w:rPr>
              <w:t>29,1</w:t>
            </w:r>
          </w:p>
        </w:tc>
        <w:tc>
          <w:tcPr>
            <w:tcW w:w="723" w:type="dxa"/>
            <w:vAlign w:val="bottom"/>
          </w:tcPr>
          <w:p w:rsidR="001D2E73" w:rsidRDefault="001D2E73">
            <w:pPr>
              <w:spacing w:before="40" w:after="40" w:line="220" w:lineRule="exact"/>
              <w:jc w:val="right"/>
              <w:rPr>
                <w:sz w:val="18"/>
                <w:szCs w:val="18"/>
              </w:rPr>
            </w:pPr>
            <w:r>
              <w:rPr>
                <w:sz w:val="18"/>
                <w:szCs w:val="18"/>
              </w:rPr>
              <w:t>29,3</w:t>
            </w:r>
          </w:p>
        </w:tc>
        <w:tc>
          <w:tcPr>
            <w:tcW w:w="723" w:type="dxa"/>
            <w:vAlign w:val="bottom"/>
          </w:tcPr>
          <w:p w:rsidR="001D2E73" w:rsidRDefault="001D2E73">
            <w:pPr>
              <w:spacing w:before="40" w:after="40" w:line="220" w:lineRule="exact"/>
              <w:jc w:val="right"/>
              <w:rPr>
                <w:sz w:val="18"/>
                <w:szCs w:val="18"/>
              </w:rPr>
            </w:pPr>
            <w:r>
              <w:rPr>
                <w:sz w:val="18"/>
                <w:szCs w:val="18"/>
              </w:rPr>
              <w:t>29,4</w:t>
            </w:r>
          </w:p>
        </w:tc>
        <w:tc>
          <w:tcPr>
            <w:tcW w:w="722" w:type="dxa"/>
            <w:vAlign w:val="bottom"/>
          </w:tcPr>
          <w:p w:rsidR="001D2E73" w:rsidRDefault="001D2E73">
            <w:pPr>
              <w:spacing w:before="40" w:after="40" w:line="220" w:lineRule="exact"/>
              <w:jc w:val="right"/>
              <w:rPr>
                <w:sz w:val="18"/>
                <w:szCs w:val="18"/>
              </w:rPr>
            </w:pPr>
            <w:r>
              <w:rPr>
                <w:sz w:val="18"/>
                <w:szCs w:val="18"/>
              </w:rPr>
              <w:t>29,1</w:t>
            </w:r>
          </w:p>
        </w:tc>
        <w:tc>
          <w:tcPr>
            <w:tcW w:w="723" w:type="dxa"/>
            <w:vAlign w:val="bottom"/>
          </w:tcPr>
          <w:p w:rsidR="001D2E73" w:rsidRDefault="001D2E73">
            <w:pPr>
              <w:spacing w:before="40" w:after="40" w:line="220" w:lineRule="exact"/>
              <w:jc w:val="right"/>
              <w:rPr>
                <w:sz w:val="18"/>
                <w:szCs w:val="18"/>
              </w:rPr>
            </w:pPr>
            <w:r>
              <w:rPr>
                <w:sz w:val="18"/>
                <w:szCs w:val="18"/>
              </w:rPr>
              <w:t>29,2</w:t>
            </w:r>
          </w:p>
        </w:tc>
        <w:tc>
          <w:tcPr>
            <w:tcW w:w="72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30,2</w:t>
            </w:r>
          </w:p>
        </w:tc>
      </w:tr>
      <w:tr w:rsidR="001D2E73">
        <w:trPr>
          <w:trHeight w:val="315"/>
        </w:trPr>
        <w:tc>
          <w:tcPr>
            <w:tcW w:w="3034" w:type="dxa"/>
          </w:tcPr>
          <w:p w:rsidR="001D2E73" w:rsidRDefault="001D2E73">
            <w:pPr>
              <w:spacing w:before="40" w:after="40" w:line="220" w:lineRule="exact"/>
              <w:rPr>
                <w:sz w:val="18"/>
                <w:szCs w:val="18"/>
              </w:rPr>
            </w:pPr>
            <w:r>
              <w:rPr>
                <w:sz w:val="18"/>
                <w:szCs w:val="18"/>
              </w:rPr>
              <w:t>Pescado y mariscos</w:t>
            </w:r>
          </w:p>
        </w:tc>
        <w:tc>
          <w:tcPr>
            <w:tcW w:w="722" w:type="dxa"/>
            <w:vAlign w:val="bottom"/>
          </w:tcPr>
          <w:p w:rsidR="001D2E73" w:rsidRDefault="001D2E73">
            <w:pPr>
              <w:spacing w:before="40" w:after="40" w:line="220" w:lineRule="exact"/>
              <w:jc w:val="right"/>
              <w:rPr>
                <w:sz w:val="18"/>
                <w:szCs w:val="18"/>
              </w:rPr>
            </w:pPr>
            <w:r>
              <w:rPr>
                <w:sz w:val="18"/>
                <w:szCs w:val="18"/>
              </w:rPr>
              <w:t>6,6</w:t>
            </w:r>
          </w:p>
        </w:tc>
        <w:tc>
          <w:tcPr>
            <w:tcW w:w="723" w:type="dxa"/>
            <w:vAlign w:val="bottom"/>
          </w:tcPr>
          <w:p w:rsidR="001D2E73" w:rsidRDefault="001D2E73">
            <w:pPr>
              <w:spacing w:before="40" w:after="40" w:line="220" w:lineRule="exact"/>
              <w:jc w:val="right"/>
              <w:rPr>
                <w:sz w:val="18"/>
                <w:szCs w:val="18"/>
              </w:rPr>
            </w:pPr>
            <w:r>
              <w:rPr>
                <w:sz w:val="18"/>
                <w:szCs w:val="18"/>
              </w:rPr>
              <w:t>6,6</w:t>
            </w:r>
          </w:p>
        </w:tc>
        <w:tc>
          <w:tcPr>
            <w:tcW w:w="723" w:type="dxa"/>
            <w:vAlign w:val="bottom"/>
          </w:tcPr>
          <w:p w:rsidR="001D2E73" w:rsidRDefault="001D2E73">
            <w:pPr>
              <w:spacing w:before="40" w:after="40" w:line="220" w:lineRule="exact"/>
              <w:jc w:val="right"/>
              <w:rPr>
                <w:sz w:val="18"/>
                <w:szCs w:val="18"/>
              </w:rPr>
            </w:pPr>
            <w:r>
              <w:rPr>
                <w:sz w:val="18"/>
                <w:szCs w:val="18"/>
              </w:rPr>
              <w:t>6,6</w:t>
            </w:r>
          </w:p>
        </w:tc>
        <w:tc>
          <w:tcPr>
            <w:tcW w:w="722" w:type="dxa"/>
            <w:vAlign w:val="bottom"/>
          </w:tcPr>
          <w:p w:rsidR="001D2E73" w:rsidRDefault="001D2E73">
            <w:pPr>
              <w:spacing w:before="40" w:after="40" w:line="220" w:lineRule="exact"/>
              <w:jc w:val="right"/>
              <w:rPr>
                <w:sz w:val="18"/>
                <w:szCs w:val="18"/>
              </w:rPr>
            </w:pPr>
            <w:r>
              <w:rPr>
                <w:sz w:val="18"/>
                <w:szCs w:val="18"/>
              </w:rPr>
              <w:t>6,6</w:t>
            </w:r>
          </w:p>
        </w:tc>
        <w:tc>
          <w:tcPr>
            <w:tcW w:w="723" w:type="dxa"/>
            <w:vAlign w:val="bottom"/>
          </w:tcPr>
          <w:p w:rsidR="001D2E73" w:rsidRDefault="001D2E73">
            <w:pPr>
              <w:spacing w:before="40" w:after="40" w:line="220" w:lineRule="exact"/>
              <w:jc w:val="right"/>
              <w:rPr>
                <w:sz w:val="18"/>
                <w:szCs w:val="18"/>
              </w:rPr>
            </w:pPr>
            <w:r>
              <w:rPr>
                <w:sz w:val="18"/>
                <w:szCs w:val="18"/>
              </w:rPr>
              <w:t>6,6</w:t>
            </w:r>
          </w:p>
        </w:tc>
        <w:tc>
          <w:tcPr>
            <w:tcW w:w="72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6,7</w:t>
            </w:r>
          </w:p>
        </w:tc>
      </w:tr>
      <w:tr w:rsidR="001D2E73">
        <w:trPr>
          <w:trHeight w:val="315"/>
        </w:trPr>
        <w:tc>
          <w:tcPr>
            <w:tcW w:w="3034" w:type="dxa"/>
          </w:tcPr>
          <w:p w:rsidR="001D2E73" w:rsidRDefault="001D2E73">
            <w:pPr>
              <w:spacing w:before="40" w:after="40" w:line="220" w:lineRule="exact"/>
              <w:rPr>
                <w:sz w:val="18"/>
                <w:szCs w:val="18"/>
              </w:rPr>
            </w:pPr>
            <w:r>
              <w:rPr>
                <w:sz w:val="18"/>
                <w:szCs w:val="18"/>
              </w:rPr>
              <w:t>Leche y productos lácteos</w:t>
            </w:r>
          </w:p>
        </w:tc>
        <w:tc>
          <w:tcPr>
            <w:tcW w:w="722" w:type="dxa"/>
            <w:vAlign w:val="bottom"/>
          </w:tcPr>
          <w:p w:rsidR="001D2E73" w:rsidRDefault="001D2E73">
            <w:pPr>
              <w:spacing w:before="40" w:after="40" w:line="220" w:lineRule="exact"/>
              <w:jc w:val="right"/>
              <w:rPr>
                <w:sz w:val="18"/>
                <w:szCs w:val="18"/>
              </w:rPr>
            </w:pPr>
            <w:r>
              <w:rPr>
                <w:sz w:val="18"/>
                <w:szCs w:val="18"/>
              </w:rPr>
              <w:t>271,1</w:t>
            </w:r>
          </w:p>
        </w:tc>
        <w:tc>
          <w:tcPr>
            <w:tcW w:w="723" w:type="dxa"/>
            <w:vAlign w:val="bottom"/>
          </w:tcPr>
          <w:p w:rsidR="001D2E73" w:rsidRDefault="001D2E73">
            <w:pPr>
              <w:spacing w:before="40" w:after="40" w:line="220" w:lineRule="exact"/>
              <w:jc w:val="right"/>
              <w:rPr>
                <w:sz w:val="18"/>
                <w:szCs w:val="18"/>
              </w:rPr>
            </w:pPr>
            <w:r>
              <w:rPr>
                <w:sz w:val="18"/>
                <w:szCs w:val="18"/>
              </w:rPr>
              <w:t>277,6</w:t>
            </w:r>
          </w:p>
        </w:tc>
        <w:tc>
          <w:tcPr>
            <w:tcW w:w="723" w:type="dxa"/>
            <w:vAlign w:val="bottom"/>
          </w:tcPr>
          <w:p w:rsidR="001D2E73" w:rsidRDefault="001D2E73">
            <w:pPr>
              <w:spacing w:before="40" w:after="40" w:line="220" w:lineRule="exact"/>
              <w:jc w:val="right"/>
              <w:rPr>
                <w:sz w:val="18"/>
                <w:szCs w:val="18"/>
              </w:rPr>
            </w:pPr>
            <w:r>
              <w:rPr>
                <w:sz w:val="18"/>
                <w:szCs w:val="18"/>
              </w:rPr>
              <w:t>274,8</w:t>
            </w:r>
          </w:p>
        </w:tc>
        <w:tc>
          <w:tcPr>
            <w:tcW w:w="722" w:type="dxa"/>
            <w:vAlign w:val="bottom"/>
          </w:tcPr>
          <w:p w:rsidR="001D2E73" w:rsidRDefault="001D2E73">
            <w:pPr>
              <w:spacing w:before="40" w:after="40" w:line="220" w:lineRule="exact"/>
              <w:jc w:val="right"/>
              <w:rPr>
                <w:sz w:val="18"/>
                <w:szCs w:val="18"/>
              </w:rPr>
            </w:pPr>
            <w:r>
              <w:rPr>
                <w:sz w:val="18"/>
                <w:szCs w:val="18"/>
              </w:rPr>
              <w:t>279,0</w:t>
            </w:r>
          </w:p>
        </w:tc>
        <w:tc>
          <w:tcPr>
            <w:tcW w:w="723" w:type="dxa"/>
            <w:vAlign w:val="bottom"/>
          </w:tcPr>
          <w:p w:rsidR="001D2E73" w:rsidRDefault="001D2E73">
            <w:pPr>
              <w:spacing w:before="40" w:after="40" w:line="220" w:lineRule="exact"/>
              <w:jc w:val="right"/>
              <w:rPr>
                <w:sz w:val="18"/>
                <w:szCs w:val="18"/>
              </w:rPr>
            </w:pPr>
            <w:r>
              <w:rPr>
                <w:sz w:val="18"/>
                <w:szCs w:val="18"/>
              </w:rPr>
              <w:t>280,2</w:t>
            </w:r>
          </w:p>
        </w:tc>
        <w:tc>
          <w:tcPr>
            <w:tcW w:w="72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282,6</w:t>
            </w:r>
          </w:p>
        </w:tc>
      </w:tr>
      <w:tr w:rsidR="001D2E73">
        <w:trPr>
          <w:trHeight w:val="315"/>
        </w:trPr>
        <w:tc>
          <w:tcPr>
            <w:tcW w:w="3034" w:type="dxa"/>
          </w:tcPr>
          <w:p w:rsidR="001D2E73" w:rsidRDefault="001D2E73">
            <w:pPr>
              <w:spacing w:before="40" w:after="40" w:line="220" w:lineRule="exact"/>
              <w:rPr>
                <w:sz w:val="18"/>
                <w:szCs w:val="18"/>
              </w:rPr>
            </w:pPr>
            <w:r>
              <w:rPr>
                <w:sz w:val="18"/>
                <w:szCs w:val="18"/>
              </w:rPr>
              <w:t>Huevos, unidades</w:t>
            </w:r>
          </w:p>
        </w:tc>
        <w:tc>
          <w:tcPr>
            <w:tcW w:w="722" w:type="dxa"/>
            <w:vAlign w:val="bottom"/>
          </w:tcPr>
          <w:p w:rsidR="001D2E73" w:rsidRDefault="001D2E73">
            <w:pPr>
              <w:spacing w:before="40" w:after="40" w:line="220" w:lineRule="exact"/>
              <w:jc w:val="right"/>
              <w:rPr>
                <w:sz w:val="18"/>
                <w:szCs w:val="18"/>
              </w:rPr>
            </w:pPr>
            <w:r>
              <w:rPr>
                <w:sz w:val="18"/>
                <w:szCs w:val="18"/>
              </w:rPr>
              <w:t>123,0</w:t>
            </w:r>
          </w:p>
        </w:tc>
        <w:tc>
          <w:tcPr>
            <w:tcW w:w="723" w:type="dxa"/>
            <w:vAlign w:val="bottom"/>
          </w:tcPr>
          <w:p w:rsidR="001D2E73" w:rsidRDefault="001D2E73">
            <w:pPr>
              <w:spacing w:before="40" w:after="40" w:line="220" w:lineRule="exact"/>
              <w:jc w:val="right"/>
              <w:rPr>
                <w:sz w:val="18"/>
                <w:szCs w:val="18"/>
              </w:rPr>
            </w:pPr>
            <w:r>
              <w:rPr>
                <w:sz w:val="18"/>
                <w:szCs w:val="18"/>
              </w:rPr>
              <w:t>124,0</w:t>
            </w:r>
          </w:p>
        </w:tc>
        <w:tc>
          <w:tcPr>
            <w:tcW w:w="723" w:type="dxa"/>
            <w:vAlign w:val="bottom"/>
          </w:tcPr>
          <w:p w:rsidR="001D2E73" w:rsidRDefault="001D2E73">
            <w:pPr>
              <w:spacing w:before="40" w:after="40" w:line="220" w:lineRule="exact"/>
              <w:jc w:val="right"/>
              <w:rPr>
                <w:sz w:val="18"/>
                <w:szCs w:val="18"/>
              </w:rPr>
            </w:pPr>
            <w:r>
              <w:rPr>
                <w:sz w:val="18"/>
                <w:szCs w:val="18"/>
              </w:rPr>
              <w:t>126,0</w:t>
            </w:r>
          </w:p>
        </w:tc>
        <w:tc>
          <w:tcPr>
            <w:tcW w:w="722" w:type="dxa"/>
            <w:vAlign w:val="bottom"/>
          </w:tcPr>
          <w:p w:rsidR="001D2E73" w:rsidRDefault="001D2E73">
            <w:pPr>
              <w:spacing w:before="40" w:after="40" w:line="220" w:lineRule="exact"/>
              <w:jc w:val="right"/>
              <w:rPr>
                <w:sz w:val="18"/>
                <w:szCs w:val="18"/>
              </w:rPr>
            </w:pPr>
            <w:r>
              <w:rPr>
                <w:sz w:val="18"/>
                <w:szCs w:val="18"/>
              </w:rPr>
              <w:t>120,0</w:t>
            </w:r>
          </w:p>
        </w:tc>
        <w:tc>
          <w:tcPr>
            <w:tcW w:w="723" w:type="dxa"/>
            <w:vAlign w:val="bottom"/>
          </w:tcPr>
          <w:p w:rsidR="001D2E73" w:rsidRDefault="001D2E73">
            <w:pPr>
              <w:spacing w:before="40" w:after="40" w:line="220" w:lineRule="exact"/>
              <w:jc w:val="right"/>
              <w:rPr>
                <w:sz w:val="18"/>
                <w:szCs w:val="18"/>
              </w:rPr>
            </w:pPr>
            <w:r>
              <w:rPr>
                <w:sz w:val="18"/>
                <w:szCs w:val="18"/>
              </w:rPr>
              <w:t>123,0</w:t>
            </w:r>
          </w:p>
        </w:tc>
        <w:tc>
          <w:tcPr>
            <w:tcW w:w="72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123,8</w:t>
            </w:r>
          </w:p>
        </w:tc>
      </w:tr>
      <w:tr w:rsidR="001D2E73">
        <w:trPr>
          <w:trHeight w:val="315"/>
        </w:trPr>
        <w:tc>
          <w:tcPr>
            <w:tcW w:w="3034" w:type="dxa"/>
          </w:tcPr>
          <w:p w:rsidR="001D2E73" w:rsidRDefault="001D2E73">
            <w:pPr>
              <w:spacing w:before="40" w:after="40" w:line="220" w:lineRule="exact"/>
              <w:rPr>
                <w:sz w:val="18"/>
                <w:szCs w:val="18"/>
              </w:rPr>
            </w:pPr>
            <w:r>
              <w:rPr>
                <w:sz w:val="18"/>
                <w:szCs w:val="18"/>
              </w:rPr>
              <w:t xml:space="preserve">Frutas y bayas </w:t>
            </w:r>
          </w:p>
        </w:tc>
        <w:tc>
          <w:tcPr>
            <w:tcW w:w="722" w:type="dxa"/>
            <w:vAlign w:val="bottom"/>
          </w:tcPr>
          <w:p w:rsidR="001D2E73" w:rsidRDefault="001D2E73">
            <w:pPr>
              <w:spacing w:before="40" w:after="40" w:line="220" w:lineRule="exact"/>
              <w:jc w:val="right"/>
              <w:rPr>
                <w:sz w:val="18"/>
                <w:szCs w:val="18"/>
              </w:rPr>
            </w:pPr>
            <w:r>
              <w:rPr>
                <w:sz w:val="18"/>
                <w:szCs w:val="18"/>
              </w:rPr>
              <w:t>55,4</w:t>
            </w:r>
          </w:p>
        </w:tc>
        <w:tc>
          <w:tcPr>
            <w:tcW w:w="723" w:type="dxa"/>
            <w:vAlign w:val="bottom"/>
          </w:tcPr>
          <w:p w:rsidR="001D2E73" w:rsidRDefault="001D2E73">
            <w:pPr>
              <w:spacing w:before="40" w:after="40" w:line="220" w:lineRule="exact"/>
              <w:jc w:val="right"/>
              <w:rPr>
                <w:sz w:val="18"/>
                <w:szCs w:val="18"/>
              </w:rPr>
            </w:pPr>
            <w:r>
              <w:rPr>
                <w:sz w:val="18"/>
                <w:szCs w:val="18"/>
              </w:rPr>
              <w:t>54,6</w:t>
            </w:r>
          </w:p>
        </w:tc>
        <w:tc>
          <w:tcPr>
            <w:tcW w:w="723" w:type="dxa"/>
            <w:vAlign w:val="bottom"/>
          </w:tcPr>
          <w:p w:rsidR="001D2E73" w:rsidRDefault="001D2E73">
            <w:pPr>
              <w:spacing w:before="40" w:after="40" w:line="220" w:lineRule="exact"/>
              <w:jc w:val="right"/>
              <w:rPr>
                <w:sz w:val="18"/>
                <w:szCs w:val="18"/>
              </w:rPr>
            </w:pPr>
            <w:r>
              <w:rPr>
                <w:sz w:val="18"/>
                <w:szCs w:val="18"/>
              </w:rPr>
              <w:t>54,5</w:t>
            </w:r>
          </w:p>
        </w:tc>
        <w:tc>
          <w:tcPr>
            <w:tcW w:w="722" w:type="dxa"/>
            <w:vAlign w:val="bottom"/>
          </w:tcPr>
          <w:p w:rsidR="001D2E73" w:rsidRDefault="001D2E73">
            <w:pPr>
              <w:spacing w:before="40" w:after="40" w:line="220" w:lineRule="exact"/>
              <w:jc w:val="right"/>
              <w:rPr>
                <w:sz w:val="18"/>
                <w:szCs w:val="18"/>
              </w:rPr>
            </w:pPr>
            <w:r>
              <w:rPr>
                <w:sz w:val="18"/>
                <w:szCs w:val="18"/>
              </w:rPr>
              <w:t>55,3</w:t>
            </w:r>
          </w:p>
        </w:tc>
        <w:tc>
          <w:tcPr>
            <w:tcW w:w="723" w:type="dxa"/>
            <w:vAlign w:val="bottom"/>
          </w:tcPr>
          <w:p w:rsidR="001D2E73" w:rsidRDefault="001D2E73">
            <w:pPr>
              <w:spacing w:before="40" w:after="40" w:line="220" w:lineRule="exact"/>
              <w:jc w:val="right"/>
              <w:rPr>
                <w:sz w:val="18"/>
                <w:szCs w:val="18"/>
              </w:rPr>
            </w:pPr>
            <w:r>
              <w:rPr>
                <w:sz w:val="18"/>
                <w:szCs w:val="18"/>
              </w:rPr>
              <w:t>55,5</w:t>
            </w:r>
          </w:p>
        </w:tc>
        <w:tc>
          <w:tcPr>
            <w:tcW w:w="72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57,6</w:t>
            </w:r>
          </w:p>
        </w:tc>
      </w:tr>
      <w:tr w:rsidR="001D2E73">
        <w:trPr>
          <w:trHeight w:val="315"/>
        </w:trPr>
        <w:tc>
          <w:tcPr>
            <w:tcW w:w="3034" w:type="dxa"/>
          </w:tcPr>
          <w:p w:rsidR="001D2E73" w:rsidRDefault="001D2E73">
            <w:pPr>
              <w:spacing w:before="40" w:after="40" w:line="220" w:lineRule="exact"/>
              <w:rPr>
                <w:sz w:val="18"/>
                <w:szCs w:val="18"/>
              </w:rPr>
            </w:pPr>
            <w:r>
              <w:rPr>
                <w:sz w:val="18"/>
                <w:szCs w:val="18"/>
              </w:rPr>
              <w:t>Azúcar y artículos de confitería</w:t>
            </w:r>
          </w:p>
        </w:tc>
        <w:tc>
          <w:tcPr>
            <w:tcW w:w="722" w:type="dxa"/>
            <w:vAlign w:val="bottom"/>
          </w:tcPr>
          <w:p w:rsidR="001D2E73" w:rsidRDefault="001D2E73">
            <w:pPr>
              <w:spacing w:before="40" w:after="40" w:line="220" w:lineRule="exact"/>
              <w:jc w:val="right"/>
              <w:rPr>
                <w:sz w:val="18"/>
                <w:szCs w:val="18"/>
              </w:rPr>
            </w:pPr>
            <w:r>
              <w:rPr>
                <w:sz w:val="18"/>
                <w:szCs w:val="18"/>
              </w:rPr>
              <w:t>30,7</w:t>
            </w:r>
          </w:p>
        </w:tc>
        <w:tc>
          <w:tcPr>
            <w:tcW w:w="723" w:type="dxa"/>
            <w:vAlign w:val="bottom"/>
          </w:tcPr>
          <w:p w:rsidR="001D2E73" w:rsidRDefault="001D2E73">
            <w:pPr>
              <w:spacing w:before="40" w:after="40" w:line="220" w:lineRule="exact"/>
              <w:jc w:val="right"/>
              <w:rPr>
                <w:sz w:val="18"/>
                <w:szCs w:val="18"/>
              </w:rPr>
            </w:pPr>
            <w:r>
              <w:rPr>
                <w:sz w:val="18"/>
                <w:szCs w:val="18"/>
              </w:rPr>
              <w:t>30,9</w:t>
            </w:r>
          </w:p>
        </w:tc>
        <w:tc>
          <w:tcPr>
            <w:tcW w:w="723" w:type="dxa"/>
            <w:vAlign w:val="bottom"/>
          </w:tcPr>
          <w:p w:rsidR="001D2E73" w:rsidRDefault="001D2E73">
            <w:pPr>
              <w:spacing w:before="40" w:after="40" w:line="220" w:lineRule="exact"/>
              <w:jc w:val="right"/>
              <w:rPr>
                <w:sz w:val="18"/>
                <w:szCs w:val="18"/>
              </w:rPr>
            </w:pPr>
            <w:r>
              <w:rPr>
                <w:sz w:val="18"/>
                <w:szCs w:val="18"/>
              </w:rPr>
              <w:t>30,8</w:t>
            </w:r>
          </w:p>
        </w:tc>
        <w:tc>
          <w:tcPr>
            <w:tcW w:w="722" w:type="dxa"/>
            <w:vAlign w:val="bottom"/>
          </w:tcPr>
          <w:p w:rsidR="001D2E73" w:rsidRDefault="001D2E73">
            <w:pPr>
              <w:spacing w:before="40" w:after="40" w:line="220" w:lineRule="exact"/>
              <w:jc w:val="right"/>
              <w:rPr>
                <w:sz w:val="18"/>
                <w:szCs w:val="18"/>
              </w:rPr>
            </w:pPr>
            <w:r>
              <w:rPr>
                <w:sz w:val="18"/>
                <w:szCs w:val="18"/>
              </w:rPr>
              <w:t>30,9</w:t>
            </w:r>
          </w:p>
        </w:tc>
        <w:tc>
          <w:tcPr>
            <w:tcW w:w="723" w:type="dxa"/>
            <w:vAlign w:val="bottom"/>
          </w:tcPr>
          <w:p w:rsidR="001D2E73" w:rsidRDefault="001D2E73">
            <w:pPr>
              <w:spacing w:before="40" w:after="40" w:line="220" w:lineRule="exact"/>
              <w:jc w:val="right"/>
              <w:rPr>
                <w:sz w:val="18"/>
                <w:szCs w:val="18"/>
              </w:rPr>
            </w:pPr>
            <w:r>
              <w:rPr>
                <w:sz w:val="18"/>
                <w:szCs w:val="18"/>
              </w:rPr>
              <w:t>31,0</w:t>
            </w:r>
          </w:p>
        </w:tc>
        <w:tc>
          <w:tcPr>
            <w:tcW w:w="723" w:type="dxa"/>
            <w:tcBorders>
              <w:left w:val="nil"/>
              <w:bottom w:val="nil"/>
              <w:right w:val="nil"/>
              <w:tl2br w:val="nil"/>
              <w:tr2bl w:val="nil"/>
            </w:tcBorders>
            <w:vAlign w:val="bottom"/>
          </w:tcPr>
          <w:p w:rsidR="001D2E73" w:rsidRDefault="001D2E73">
            <w:pPr>
              <w:spacing w:before="40" w:after="40" w:line="220" w:lineRule="exact"/>
              <w:jc w:val="right"/>
              <w:rPr>
                <w:sz w:val="18"/>
                <w:szCs w:val="18"/>
              </w:rPr>
            </w:pPr>
            <w:r>
              <w:rPr>
                <w:sz w:val="18"/>
                <w:szCs w:val="18"/>
              </w:rPr>
              <w:t>31,3</w:t>
            </w:r>
          </w:p>
        </w:tc>
      </w:tr>
      <w:tr w:rsidR="001D2E73">
        <w:trPr>
          <w:trHeight w:val="315"/>
        </w:trPr>
        <w:tc>
          <w:tcPr>
            <w:tcW w:w="3034" w:type="dxa"/>
          </w:tcPr>
          <w:p w:rsidR="001D2E73" w:rsidRDefault="001D2E73">
            <w:pPr>
              <w:spacing w:before="40" w:after="40" w:line="220" w:lineRule="exact"/>
              <w:rPr>
                <w:sz w:val="18"/>
                <w:szCs w:val="18"/>
              </w:rPr>
            </w:pPr>
            <w:r>
              <w:rPr>
                <w:sz w:val="18"/>
                <w:szCs w:val="18"/>
              </w:rPr>
              <w:t>Grasas vegetales y margarina</w:t>
            </w:r>
          </w:p>
        </w:tc>
        <w:tc>
          <w:tcPr>
            <w:tcW w:w="722" w:type="dxa"/>
            <w:vAlign w:val="bottom"/>
          </w:tcPr>
          <w:p w:rsidR="001D2E73" w:rsidRDefault="001D2E73">
            <w:pPr>
              <w:spacing w:before="40" w:after="40" w:line="220" w:lineRule="exact"/>
              <w:jc w:val="right"/>
              <w:rPr>
                <w:sz w:val="18"/>
                <w:szCs w:val="18"/>
              </w:rPr>
            </w:pPr>
            <w:r>
              <w:rPr>
                <w:sz w:val="18"/>
                <w:szCs w:val="18"/>
              </w:rPr>
              <w:t>8,3</w:t>
            </w:r>
          </w:p>
        </w:tc>
        <w:tc>
          <w:tcPr>
            <w:tcW w:w="723" w:type="dxa"/>
            <w:vAlign w:val="bottom"/>
          </w:tcPr>
          <w:p w:rsidR="001D2E73" w:rsidRDefault="001D2E73">
            <w:pPr>
              <w:spacing w:before="40" w:after="40" w:line="220" w:lineRule="exact"/>
              <w:jc w:val="right"/>
              <w:rPr>
                <w:sz w:val="18"/>
                <w:szCs w:val="18"/>
              </w:rPr>
            </w:pPr>
            <w:r>
              <w:rPr>
                <w:sz w:val="18"/>
                <w:szCs w:val="18"/>
              </w:rPr>
              <w:t>8,3</w:t>
            </w:r>
          </w:p>
        </w:tc>
        <w:tc>
          <w:tcPr>
            <w:tcW w:w="723" w:type="dxa"/>
            <w:vAlign w:val="bottom"/>
          </w:tcPr>
          <w:p w:rsidR="001D2E73" w:rsidRDefault="001D2E73">
            <w:pPr>
              <w:spacing w:before="40" w:after="40" w:line="220" w:lineRule="exact"/>
              <w:jc w:val="right"/>
              <w:rPr>
                <w:sz w:val="18"/>
                <w:szCs w:val="18"/>
              </w:rPr>
            </w:pPr>
            <w:r>
              <w:rPr>
                <w:sz w:val="18"/>
                <w:szCs w:val="18"/>
              </w:rPr>
              <w:t>8,3</w:t>
            </w:r>
          </w:p>
        </w:tc>
        <w:tc>
          <w:tcPr>
            <w:tcW w:w="722" w:type="dxa"/>
            <w:vAlign w:val="bottom"/>
          </w:tcPr>
          <w:p w:rsidR="001D2E73" w:rsidRDefault="001D2E73">
            <w:pPr>
              <w:spacing w:before="40" w:after="40" w:line="220" w:lineRule="exact"/>
              <w:jc w:val="right"/>
              <w:rPr>
                <w:sz w:val="18"/>
                <w:szCs w:val="18"/>
              </w:rPr>
            </w:pPr>
            <w:r>
              <w:rPr>
                <w:sz w:val="18"/>
                <w:szCs w:val="18"/>
              </w:rPr>
              <w:t>8,3</w:t>
            </w:r>
          </w:p>
        </w:tc>
        <w:tc>
          <w:tcPr>
            <w:tcW w:w="723" w:type="dxa"/>
            <w:vAlign w:val="bottom"/>
          </w:tcPr>
          <w:p w:rsidR="001D2E73" w:rsidRDefault="001D2E73">
            <w:pPr>
              <w:spacing w:before="40" w:after="40" w:line="220" w:lineRule="exact"/>
              <w:jc w:val="right"/>
              <w:rPr>
                <w:sz w:val="18"/>
                <w:szCs w:val="18"/>
              </w:rPr>
            </w:pPr>
            <w:r>
              <w:rPr>
                <w:sz w:val="18"/>
                <w:szCs w:val="18"/>
              </w:rPr>
              <w:t>8,4</w:t>
            </w:r>
          </w:p>
        </w:tc>
        <w:tc>
          <w:tcPr>
            <w:tcW w:w="723" w:type="dxa"/>
            <w:tcBorders>
              <w:left w:val="nil"/>
              <w:bottom w:val="single" w:sz="12" w:space="0" w:color="auto"/>
              <w:right w:val="nil"/>
              <w:tl2br w:val="nil"/>
              <w:tr2bl w:val="nil"/>
            </w:tcBorders>
            <w:vAlign w:val="bottom"/>
          </w:tcPr>
          <w:p w:rsidR="001D2E73" w:rsidRDefault="001D2E73">
            <w:pPr>
              <w:spacing w:before="40" w:after="40" w:line="220" w:lineRule="exact"/>
              <w:jc w:val="right"/>
              <w:rPr>
                <w:sz w:val="18"/>
                <w:szCs w:val="18"/>
              </w:rPr>
            </w:pPr>
            <w:r>
              <w:rPr>
                <w:sz w:val="18"/>
                <w:szCs w:val="18"/>
              </w:rPr>
              <w:t>8,4</w:t>
            </w:r>
          </w:p>
        </w:tc>
      </w:tr>
    </w:tbl>
    <w:p w:rsidR="001D2E73" w:rsidRDefault="001D2E73">
      <w:pPr>
        <w:pStyle w:val="SingleTxtGR"/>
        <w:spacing w:before="240"/>
        <w:rPr>
          <w:spacing w:val="0"/>
          <w:lang w:val="es-ES"/>
        </w:rPr>
      </w:pPr>
      <w:r>
        <w:rPr>
          <w:spacing w:val="0"/>
          <w:lang w:val="es-ES"/>
        </w:rPr>
        <w:t>381.</w:t>
      </w:r>
      <w:r>
        <w:rPr>
          <w:spacing w:val="0"/>
          <w:lang w:val="es-ES"/>
        </w:rPr>
        <w:tab/>
        <w:t>A los efectos de garantizar la calidad y la seguridad de los productos aliment</w:t>
      </w:r>
      <w:r>
        <w:rPr>
          <w:spacing w:val="0"/>
          <w:lang w:val="es-ES"/>
        </w:rPr>
        <w:t>i</w:t>
      </w:r>
      <w:r>
        <w:rPr>
          <w:spacing w:val="0"/>
          <w:lang w:val="es-ES"/>
        </w:rPr>
        <w:t xml:space="preserve">cios se proyecta la introducción de las normas del Сodex Alimentarius, la ISO, la HACCP y </w:t>
      </w:r>
      <w:smartTag w:uri="urn:schemas-microsoft-com:office:smarttags" w:element="PersonName">
        <w:smartTagPr>
          <w:attr w:name="ProductID" w:val="la Uni￳n Europea"/>
        </w:smartTagPr>
        <w:r>
          <w:rPr>
            <w:spacing w:val="0"/>
            <w:lang w:val="es-ES"/>
          </w:rPr>
          <w:t>la Unión Europea</w:t>
        </w:r>
      </w:smartTag>
      <w:r>
        <w:rPr>
          <w:spacing w:val="0"/>
          <w:lang w:val="es-ES"/>
        </w:rPr>
        <w:t xml:space="preserve"> en el sistema de normas nacionales. Se aprobaron los formularios y el reglamento para la entrega de certificados para los productos al</w:t>
      </w:r>
      <w:r>
        <w:rPr>
          <w:spacing w:val="0"/>
          <w:lang w:val="es-ES"/>
        </w:rPr>
        <w:t>i</w:t>
      </w:r>
      <w:r>
        <w:rPr>
          <w:spacing w:val="0"/>
          <w:lang w:val="es-ES"/>
        </w:rPr>
        <w:t xml:space="preserve">menticios exportados a países de </w:t>
      </w:r>
      <w:smartTag w:uri="urn:schemas-microsoft-com:office:smarttags" w:element="PersonName">
        <w:smartTagPr>
          <w:attr w:name="ProductID" w:val="la Uni￳n Europea"/>
        </w:smartTagPr>
        <w:r>
          <w:rPr>
            <w:spacing w:val="0"/>
            <w:lang w:val="es-ES"/>
          </w:rPr>
          <w:t>la Unión Europea</w:t>
        </w:r>
      </w:smartTag>
      <w:r>
        <w:rPr>
          <w:spacing w:val="0"/>
          <w:lang w:val="es-ES"/>
        </w:rPr>
        <w:t xml:space="preserve">, entre ellos el pescado y mariscos y productos de origen vegetal. </w:t>
      </w:r>
    </w:p>
    <w:p w:rsidR="001D2E73" w:rsidRDefault="001D2E73">
      <w:pPr>
        <w:pStyle w:val="SingleTxtGR"/>
        <w:spacing w:before="120"/>
        <w:rPr>
          <w:spacing w:val="0"/>
          <w:lang w:val="es-ES"/>
        </w:rPr>
      </w:pPr>
      <w:r>
        <w:rPr>
          <w:spacing w:val="0"/>
          <w:lang w:val="es-ES"/>
        </w:rPr>
        <w:t>382.</w:t>
      </w:r>
      <w:r>
        <w:rPr>
          <w:spacing w:val="0"/>
          <w:lang w:val="es-ES"/>
        </w:rPr>
        <w:tab/>
        <w:t>A partir de la aprobación de la Ley de reforma agraria el 2 de agosto de 1996 comenzó el proceso de reforma en nuestro país.</w:t>
      </w:r>
    </w:p>
    <w:p w:rsidR="001D2E73" w:rsidRDefault="001D2E73">
      <w:pPr>
        <w:pStyle w:val="SingleTxtGR"/>
        <w:spacing w:before="120"/>
        <w:rPr>
          <w:spacing w:val="0"/>
          <w:lang w:val="es-ES"/>
        </w:rPr>
      </w:pPr>
      <w:r>
        <w:rPr>
          <w:spacing w:val="0"/>
          <w:lang w:val="es-ES"/>
        </w:rPr>
        <w:t>383.</w:t>
      </w:r>
      <w:r>
        <w:rPr>
          <w:spacing w:val="0"/>
          <w:lang w:val="es-ES"/>
        </w:rPr>
        <w:tab/>
        <w:t>Tras la aprobación de esa Ley, además de la propiedad estatal sobre la tierra, se restituyeron la propiedad privada y la propiedad municipal de la tierra.</w:t>
      </w:r>
    </w:p>
    <w:p w:rsidR="001D2E73" w:rsidRDefault="001D2E73">
      <w:pPr>
        <w:pStyle w:val="SingleTxtGR"/>
        <w:spacing w:before="120"/>
        <w:rPr>
          <w:spacing w:val="0"/>
          <w:lang w:val="es-ES"/>
        </w:rPr>
      </w:pPr>
      <w:r>
        <w:rPr>
          <w:spacing w:val="0"/>
          <w:lang w:val="es-ES"/>
        </w:rPr>
        <w:t>384.</w:t>
      </w:r>
      <w:r>
        <w:rPr>
          <w:spacing w:val="0"/>
          <w:lang w:val="es-ES"/>
        </w:rPr>
        <w:tab/>
        <w:t>Las tierras que están siendo explotadas por los ciudadanos que poseen los títulos correspondientes han pasado a propiedad privada. Se trata de parcelas de aut</w:t>
      </w:r>
      <w:r>
        <w:rPr>
          <w:spacing w:val="0"/>
          <w:lang w:val="es-ES"/>
        </w:rPr>
        <w:t>o</w:t>
      </w:r>
      <w:r>
        <w:rPr>
          <w:spacing w:val="0"/>
          <w:lang w:val="es-ES"/>
        </w:rPr>
        <w:t>consumo, terrenos cedidos y huertos colectivos y de cooperativas. Además se ha entregado en propiedad privada a los ciudadanos la tierra de sovjoses y koljoses (pastizales, ti</w:t>
      </w:r>
      <w:r>
        <w:rPr>
          <w:spacing w:val="0"/>
          <w:lang w:val="es-ES"/>
        </w:rPr>
        <w:t>e</w:t>
      </w:r>
      <w:r>
        <w:rPr>
          <w:spacing w:val="0"/>
          <w:lang w:val="es-ES"/>
        </w:rPr>
        <w:t>rras de cultivo, huertos).</w:t>
      </w:r>
    </w:p>
    <w:p w:rsidR="001D2E73" w:rsidRDefault="001D2E73">
      <w:pPr>
        <w:pStyle w:val="SingleTxtGR"/>
        <w:spacing w:before="120"/>
        <w:rPr>
          <w:spacing w:val="0"/>
          <w:lang w:val="es-ES"/>
        </w:rPr>
      </w:pPr>
      <w:r>
        <w:rPr>
          <w:spacing w:val="0"/>
          <w:lang w:val="es-ES"/>
        </w:rPr>
        <w:t>385.</w:t>
      </w:r>
      <w:r>
        <w:rPr>
          <w:spacing w:val="0"/>
          <w:lang w:val="es-ES"/>
        </w:rPr>
        <w:tab/>
        <w:t xml:space="preserve">Según lo dispuesto en la legislación nacional, los ciudadanos tienen derecho a vender, regalar, hipotecar, heredar y realizar cualquier otro tipo de transacción permitida por la ley con la tierra que les pertenece en virtud de los títulos legales correspondientes que poseen. </w:t>
      </w:r>
    </w:p>
    <w:p w:rsidR="001D2E73" w:rsidRDefault="001D2E73">
      <w:pPr>
        <w:pStyle w:val="SingleTxtGR"/>
        <w:spacing w:before="120"/>
        <w:rPr>
          <w:spacing w:val="0"/>
          <w:lang w:val="es-ES"/>
        </w:rPr>
      </w:pPr>
      <w:r>
        <w:rPr>
          <w:spacing w:val="0"/>
          <w:lang w:val="es-ES"/>
        </w:rPr>
        <w:t>386.</w:t>
      </w:r>
      <w:r>
        <w:rPr>
          <w:spacing w:val="0"/>
          <w:lang w:val="es-ES"/>
        </w:rPr>
        <w:tab/>
        <w:t>La Ley de arrendamiento de la tierra, de 12 de marzo de 1999, reglamenta el fund</w:t>
      </w:r>
      <w:r>
        <w:rPr>
          <w:spacing w:val="0"/>
          <w:lang w:val="es-ES"/>
        </w:rPr>
        <w:t>a</w:t>
      </w:r>
      <w:r>
        <w:rPr>
          <w:spacing w:val="0"/>
          <w:lang w:val="es-ES"/>
        </w:rPr>
        <w:t>mento jurídico del traspaso en arrendamiento de las tierras que son de propiedad estatal, así como de propiedad municipal y privada.</w:t>
      </w:r>
    </w:p>
    <w:p w:rsidR="001D2E73" w:rsidRDefault="001D2E73">
      <w:pPr>
        <w:pStyle w:val="SingleTxtGR"/>
        <w:spacing w:before="120"/>
        <w:rPr>
          <w:spacing w:val="0"/>
          <w:lang w:val="es-ES"/>
        </w:rPr>
      </w:pPr>
      <w:r>
        <w:rPr>
          <w:spacing w:val="0"/>
          <w:lang w:val="es-ES"/>
        </w:rPr>
        <w:t>387.</w:t>
      </w:r>
      <w:r>
        <w:rPr>
          <w:spacing w:val="0"/>
          <w:lang w:val="es-ES"/>
        </w:rPr>
        <w:tab/>
        <w:t>En virtud de esa ley, la tierra perteneciente al Estado y a los municipios puede ser utilizada, en general sobre la base de un arrendamiento, por personas físicas o jurídicas dedicadas a actividades lucrativas.</w:t>
      </w:r>
    </w:p>
    <w:p w:rsidR="001D2E73" w:rsidRDefault="001D2E73">
      <w:pPr>
        <w:pStyle w:val="SingleTxtGR"/>
        <w:spacing w:before="120"/>
        <w:rPr>
          <w:spacing w:val="0"/>
          <w:lang w:val="es-ES"/>
        </w:rPr>
      </w:pPr>
      <w:r>
        <w:rPr>
          <w:spacing w:val="0"/>
          <w:lang w:val="es-ES"/>
        </w:rPr>
        <w:t>388.</w:t>
      </w:r>
      <w:r>
        <w:rPr>
          <w:spacing w:val="0"/>
          <w:lang w:val="es-ES"/>
        </w:rPr>
        <w:tab/>
        <w:t>Una de las leyes más importantes en derecho inmobiliario es la Ley del mercado inmobiliario, de 12 de marzo de 1999. Esta Ley rige el funcionamiento del me</w:t>
      </w:r>
      <w:r>
        <w:rPr>
          <w:spacing w:val="0"/>
          <w:lang w:val="es-ES"/>
        </w:rPr>
        <w:t>r</w:t>
      </w:r>
      <w:r>
        <w:rPr>
          <w:spacing w:val="0"/>
          <w:lang w:val="es-ES"/>
        </w:rPr>
        <w:t>cado inmobiliario, la organización y reglamentación del mercado inmobiliario y la solución de controversias.</w:t>
      </w:r>
    </w:p>
    <w:p w:rsidR="001D2E73" w:rsidRDefault="001D2E73">
      <w:pPr>
        <w:pStyle w:val="SingleTxtGR"/>
        <w:spacing w:before="120"/>
        <w:rPr>
          <w:spacing w:val="0"/>
          <w:lang w:val="es-ES"/>
        </w:rPr>
      </w:pPr>
      <w:r>
        <w:rPr>
          <w:spacing w:val="0"/>
          <w:lang w:val="es-ES"/>
        </w:rPr>
        <w:t>389.</w:t>
      </w:r>
      <w:r>
        <w:rPr>
          <w:spacing w:val="0"/>
          <w:lang w:val="es-ES"/>
        </w:rPr>
        <w:tab/>
        <w:t>La legislación permite a los extranjeros, los apátridas, las personas jurídicas extranjeras y las organizaciones internacionales realizar transacciones en el mercado inmobiliario, excepto las relacionadas con la adquisición de tierras en propiedad.</w:t>
      </w:r>
    </w:p>
    <w:p w:rsidR="001D2E73" w:rsidRDefault="001D2E73">
      <w:pPr>
        <w:pStyle w:val="SingleTxtGR"/>
        <w:spacing w:before="120"/>
        <w:rPr>
          <w:spacing w:val="0"/>
          <w:lang w:val="es-ES"/>
        </w:rPr>
      </w:pPr>
      <w:r>
        <w:rPr>
          <w:spacing w:val="0"/>
          <w:lang w:val="es-ES"/>
        </w:rPr>
        <w:t>390.</w:t>
      </w:r>
      <w:r>
        <w:rPr>
          <w:spacing w:val="0"/>
          <w:lang w:val="es-ES"/>
        </w:rPr>
        <w:tab/>
        <w:t xml:space="preserve">La Ley del mercado inmobiliario establece el fundamento de la formación de precios en ese mercado. De conformidad con esta ley, cuando se venden tierras de propiedad privada, el precio se establece por acuerdo mutuo de las partes, teniendo en cuenta el precio de mercado. Cuando se venden tierras de propiedad municipal, el gobierno municipal fija el precio. En este caso es obligatorio tener en cuenta la normativa sobre precios y el precio de mercado. En esta ley también se regula el precio del derecho de usufructo y arrendamiento de </w:t>
      </w:r>
      <w:smartTag w:uri="urn:schemas-microsoft-com:office:smarttags" w:element="PersonName">
        <w:smartTagPr>
          <w:attr w:name="ProductID" w:val="la tierra. En"/>
        </w:smartTagPr>
        <w:r>
          <w:rPr>
            <w:spacing w:val="0"/>
            <w:lang w:val="es-ES"/>
          </w:rPr>
          <w:t>la tierra. En</w:t>
        </w:r>
      </w:smartTag>
      <w:r>
        <w:rPr>
          <w:spacing w:val="0"/>
          <w:lang w:val="es-ES"/>
        </w:rPr>
        <w:t xml:space="preserve"> este caso, los precios se establecen teniendo en cuenta el precio de mercado sobre la base del acuerdo mutuo de las partes. En caso de venta de tierras mediante subasta o licitación, el precio se establece sobre la base de un acuerdo entre el propietario y el organizador de la venta.</w:t>
      </w:r>
    </w:p>
    <w:p w:rsidR="001D2E73" w:rsidRDefault="001D2E73">
      <w:pPr>
        <w:pStyle w:val="SingleTxtGR"/>
        <w:spacing w:before="120"/>
        <w:rPr>
          <w:spacing w:val="0"/>
          <w:lang w:val="es-ES"/>
        </w:rPr>
      </w:pPr>
      <w:r>
        <w:rPr>
          <w:spacing w:val="0"/>
          <w:lang w:val="es-ES"/>
        </w:rPr>
        <w:t>391.</w:t>
      </w:r>
      <w:r>
        <w:rPr>
          <w:spacing w:val="0"/>
          <w:lang w:val="es-ES"/>
        </w:rPr>
        <w:tab/>
        <w:t>Igualmente importante es la Ley de la fertilidad del suelo, de 30 de diciembre de 1999. La Ley fue aprobada con el fin de crear el fundamento jurídico para el aprovechamiento racional del fondo único de tierras, establecer procedimientos legales y garantizar la fertilidad de las tierras de uso agrícola.</w:t>
      </w:r>
    </w:p>
    <w:p w:rsidR="001D2E73" w:rsidRDefault="001D2E73">
      <w:pPr>
        <w:pStyle w:val="SingleTxtGR"/>
        <w:spacing w:before="120"/>
        <w:rPr>
          <w:spacing w:val="0"/>
          <w:lang w:val="es-ES"/>
        </w:rPr>
      </w:pPr>
      <w:r>
        <w:rPr>
          <w:spacing w:val="0"/>
          <w:lang w:val="es-ES"/>
        </w:rPr>
        <w:t>392.</w:t>
      </w:r>
      <w:r>
        <w:rPr>
          <w:spacing w:val="0"/>
          <w:lang w:val="es-ES"/>
        </w:rPr>
        <w:tab/>
        <w:t xml:space="preserve">Además, en el Código de la Tierra, aprobado el 25 de junio de 1999, se estipula que el propietario de la tierra tiene derecho a disponer plenamente de la parcela de tierra que posee (vender, intercambiar, heredar). </w:t>
      </w:r>
    </w:p>
    <w:p w:rsidR="001D2E73" w:rsidRDefault="001D2E73">
      <w:pPr>
        <w:pStyle w:val="SingleTxtGR"/>
        <w:spacing w:before="120"/>
        <w:rPr>
          <w:spacing w:val="0"/>
          <w:lang w:val="es-ES"/>
        </w:rPr>
      </w:pPr>
      <w:r>
        <w:rPr>
          <w:spacing w:val="0"/>
          <w:lang w:val="es-ES"/>
        </w:rPr>
        <w:t>393.</w:t>
      </w:r>
      <w:r>
        <w:rPr>
          <w:spacing w:val="0"/>
          <w:lang w:val="es-ES"/>
        </w:rPr>
        <w:tab/>
        <w:t xml:space="preserve">De conformidad con el párrafo 1 del artículo 3, las relaciones inmobiliarias son relaciones sociales entre los órganos estatales, los gobiernos municipales y las personas físicas y jurídicas en la esfera de la ordenación, posesión y explotación de la tierra, así como en la ordenación de los recursos naturales por el Estado. </w:t>
      </w:r>
    </w:p>
    <w:p w:rsidR="001D2E73" w:rsidRDefault="001D2E73">
      <w:pPr>
        <w:pStyle w:val="SingleTxtGR"/>
        <w:spacing w:before="120"/>
        <w:rPr>
          <w:spacing w:val="0"/>
          <w:lang w:val="es-ES"/>
        </w:rPr>
      </w:pPr>
      <w:r>
        <w:rPr>
          <w:spacing w:val="0"/>
          <w:lang w:val="es-ES"/>
        </w:rPr>
        <w:t>394.</w:t>
      </w:r>
      <w:r>
        <w:rPr>
          <w:spacing w:val="0"/>
          <w:lang w:val="es-ES"/>
        </w:rPr>
        <w:tab/>
        <w:t xml:space="preserve">Con arreglo al párrafo 2 del artículo 3 de ese Código, los participantes en las relaciones inmobiliarias son la República de Azerbaiyán, los órganos estatales, los gobiernos municipales, los ciudadanos y las personas jurídicas de Azerbaiyán, así como los extranjeros y apátridas, las personas jurídicas extranjeras, las asociaciones y organizaciones internacionales y otros Estados. </w:t>
      </w:r>
    </w:p>
    <w:p w:rsidR="001D2E73" w:rsidRDefault="001D2E73">
      <w:pPr>
        <w:pStyle w:val="SingleTxtGR"/>
        <w:spacing w:before="120"/>
        <w:rPr>
          <w:spacing w:val="0"/>
          <w:lang w:val="es-ES"/>
        </w:rPr>
      </w:pPr>
      <w:r>
        <w:rPr>
          <w:spacing w:val="0"/>
          <w:lang w:val="es-ES"/>
        </w:rPr>
        <w:t>395.</w:t>
      </w:r>
      <w:r>
        <w:rPr>
          <w:spacing w:val="0"/>
          <w:lang w:val="es-ES"/>
        </w:rPr>
        <w:tab/>
        <w:t>Por otra parte, conforme al párrafo 3 de dicho artículo del Código, los extranjeros y los apátridas, las personas jurídicas extranjeras, las organizaciones y asoci</w:t>
      </w:r>
      <w:r>
        <w:rPr>
          <w:spacing w:val="0"/>
          <w:lang w:val="es-ES"/>
        </w:rPr>
        <w:t>a</w:t>
      </w:r>
      <w:r>
        <w:rPr>
          <w:spacing w:val="0"/>
          <w:lang w:val="es-ES"/>
        </w:rPr>
        <w:t>ciones internacionales, así como otros Estados pueden participar en las relaciones inmobiliarias dentro de las limitaciones previstas en el art</w:t>
      </w:r>
      <w:r>
        <w:rPr>
          <w:spacing w:val="0"/>
          <w:lang w:val="es-ES"/>
        </w:rPr>
        <w:t>í</w:t>
      </w:r>
      <w:r>
        <w:rPr>
          <w:spacing w:val="0"/>
          <w:lang w:val="es-ES"/>
        </w:rPr>
        <w:t>culo 48 del Código.</w:t>
      </w:r>
    </w:p>
    <w:p w:rsidR="001D2E73" w:rsidRDefault="001D2E73">
      <w:pPr>
        <w:pStyle w:val="SingleTxtGR"/>
        <w:spacing w:before="120"/>
        <w:rPr>
          <w:spacing w:val="0"/>
          <w:lang w:val="es-ES"/>
        </w:rPr>
      </w:pPr>
      <w:r>
        <w:rPr>
          <w:spacing w:val="0"/>
          <w:lang w:val="es-ES"/>
        </w:rPr>
        <w:t>396.</w:t>
      </w:r>
      <w:r>
        <w:rPr>
          <w:spacing w:val="0"/>
          <w:lang w:val="es-ES"/>
        </w:rPr>
        <w:tab/>
        <w:t>De conformidad con el párrafo 3 del artículo 48 del Código, los extranjeros y los apátridas, las personas jurídicas extranjeras, las asociaciones y organizaciones internacionales, así como otros Estados pueden adquirir parcelas de tierra en Aze</w:t>
      </w:r>
      <w:r>
        <w:rPr>
          <w:spacing w:val="0"/>
          <w:lang w:val="es-ES"/>
        </w:rPr>
        <w:t>r</w:t>
      </w:r>
      <w:r>
        <w:rPr>
          <w:spacing w:val="0"/>
          <w:lang w:val="es-ES"/>
        </w:rPr>
        <w:t xml:space="preserve">baiyán solo en la forma de derecho de arrendamiento. </w:t>
      </w:r>
    </w:p>
    <w:p w:rsidR="001D2E73" w:rsidRDefault="001D2E73">
      <w:pPr>
        <w:pStyle w:val="SingleTxtGR"/>
        <w:spacing w:before="120"/>
        <w:rPr>
          <w:spacing w:val="0"/>
          <w:lang w:val="es-ES"/>
        </w:rPr>
      </w:pPr>
      <w:r>
        <w:rPr>
          <w:spacing w:val="0"/>
          <w:lang w:val="es-ES"/>
        </w:rPr>
        <w:t>397.</w:t>
      </w:r>
      <w:r>
        <w:rPr>
          <w:spacing w:val="0"/>
          <w:lang w:val="es-ES"/>
        </w:rPr>
        <w:tab/>
        <w:t>En el Código también se establece que el derecho a la propi</w:t>
      </w:r>
      <w:r>
        <w:rPr>
          <w:spacing w:val="0"/>
          <w:lang w:val="es-ES"/>
        </w:rPr>
        <w:t>e</w:t>
      </w:r>
      <w:r>
        <w:rPr>
          <w:spacing w:val="0"/>
          <w:lang w:val="es-ES"/>
        </w:rPr>
        <w:t>dad de la tierra de las personas jurídicas y físicas surge sobre la base de la privatización, la comprave</w:t>
      </w:r>
      <w:r>
        <w:rPr>
          <w:spacing w:val="0"/>
          <w:lang w:val="es-ES"/>
        </w:rPr>
        <w:t>n</w:t>
      </w:r>
      <w:r>
        <w:rPr>
          <w:spacing w:val="0"/>
          <w:lang w:val="es-ES"/>
        </w:rPr>
        <w:t>ta, el traspaso en herencia, la donación, el intercambio, etc.</w:t>
      </w:r>
    </w:p>
    <w:p w:rsidR="001D2E73" w:rsidRDefault="001D2E73">
      <w:pPr>
        <w:pStyle w:val="SingleTxtGR"/>
        <w:spacing w:before="120"/>
        <w:rPr>
          <w:spacing w:val="0"/>
          <w:lang w:val="es-ES"/>
        </w:rPr>
      </w:pPr>
      <w:r>
        <w:rPr>
          <w:spacing w:val="0"/>
          <w:lang w:val="es-ES"/>
        </w:rPr>
        <w:t>398.</w:t>
      </w:r>
      <w:r>
        <w:rPr>
          <w:spacing w:val="0"/>
          <w:lang w:val="es-ES"/>
        </w:rPr>
        <w:tab/>
        <w:t xml:space="preserve">Como resultado de las transformaciones en el sector agrario y reforma agraria más de 3.428.136 personas, o sea 871.220 familias, recibieron en usufructo gratuito las mejores tierras agrícolas y se han convertido en dueños de parcelas de tierra. </w:t>
      </w:r>
    </w:p>
    <w:p w:rsidR="001D2E73" w:rsidRDefault="001D2E73">
      <w:pPr>
        <w:pStyle w:val="SingleTxtGR"/>
        <w:spacing w:before="120"/>
        <w:rPr>
          <w:spacing w:val="0"/>
          <w:lang w:val="es-ES"/>
        </w:rPr>
      </w:pPr>
      <w:r>
        <w:rPr>
          <w:spacing w:val="0"/>
          <w:lang w:val="es-ES"/>
        </w:rPr>
        <w:t>399.</w:t>
      </w:r>
      <w:r>
        <w:rPr>
          <w:spacing w:val="0"/>
          <w:lang w:val="es-ES"/>
        </w:rPr>
        <w:tab/>
        <w:t>Actualmente en Azerbaiyán se lleva a cabo la segunda etapa de la reforma agraria.</w:t>
      </w:r>
    </w:p>
    <w:p w:rsidR="001D2E73" w:rsidRDefault="001D2E73">
      <w:pPr>
        <w:pStyle w:val="SingleTxtGR"/>
        <w:spacing w:before="120"/>
        <w:rPr>
          <w:spacing w:val="0"/>
          <w:lang w:val="es-ES"/>
        </w:rPr>
      </w:pPr>
      <w:r>
        <w:rPr>
          <w:spacing w:val="0"/>
          <w:lang w:val="es-ES"/>
        </w:rPr>
        <w:t>400.</w:t>
      </w:r>
      <w:r>
        <w:rPr>
          <w:spacing w:val="0"/>
          <w:lang w:val="es-ES"/>
        </w:rPr>
        <w:tab/>
        <w:t>Todos los ciudadanos que ocupan viviendas con parcela de autoconsumo, independientemente del tipo de asentamiento (rural o urbano) reciben títulos de pr</w:t>
      </w:r>
      <w:r>
        <w:rPr>
          <w:spacing w:val="0"/>
          <w:lang w:val="es-ES"/>
        </w:rPr>
        <w:t>o</w:t>
      </w:r>
      <w:r>
        <w:rPr>
          <w:spacing w:val="0"/>
          <w:lang w:val="es-ES"/>
        </w:rPr>
        <w:t>piedad de su parcela de autoconsumo.</w:t>
      </w:r>
    </w:p>
    <w:p w:rsidR="001D2E73" w:rsidRDefault="001D2E73">
      <w:pPr>
        <w:pStyle w:val="SingleTxtGR"/>
        <w:spacing w:before="120"/>
        <w:rPr>
          <w:spacing w:val="0"/>
          <w:lang w:val="es-ES"/>
        </w:rPr>
      </w:pPr>
      <w:r>
        <w:rPr>
          <w:spacing w:val="0"/>
          <w:lang w:val="es-ES"/>
        </w:rPr>
        <w:t>401.</w:t>
      </w:r>
      <w:r>
        <w:rPr>
          <w:spacing w:val="0"/>
          <w:lang w:val="es-ES"/>
        </w:rPr>
        <w:tab/>
        <w:t>Paralelamente tiene lugar el proceso de legalización de los títulos de propiedad privada de las tierras situadas en las parcelas entregadas, los jardines y huertos de cooperativas y las tierras de asociaciones de propietarios. Y en este caso, la tierra se entrega gratis en perpetuidad a los ciudadanos con todos los derechos para que realicen todo tipo de operaciones con las parcelas que reciben.</w:t>
      </w:r>
    </w:p>
    <w:p w:rsidR="001D2E73" w:rsidRDefault="001D2E73">
      <w:pPr>
        <w:pStyle w:val="SingleTxtGR"/>
        <w:spacing w:before="120"/>
        <w:rPr>
          <w:spacing w:val="0"/>
          <w:lang w:val="es-ES"/>
        </w:rPr>
      </w:pPr>
      <w:r>
        <w:rPr>
          <w:spacing w:val="0"/>
          <w:lang w:val="es-ES"/>
        </w:rPr>
        <w:t>402.</w:t>
      </w:r>
      <w:r>
        <w:rPr>
          <w:spacing w:val="0"/>
          <w:lang w:val="es-ES"/>
        </w:rPr>
        <w:tab/>
        <w:t>Cabe señalar, que el Gobierno de la República de Azerbaiyán considera el se</w:t>
      </w:r>
      <w:r>
        <w:rPr>
          <w:spacing w:val="0"/>
          <w:lang w:val="es-ES"/>
        </w:rPr>
        <w:t>c</w:t>
      </w:r>
      <w:r>
        <w:rPr>
          <w:spacing w:val="0"/>
          <w:lang w:val="es-ES"/>
        </w:rPr>
        <w:t xml:space="preserve">tor agrario la parte más prioritaria de la economía y apoya con medidas concretas a los agricultores y, en general, al desarrollo de la agricultura. </w:t>
      </w:r>
    </w:p>
    <w:p w:rsidR="001D2E73" w:rsidRDefault="001D2E73">
      <w:pPr>
        <w:pStyle w:val="SingleTxtGR"/>
        <w:spacing w:before="120"/>
        <w:rPr>
          <w:spacing w:val="0"/>
          <w:lang w:val="es-ES"/>
        </w:rPr>
      </w:pPr>
      <w:r>
        <w:rPr>
          <w:spacing w:val="0"/>
          <w:lang w:val="es-ES"/>
        </w:rPr>
        <w:t>403.</w:t>
      </w:r>
      <w:r>
        <w:rPr>
          <w:spacing w:val="0"/>
          <w:lang w:val="es-ES"/>
        </w:rPr>
        <w:tab/>
        <w:t>Así, por ejemplo, de conformidad con el Decreto presidencial, se exime a las granjas hasta el 50% de los gastos en combustible y aceites en proporción a la superficie cultivada. Se asignan subsidios sustanciales para gastos de adquisición de fertilizantes. En distintas resoluciones del Gobierno se promueven los cultivos agrícolas prioritarios intercalados por medio de subsidios.</w:t>
      </w:r>
    </w:p>
    <w:p w:rsidR="001D2E73" w:rsidRDefault="001D2E73">
      <w:pPr>
        <w:pStyle w:val="SingleTxtGR"/>
        <w:spacing w:before="120"/>
        <w:rPr>
          <w:spacing w:val="0"/>
          <w:lang w:val="es-ES"/>
        </w:rPr>
      </w:pPr>
      <w:r>
        <w:rPr>
          <w:spacing w:val="0"/>
          <w:lang w:val="es-ES"/>
        </w:rPr>
        <w:t>404.</w:t>
      </w:r>
      <w:r>
        <w:rPr>
          <w:spacing w:val="0"/>
          <w:lang w:val="es-ES"/>
        </w:rPr>
        <w:tab/>
        <w:t>El indicador real de las transformaciones en el sector agrario confirma que el sector privado aporta el 99% de la producción agrícola de Azerbaiyán.</w:t>
      </w:r>
    </w:p>
    <w:p w:rsidR="001D2E73" w:rsidRDefault="001D2E73">
      <w:pPr>
        <w:pStyle w:val="SingleTxtGR"/>
        <w:spacing w:before="120"/>
        <w:rPr>
          <w:spacing w:val="0"/>
          <w:lang w:val="es-ES"/>
        </w:rPr>
      </w:pPr>
      <w:r>
        <w:rPr>
          <w:spacing w:val="0"/>
          <w:lang w:val="es-ES"/>
        </w:rPr>
        <w:t>405.</w:t>
      </w:r>
      <w:r>
        <w:rPr>
          <w:spacing w:val="0"/>
          <w:lang w:val="es-ES"/>
        </w:rPr>
        <w:tab/>
        <w:t>Como resultado de la reforma agraria y de las transformaciones registradas en el sector agrario en su conjunto, actualmente se ha privatizado y traspasado en pr</w:t>
      </w:r>
      <w:r>
        <w:rPr>
          <w:spacing w:val="0"/>
          <w:lang w:val="es-ES"/>
        </w:rPr>
        <w:t>o</w:t>
      </w:r>
      <w:r>
        <w:rPr>
          <w:spacing w:val="0"/>
          <w:lang w:val="es-ES"/>
        </w:rPr>
        <w:t>piedad privada en gratuidad a los ciudadanos de Azerbaiyán 1.695.123 hectáreas de tierra, de las cuales 1.393.613 son acciones de propiedad común.</w:t>
      </w:r>
    </w:p>
    <w:p w:rsidR="001D2E73" w:rsidRDefault="001D2E73">
      <w:pPr>
        <w:pStyle w:val="SingleTxtGR"/>
        <w:spacing w:before="120"/>
        <w:rPr>
          <w:spacing w:val="0"/>
          <w:lang w:val="es-ES"/>
        </w:rPr>
      </w:pPr>
      <w:r>
        <w:rPr>
          <w:spacing w:val="0"/>
          <w:lang w:val="es-ES"/>
        </w:rPr>
        <w:t>406.</w:t>
      </w:r>
      <w:r>
        <w:rPr>
          <w:spacing w:val="0"/>
          <w:lang w:val="es-ES"/>
        </w:rPr>
        <w:tab/>
        <w:t>Cerca de 2.032.744 hectáreas se han traspasado en propiedad a los gobiernos municipales. El Estado retiene en su poder 4.913.639 hectáreas de tierra.</w:t>
      </w:r>
    </w:p>
    <w:p w:rsidR="001D2E73" w:rsidRDefault="001D2E73">
      <w:pPr>
        <w:pStyle w:val="SingleTxtGR"/>
        <w:spacing w:before="120"/>
        <w:rPr>
          <w:spacing w:val="0"/>
          <w:lang w:val="es-ES"/>
        </w:rPr>
      </w:pPr>
      <w:r>
        <w:rPr>
          <w:spacing w:val="0"/>
          <w:lang w:val="es-ES"/>
        </w:rPr>
        <w:t>407.</w:t>
      </w:r>
      <w:r>
        <w:rPr>
          <w:spacing w:val="0"/>
          <w:lang w:val="es-ES"/>
        </w:rPr>
        <w:tab/>
        <w:t>Cabe señalar que, en los datos estadísticos sobre la reforma no se incluye i</w:t>
      </w:r>
      <w:r>
        <w:rPr>
          <w:spacing w:val="0"/>
          <w:lang w:val="es-ES"/>
        </w:rPr>
        <w:t>n</w:t>
      </w:r>
      <w:r>
        <w:rPr>
          <w:spacing w:val="0"/>
          <w:lang w:val="es-ES"/>
        </w:rPr>
        <w:t xml:space="preserve">formación sobre las tierras agrícolas que están ocupadas por Armenia en territorio de Azerbaiyán. </w:t>
      </w:r>
    </w:p>
    <w:p w:rsidR="001D2E73" w:rsidRDefault="001D2E73">
      <w:pPr>
        <w:pStyle w:val="SingleTxtGR"/>
        <w:spacing w:before="120"/>
        <w:rPr>
          <w:spacing w:val="0"/>
          <w:lang w:val="es-ES"/>
        </w:rPr>
      </w:pPr>
      <w:r>
        <w:rPr>
          <w:spacing w:val="0"/>
          <w:lang w:val="es-ES"/>
        </w:rPr>
        <w:t>408.</w:t>
      </w:r>
      <w:r>
        <w:rPr>
          <w:spacing w:val="0"/>
          <w:lang w:val="es-ES"/>
        </w:rPr>
        <w:tab/>
        <w:t>En 2008, Azerbaiyán produjo 1.077.000 toneladas de patatas, 40.000 toneladas más que en 2007. En 2008 se pr</w:t>
      </w:r>
      <w:r>
        <w:rPr>
          <w:spacing w:val="0"/>
          <w:lang w:val="es-ES"/>
        </w:rPr>
        <w:t>o</w:t>
      </w:r>
      <w:r>
        <w:rPr>
          <w:spacing w:val="0"/>
          <w:lang w:val="es-ES"/>
        </w:rPr>
        <w:t>dujeron 2.498.000 toneladas de cereales, en 2007: 2.004.000 toneladas. En 2008 había 2.549.000 cabezas de ganado mayor o sea 48.000 cabezas más que en 2007. En 2008 había 8.203.000 de cabezas de ganado menor, o sea 99.000 más que en 2007.</w:t>
      </w:r>
    </w:p>
    <w:p w:rsidR="001D2E73" w:rsidRDefault="001D2E73">
      <w:pPr>
        <w:pStyle w:val="SingleTxtGR"/>
        <w:spacing w:before="120"/>
        <w:rPr>
          <w:bCs/>
          <w:spacing w:val="0"/>
          <w:lang w:val="es-ES"/>
        </w:rPr>
      </w:pPr>
      <w:r>
        <w:rPr>
          <w:bCs/>
          <w:spacing w:val="0"/>
          <w:lang w:val="es-ES"/>
        </w:rPr>
        <w:t>409.</w:t>
      </w:r>
      <w:r>
        <w:rPr>
          <w:bCs/>
          <w:spacing w:val="0"/>
          <w:lang w:val="es-ES"/>
        </w:rPr>
        <w:tab/>
        <w:t>Además, el Gobierno de la República de Azerbaiyán atribuye suma importa</w:t>
      </w:r>
      <w:r>
        <w:rPr>
          <w:bCs/>
          <w:spacing w:val="0"/>
          <w:lang w:val="es-ES"/>
        </w:rPr>
        <w:t>n</w:t>
      </w:r>
      <w:r>
        <w:rPr>
          <w:bCs/>
          <w:spacing w:val="0"/>
          <w:lang w:val="es-ES"/>
        </w:rPr>
        <w:t>cia al abastecimiento de agua a la población, en particular a la mejora de la calidad de las reservas de agua y al uso racional y la protección de esas reservas.</w:t>
      </w:r>
    </w:p>
    <w:p w:rsidR="001D2E73" w:rsidRDefault="001D2E73">
      <w:pPr>
        <w:pStyle w:val="SingleTxtGR"/>
        <w:spacing w:before="120"/>
        <w:rPr>
          <w:bCs/>
          <w:spacing w:val="0"/>
          <w:lang w:val="es-ES"/>
        </w:rPr>
      </w:pPr>
      <w:r>
        <w:rPr>
          <w:bCs/>
          <w:spacing w:val="0"/>
          <w:lang w:val="es-ES"/>
        </w:rPr>
        <w:t>410.</w:t>
      </w:r>
      <w:r>
        <w:rPr>
          <w:bCs/>
          <w:spacing w:val="0"/>
          <w:lang w:val="es-ES"/>
        </w:rPr>
        <w:tab/>
        <w:t>De conformidad con el Código del Agua, aprobado el 26 de diciembre 1997, la utilización y conservación de los acueductos y los recursos hídricos se reglamenta en la legislación sobre recursos hídricos de Azerbaiyán.</w:t>
      </w:r>
    </w:p>
    <w:p w:rsidR="001D2E73" w:rsidRDefault="001D2E73">
      <w:pPr>
        <w:pStyle w:val="SingleTxtGR"/>
        <w:spacing w:before="120"/>
        <w:rPr>
          <w:spacing w:val="0"/>
          <w:lang w:val="es-ES"/>
        </w:rPr>
      </w:pPr>
      <w:r>
        <w:rPr>
          <w:spacing w:val="0"/>
          <w:lang w:val="es-ES"/>
        </w:rPr>
        <w:t>411.</w:t>
      </w:r>
      <w:r>
        <w:rPr>
          <w:spacing w:val="0"/>
          <w:lang w:val="es-ES"/>
        </w:rPr>
        <w:tab/>
        <w:t>Además del Código existen instrumentos normativos que regulan el abastecimiento de agua potable y el aprovechamiento de las aguas de desecho.</w:t>
      </w:r>
    </w:p>
    <w:p w:rsidR="001D2E73" w:rsidRDefault="001D2E73">
      <w:pPr>
        <w:pStyle w:val="SingleTxtGR"/>
        <w:spacing w:before="120"/>
        <w:rPr>
          <w:spacing w:val="0"/>
          <w:lang w:val="es-ES"/>
        </w:rPr>
      </w:pPr>
      <w:r>
        <w:rPr>
          <w:spacing w:val="0"/>
          <w:lang w:val="es-ES"/>
        </w:rPr>
        <w:t>412.</w:t>
      </w:r>
      <w:r>
        <w:rPr>
          <w:spacing w:val="0"/>
          <w:lang w:val="es-ES"/>
        </w:rPr>
        <w:tab/>
        <w:t>Las leyes de Azerbaiyán establecen también las normas que rigen la utilización de la tierra, los bosques, los yacimientos de minerales, la flora y la fauna, la atmósfera, la prospección y conservación de las aguas subterráneas, así como los bienes inmobiliarios y otras cuestiones administrativas que surgen durante la explotación y protección de los recursos hídricos.</w:t>
      </w:r>
    </w:p>
    <w:p w:rsidR="001D2E73" w:rsidRDefault="001D2E73">
      <w:pPr>
        <w:pStyle w:val="SingleTxtGR"/>
        <w:spacing w:before="120"/>
        <w:rPr>
          <w:bCs/>
          <w:spacing w:val="0"/>
          <w:lang w:val="es-ES"/>
        </w:rPr>
      </w:pPr>
      <w:r>
        <w:rPr>
          <w:bCs/>
          <w:spacing w:val="0"/>
          <w:lang w:val="es-ES"/>
        </w:rPr>
        <w:t>413.</w:t>
      </w:r>
      <w:r>
        <w:rPr>
          <w:bCs/>
          <w:spacing w:val="0"/>
          <w:lang w:val="es-ES"/>
        </w:rPr>
        <w:tab/>
        <w:t>De conformidad con el artículo 14 del Código del Agua, las pequeñas masas de agua situadas en parcelas de tierra de propiedad privada, que no tengan vínculo hidráulico con otras reservas o embalses de agua, pueden pasar a propiedad privada por el procedimiento establecido en la legislación.</w:t>
      </w:r>
    </w:p>
    <w:p w:rsidR="001D2E73" w:rsidRDefault="001D2E73">
      <w:pPr>
        <w:pStyle w:val="SingleTxtGR"/>
        <w:spacing w:before="120"/>
        <w:rPr>
          <w:spacing w:val="0"/>
          <w:lang w:val="es-ES"/>
        </w:rPr>
      </w:pPr>
      <w:r>
        <w:rPr>
          <w:spacing w:val="0"/>
          <w:lang w:val="es-ES"/>
        </w:rPr>
        <w:t>414.</w:t>
      </w:r>
      <w:r>
        <w:rPr>
          <w:spacing w:val="0"/>
          <w:lang w:val="es-ES"/>
        </w:rPr>
        <w:tab/>
        <w:t>Con arreglo al párrafo 2 del artículo 14, las personas que no sean ciudadanas de la República de Azerbaiyán y las personas jurídicas de otros Estados no pueden tener la propiedad privada de reservas de agua.</w:t>
      </w:r>
    </w:p>
    <w:p w:rsidR="001D2E73" w:rsidRDefault="001D2E73">
      <w:pPr>
        <w:pStyle w:val="SingleTxtGR"/>
        <w:spacing w:before="120"/>
        <w:rPr>
          <w:bCs/>
          <w:spacing w:val="0"/>
          <w:lang w:val="es-ES"/>
        </w:rPr>
      </w:pPr>
      <w:r>
        <w:rPr>
          <w:bCs/>
          <w:spacing w:val="0"/>
          <w:lang w:val="es-ES"/>
        </w:rPr>
        <w:t>415.</w:t>
      </w:r>
      <w:r>
        <w:rPr>
          <w:bCs/>
          <w:spacing w:val="0"/>
          <w:lang w:val="es-ES"/>
        </w:rPr>
        <w:tab/>
        <w:t>También se han aprobado en esta esfera algunos instrumentos normativos, entre ellos la Ley de aprovechamiento de los recursos hídricos de los municipios, la Ley de protección de las instalaciones hidrotécnicas, la Ley de regadío y bonificación de tierras, así como el Reglamento del Levantamiento Catastral de los Recursos Hídricos, el Reglamento de Vigilancia Estatal de los Recursos Naturales y el Medio Ambiente y otros.</w:t>
      </w:r>
    </w:p>
    <w:p w:rsidR="001D2E73" w:rsidRDefault="001D2E73">
      <w:pPr>
        <w:pStyle w:val="SingleTxtGR"/>
        <w:rPr>
          <w:spacing w:val="0"/>
          <w:lang w:val="es-ES"/>
        </w:rPr>
      </w:pPr>
      <w:r>
        <w:rPr>
          <w:spacing w:val="0"/>
          <w:lang w:val="es-ES"/>
        </w:rPr>
        <w:t>416.</w:t>
      </w:r>
      <w:r>
        <w:rPr>
          <w:spacing w:val="0"/>
          <w:lang w:val="es-ES"/>
        </w:rPr>
        <w:tab/>
        <w:t>Conviene señalar que la estrategia para mejorar el abastecimiento de agua libre de impurezas en el país y los servicios de canalización consta de las siguientes medidas: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 xml:space="preserve">Aplicación de los instrumentos normativos vigentes en el sector de acueductos y alcantarillado de conformidad con las normas de </w:t>
      </w:r>
      <w:smartTag w:uri="urn:schemas-microsoft-com:office:smarttags" w:element="PersonName">
        <w:smartTagPr>
          <w:attr w:name="ProductID" w:val="d.Application.11ǀԈpresupuestarios.11＀ǉԈalcantarilladookǖԈ珸ἮrdDocumenta2뻯Template_"/>
        </w:smartTagPr>
        <w:r>
          <w:rPr>
            <w:spacing w:val="0"/>
            <w:lang w:val="es-ES"/>
          </w:rPr>
          <w:t>la Unión Europea</w:t>
        </w:r>
      </w:smartTag>
      <w:r>
        <w:rPr>
          <w:spacing w:val="0"/>
          <w:lang w:val="es-ES"/>
        </w:rPr>
        <w:t>;</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 xml:space="preserve">Abastecimiento seguro de agua potable a la población de conformidad con las normas de </w:t>
      </w:r>
      <w:smartTag w:uri="urn:schemas-microsoft-com:office:smarttags" w:element="PersonName">
        <w:smartTagPr>
          <w:attr w:name="ProductID" w:val="ヸ买ミ퓸˚캸˚帀#廨ǇЈ㳄ヸ歀ᕬ㰔ヸ买ミ䖈ᖢ험˚帀#廨 ƿЌ㺬ヸ佈ミ㹼ヸ㐠ꗜヘ뙘ᖛ ƴЈ똴ᖛ뛸ᖛ돰ᖛƱЈ佴ミ㐠뒔ᖛ뚨ᖛ ƪЌ㺬ヸ佈ミ㹼ヸ㐠ꗜヘ뛰ᖛ ƣЈ뛌ᖛ랐ᖛ뙠ᖛƜЈ佴ミ㐠듔ᖛ띀ᖛ ƙЌ㺬ヸ佈ミ㹼ヸ㐠ꗜヘ랈ᖛ ƎЈ띤ᖛ련ᖛ뛸ᖛƋЈ佴ミ㐠둼ᖛ럘ᖛ ƄЌ㺬ヸ佈ミ㹼ヸ㐠ꗜヘ렠ᖛ ŽЈ럼ᖛ룀ᖛ랐ᖛŶЈ佴ミ㐠ꄼᖛ롰ᖛ ųЌ㺬ヸ佈ミ㹼ヸ㐠ꗜヘ뢸ᖛ ŨЈ뢔ᖛ류ᖛ련ᖛťЈ佴ミ㐠를ᖛ뤈ᖛ ŞЌ㺬ヸ佈ミ㹼ヸ㐠ꗜヘ륐ᖛ ŗЈ뤬ᖛ먘ᖛ룀ᖛŐЈfuentesōЈ佴ミ㐠 먼ᖛ마ᖛ ņЌ㺬ヸ佈ミ㹼ヸ㐠ꗜヘ먐ᖛ ĿЈ맬ᖛ뫘ᖛ류ᖛĸЈalternativasĵЈ佴ミ㐠-둤ᖛ몈ᖛ ĮЌ㺬ヸ佈ミ㹼ヸ㐠ꗜヘ뫐ᖛ ħЈ몬ᖛ뭰ᖛ먘ᖛĠЈ佴ミ㐠0뮔ᖛ묠ᖛ ĝЌ㺬ヸ佈ミ㹼ヸ㐠ꗜヘ뭨ᖛ ĒЈ뭄ᖛ밠ᖛ뫘ᖛďЈaguaĊЈ佴ミ㐠5뱄ᖛ믐ᖛ ćЌ㺬ヸ佈ミ㹼ヸ㐠ꗜヘ반ᖛ ǼЈ믴ᖛ볠ᖛ뭰ᖛǹЈpotableǲЈ佴ミ㐠&lt;봄ᖛ벐ᖛ ǯЌ㺬ヸ佈ミ㹼ヸ㐠ꗜヘ볘ᖛ ǤЈ벴ᖛ붐ᖛ밠ᖛǡЈ;ǜЈ佴ミ㐠=붴ᖛ뵀ᖛ ǙЌ㺬ヸ佈ミ㹼ヸ㐠ꗜヘ불ᖛ ǎЈ뵤ᖛ뻘ᖛ볠ᖛǋЈ&#10;ǆЈde1ǅЈdǀЈ)ƿЈlasn ListsƸЈAumentovasƵЈ佴ミ㐠뷤ᖛ뺈ᖛ ƮЌ㺬ヸ佈ミ㹼ヸ㐠ꗜヘ뻐ᖛ ƧЈ뺬ᖛ뽰ᖛ붐ᖛƠЈ佴ミ㐠뷼ᖛ뼠ᖛ ƝЌ㺬ヸ佈ミ㹼ヸ㐠ꗜヘ뽨ᖛ ƒЈ뽄ᖛ쀐ᖛ뻘ᖛƏЈ佴ミ㐠븼ᖛ뾸ᖛ&#10;ƈД㺬ヸ佈ミ㹼ヸ㐠ꗜヘ쀈ᖛ&#10;žЈ뿜ᖛ삨ᖛ뽰ᖛŻЈ佴ミ㐠&#10;뷌ᖛ쁘ᖛ ŴЌ㺬ヸ佈ミ㹼ヸ㐠ꗜヘ삠ᖛ ŭЈ쁼ᖛ셀ᖛ쀐ᖛŦЈ佴ミ㐠뒬ᖛ샰ᖛ ţЌ㺬ヸ佈ミ㹼ヸ㐠ꗜヘ세ᖛ ŘЈ섔ᖛ쇘ᖛ삨ᖛŕЈ佴ミ㐠쇼ᖛ솈ᖛ ŎЌ㺬ヸ佈ミ㹼ヸ㐠ꗜヘ쇐ᖛ ŇЈ솬ᖛ슘ᖛ셀ᖛŀЈrecursosĽЈ佴ミ㐠跔ᖛ쉈ᖛ ĶЌ㺬ヸ佈ミ㹼ヸ㐠ꗜヘ슐ᖛ įЈ쉬ᖛ쌰ᖛ쇘ᖛĨЈ佴ミ㐠-썔ᖛ신ᖛ ĥЌ㺬ヸ佈ミ㹼ヸ㐠ꗜヘ쌨ᖛ ĚЈ쌄ᖛ쏠ᖛ슘ᖛėЈdelĒЈ佴ミ㐠1쐄ᖛ쎐ᖛ ďЌ㺬ヸ佈ミ㹼ヸ㐠ꗜヘ쏘ᖛ ĄЈ쎴ᖛ쒠ᖛ쌰ᖛāЈsectorǺЈ佴ミ㐠8쓄ᖛ쑐ᖛ ǷЌ㺬ヸ佈ミ㹼ヸ㐠ꗜヘ쒘ᖛ ǬЈ쑴ᖛ앐ᖛ쏠ᖛǩЈdeǤЈ佴ミ㐠;&#10;앴ᖛ씀ᖛ ǡЌ㺬ヸ佈ミ㹼ヸ㐠ꗜヘ안ᖛ ǖЈ씤ᖛ옐ᖛ쒠ᖛǓЈacueductosǌЈ佴ミ㐠F옴ᖛ엀ᖛ ǉЌ㺬ヸ佈ミ㹼ヸ㐠ꗜヘ예ᖛ ƾЈ엤ᖛ움ᖛ앐ᖛƻЈyƶЈ佴ミ㐠Hꄄᖛ왰ᖛ ƳЌ㺬ヸ佈ミ㹼ヸ㐠ꗜヘ울ᖛ ƨЈ요ᖛ의ᖛ옐ᖛƥЈ佴ミ㐠V일ᖛ윈ᖛ ƞЌ㺬ヸ佈ミ㹼ヸ㐠ꗜヘ읐ᖛ ƗЈ윬ᖛ절ᖛ움ᖛƐЈ;ƏЈ佴ミ㐠W젬ᖛ잸ᖛ ƈЌ㺬ヸ佈ミ㹼ヸ㐠ꗜヘ저ᖛ ƁЈ쟜ᖛ쥐ᖛ의ᖛźЈ&#10;ŹЈey1ŴЈaųЈ)ŮЈEstímulosūЈ417n ListŤЈ佴ミ㐠졄ᖛ준ᖛ šЌ㺬ヸ佈ミ㹼ヸ㐠ꗜヘ쥈ᖛ ŖЈ줤ᖛ짨ᖛ절ᖛœЈ佴ミ㐠존ᖛ즘ᖛ ŌЌ㺬ヸ佈ミ㹼ヸ㐠ꗜヘ짠ᖛ ŅЈ즼ᖛ쪀ᖛ쥐ᖛľЈ佴ミ㐠좌ᖛ쨰ᖛ ĻЌ㺬ヸ佈ミ㹼ヸ㐠ꗜヘ쩸ᖛ İЈ쩔ᖛ쬘ᖛ짨ᖛĭЈ佴ミ㐠졜ᖛ쫈ᖛ ĦЌ㺬ヸ佈ミ㹼ヸ㐠ꗜヘ쬐ᖛ ğЈ쫬ᖛ쮰ᖛ쪀ᖛĘЈ佴ミ㐠블ᖛ쭠ᖛ ĕЌ㺬ヸ佈ミ㹼ヸ㐠ꗜヘ쮨ᖛ ĊЈ쮄ᖛ챈ᖛ쬘ᖛćЈ佴ミ㐠챬ᖛ쯸ᖛ ĀЌ㺬ヸ佈ミ㹼ヸ㐠ꗜヘ챀ᖛ ǹЈ찜ᖛ초ᖛ쮰ᖛǲЈinversionesǯЈ佴ミ㐠 촬ᖛ첸ᖛ ǨЌ㺬ヸ佈ミ㹼ヸ㐠ꗜヘ촀ᖛ ǡЈ쳜ᖛ췈ᖛ챈ᖛǚЈextranjerasǗЈ佴ミ㐠,췬ᖛ쵸ᖛ ǐЌ㺬ヸ佈ミ㹼ヸ㐠ꗜヘ췀ᖛ ǉЈ출ᖛ칸ᖛ초ᖛǂЈenǁЈ佴ミ㐠/캜ᖛ츨ᖛ ƺЌ㺬ヸ佈ミ㹼ヸ㐠ꗜヘ칰ᖛ ƳЈ칌ᖛ켨ᖛ췈ᖛƬЈeseƫЈ佴ミ㐠3콌ᖛ컘ᖛ ƤЌ㺬ヸ佈ミ㹼ヸ㐠ꗜヘ켠ᖛ ƝЈ컼ᖛ쿨ᖛ칸ᖛƖЈsectorƓЈ佴ミ㐠9퀌ᖛ쾘ᖛ ƌЌ㺬ヸ佈ミ㹼ヸ㐠ꗜヘ쿠ᖛ ƅЈ쾼ᖛ킘ᖛ켨ᖛžЈ.ŽЈ佴ミ㐠:킼ᖛ큈ᖛ ŶЌ㺬ヸ佈ミ㹼ヸ㐠ꗜヘ킐ᖛ ůЈ크ᖛ퇠ᖛ쿨ᖛŨЈ&#10;ŧЈPorŢЈ,šЈ.ŜЈ418n ListřЈotrar.ŒЈ佴ミ㐠좴ᖛ톐ᖛ ŏЌ㺬ヸ佈ミ㹼ヸ㐠ꗜヘ퇘ᖛ ńЈ톴ᖛ퉸ᖛ킘ᖛŁЈ佴ミ㐠턄ᖛ툨ᖛ ĺЌ㺬ヸ佈ミ㹼ヸ㐠ꗜヘ퉰ᖛ ĳЈ퉌ᖛ판ᖛ퇠ᖛĬЈ佴ミ㐠탔ᖛ틀ᖛ ĩЌ㺬ヸ佈ミ㹼ヸ㐠ꗜヘ팈ᖛ ĞЈ틤ᖛ펨ᖛ퉸ᖛěЈ佴ミ㐠&#10;텄ᖛ퍘ᖛ ĔЌ㺬ヸ佈ミ㹼ヸ㐠ꗜヘ펠ᖛ čЈ퍼ᖛ푀ᖛ판ᖛĆЈ佴ミ㐠땄ᖛ폰ᖛ ăЌ㺬ヸ佈ミ㹼ヸ㐠ꗜヘ퐸ᖛ ǸЈ퐔ᖛ퓘ᖛ펨ᖛǵЈ佴ミ㐠탬ᖛ품ᖛ ǮЌ㺬ヸ佈ミ㹼ヸ㐠ꗜヘ퓐ᖛ ǧЈ풬ᖛ핰ᖛ푀ᖛǠЈ佴ミ㐠햔ᖛ픠ᖛ ǝЌ㺬ヸ佈ミ㹼ヸ㐠ꗜヘ함ᖛ ǒЈ필ᖛ혠ᖛ퓘ᖛǏЈenǊЈ佴ミ㐠홄ᖛ헐ᖛ ǇЌ㺬ヸ佈ミ㹼ヸ㐠ꗜヘ혘ᖛ ƼЈ헴ᖛ훐ᖛ핰ᖛƹЈelƴЈ佴ミ㐠훴ᖛ횀ᖛ ƱЌ㺬ヸ佈ミ㹼ヸ㐠ꗜヘ훈ᖛ ƦЈ횤ᖛ힀ᖛ혠ᖛƣЈ&#10;marcoƞЈ佴ミ㐠&quot;힤ᖛ휰ᖛ ƛЌ㺬ヸ佈ミ㹼ヸ㐠ꗜヘ흸ᖛ ƐЈ흔ᖛᖛ훐ᖛƍЈdelƈЈ佴ミ㐠&amp;ᖛퟠᖛ ƅЌ㺬ヸ佈ミ㹼ヸ㐠ꗜヘᖛ źЈᖛᖛ힀ᖛŷЈPlanŲЈ佴ミ㐠+ᖛᖛ ůЌ㺬ヸ佈ミ㹼ヸ㐠ꗜヘᖛ ŤЈᖛᖛᖛšЈdeŜЈ佴ミ㐠.ᖛᖛ řЌ㺬ヸ佈ミ㹼ヸ㐠ꗜヘᖛ ŎЈᖛᖛᖛŋЈmedidasńЈ佴ミ㐠6&#10;ᖛᖛ ŁЌ㺬ヸ佈ミ㹼ヸ㐠ꗜヘᖛ ĶЈᖛᖛᖛĳЈintegradasĬЈ佴ミ㐠Aᖛᖛ ĩЌ㺬ヸ佈ミ㹼ヸ㐠ꗜヘᖛ ĞЈᖛᖛᖛěЈparaĖЈ佴ミ㐠Fᖛᖛ ēЌ㺬ヸ佈ミ㹼ヸ㐠ꗜヘᖛ ĈЈᖛᖛᖛąЈmejorarǾЈ佴ミ㐠Nᖛᖛ ǻЌ㺬ヸ佈ミ㹼ヸ㐠ꗜヘᖛ ǰЈᖛᖛᖛǭЈlaǨЈ佴ミ㐠Q ᖛᖛ ǥЌ㺬ヸ佈ミ㹼ヸ㐠ꗜヘᖛ ǚЈᖛᖛᖛǗЈsituaciónǐЈ佴ミ㐠[ ᖛᖛ ǍЌ㺬ヸ佈ミ㹼ヸ㐠ꗜヘᖛ ǂЈᖛᖛᖛƿЈecológicaƸЈ佴ミ㐠eᖛᖛ ƵЌ㺬ヸ佈ミ㹼ヸ㐠ꗜヘᖛ ƪЈᖛᖛᖛƧЈenƢЈ佴ミ㐠hᖛᖛ ƟЌ㺬ヸ佈ミ㹼ヸ㐠ꗜヘᖛ ƔЈᖛᖛᖛƑЈ2006ƌЈ佴ミ㐠lᖛᖛ ƉЌ㺬ヸ佈ミ㹼ヸ㐠ꗜヘᖛ žЈᖛᖛᖛŻЈ-ŶЈ佴ミ㐠mᖛᖛ ųЌ㺬ヸ佈ミ㹼ヸ㐠ꗜヘᖛ ŨЈᖛᖛᖛťЈ2010ŠЈ佴ミ㐠rᖛᖛ ŝЌ㺬ヸ佈ミ㹼ヸ㐠ꗜヘᖛ ŒЈᖛᖛᖛŏЈenŊЈ佴ミ㐠uᖛᖛ ŇЌ㺬ヸ佈ミ㹼ヸ㐠ꗜヘᖛ ļЈᖛᖛᖛĹЈlaĴЈ佴ミ㐠x ᖛᖛ ıЌ㺬ヸ佈ミ㹼ヸ㐠ꗜヘᖛ ĦЈᖛᖛᖛģЈRepúblicaĜЈ佴ミ㐠ᖛᖛ ęЌ㺬ヸ佈ミ㹼ヸ㐠ꗜヘᖛ ĎЈᖛᖛᖛċЈdeĆЈ佴ミ㐠&#10;ᖛᖛ ăЌ㺬ヸ佈ミ㹼ヸ㐠ꗜヘᖛ ǸЈᖛᖛᖛǵЈAzerbaiyánǮЈ佴ミ㐠ᖛᖛ ǫЌ㺬ヸ佈ミ㹼ヸ㐠ꗜヘᖛ ǠЈᖛᖛᖛǝЈ,ǘЈ佴ミ㐠ᖛᖛ ǕЌ㺬ヸ佈ミ㹼ヸ㐠ꗜヘᖛ ǊЈᖛᖛᖛǇЈconǂЈ佴ミ㐠ᖛᖛ ƿЌ㺬ヸ佈ミ㹼ヸ㐠ꗜヘᖛ ƴЈᖛᖛᖛƱЈelƬЈ佴ミ㐠ᖛᖛ ƩЌ㺬ヸ佈ミ㹼ヸ㐠ꗜヘᖛ ƞЈᖛᖛᖛƛЈ&#10;apoyoƖЈ佴ミ㐠ᖛᖛ ƓЌ㺬ヸ佈ミ㹼ヸ㐠ꗜヘᖛ ƈЈᖛᖛᖛƅЈdeƀЈ佴ミ㐠¡ᖛᖛ ŽЌ㺬ヸ佈ミ㹼ヸ㐠ꗜヘᖛ ŲЈᖛᖛᖛůЈlasŪЈ佴ミ㐠¥&#10;ᖛᖛ ŧЌ㺬ヸ佈ミ㹼ヸ㐠ꗜヘᖛ ŜЈᖛᖛᖛřЈinstitucionesŒЈ佴ミ㐠³ᖛᖛ ŏЌ㺬ヸ佈ミ㹼ヸ㐠ꗜヘᖛ ńЈᖛᖛᖛŁЈfinancierasĺЈ佴ミ㐠¿ꂤᖛᖛ ķЌ㺬ヸ佈ミ㹼ヸ㐠ꗜヘᖛ ĬЈᖛᖛᖛĩЈ佴ミ㐠Ïᖛᖛ ĢЌ㺬ヸ佈ミ㹼ヸ㐠ꗜヘᖛ ěЈᖛᖛᖛĔЈyēЈ佴ミ㐠Ñᖛᖛ ČЌ㺬ヸ佈ミ㹼ヸ㐠ꗜヘᖛ ąЈᖛᖛᖛǾЈconǽЈ佴ミ㐠Õᖛᖛ ǶЌ㺬ヸ佈ミ㹼ヸ㐠ꗜヘᖛ ǯЈᖛᖛᖛǨЈrecursosǥЈ佴ミ㐠Þᖛᖛ ǞЌ㺬ヸ佈ミ㹼ヸ㐠ꗜヘᖛ ǗЈᖛᖛᖛǐЈdelǏЈ佴ミ㐠âᖛᖛ ǈЌ㺬ヸ佈ミ㹼ヸ㐠ꗜヘᖛ ǁЈᖛᖛᖛƺЈpresupuestoƷЈ佴ミ㐠îᖛᖛ ưЌ㺬ヸ佈ミ㹼ヸ㐠ꗜヘᖛ ƩЈᖛᖛᖛƢЈestatalƟЈ佴ミ㐠öᖛᖛ ƘЌ㺬ヸ佈ミ㹼ヸ㐠ꗜヘᖛ ƑЈᖛᖛᖛƊЈseƉЈ佴ミ㐠ùᖛᖛ ƂЌ㺬ヸ佈ミ㹼ヸ㐠ꗜヘᖛ ŻЈᖛᖛᖛŴЈ&#10;estánųЈ佴ミ㐠ÿ&#10;ᖛᖛ ŬЌ㺬ヸ佈ミ㹼ヸ㐠ꗜヘᖛ ťЈᖛᖛᖛŞЈejecutandośЈ佴ミ㐠Ċ ᖛᖛ ŔЌ㺬ヸ佈ミ㹼ヸ㐠ꗜヘᖛ ōЈᖛᖛᖛņЈdistintosŃЈ佴ミ㐠Ĕ ᖛᖛ ļЌ㺬ヸ佈ミ㹼ヸ㐠ꗜヘᖛ ĵЈᖛᖛᖛĮЈproyectosīЈ佴ミ㐠Ğᖛᖛ ĤЌ㺬ヸ佈ミ㹼ヸ㐠ꗜヘᖛ ĝЈᖛᖛᖛĖЈencaminadosēЈ佴ミ㐠Īᖛᖛ ČЌ㺬ヸ佈ミ㹼ヸ㐠ꗜヘᖛ ąЈᖛᖛᖛǾЈaǽЈ佴ミ㐠Ĭ&#10;ᖛᖛ ǶЌ㺬ヸ佈ミ㹼ヸ㐠ꗜヘᖛ ǯЈᖛᖛᖛǨЈgarantizarǥЈ佴ミ㐠ķᖛᖛ ǞЌ㺬ヸ佈ミ㹼ヸ㐠ꗜヘᖛ ǗЈᖛᖛᖛǐЈelǏЈ佴ミ㐠ĺ됬ᖛᖛ ǈЌ㺬ヸ佈ミ㹼ヸ㐠ꗜヘᖛ ǁЈᖛᖛᖛƺЈ佴ミ㐠ŉᖛᖛ ƷЌ㺬ヸ佈ミ㹼ヸ㐠ꗜヘᖛ ƬЈᖛᖛᖛƩЈdeƤЈ佴ミ㐠Ōᖛᖛ ơЌ㺬ヸ佈ミ㹼ヸ㐠ꗜヘᖛ ƖЈᖛᖛᖛƓЈaguaƎЈ佴ミ㐠őᖛᖛ ƋЌ㺬ヸ佈ミ㹼ヸ㐠ꗜヘᖛ ƀЈᖛᖛᖛŽЈpotableŶЈ佴ミ㐠řᖛᖛ ųЌ㺬ヸ佈ミ㹼ヸ㐠ꗜヘᖛ ŨЈᖛ殺ᖛᖛťЈaŠЈ佴ミ㐠ś璉ᖛ鸞ᖛ ŝЌ㺬ヸ佈ミ㹼ヸ㐠ꗜヘ泌ᖛ ŒЈ籠ᖛ蘒ᖛᖛŏЈlaŊЈ佴ミ㐠Ş 梅ᖛ類ᖛ ŇЌ㺬ヸ佈ミ㹼ヸ㐠ꗜヘ礼ᖛ ļЈ林ᖛ﫠ᖛ殺ᖛĹЈpoblaciónĲЈ佴ミ㐠ŧﬄᖛ敖ᖛ įЌ㺬ヸ佈ミ㹼ヸ㐠ꗜヘ齃ᖛ ĤЈ華ᖛﮐᖛ蘒ᖛġЈ.ĜЈ佴ミ㐠Ũ﮴ᖛנּᖛ ęЌ㺬ヸ佈ミ㹼ヸ㐠ꗜヘﮈᖛ ĎЈﭤᖛﶘᖛ﫠ᖛċЈ&#10;ĆЈ.nąЈse1ĀЈ- ǿЈEnlación.ǸЈactualidadǵЈ419n Listn.ǮЈreconstruccióntoǩЈinternacionalesoǠЈlalación.ǝЈ佴ミ㐠턜ᖛ﵈ᖛ ǖЌ㺬ヸ佈ミ㹼ヸ㐠ꗜヘ﶐ᖛ ǏЈﵬᖛ︰ᖛﮐᖛǈЈ佴ミ㐠﯌ᖛ﷠ᖛ ǅЌ㺬ヸ佈ミ㹼ヸ㐠ꗜヘ︨ᖛ ƺЈ︄ᖛﻈᖛﶘᖛƷЈ佴ミ㐠ﰔᖛﹸᖛ ưЌ㺬ヸ佈ミ㹼ヸ㐠ꗜヘﻀᖛ ƩЈﺜᖛ｠ᖛ︰ᖛƢЈ佴ミ㐠 ﳼᖛ０ᖛ ƟЌ㺬ヸ佈ミ㹼ヸ㐠ꗜヘｘᖛ ƔЈＴᖛ￸ᖛﻈᖛƑЈ佴ミ㐠&#10;ﰼᖛﾨᖛ ƊЌ㺬ヸ佈ミ㹼ヸ㐠ꗜヘ￰ᖛ ƃЈￌᖛᖜ｠ᖛżЈ佴ミ㐠ﯤᖛ@ᖜ ŹЌ㺬ヸ佈ミ㹼ヸ㐠ꗜヘᖜ ŮЈdᖜĨᖜ￸ᖛūЈ佴ミ㐠ŌᖜØᖜ ŤЌ㺬ヸ佈ミ㹼ヸ㐠ꗜヘĠᖜ ŝЈüᖜǘᖜᖜŖЈ&#10;estánŕЈ佴ミ㐠 &#10;Ǽᖜƈᖜ ŎЌ㺬ヸ佈ミ㹼ヸ㐠ꗜヘǐᖜ ŇЈƬᖜʘᖜĨᖜŀЈejecutandoĽЈ佴ミ㐠+ʼᖜɈᖜ ĶЌ㺬ヸ佈ミ㹼ヸ㐠ꗜヘʐᖜ įЈɬᖜ͘ᖜǘᖜĨЈproyectoĥЈ佴ミ㐠4ͼᖜ̈ᖜ ĞЌ㺬ヸ佈ミ㹼ヸ㐠ꗜヘ͐ᖜ ėЈ̬ᖜЈᖜʘᖜĐЈdeďЈ佴ミ㐠7ﲌᖛθᖜ ĈЌ㺬ヸ佈ミ㹼ヸ㐠ꗜヘЀᖜ āЈϜᖜҠᖜ͘ᖜǺЈ佴ミ㐠Fӄᖜѐᖜ ǷЌ㺬ヸ佈ミ㹼ヸ㐠ꗜヘҘᖜ ǬЈѴᖜՐᖜЈᖜǩЈyǤЈ佴ミ㐠HմᖜԀᖜ ǡЌ㺬ヸ佈ミ㹼ヸ㐠ꗜヘՈᖜ ǖЈԤᖜؐᖜҠᖜǓЈconstrucciónǌЈ佴ミ㐠Uشᖜ׀ᖜ ǉЌ㺬ヸ佈ミ㹼ヸ㐠ꗜヘ؈ᖜ ƾЈפᖜۀᖜՐᖜƻЈdeƶЈ佴ミ㐠X&#10;ۤᖜٰᖜ ƳЌ㺬ヸ佈ミ㹼ヸ㐠ꗜヘڸᖜ ƨЈڔᖜހᖜؐᖜƥЈinstalacionesƞЈ佴ミ㐠fޤᖜܰᖜ ƛЌ㺬ヸ佈ミ㹼ヸ㐠ꗜヘݸᖜ ƐЈݔᖜ࠰ᖜۀᖜƍЈdeƈЈ佴ミ㐠iࡔᖜߠᖜ ƅЌ㺬ヸ佈ミ㹼ヸ㐠ꗜヘࠨᖜ źЈࠄᖜࣰᖜހᖜŷЈtratamientoŰЈ佴ミ㐠uऔᖜࢠᖜ ŭЌ㺬ヸ佈ミ㹼ヸ㐠ꗜヘࣨᖜ ŢЈࣄᖜঠᖜ࠰ᖜşЈdeŚЈ佴ミ㐠xৄᖜॐᖜ ŗЌ㺬ヸ佈ミ㹼ヸ㐠ꗜヘঘᖜ ŌЈॴᖜ੐ᖜࣰᖜŉЈ&#10;aguasńЈ佴ミ㐠}ੴᖜ਀ᖜ ŁЌ㺬ヸ佈ミ㹼ヸ㐠ꗜヘੈᖜ ĶЈਤᖜ଀ᖜঠᖜĳЈ,ĮЈ佴ミ㐠&#10;ତᖜરᖜ īЌ㺬ヸ佈ミ㹼ヸ㐠ꗜヘ૸ᖜ ĠЈ૔ᖜீᖜ੐ᖜĝЈacueductosĖЈ佴ミ㐠௤ᖜ୰ᖜ ēЌ㺬ヸ佈ミ㹼ヸ㐠ꗜヘஸᖜ ĈЈஔᖜ౰ᖜ଀ᖜąЈyĀЈ佴ミ㐠ಔᖜఠᖜ ǽЌ㺬ヸ佈ミ㹼ヸ㐠ꗜヘ౨ᖜ ǲЈౄᖜരᖜீᖜǯЈembalsesǨЈ佴ミ㐠ൔᖜೠᖜ ǥЌ㺬ヸ佈ミ㹼ヸ㐠ꗜヘനᖜ ǚЈഄᖜ෠ᖜ౰ᖜǗЈconǒЈ佴ミ㐠คᖜඐᖜ ǏЌ㺬ヸ佈ミ㹼ヸ㐠ꗜヘෘᖜ ǄЈපᖜຠᖜരᖜǁЈcréditosƺЈ佴ミ㐠¢ໄᖜ๐ᖜ ƷЌ㺬ヸ佈ミ㹼ヸ㐠ꗜヘຘᖜ ƬЈ๴ᖜཐᖜ෠ᖜƩЈdelƤЈ佴ミ㐠¦ུᖜༀᖜ ơЌ㺬ヸ佈ミ㹼ヸ㐠ꗜヘ཈ᖜ ƖЈ༤ᖜကᖜຠᖜƓЈ&#10;BancoƎЈ佴ミ㐠¬ြᖜྰᖜ ƋЌ㺬ヸ佈ミ㹼ヸ㐠ꗜヘ࿸ᖜ ƀЈ࿔ᖜიᖜཐᖜŽЈ19ŸЈMundialŵЈ佴ミ㐠³ჼᖜႈᖜ ŮЌ㺬ヸ佈ミ㹼ヸ㐠ꗜヘაᖜ ŧЈႬᖜᆈᖜကᖜŠЈ,şЈ佴ミ㐠µᆬᖜᄸᖜ ŘЌ㺬ヸ佈ミ㹼ヸ㐠ꗜヘᆀᖜ őЈᅜᖜሸᖜიᖜŊЈdelŉЈ佴ミ㐠¹ቜᖜᇨᖜ łЌ㺬ヸ佈ミ㹼ヸ㐠ꗜヘሰᖜ ĻЈሌᖜየᖜᆈᖜĴЈ&#10;BancoĳЈ佴ミ㐠¿ጌᖜኘᖜ ĬЌ㺬ヸ佈ミ㹼ヸ㐠ꗜヘዠᖜ ĥЈኼᖜ᎘ᖜሸᖜĞЈdeĝЈ佴ミ㐠ÂᎼᖜፈᖜ ĖЌ㺬ヸ佈ミ㹼ヸ㐠ꗜヘ᎐ᖜ ďЈ፬ᖜᑘᖜየᖜĈЈAsiáticoąЈ佴ミ㐠Ëᑼᖜᐈᖜ ǾЌ㺬ヸ佈ミ㹼ヸ㐠ꗜヘᑐᖜ ǷЈᐬᖜᔈᖜ᎘ᖜǰЈdeǯЈ佴ミ㐠Î&#10;ᔬᖜᒸᖜ ǨЌ㺬ヸ佈ミ㹼ヸ㐠ꗜヘᔀᖜ ǡЈᓜᖜᗈᖜᑘᖜǚЈDesarrolloǗЈ佴ミ㐠Ùᗬᖜᕸᖜ ǐЌ㺬ヸ佈ミ㹼ヸ㐠ꗜヘᗀᖜ ǉЈᖜᖜᙸᖜᔈᖜǂЈyǁЈ佴ミ㐠Û᚜ᖜᘨᖜ ƺЌ㺬ヸ佈ミ㹼ヸ㐠ꗜヘᙰᖜ ƳЈᙌᖜᜨᖜᗈᖜƬЈdeƫЈ佴ミ㐠Þᝌᖜᛘᖜ ƤЌ㺬ヸ佈ミ㹼ヸ㐠ꗜヘᜠᖜ ƝЈ᛼ᖜ៘ᖜᙸᖜƖЈ&#10;otrasƕЈ佴ミ㐠ä&#10;៼ᖜឈᖜ ƎЌ㺬ヸ佈ミ㹼ヸ㐠ꗜヘ័ᖜ ƇЈឬᖜᢘᖜᜨᖜƀЈinstitucionesŽЈ佴ミ㐠òᢼᖜᡈᖜ ŶЌ㺬ヸ佈ミ㹼ヸ㐠ꗜヘᢐᖜ ůЈᡬᖜᥘᖜ៘ᖜŨЈfinancierasťЈ佴ミ㐠þﳄᖛᤈᖜ ŞЌ㺬ヸ佈ミ㹼ヸ㐠ꗜヘᥐᖜ ŗЈ᤬ᖜ᧰ᖜᢘᖜŐЈ佴ミ㐠Ďᨔᖜᦠᖜ ōЌ㺬ヸ佈ミ㹼ヸ㐠ꗜヘ᧨ᖜ łЈᧄᖜ᪰ᖜᥘᖜĿЈpertinentesĸЈ佴ミ㐠ę᫔ᖜ᩠ᖜ ĵЌ㺬ヸ佈ミ㹼ヸ㐠ꗜヘ᪨ᖜ ĪЈ᪄ᖜ᭠ᖜ᧰ᖜħЈ,ĢЈ佴ミ㐠ěᮄᖜᬐᖜ ğЌ㺬ヸ佈ミ㹼ヸ㐠ꗜヘ᭘ᖜ ĔЈ᬴ᖜᰠᖜ᪰ᖜđЈinclusoĊЈ佴ミ㐠ģ᱄ᖜᯐᖜ ćЌ㺬ヸ佈ミ㹼ヸ㐠ꗜヘᰘᖜ ǼЈ᯴ᖜ᳐ᖜ᭠ᖜǹЈconǴЈ佴ミ㐠ħ᳴ᖜᲀᖜ ǱЌ㺬ヸ佈ミ㹼ヸ㐠ꗜヘ᳈ᖜ ǦЈᲤᖜᶐᖜᰠᖜǣЈrecursosǜЈ佴ミ㐠İᶴᖜᵀᖜ ǙЌ㺬ヸ佈ミ㹼ヸ㐠ꗜヘᶈᖜ ǎЈᵤᖜṀᖜ᳐ᖜǋЈdelǆЈ佴ミ㐠ĴṤᖜᷰᖜ ǃЌ㺬ヸ佈ミ㹼ヸ㐠ꗜヘḸᖜ ƸЈḔᖜἀᖜᶐᖜƵЈpresupuestoƮЈ佴ミ㐠ŀἤᖜẰᖜ ƫЌ㺬ヸ佈ミ㹼ヸ㐠ꗜヘỸᖜ ƠЈỔᖜ῀ᖜṀᖜƝЈestatalƖЈ佴ミ㐠Ňῤᖜὰᖜ ƓЌ㺬ヸ佈ミ㹼ヸ㐠ꗜヘᾸᖜ ƈЈᾔᖜ⁰ᖜἀᖜƅЈ.ƀЈ佴ミ㐠ňₔᖜ†ᖜ ŽЌ㺬ヸ佈ミ㹼ヸ㐠ꗜヘ⁨ᖜ ŲЈ⁄ᖜ≨ᖜ῀ᖜůЈ&#10;ŪЈ.y1ũЈhansŤЈ, ţЈseatal.oŜЈartículotřЈabastecimientoŐЈepidemiológico11ŋЈAdemás.iónńЈ佴ミ㐠ﱤᖛ∘ᖜŁЈlos ļЌ㺬ヸ佈ミ㹼ヸ㐠ꗜヘ≠ᖜ ĵЈ∼ᖜ⌀ᖜ⁰ᖜĮЈ佴ミ㐠€ᖜ⊰ᖜ īЌ㺬ヸ佈ミ㹼ヸ㐠ꗜヘ⋸ᖜ ĠЈ⋔ᖜ⎘ᖜ≨ᖜĝЈ佴ミ㐠↴ᖜ⍈ᖜ ĖЌ㺬ヸ佈ミ㹼ヸ㐠ꗜヘ⎐ᖜ ďЈ⍬ᖜ␰ᖜ⌀ᖜĈЈ佴ミ㐠⃜ᖜ⏠ᖜ ąЌ㺬ヸ佈ミ㹼ヸ㐠ꗜヘ␨ᖜ ǺЈ␄ᖜⓈᖜ⎘ᖜǷЈ佴ミ㐠⃴ᖜ⑸ᖜ ǰЌ㺬ヸ佈ミ㹼ヸ㐠ꗜヘⓀᖜ ǩЈ⒜ᖜ╠ᖜ␰ᖜǢЈ佴ミ㐠⃄ᖜ┐ᖜ ǟЌ㺬ヸ佈ミ㹼ヸ㐠ꗜヘ╘ᖜ ǔЈ┴ᖜ◸ᖜⓈᖜǑЈ佴ミ㐠&#10;☜ᖜ▨ᖜ ǊЌ㺬ヸ佈ミ㹼ヸ㐠ꗜヘ◰ᖜ ǃЈ◌ᖜ⚸ᖜ╠ᖜƼЈconstruidoƹЈ佴ミ㐠 ⛜ᖜ♨ᖜ ƲЌ㺬ヸ佈ミ㹼ヸ㐠ꗜヘ⚰ᖜ ƫЈ⚌ᖜ❸ᖜ◸ᖜƤЈsistemasơЈ佴ミ㐠)➜ᖜ✨ᖜ ƚЌ㺬ヸ佈ミ㹼ヸ㐠ꗜヘ❰ᖜ ƓЈ❌ᖜ⠨ᖜ⚸ᖜƌЈdeƋЈ佴ミ㐠,&#10;⡌ᖜ⟘ᖜ ƄЌ㺬ヸ佈ミ㹼ヸ㐠ꗜヘ⠠ᖜ ŽЈ⟼ᖜ⣨ᖜ❸ᖜŶЈacueductosųЈ佴ミ㐠7⤌ᖜ⢘ᖜ ŬЌ㺬ヸ佈ミ㹼ヸ㐠ꗜヘ⣠ᖜ ťЈ⢼ᖜ⦘ᖜ⠨ᖜŞЈqueŝЈ佴ミ㐠; ⦼ᖜ⥈ᖜ ŖЌ㺬ヸ佈ミ㹼ヸ㐠ꗜヘ⦐ᖜ ŏЈ⥬ᖜ⩘ᖜ⣨ᖜňЈabastecenŅЈ佴ミ㐠E⩼ᖜ⨈ᖜ ľЌ㺬ヸ佈ミ㹼ヸ㐠ꗜヘ⩐ᖜ ķЈ⨬ᖜ⬈ᖜ⦘ᖜİЈdeįЈ佴ミ㐠H⬬ᖜ⪸ᖜ ĨЌ㺬ヸ佈ミ㹼ヸ㐠ꗜヘ⬀ᖜ ġЈ⫝̸ᖜ⮸ᖜ⩘ᖜĚЈaguaęЈ佴ミ㐠M⯜ᖜ⭨ᖜ ĒЌ㺬ヸ佈ミ㹼ヸ㐠ꗜヘ⮰ᖜ ċЈ⮌ᖜⱨᖜ⬈ᖜĄЈalăЈ佴ミ㐠PⲌᖜⰘᖜ ǼЌ㺬ヸ佈ミ㹼ヸ㐠ꗜヘⱠᖜ ǵЈⰼᖜⴘᖜ⮸ᖜǮЈ40ǭЈ佴ミ㐠RⴼᖜⳈᖜ ǦЌ㺬ヸ佈ミ㹼ヸ㐠ꗜヘⴐᖜ ǟЈⳬᖜⷈᖜⱨᖜǘЈ%ǗЈ佴ミ㐠Tⷬᖜ⵸ᖜ ǐЌ㺬ヸ佈ミ㹼ヸ㐠ꗜヘⷀᖜ ǉЈ"/>
        </w:smartTagPr>
        <w:r>
          <w:rPr>
            <w:spacing w:val="0"/>
            <w:lang w:val="es-ES"/>
          </w:rPr>
          <w:t>la Organización Mundial</w:t>
        </w:r>
      </w:smartTag>
      <w:r>
        <w:rPr>
          <w:spacing w:val="0"/>
          <w:lang w:val="es-ES"/>
        </w:rPr>
        <w:t xml:space="preserve"> de la Salud (OMS);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Búsqueda de nuevas fuentes alternativas de agua potable;</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Aumento de los recursos presupuestarios del sector de acueductos y alcantarillado;</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e)</w:t>
      </w:r>
      <w:r>
        <w:rPr>
          <w:spacing w:val="0"/>
          <w:lang w:val="es-ES"/>
        </w:rPr>
        <w:tab/>
        <w:t>Estímulo a las inversiones extranjeras en ese sector.</w:t>
      </w:r>
    </w:p>
    <w:p w:rsidR="001D2E73" w:rsidRDefault="001D2E73">
      <w:pPr>
        <w:pStyle w:val="SingleTxtGR"/>
        <w:rPr>
          <w:spacing w:val="0"/>
          <w:lang w:val="es-ES"/>
        </w:rPr>
      </w:pPr>
      <w:r>
        <w:rPr>
          <w:spacing w:val="0"/>
          <w:lang w:val="es-ES"/>
        </w:rPr>
        <w:t>417.</w:t>
      </w:r>
      <w:r>
        <w:rPr>
          <w:spacing w:val="0"/>
          <w:lang w:val="es-ES"/>
        </w:rPr>
        <w:tab/>
        <w:t>Por otra parte, en el marco del Plan de medidas integradas para mejorar la situación ecológica en 2006-2010 en la República de Azerbaiyán, con el apoyo de las instituciones financieras internacionales y con recursos del pres</w:t>
      </w:r>
      <w:r>
        <w:rPr>
          <w:spacing w:val="0"/>
          <w:lang w:val="es-ES"/>
        </w:rPr>
        <w:t>u</w:t>
      </w:r>
      <w:r>
        <w:rPr>
          <w:spacing w:val="0"/>
          <w:lang w:val="es-ES"/>
        </w:rPr>
        <w:t>puesto estatal se están ejecutando distintos proyectos encaminados a garantizar el abastecimiento de agua potable a la población.</w:t>
      </w:r>
    </w:p>
    <w:p w:rsidR="001D2E73" w:rsidRDefault="001D2E73">
      <w:pPr>
        <w:pStyle w:val="SingleTxtGR"/>
        <w:rPr>
          <w:spacing w:val="0"/>
          <w:lang w:val="es-ES"/>
        </w:rPr>
      </w:pPr>
      <w:r>
        <w:rPr>
          <w:spacing w:val="0"/>
          <w:lang w:val="es-ES"/>
        </w:rPr>
        <w:t>418.</w:t>
      </w:r>
      <w:r>
        <w:rPr>
          <w:spacing w:val="0"/>
          <w:lang w:val="es-ES"/>
        </w:rPr>
        <w:tab/>
        <w:t>En la actualidad se están ejecutando proyecto de reconstrucción y constru</w:t>
      </w:r>
      <w:r>
        <w:rPr>
          <w:spacing w:val="0"/>
          <w:lang w:val="es-ES"/>
        </w:rPr>
        <w:t>c</w:t>
      </w:r>
      <w:r>
        <w:rPr>
          <w:spacing w:val="0"/>
          <w:lang w:val="es-ES"/>
        </w:rPr>
        <w:t>ción de instalaciones de tratamiento de aguas, acueductos y embalses con créditos del Banco Mundial, del Banco de Asiático de Desarrollo y de otras instituciones fina</w:t>
      </w:r>
      <w:r>
        <w:rPr>
          <w:spacing w:val="0"/>
          <w:lang w:val="es-ES"/>
        </w:rPr>
        <w:t>n</w:t>
      </w:r>
      <w:r>
        <w:rPr>
          <w:spacing w:val="0"/>
          <w:lang w:val="es-ES"/>
        </w:rPr>
        <w:t>cieras internacionales pertinentes, incluso con recursos del presupuesto estatal.</w:t>
      </w:r>
    </w:p>
    <w:p w:rsidR="001D2E73" w:rsidRDefault="001D2E73">
      <w:pPr>
        <w:pStyle w:val="SingleTxtGR"/>
        <w:rPr>
          <w:spacing w:val="0"/>
          <w:lang w:val="es-ES"/>
        </w:rPr>
      </w:pPr>
      <w:r>
        <w:rPr>
          <w:spacing w:val="0"/>
          <w:lang w:val="es-ES"/>
        </w:rPr>
        <w:t>419.</w:t>
      </w:r>
      <w:r>
        <w:rPr>
          <w:spacing w:val="0"/>
          <w:lang w:val="es-ES"/>
        </w:rPr>
        <w:tab/>
        <w:t xml:space="preserve">Además, se han construido sistemas de acueductos que abastecen de agua al 40% de los asentamientos. En 122 pueblos se establecieron módulos de instalaciones de tratamiento de aguas que garantizaron el abastecimiento de agua potable a 244.000 personas de conformidad con las normas de </w:t>
      </w:r>
      <w:smartTag w:uri="urn:schemas-microsoft-com:office:smarttags" w:element="PersonName">
        <w:smartTagPr>
          <w:attr w:name="ProductID" w:val="ヸ买ミ퐘˚퓸˚帀#廨įАde1ᖮīЈ쵰#ģА5욈ବວƀᖏğАa,3￼୰ᖰ ěЌ㺬ヸ佈ミ㹼ヸ㐠ꗜヘ͸ᖏ ĐЈ͔ᖏИᖏ︰ᖎčЈ佴ミ㐠﹬ᖎψᖏ ĆЌ㺬ヸ佈ミ㹼ヸ㐠ꗜヘАᖏ ǿЈϬᖏҰᖏ΀ᖏǸЈ佴ミ㐠ﺜᖎѠᖏ ǵЌ㺬ヸ佈ミ㹼ヸ㐠ꗜヘҨᖏ ǪЈ҄ᖏՈᖏИᖏǧЈ佴ミ㐠&#10;ﻜᖎӸᖏ ǠЌ㺬ヸ佈ミ㹼ヸ㐠ꗜヘՀᖏ ǙЈԜᖏנᖏҰᖏǒЈ佴ミ㐠&#10;Dᖏ֐ᖏ ǏЌ㺬ヸ佈ミ㹼ヸ㐠ꗜヘטᖏ ǄЈִᖏٸᖏՈᖏǁЈ佴ミ㐠ﺄᖎبᖏ ƺЌ㺬ヸ佈ミ㹼ヸ㐠ꗜヘٰᖏ ƳЈٌᖏܐᖏנᖏƬЈ佴ミ㐠ܴᖏۀᖏ ƩЌ㺬ヸ佈ミ㹼ヸ㐠ꗜヘ܈ᖏ ƞЈۤᖏ߀ᖏٸᖏƛЈ&#10;crearƖЈ佴ミ㐠ߤᖏݰᖏ ƓЌ㺬ヸ佈ミ㹼ヸ㐠ꗜヘ޸ᖏ ƈЈޔᖏࢀᖏܐᖏƅЈcondicionesžЈ佴ミ㐠&amp;ࢤᖏ࠰ᖏ ŻЌ㺬ヸ佈ミ㹼ヸ㐠ꗜヘࡸᖏ ŰЈࡔᖏरᖏ߀ᖏŭЈdeŨЈ佴ミ㐠)॔ᖏ࣠ᖏ ťЌ㺬ヸ佈ミ㹼ヸ㐠ꗜヘनᖏ ŚЈऄᖏৰᖏࢀᖏŗЈviviendaŐЈ佴ミ㐠2 ਔᖏঠᖏ ōЌ㺬ヸ佈ミ㹼ヸ㐠ꗜヘ২ᖏ łЈৄᖏરᖏरᖏĿЈpropiciasĸЈ佴ミ㐠&lt;૔ᖏ੠ᖏ ĵЌ㺬ヸ佈ミ㹼ヸ㐠ꗜヘનᖏ ĪЈ઄ᖏୠᖏৰᖏħЈparaĢЈ佴ミ㐠A஄ᖏଐᖏ ğЌ㺬ヸ佈ミ㹼ヸ㐠ꗜヘ୘ᖏ ĔЈ଴ᖏఐᖏરᖏđЈlasČЈ佴ミ㐠Eఴᖏீᖏ ĉЌ㺬ヸ佈ミ㹼ヸ㐠ꗜヘఈᖏ ǾЈ௤ᖏ೐ᖏୠᖏǻЈvíctimasǴЈ佴ミ㐠N೴ᖏಀᖏ ǱЌ㺬ヸ佈ミ㹼ヸ㐠ꗜヘೈᖏ ǦЈತᖏ඀ᖏఐᖏǣЈdeǞЈ佴ミ㐠Qඤᖏരᖏ ǛЌ㺬ヸ佈ミ㹼ヸ㐠ꗜヘ൸ᖏ ǐЈൔᖏะᖏ೐ᖏǍЈlaǈЈ佴ミ㐠T๔ᖏ෠ᖏ ǅЌ㺬ヸ佈ミ㹼ヸ㐠ꗜヘศᖏ ƺЈคᖏ໠ᖏ඀ᖏƷЈ&#10;trataƲЈ佴ミ㐠Z༄ᖏຐᖏ ƯЌ㺬ヸ佈ミ㹼ヸ㐠ꗜヘ໘ᖏ ƤЈິᖏྐᖏะᖏơЈdeƜЈ佴ミ㐠]ྴᖏཀᖏ ƙЌ㺬ヸ佈ミ㹼ヸ㐠ꗜヘྈᖏ ƎЈཤᖏჀᖏ໠ᖏƋЈpersonasƄА佴ミ㐠eფᖏဈᖏ žЌ㺬ヸ佈ミ㹼ヸ㐠ꗜヘႸᖏ  ŷЌ㺬ヸ佈ミ㹼ヸ㐠ꗜヘ瀐ᖨró ŬА,,9￼ookŨЈာᖏᅰᖏྐᖏťЈ,ŠЈ佴ミ㐠g&#10;ᆔᖏᄠᖏ ŝЌ㺬ヸ佈ミ㹼ヸ㐠ꗜヘᅨᖏ ŒЈᅄᖏሰᖏჀᖏŏЈgarantizarňЈ佴ミ㐠rቔᖏᇠᖏ ŅЌ㺬ヸ佈ミ㹼ヸ㐠ꗜヘረᖏ ĺЈሄᖏዠᖏᅰᖏķЈlaĲЈ佴ミ㐠u ጄᖏነᖏ įЌ㺬ヸ佈ミ㹼ヸ㐠ꗜヘዘᖏ ĤЈኴᖏᎠᖏሰᖏġЈseguridadĚЈ佴ミ㐠Ꮔᖏፐᖏ ėЌ㺬ヸ佈ミ㹼ヸ㐠ꗜヘ᎘ᖏ ČЈ፴ᖏᑐᖏዠᖏĉЈdeĄЈ佴ミ㐠ᑴᖏ᐀ᖏ āЌ㺬ヸ佈ミ㹼ヸ㐠ꗜヘᑈᖏ ǶЈᐤᖏᔀᖏᎠᖏǳЈlasǮЈ佴ミ㐠ᔤᖏᒰᖏ ǫЌ㺬ヸ佈ミ㹼ヸ㐠ꗜヘᓸᖏ ǠЈᓔᖏᗀᖏᑐᖏǝЈpersonasǖЈ佴ミ㐠ᗤᖏᕰᖏ ǓЌ㺬ヸ佈ミ㹼ヸ㐠ꗜヘᖸᖏ ǈЈᖔᖏᙰᖏᔀᖏǅЈqueǀЈ佴ミ㐠&#10;ᚔᖏᘠᖏ ƽЌ㺬ヸ佈ミ㹼ヸ㐠ꗜヘᙨᖏ ƲЈᙄᖏᜰᖏᗀᖏƯЈencuentranƨЈ佴ミ㐠᝔ᖏᛠᖏ ƥЌ㺬ヸ佈ミ㹼ヸ㐠ꗜヘᜨᖏ ƚЈᜄᖏ៰ᖏᙰᖏƗЈrefugioƐЈ佴ミ㐠¦᠔ᖏហᖏ ƍЌ㺬ヸ佈ミ㹼ヸ㐠ꗜヘ៨ᖏ ƂЈោᖏᢠᖏᜰᖏſЈyźЈ佴ミ㐠¨&#10;ᣄᖏᡐᖏ ŷЌ㺬ヸ佈ミ㹼ヸ㐠ꗜヘᢘᖏ ŬЈᡴᖏᥠᖏ៰ᖏũЈprestarlesŢЈ佴ミ㐠³&#10;ᦄᖏᤐᖏ şЌ㺬ヸ佈ミ㹼ヸ㐠ꗜヘᥘᖏ ŔЈᤴᖏᨠᖏᢠᖏőЈasistenciaŊЈ佴ミ㐠¾ᩄᖏ᧐ᖏ ŇЌ㺬ヸ佈ミ㹼ヸ㐠ꗜヘᨘᖏ ļЈ᧴ᖏ᫠ᖏᥠᖏĹЈmédicaĲЈ佴ミ㐠Äᬄᖏ᪐ᖏ įЌ㺬ヸ佈ミ㹼ヸ㐠ꗜヘ᫘ᖏ ĤЈ᪴ᖏᮐᖏᨠᖏġЈ,ĜЈ佴ミ㐠Æ᮴ᖏᭀᖏ ęЌ㺬ヸ佈ミ㹼ヸ㐠ꗜヘᮈᖏ ĎЈ᭤ᖏ᱐ᖏ᫠ᖏċЈpsicológicaĄЈ佴ミ㐠Ñᱴᖏᰀᖏ āЌ㺬ヸ佈ミ㹼ヸ㐠ꗜヘ᱈ᖏ ǶЈᰤᖏ᳘ᖏᮐᖏǳЈ, ǮЌ㺬ヸ佈ミ㹼ヸ㐠ꗜヘ᳐ᖏ ǧЈᲬᖏᶘᖏ᱐ᖏǠЈsocialǝЈ佴ミ㐠Úᶼᖏᵈᖏ ǖЌ㺬ヸ佈ミ㹼ヸ㐠ꗜヘᶐᖏ ǏЈᵬᖏṈᖏ᳘ᖏǈЈyǇЈ佴ミ㐠ÜṬᖏ᷸ᖏ ǀЌ㺬ヸ佈ミ㹼ヸ㐠ꗜヘṀᖏ ƹЈḜᖏἈᖏᶘᖏƲЈjurídicaƯЈ佴ミ㐠å ἬᖏẸᖏ ƨЌ㺬ヸ佈ミ㹼ヸ㐠ꗜヘἀᖏ ơЈỜᖏῈᖏṈᖏƚЈinmediataƗЈ佴ミ㐠îῬᖏὸᖏ ƐЌ㺬ヸ佈ミ㹼ヸ㐠ꗜヘ῀ᖏ ƉЈᾜᖏ₀ᖏἈᖏƂА,žЈ佴ミ㐠ð₤ᖏ‰ᖏ ŻЌ㺬ヸ佈ミ㹼ヸ㐠ꗜヘ⁸ᖏ ŰЈ⁔ᖏℰᖏῈᖏŭЈenŨЈ佴ミ㐠ó⅔ᖏ⃠ᖏ ťЌ㺬ヸ佈ミ㹼ヸ㐠ꗜヘℨᖏ ŚЈ℄ᖏ⇰ᖏ₀ᖏŗЈoctubreŐЈ佴ミ㐠û∔ᖏ↠ᖏ ōЌ㺬ヸ佈ミ㹼ヸ㐠ꗜヘ⇨ᖏ łЈ⇄ᖏ⊠ᖏℰᖏĿЈdeĺЈ佴ミ㐠þ⋄ᖏ≐ᖏ ķЌ㺬ヸ佈ミ㹼ヸ㐠ꗜヘ⊘ᖏ ĬЈ≴ᖏ⍐ᖏ⇰ᖏĩЈ2006ĤЈ佴ミ㐠ă⍴ᖏ⌀ᖏ ġЌ㺬ヸ佈ミ㹼ヸ㐠ꗜヘ⍈ᖏ ĖЈ⌤ᖏ␀ᖏ⊠ᖏēЈelĎЈ佴ミ㐠Ć&#10;␤ᖏ⎰ᖏ ċЌ㺬ヸ佈ミ㹼ヸ㐠ꗜヘ⏸ᖏ ĀЈ⏔ᖏⓀᖏ⍐ᖏǽЈMinisterioǶЈ佴ミ㐠đⓤᖏ⑰ᖏ ǳЌ㺬ヸ佈ミ㹼ヸ㐠ꗜヘⒸᖏ ǨЈ⒔ᖏ╰ᖏ␀ᖏǥЈdelǠЈ佴ミ㐠ĕ▔ᖏ┠ᖏ ǝЌ㺬ヸ佈ミ㹼ヸ㐠ꗜヘ╨ᖏ ǒЈ╄ᖏ☰ᖏⓀᖏǏЈInteriorǈЈ佴ミ㐠Ğ♔ᖏ◠ᖏ ǅЌ㺬ヸ佈ミ㹼ヸ㐠ꗜヘ☨ᖏ ƺЈ☄ᖏ⛠ᖏ╰ᖏƷЈcreóƲЈ佴ミ㐠ģ✄ᖏ⚐ᖏ ƯЌ㺬ヸ佈ミ㹼ヸ㐠ꗜヘ⛘ᖏ ƤЈ⚴ᖏ➐ᖏ☰ᖏơЈunƜЈ佴ミ㐠Ħ➴ᖏ❀ᖏ ƙЌ㺬ヸ佈ミ㹼ヸ㐠ꗜヘ➈ᖏ ƎЈ❤ᖏ⡐ᖏ⛠ᖏƋЈrefugioƄЈ佴ミ㐠Į⡴ᖏ⠀ᖏ ƁЌ㺬ヸ佈ミ㹼ヸ㐠ꗜヘ⡈ᖏ ŶЈ⠤ᖏ⤐ᖏ➐ᖏųЈespecialŬЈ佴ミ㐠Ķ⤴ᖏ⣀ᖏ ũЌ㺬ヸ佈ミ㹼ヸ㐠ꗜヘ⤈ᖏ ŞЈ⣤ᖏ⧀ᖏ⡐ᖏśЈ.ŖЈ佴ミ㐠ĸ⧤ᖏ⥰ᖏ œЌ㺬ヸ佈ミ㹼ヸ㐠ꗜヘ⦸ᖏ ňЈ⦔ᖏ⩰ᖏ⤐ᖏŅЈEnŀЈ佴ミ㐠Ļ⪔ᖏ⨠ᖏ ĽЌ㺬ヸ佈ミ㹼ヸ㐠ꗜヘ⩨ᖏ ĲЈ⩄ᖏ⬠ᖏ⧀ᖏįЈ&#10;eneroĪЈ佴ミ㐠Ł⭄ᖏ⫐ᖏ ħЌ㺬ヸ佈ミ㹼ヸ㐠ꗜヘ⬘ᖏ ĜЈ⫴ᖏ⯐ᖏ⩰ᖏęЈdeĔЈ佴ミ㐠ń⯴ᖏ⮀ᖏ đЌ㺬ヸ佈ミ㹼ヸ㐠ꗜヘ⯈ᖏ ĆЈ⮤ᖏⲀᖏ⬠ᖏăЈ2006ǾЈ佴ミ㐠ŉⲤᖏⰰᖏ ǻЌ㺬ヸ佈ミ㹼ヸ㐠ꗜヘⱸᖏ ǰЈⱔᖏⴰᖏ⯐ᖏǭЈlaǨЈ佴ミ㐠Ō ⵔᖏⳠᖏ ǥЌ㺬ヸ佈ミ㹼ヸ㐠ꗜヘ⴨ᖏ ǚЈⴄᖏⷰᖏⲀᖏǗЈDirecciónǐЈ佴ミ㐠Ŗ⸔ᖏⶠᖏ ǍЌ㺬ヸ佈ミ㹼ヸ㐠ꗜヘⷨᖏ ǂЈⷄᖏ⺠ᖏⴰᖏƿЈdeƺЈ佴ミ㐠ř⻄ᖏ⹐ᖏ ƷЌ㺬ヸ佈ミ㹼ヸ㐠ꗜヘ⺘ᖏ ƬЈ⹴ᖏ⽐ᖏⷰᖏƩЈ&#10;LuchaƤЈ佴ミ㐠ş⽴ᖏ⼀ᖏ ơЌ㺬ヸ佈ミ㹼ヸ㐠ꗜヘ⽈ᖏ ƖЈ⼤ᖏ【ᖏ⺠ᖏƓЈcontraƌЈ佴ミ㐠Ŧ〴ᖏ⿀ᖏ ƉЌ㺬ヸ佈ミ㹼ヸ㐠ꗜヘ〈ᖏ žЈ⿤ᖏダᖏ⽐ᖏŻЈlaŶЈ佴ミ㐠ũヤᖏばᖏ ųЌ㺬ヸ佈ミ㹼ヸ㐠ꗜヘジᖏ ŨЈゔᖏㅰᖏ【ᖏťЈ&#10;TrataŠЈ佴ミ㐠ů㆔ᖏㄠᖏ ŝЌ㺬ヸ佈ミ㹼ヸ㐠ꗜヘㅨᖏ ŒЈㅄᖏ㈠ᖏダᖏŏЈdeŊЈ佴ミ㐠Ų㉄ᖏ㇐ᖏ ŇЌ㺬ヸ佈ミ㹼ヸ㐠ꗜヘ㈘ᖏ ļЈㇴᖏ㋠ᖏㅰᖏĹЈPersonasĲЈ佴ミ㐠Ż㌄ᖏ㊐ᖏ įЌ㺬ヸ佈ミ㹼ヸ㐠ꗜヘ㋘ᖏ ĤЈ㊴ᖏ㎠ᖏ㈠ᖏġЈinauguróĚЈ佴ミ㐠Ƅ㏄ᖏ㍐ᖏ ėЌ㺬ヸ佈ミ㹼ヸ㐠ꗜヘ㎘ᖏ ČЈ㍴ᖏ㑐ᖏ㋠ᖏĉЈunaĄЈ佴ミ㐠ƈ㑴ᖏ㐀ᖏ āЌ㺬ヸ佈ミ㹼ヸ㐠ꗜヘ㑈ᖏ ǶЈ㐤ᖏ㔀ᖏ㎠ᖏǳЈ&#10;líneaǮЈ佴ミ㐠Ǝ&#10;㔤ᖏ㒰ᖏ ǫЌ㺬ヸ佈ミ㹼ヸ㐠ꗜヘ㓸ᖏ ǠЈ㓔ᖏ㗀ᖏ㑐ᖏǝЈtelefónicaǖЈ佴ミ㐠ƙ㗤ᖏ㕰ᖏ ǓЌ㺬ヸ佈ミ㹼ヸ㐠ꗜヘ㖸ᖏ ǈЈ㖔ᖏ㙰ᖏ㔀ᖏǅЈdeǀЈ佴ミ㐠Ɯ㚔ᖏ㘠ᖏ ƽЌ㺬ヸ佈ミ㹼ヸ㐠ꗜヘ㙨ᖏ ƲЈ㙄ᖏ㜠ᖏ㗀ᖏƯЈ&#10;ayudaƪЈ佴ミ㐠ơ㝄ᖏ㛐ᖏ ƧЌ㺬ヸ佈ミ㹼ヸ㐠ꗜヘ㜘ᖏ ƜЈ㛴ᖏ㟐ᖏ㙰ᖏƙЈ,ƔЈ佴ミ㐠ƣ㟴ᖏ㞀ᖏ ƑЌ㺬ヸ佈ミ㹼ヸ㐠ꗜヘ㟈ᖏ ƆЈ㞤ᖏ㢀ᖏ㜠ᖏƃЈ&#10;sobrežЈ佴ミ㐠Ʃ㢤ᖏ㠰ᖏ ŻЌ㺬ヸ佈ミ㹼ヸ㐠ꗜヘ㡸ᖏ ŰЈ㡔ᖏ㤰ᖏ㟐ᖏŭЈlaŨЈ佴ミ㐠Ƭ㥔ᖏ㣠ᖏ ťЌ㺬ヸ佈ミ㹼ヸ㐠ꗜヘ㤨ᖏ ŚЈ㤄ᖏ㧠ᖏ㢀ᖏŗЈcualŒЈ佴ミ㐠Ʊ㨄ᖏ㦐ᖏ ŏЌ㺬ヸ佈ミ㹼ヸ㐠ꗜヘ㧘ᖏ ńЈ㦴ᖏ㪐ᖏ㤰ᖏŁЈseļЈ佴ミ㐠ƴ㪴ᖏ㩀ᖏ ĹЌ㺬ヸ佈ミ㹼ヸ㐠ꗜヘ㪈ᖏ ĮЈ㩤ᖏ㭐ᖏ㧠ᖏīЈinformóĤЈ佴ミ㐠Ƽ㭴ᖏ㬀ᖏ ġЌ㺬ヸ佈ミ㹼ヸ㐠ꗜヘ㭈ᖏ ĖЈ㬤ᖏ㰐ᖏ㪐ᖏēЈampliamenteČЈ佴ミ㐠ǈ㰴ᖏ㯀ᖏ ĉЌ㺬ヸ佈ミ㹼ヸ㐠ꗜヘ㰈ᖏ ǾЈ㯤ᖏ㳀ᖏ㭐ᖏǻЈaǶЈ佴ミ㐠Ǌ㳤ᖏ㱰ᖏ ǳЌ㺬ヸ佈ミ㹼ヸ㐠ꗜヘ㲸ᖏ ǨЈ㲔ᖏ㵰ᖏ㰐ᖏǥЈlaǠЈ佴ミ㐠Ǎ㶔ᖏ㴠ᖏ ǝЌ㺬ヸ佈ミ㹼ヸ㐠ꗜヘ㵨ᖏ ǒЈ㵄ᖏ㸰ᖏ㳀ᖏǏЈopiniónǈЈ佴ミ㐠Ǖ㹔ᖏ㷠ᖏ ǅЌ㺬ヸ佈ミ㹼ヸ㐠ꗜヘ㸨ᖏ ƺЈ㸄ᖏ㻰ᖏ㵰ᖏƷЈpúblicaưЈ佴ミ㐠ǜ㼔ᖏ㺠ᖏ ƭЌ㺬ヸ佈ミ㹼ヸ㐠ꗜヘ㻨ᖏ ƢЈ㻄ᖏ㾠ᖏ㸰ᖏƟЈ.ƚЈ佴ミ㐠Ǟ㿄ᖏ㽐ᖏ ƗЌ㺬ヸ佈ミ㹼ヸ㐠ꗜヘ㾘ᖏ ƌЈ㽴ᖏ쀨ᖄ㻰ᖏƉЈEnƄА佴ミ㐠ǡ쁌ᖄ䀈ᖏ žЌ㺬ヸ佈ミ㹼ヸ㐠ꗜヘ쀠ᖄ ŷЈ佴ミ㐠Ȉ䃬ᖏ䁸ᖏ ŰЌ㺬ヸ佈ミ㹼ヸ㐠ꗜヘ䃀ᖏ ũЈ䂜ᖏ䅸ᖏ씈ᖄŢЈ,šЈ佴ミ㐠Ȋ䆜ᖏ䄨ᖏ ŚЌ㺬ヸ佈ミ㹼ヸ㐠ꗜヘ䅰ᖏ œЈ䅌ᖏ䈨ᖏ䃈ᖏŌЈenŋЈ佴ミ㐠ȍ䉌ᖏ䇘ᖏ ńЌ㺬ヸ佈ミ㹼ヸ㐠ꗜヘ䈠ᖏ ĽЈ䇼ᖏ䋘ᖏ䅸ᖏĶЈlaĵЈ佴ミ㐠Ȑ䋼ᖏ䊈ᖏ ĮЌ㺬ヸ佈ミ㹼ヸ㐠ꗜヘ䋐ᖏ ħЈ䊬ᖏ䎘ᖏ䈨ᖏĠЈorganizaciónĝЈ佴ミ㐠ȝ䎼ᖏ䍈ᖏ ĖЌ㺬ヸ佈ミ㹼ヸ㐠ꗜヘ䎐ᖏ ďЈ䍬ᖏ䑈ᖏ䋘ᖏĈЈ&#10;MundoćЈ佴ミ㐠ȣ䑬ᖏ䏸ᖏ ĀЌ㺬ヸ佈ミ㹼ヸ㐠ꗜヘ䑀ᖏ ǹЈ䐜ᖏ䔈ᖏ䎘ᖏǲЈLimpioǯЈ佴ミ㐠Ȫ䔬ᖏ䒸ᖏ ǨЌ㺬ヸ佈ミ㹼ヸ㐠ꗜヘ䔀ᖏ ǡЈ䓜ᖏ䖸ᖏ䑈ᖏǚЈseǙЈ佴ミ㐠ȭ䗜ᖏ䕨ᖏ ǒЌ㺬ヸ佈ミ㹼ヸ㐠ꗜヘ䖰ᖏ ǋЈ䖌ᖏ䙨ᖏ䔈ᖏǄЈcreóǃЈ佴ミ㐠Ȳ䚌ᖏ䘘ᖏ ƼЌ㺬ヸ佈ミ㹼ヸ㐠ꗜヘ䙠ᖏ ƵЈ䘼ᖏ䜨ᖏ䖸ᖏƮЈtambiénƫЈ佴ミ㐠Ⱥ䝌ᖏ䛘ᖏ ƤЌ㺬ヸ佈ミ㹼ヸ㐠ꗜヘ䜠ᖏ ƝЈ䛼ᖏ䟘ᖏ䙨ᖏƖЈunaƕЈ佴ミ㐠Ⱦ䟼ᖏ䞈ᖏ ƎЌ㺬ヸ佈ミ㹼ヸ㐠ꗜヘ䟐ᖏ ƇЈ䞬ᖏ䢈ᖏ䜨ᖏƀЈ&#10;líneaſЈ佴ミ㐠Ʉ&#10;䢬ᖏ䠸ᖏ ŸЌ㺬ヸ佈ミ㹼ヸ㐠ꗜヘ䢀ᖏ űЈ䡜ᖏ䥈ᖏ䟘ᖏŪЈtelefónicaŧЈ佴ミ㐠ɏ䥬ᖏ䣸ᖏ ŠЌ㺬ヸ佈ミ㹼ヸ㐠ꗜヘ䥀ᖏ řЈ䤜ᖏ䧸ᖏ䢈ᖏŒЈdeőЈ佴ミ㐠ɒ䨜ᖏ䦨ᖏ ŊЌ㺬ヸ佈ミ㹼ヸ㐠ꗜヘ䧰ᖏ ŃЈ䧌ᖏ䪨ᖏ䥈ᖏļЈ&#10;ayudaĻЈ佴ミ㐠ɗ䫌ᖏ䩘ᖏ ĴЌ㺬ヸ佈ミ㹼ヸ㐠ꗜヘ䪠ᖏ ĭЈ䩼ᖏ䭘ᖏ䧸ᖏĦЈ.ĥЈ佴ミ㐠ɘ䭼ᖏ䬈ᖏ ĞЌ㺬ヸ佈ミ㹼ヸ㐠ꗜヘ䭐ᖏ ėЈ䬬ᖏ仨ᖏ䪨ᖏĐЈ&#10;ďЈ.nĊЈ&#10;ayudaĉЈ&#10;EstosĄЈcentrosciónāЈprestancaǺЈ347n Listn ǷЈrehabilitaciónMundo Limpio ǬЈ哔ᖏ喈ᖏ呀ᖏID ǩЌ㺬ヸ佈ミ㹼ヸ㐠ꗜヘ멸ᖰró ǞА,,6￼ook ǚЌ㺬ヸ佈ミ㹼ヸ㐠ꗜヘꁸᖜ ǓА131ﮐᖏǏЈ佴ミ㐠ﺴᖎ亘ᖏǈЈ㳄ヸꅀᖓ㰔ヸ买ミ쬠ᖋ㊘ᕼ帀#廨ǀА,,7￼唠ᕺƼЈૐ๾ƴА,욈ବ࿶榨ᕜưЎ塀ᖀkeKey1e2ᖲ ƬЌ㺬ヸ佈ミ㹼ヸ㐠ꗜヘ仠ᖏ ƥЈ亼ᖏ侀ᖏ䭘ᖏƞЈ佴ミ㐠䮔ᖏ估ᖏ ƛЌ㺬ヸ佈ミ㹼ヸ㐠ꗜヘ佸ᖏ ƐЈ佔ᖏ傀ᖏ仨ᖏƍЈ佴ミ㐠䯄ᖏ俈ᖏ ƆЌ㺬ヸ佈ミ㹼ヸ㐠ꗜヘ偸ᖏကЀ  ſЌ㺬ヸ佈ミ㹼ヸ㐠ꗜヘㆰᖲ ŴА,2￼ŰЈ俬ᖏ儘ᖏ侀ᖏŭЈ佴ミ㐠䯜ᖏ僈ᖏ ŦЌ㺬ヸ佈ミ㹼ヸ㐠ꗜヘ儐ᖏ şЈ僬ᖏ冰ᖏ傀ᖏŘЈ佴ミ㐠䰄ᖏ兠ᖏ ŕЌ㺬ヸ佈ミ㹼ヸ㐠ꗜヘ冨ᖏ ŊЈ冄ᖏ剈ᖏ儘ᖏŇЈ佴ミ㐠䮬ᖏ凸ᖏ ŀЌ㺬ヸ佈ミ㹼ヸ㐠ꗜヘ剀ᖏ ĹЈ刜ᖏ勠ᖏ冰ᖏĲЈ佴ミ㐠&quot;匄ᖏ劐ᖏ įЌ㺬ヸ佈ミ㹼ヸ㐠ꗜヘ勘ᖏ ĤЈ労ᖏ厐ᖏ剈ᖏġЈaĜЈ佴ミ㐠$厴ᖏ區ᖏ ęЌ㺬ヸ佈ミ㹼ヸ㐠ꗜヘ厈ᖏ ĎЈ卤ᖏ呀ᖏ勠ᖏċЈtodaĆЈ佴ミ㐠)呤ᖏ台ᖏ ăЌ㺬ヸ佈ミ㹼ヸ㐠ꗜヘ吸ᖏ ǸЈ吔ᖏ䲠ᖏ厐ᖏǵЈvíctimaǮЈ佴ミ㐠1哼ᖏ咰ᖏ ǫЌ㺬ヸ佈ミ㹼ヸ㐠ꗜヘ䲘ᖏ ǠЈdeǟЈ佴ミ㐠4喬ᖏ唸ᖏ ǘЌ㺬ヸ佈ミ㹼ヸ㐠ꗜヘ喀ᖏ ǑЈ啜ᖏ嘸ᖏ䲠ᖏǊЈlaǉЈ佴ミ㐠7噜ᖏ嗨ᖏ ǂЌ㺬ヸ佈ミ㹼ヸ㐠ꗜヘ嘰ᖏ ƻЈ嘌ᖏ囨ᖏ喈ᖏƴЈ&#10;trataƳЈ佴ミ㐠=圌ᖏ嚘ᖏ ƬЌ㺬ヸ佈ミ㹼ヸ㐠ꗜヘ因ᖏ ƥЈ嚼ᖏ垘ᖏ嘸ᖏƞЈqueƝЈ佴ミ㐠A垼ᖏ坈ᖏ ƖЌ㺬ヸ佈ミ㹼ヸ㐠ꗜヘ垐ᖏ ƏЈ坬ᖏ塈ᖏ囨ᖏƈЈloƇЈ佴ミ㐠D塬ᖏ埸ᖏ ƀЌ㺬ヸ佈ミ㹼ヸ㐠ꗜヘ塀ᖏ ŹЈ堜ᖏ夈ᖏ垘ᖏŲЈsoliciteůЈ佴ミ㐠L夬ᖏ墸ᖏ ŨЌ㺬ヸ佈ミ㹼ヸ㐠ꗜヘ夀ᖏ šЈ壜ᖏ妸ᖏ塈ᖏŚЈ,řЈ佴ミ㐠N姜ᖏ奨ᖏ ŒЌ㺬ヸ佈ミ㹼ヸ㐠ꗜヘ妰ᖏ ŋЈ妌ᖏ婨ᖏ夈ᖏńЈseaŃЈ佴ミ㐠R媌ᖏ娘ᖏ ļЌ㺬ヸ佈ミ㹼ヸ㐠ꗜヘ婠ᖏ ĵЈ娼ᖏ嬘ᖏ妸ᖏĮЈcualĭЈ佴ミ㐠W嬼ᖏ嫈ᖏ ĦЌ㺬ヸ佈ミ㹼ヸ㐠ꗜヘ嬐ᖏ ğЈ嫬ᖏ寈ᖏ婨ᖏĘЈseaėЈ佴ミ㐠[寬ᖏ學ᖏ ĐЌ㺬ヸ佈ミ㹼ヸ㐠ꗜヘ寀ᖏ ĉЈ宜ᖏ屸ᖏ嬘ᖏĂЈsuāЈ佴ミ㐠^岜ᖏ尨ᖏ ǺЌ㺬ヸ佈ミ㹼ヸ㐠ꗜヘ屰ᖏ ǳЈ屌ᖏ崸ᖏ寈ᖏǬЈactitudǩЈ佴ミ㐠f嵜ᖏ峨ᖏ ǢЌ㺬ヸ佈ミ㹼ヸ㐠ꗜヘ崰ᖏ ǛЈ崌ᖏ巨ᖏ屸ᖏǔЈyǓЈ佴ミ㐠h希ᖏ嶘ᖏ ǌЌ㺬ヸ佈ミ㹼ヸ㐠ꗜヘ巠ᖏ ǅЈ嶼ᖏ庘ᖏ崸ᖏƾЈsuƽЈ佴ミ㐠k庼ᖏ幈ᖏ ƶЌ㺬ヸ佈ミ㹼ヸ㐠ꗜヘ庐ᖏ ƯЈ幬ᖏ彈ᖏ巨ᖏƨЈ&#10;deseoƧЈ佴ミ㐠q彬ᖏ廸ᖏ ƠЌ㺬ヸ佈ミ㹼ヸ㐠ꗜヘ彀ᖏ ƙЈ弜ᖏ忸ᖏ庘ᖏƒЈoƑЈ佴ミ㐠s怜ᖏ徨ᖏ ƊЌ㺬ヸ佈ミ㹼ヸ㐠ꗜヘ忰ᖏ ƃЈ忌ᖏ您ᖏ彈ᖏżЈnoŻЈ佴ミ㐠v惌ᖏ恘ᖏ ŴЌ㺬ヸ佈ミ㹼ヸ㐠ꗜヘ悠ᖏ ŭЈ恼ᖏ慘ᖏ忸ᖏŦЈenťЈ佴ミ㐠y慼ᖏ愈ᖏ ŞЌ㺬ヸ佈ミ㹼ヸ㐠ꗜヘ慐ᖏ ŗЈ愬ᖏ战ᖏ您ᖏŐЈcuantoōЈ佴ミ㐠戼ᖏ懈ᖏ ņЌ㺬ヸ佈ミ㹼ヸ㐠ꗜヘ成ᖏ ĿЈ懬ᖏ拈ᖏ慘ᖏĸЈaķЈ佴ミ㐠 括ᖏ扸ᖏ İЌ㺬ヸ佈ミ㹼ヸ㐠ꗜヘ拀ᖏ ĩЈ抜ᖏ授ᖏ战ᖏĢЈcolaborarğЈ佴ミ㐠掬ᖏ挸ᖏ ĘЌ㺬ヸ佈ミ㹼ヸ㐠ꗜヘ掀ᖏ đЈ捜ᖏ搸ᖏ拈ᖏĊЈconĉЈ佴ミ㐠摜ᖏ揨ᖏ ĂЌ㺬ヸ佈ミ㹼ヸ㐠ꗜヘ搰ᖏ ǻЈ搌ᖏ擨ᖏ授ᖏǴЈlosǳЈ佴ミ㐠攌ᖏ撘ᖏ ǬЌ㺬ヸ佈ミ㹼ヸ㐠ꗜヘ擠ᖏ ǥЈ撼ᖏ斨ᖏ搸ᖏǞЈórganosǛЈ佴ミ㐠&#10;旌ᖏ敘ᖏ ǔЌ㺬ヸ佈ミ㹼ヸ㐠ꗜヘ斠ᖏ ǍЈ敼ᖏ晨ᖏ擨ᖏǆЈjudicialesǃЈ佴ミ㐠§暌ᖏ昘ᖏ ƼЌ㺬ヸ佈ミ㹼ヸ㐠ꗜヘ晠ᖏ ƵЈ昼ᖏ朘ᖏ斨ᖏƮЈyƭЈ佴ミ㐠©朼ᖏ曈ᖏ ƦЌ㺬ヸ佈ミ㹼ヸ㐠ꗜヘ朐ᖏ ƟЈ曬ᖏ柘ᖏ晨ᖏƘЈprestarƕЈ佴ミ㐠±&#10;柼ᖏ枈ᖏ ƎЌ㺬ヸ佈ミ㹼ヸ㐠ꗜヘ某ᖏ ƇЈ枬ᖏ梘ᖏ朘ᖏƀЈtestimonioŽЈ佴ミ㐠¼梼ᖏ案ᖏ ŶЌ㺬ヸ佈ミ㹼ヸ㐠ꗜヘ梐ᖏ ůЈ桬ᖏ楘ᖏ柘ᖏŨЈcontraťЈ佴ミ㐠Ã楼ᖏ椈ᖏ ŞЌ㺬ヸ佈ミ㹼ヸ㐠ꗜヘ楐ᖏ ŗЈ椬ᖏ樈ᖏ梘ᖏŐЈlosŏЈ佴ミ㐠Ç樬ᖏ榸ᖏ ňЌ㺬ヸ佈ミ㹼ヸ㐠ꗜヘ樀ᖏ ŁЈ槜ᖏ櫈ᖏ楘ᖏĺЈtraficantesķЈ佴ミ㐠Ó櫬ᖏ橸ᖏ İЌ㺬ヸ佈ミ㹼ヸ㐠ꗜヘ櫀ᖏ ĩЈ檜ᖏ歸ᖏ樈ᖏĢЈdeġЈ佴ミ㐠Ö殜ᖏ欨ᖏ ĚЌ㺬ヸ佈ミ㹼ヸ㐠ꗜヘ歰ᖏ ēЈ歌ᖏ永ᖏ櫈ᖏČЈpersonasĉЈ佴ミ㐠Þ汜ᖏ毨ᖏ ĂЌ㺬ヸ佈ミ㹼ヸ㐠ꗜヘ氰ᖏ ǻЈ氌ᖏ注ᖏ歸ᖏǴЈ.ǳЈ佴ミ㐠à洌ᖏ沘ᖏ ǬЌ㺬ヸ佈ミ㹼ヸ㐠ꗜヘ泠ᖏ ǥЈ沼ᖏ湘ᖏ永ᖏǞЈ&#10;ǝЈqueǘЈ.tosǗЈ&#10;TodosǒЈserviciosǏЈ348n ListǈЈlosonas.ǅЈ佴ミ㐠䰬ᖏ済ᖏ ƾЌ㺬ヸ佈ミ㹼ヸ㐠ꗜヘ湐ᖏ ƷЈ測ᖏ滰ᖏ注ᖏưЈ佴ミ㐠洼ᖏ溠ᖏ ƭЌ㺬ヸ佈ミ㹼ヸ㐠ꗜヘ滨ᖏ ƢЈ滄ᖏ澈ᖏ湘ᖏƟЈ佴ミ㐠浔ᖏ漸ᖏ ƘЌ㺬ヸ佈ミ㹼ヸ㐠ꗜヘ澀ᖏ ƑЈ潜ᖏ濘ᖏ滰ᖏƊЈ佴ミ㐠涼ᖏတᖅƇЈဴᖅაᖅ澈ᖏ ƀЌ㺬ヸ佈ミ㹼ヸ㐠ꗜヘᒠᖅ ŹЈsonŴЈ佴ミ㐠I 烴ᖏ炀ᖏ űЌ㺬ヸ佈ミ㹼ヸ㐠ꗜヘ烈ᖏ ŦЈ炤ᖏ熐ᖏᒨᖅţЈgratuitosŜЈ佴ミ㐠R熴ᖏ煀ᖏ řЌ㺬ヸ佈ミ㹼ヸ㐠ꗜヘ熈ᖏ ŎЈ煤ᖏ牀ᖏ烐ᖏŋЈ.ņЈ佴ミ㐠T牤ᖏ燰ᖏ ŃЌ㺬ヸ佈ミ㹼ヸ㐠ꗜヘ爸ᖏ ĸЈ爔ᖏ狰ᖏ熐ᖏĵЈSeİЈ佴ミ㐠W猔ᖏ犠ᖏ ĭЌ㺬ヸ佈ミ㹼ヸ㐠ꗜヘ狨ᖏ ĢЈ狄ᖏ现ᖏ牀ᖏğЈprohíbeĘЈ佴ミ㐠_珔ᖏ獠ᖏ ĕЌ㺬ヸ佈ミ㹼ヸ㐠ꗜヘ玨ᖏ ĊЈ玄ᖏ瑰ᖏ狰ᖏćЈcobrarĀЈ佴ミ㐠f璔ᖏ琠ᖏ ǽЌ㺬ヸ佈ミ㹼ヸ㐠ꗜヘ瑨ᖏ ǲЈ瑄ᖏ甠ᖏ现ᖏǯЈporǪЈ佴ミ㐠j畄ᖏ瓐ᖏ ǧЌ㺬ヸ佈ミ㹼ヸ㐠ꗜヘ甘ᖏ ǜЈ瓴ᖏ痐ᖏ瑰ᖏǙЈlosǔЈ佴ミ㐠n 痴ᖏ疀ᖏ ǑЌ㺬ヸ佈ミ㹼ヸ㐠ꗜヘ痈ᖏ ǆЈ疤ᖏ皐ᖏ甠ᖏǃЈserviciosƼЈ佴ミ㐠x皴ᖏ癀ᖏ ƹЌ㺬ヸ佈ミ㹼ヸ㐠ꗜヘ皈ᖏ ƮЈ癤ᖏ着ᖏ痐ᖏƫЈdeƦЈ佴ミ㐠{睤ᖏ盰ᖏ ƣЌ㺬ヸ佈ミ㹼ヸ㐠ꗜヘ眸ᖏ ƘЈ眔ᖏ矰ᖏ皐ᖏƕЈ&#10;estasƐЈ佴ミ㐠&#10;研ᖏ瞠ᖏ ƍЌ㺬ヸ佈ミ㹼ヸ㐠ꗜヘ矨ᖏ ƂЈ矄ᖏ碰ᖏ着ᖏſЈinstitucionesŸЈ佴ミ㐠磔ᖏ硠ᖏ ŵЌ㺬ヸ佈ミ㹼ヸ㐠ꗜヘ碨ᖏ ŪЈ碄ᖏ祠ᖏ矰ᖏŧЈ.ŢЈ佴ミ㐠禄ᖏ礐ᖏ şЌ㺬ヸ佈ミ㹼ヸ㐠ꗜヘ祘ᖏ ŔЈ礴ᖏ竐ᖏ碰ᖏőЈ&#10;ŌЈdeasŋЈ.dosņЈlasŅЈ.ken ListľЈLa1tucionesĻЈsocialos.ĴЈ佴ミ㐠涔ᖏ窀ᖏ ıЌ㺬"/>
        </w:smartTagPr>
        <w:r>
          <w:rPr>
            <w:spacing w:val="0"/>
            <w:lang w:val="es-ES"/>
          </w:rPr>
          <w:t>la Org</w:t>
        </w:r>
        <w:r>
          <w:rPr>
            <w:spacing w:val="0"/>
            <w:lang w:val="es-ES"/>
          </w:rPr>
          <w:t>a</w:t>
        </w:r>
        <w:r>
          <w:rPr>
            <w:spacing w:val="0"/>
            <w:lang w:val="es-ES"/>
          </w:rPr>
          <w:t>nización Mundial</w:t>
        </w:r>
      </w:smartTag>
      <w:r>
        <w:rPr>
          <w:spacing w:val="0"/>
          <w:lang w:val="es-ES"/>
        </w:rPr>
        <w:t xml:space="preserve"> de la Salud.</w:t>
      </w:r>
    </w:p>
    <w:p w:rsidR="001D2E73" w:rsidRDefault="001D2E73">
      <w:pPr>
        <w:pStyle w:val="SingleTxtGR"/>
        <w:rPr>
          <w:spacing w:val="0"/>
          <w:lang w:val="es-ES"/>
        </w:rPr>
      </w:pPr>
      <w:r>
        <w:rPr>
          <w:spacing w:val="0"/>
          <w:lang w:val="es-ES"/>
        </w:rPr>
        <w:t>420.</w:t>
      </w:r>
      <w:r>
        <w:rPr>
          <w:spacing w:val="0"/>
          <w:lang w:val="es-ES"/>
        </w:rPr>
        <w:tab/>
        <w:t>En el artículo 43 de la Constitución, el Estado alienta la construcción de viviendas y adopta medidas especiales para materializar el derecho de los ciudadanos a la vivienda.</w:t>
      </w:r>
    </w:p>
    <w:p w:rsidR="001D2E73" w:rsidRDefault="001D2E73">
      <w:pPr>
        <w:pStyle w:val="SingleTxtGR"/>
        <w:rPr>
          <w:spacing w:val="0"/>
          <w:lang w:val="es-ES"/>
        </w:rPr>
      </w:pPr>
      <w:r>
        <w:rPr>
          <w:spacing w:val="0"/>
          <w:lang w:val="es-ES"/>
        </w:rPr>
        <w:t>421.</w:t>
      </w:r>
      <w:r>
        <w:rPr>
          <w:spacing w:val="0"/>
          <w:lang w:val="es-ES"/>
        </w:rPr>
        <w:tab/>
        <w:t>En el artículo 17 de la Ley del estatuto jurídico de extranjeros y apátridas se estipula que los extranjeros y apátridas con residencia permanente en t</w:t>
      </w:r>
      <w:r>
        <w:rPr>
          <w:spacing w:val="0"/>
          <w:lang w:val="es-ES"/>
        </w:rPr>
        <w:t>e</w:t>
      </w:r>
      <w:r>
        <w:rPr>
          <w:spacing w:val="0"/>
          <w:lang w:val="es-ES"/>
        </w:rPr>
        <w:t>rritorio de la República de Azerbaiyán tienen derecho a recibir una vivienda del fondo estatal, departamental o social, conforme a las normas y al procedimiento establecido para los ciudadanos de Azerbaiyán, a menos que en la legislación se disponga otra cosa.</w:t>
      </w:r>
    </w:p>
    <w:p w:rsidR="001D2E73" w:rsidRDefault="001D2E73">
      <w:pPr>
        <w:pStyle w:val="SingleTxtGR"/>
        <w:rPr>
          <w:spacing w:val="0"/>
          <w:lang w:val="es-ES"/>
        </w:rPr>
      </w:pPr>
      <w:r>
        <w:rPr>
          <w:spacing w:val="0"/>
          <w:lang w:val="es-ES"/>
        </w:rPr>
        <w:t>422.</w:t>
      </w:r>
      <w:r>
        <w:rPr>
          <w:spacing w:val="0"/>
          <w:lang w:val="es-ES"/>
        </w:rPr>
        <w:tab/>
        <w:t>La Ley de la política para la juventud, de 9 de abril de 2002, estipula que para la construcción de una vivienda o la adquisición de un apartamento y fundar un hogar, las familias jóvenes reciben préstamos en condiciones favorables, cuya amortización, monto y procedimiento de otorgamiento se establecen en la legislación.</w:t>
      </w:r>
    </w:p>
    <w:p w:rsidR="001D2E73" w:rsidRDefault="001D2E73">
      <w:pPr>
        <w:pStyle w:val="SingleTxtGR"/>
        <w:rPr>
          <w:spacing w:val="0"/>
          <w:lang w:val="es-ES"/>
        </w:rPr>
      </w:pPr>
      <w:r>
        <w:rPr>
          <w:spacing w:val="0"/>
          <w:lang w:val="es-ES"/>
        </w:rPr>
        <w:t>423.</w:t>
      </w:r>
      <w:r>
        <w:rPr>
          <w:spacing w:val="0"/>
          <w:lang w:val="es-ES"/>
        </w:rPr>
        <w:tab/>
        <w:t>En la Ley de hipotecas, aprobada el 15 de abril de 2005, se establecen los fu</w:t>
      </w:r>
      <w:r>
        <w:rPr>
          <w:spacing w:val="0"/>
          <w:lang w:val="es-ES"/>
        </w:rPr>
        <w:t>n</w:t>
      </w:r>
      <w:r>
        <w:rPr>
          <w:spacing w:val="0"/>
          <w:lang w:val="es-ES"/>
        </w:rPr>
        <w:t>damentos para la creación de hipotecas, su registro estatal, el reglamento sobre el deber ciudadano de pagar las deudas y otras obligaciones contraídas en virtud de de una hipoteca y los derechos y deberes de las partes en un contrato de préstamo hipotec</w:t>
      </w:r>
      <w:r>
        <w:rPr>
          <w:spacing w:val="0"/>
          <w:lang w:val="es-ES"/>
        </w:rPr>
        <w:t>a</w:t>
      </w:r>
      <w:r>
        <w:rPr>
          <w:spacing w:val="0"/>
          <w:lang w:val="es-ES"/>
        </w:rPr>
        <w:t>rio.</w:t>
      </w:r>
    </w:p>
    <w:p w:rsidR="001D2E73" w:rsidRDefault="001D2E73">
      <w:pPr>
        <w:pStyle w:val="SingleTxtGR"/>
        <w:rPr>
          <w:spacing w:val="0"/>
          <w:lang w:val="es-ES"/>
        </w:rPr>
      </w:pPr>
      <w:r>
        <w:rPr>
          <w:spacing w:val="0"/>
          <w:lang w:val="es-ES"/>
        </w:rPr>
        <w:t>424.</w:t>
      </w:r>
      <w:r>
        <w:rPr>
          <w:spacing w:val="0"/>
          <w:lang w:val="es-ES"/>
        </w:rPr>
        <w:tab/>
        <w:t>En 2005 en virtud del Decreto presidencial sobre la creación de un sistema de prést</w:t>
      </w:r>
      <w:r>
        <w:rPr>
          <w:spacing w:val="0"/>
          <w:lang w:val="es-ES"/>
        </w:rPr>
        <w:t>a</w:t>
      </w:r>
      <w:r>
        <w:rPr>
          <w:spacing w:val="0"/>
          <w:lang w:val="es-ES"/>
        </w:rPr>
        <w:t>mos hipotecarios en Azerbaiyán, se creó en el Banco Nacional el Fondo Azerbaiyano de Hipotecas.</w:t>
      </w:r>
    </w:p>
    <w:p w:rsidR="001D2E73" w:rsidRDefault="001D2E73">
      <w:pPr>
        <w:pStyle w:val="SingleTxtGR"/>
        <w:rPr>
          <w:spacing w:val="0"/>
          <w:lang w:val="es-ES"/>
        </w:rPr>
      </w:pPr>
      <w:r>
        <w:rPr>
          <w:spacing w:val="0"/>
          <w:lang w:val="es-ES"/>
        </w:rPr>
        <w:t>425.</w:t>
      </w:r>
      <w:r>
        <w:rPr>
          <w:spacing w:val="0"/>
          <w:lang w:val="es-ES"/>
        </w:rPr>
        <w:tab/>
        <w:t>Asimismo, un Decreto presidencial de 2005 ratificó el Reglamento del Fondo Azerbaiyano de Hipotecas del Banco Nacional de Azerbaiyán y el Reglamento de concesión de préstamos hipotecarios con cargo al Fondo Azerbaiyano de Hipotecas del Banco Nacional de Azerbaiyán.</w:t>
      </w:r>
    </w:p>
    <w:p w:rsidR="001D2E73" w:rsidRDefault="001D2E73">
      <w:pPr>
        <w:pStyle w:val="SingleTxtGR"/>
        <w:rPr>
          <w:spacing w:val="0"/>
          <w:lang w:val="es-ES"/>
        </w:rPr>
      </w:pPr>
      <w:r>
        <w:rPr>
          <w:spacing w:val="0"/>
          <w:lang w:val="es-ES"/>
        </w:rPr>
        <w:t>426.</w:t>
      </w:r>
      <w:r>
        <w:rPr>
          <w:spacing w:val="0"/>
          <w:lang w:val="es-ES"/>
        </w:rPr>
        <w:tab/>
        <w:t>En 2007, en virtud del Decreto presidencial sobre el perfeccion</w:t>
      </w:r>
      <w:r>
        <w:rPr>
          <w:spacing w:val="0"/>
          <w:lang w:val="es-ES"/>
        </w:rPr>
        <w:t>a</w:t>
      </w:r>
      <w:r>
        <w:rPr>
          <w:spacing w:val="0"/>
          <w:lang w:val="es-ES"/>
        </w:rPr>
        <w:t>miento del mecanismo de concesión de préstamos hipotecarios en Azerbaiyán, a</w:t>
      </w:r>
      <w:r>
        <w:rPr>
          <w:spacing w:val="0"/>
          <w:lang w:val="es-ES"/>
        </w:rPr>
        <w:t>u</w:t>
      </w:r>
      <w:r>
        <w:rPr>
          <w:spacing w:val="0"/>
          <w:lang w:val="es-ES"/>
        </w:rPr>
        <w:t>mentó de 15 a 25 años el plazo de amortización del préstamo hipotecario. El monto del crédito aumento a 50.000 manat. Por otra parte, el tipo de interés del préstamo hipotecario se redujo de 12 a 8%.</w:t>
      </w:r>
    </w:p>
    <w:p w:rsidR="001D2E73" w:rsidRDefault="001D2E73">
      <w:pPr>
        <w:pStyle w:val="SingleTxtGR"/>
        <w:rPr>
          <w:spacing w:val="0"/>
          <w:lang w:val="es-ES"/>
        </w:rPr>
      </w:pPr>
      <w:r>
        <w:rPr>
          <w:spacing w:val="0"/>
          <w:lang w:val="es-ES"/>
        </w:rPr>
        <w:t>427.</w:t>
      </w:r>
      <w:r>
        <w:rPr>
          <w:spacing w:val="0"/>
          <w:lang w:val="es-ES"/>
        </w:rPr>
        <w:tab/>
        <w:t>En virtud de esa Ley y con el fin de mejorar la situación social de las familias jóvenes y de militares se aprobó también el Reglamento de concesión de préstamos hipotecarios en condiciones favorables. De conformidad con ese Reglamento, los préstamos hipotecarios en condiciones favorables, que no pueden ser superiores a 35.000 manat, se conceden por un plazo de entre 3 y 30 años, y el tipo de interés anual no puede rebasar el 4%.</w:t>
      </w:r>
    </w:p>
    <w:p w:rsidR="001D2E73" w:rsidRDefault="001D2E73">
      <w:pPr>
        <w:spacing w:before="240" w:after="120"/>
      </w:pPr>
      <w:r>
        <w:tab/>
      </w:r>
      <w:r>
        <w:tab/>
        <w:t>Cuadro 19</w:t>
      </w:r>
      <w:r>
        <w:br/>
      </w:r>
      <w:r>
        <w:tab/>
      </w:r>
      <w:r>
        <w:tab/>
      </w:r>
      <w:r>
        <w:rPr>
          <w:b/>
        </w:rPr>
        <w:t>Aumento del número de viviendas</w:t>
      </w:r>
      <w:r>
        <w:rPr>
          <w:b/>
        </w:rPr>
        <w:br/>
      </w:r>
      <w:r>
        <w:rPr>
          <w:b/>
        </w:rPr>
        <w:tab/>
      </w:r>
      <w:r>
        <w:rPr>
          <w:b/>
        </w:rPr>
        <w:tab/>
      </w:r>
      <w:r>
        <w:rPr>
          <w:sz w:val="16"/>
          <w:szCs w:val="16"/>
        </w:rPr>
        <w:t>(miles de metros cuadrados)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841"/>
        <w:gridCol w:w="1843"/>
        <w:gridCol w:w="1843"/>
        <w:gridCol w:w="1843"/>
      </w:tblGrid>
      <w:tr w:rsidR="001D2E73">
        <w:trPr>
          <w:tblHeader/>
        </w:trPr>
        <w:tc>
          <w:tcPr>
            <w:tcW w:w="1841" w:type="dxa"/>
            <w:vMerge w:val="restart"/>
            <w:tcBorders>
              <w:top w:val="single" w:sz="4" w:space="0" w:color="auto"/>
            </w:tcBorders>
            <w:shd w:val="clear" w:color="auto" w:fill="auto"/>
          </w:tcPr>
          <w:p w:rsidR="001D2E73" w:rsidRDefault="001D2E73">
            <w:pPr>
              <w:spacing w:before="80" w:after="80" w:line="200" w:lineRule="exact"/>
              <w:rPr>
                <w:i/>
                <w:sz w:val="16"/>
                <w:szCs w:val="16"/>
              </w:rPr>
            </w:pPr>
          </w:p>
        </w:tc>
        <w:tc>
          <w:tcPr>
            <w:tcW w:w="1843" w:type="dxa"/>
            <w:vMerge w:val="restart"/>
            <w:tcBorders>
              <w:top w:val="single" w:sz="4" w:space="0" w:color="auto"/>
            </w:tcBorders>
            <w:shd w:val="clear" w:color="auto" w:fill="auto"/>
            <w:vAlign w:val="bottom"/>
          </w:tcPr>
          <w:p w:rsidR="001D2E73" w:rsidRDefault="001D2E73">
            <w:pPr>
              <w:spacing w:before="80" w:after="80" w:line="200" w:lineRule="exact"/>
              <w:jc w:val="right"/>
              <w:rPr>
                <w:b/>
                <w:i/>
                <w:sz w:val="16"/>
                <w:szCs w:val="16"/>
              </w:rPr>
            </w:pPr>
            <w:r>
              <w:rPr>
                <w:b/>
                <w:i/>
                <w:sz w:val="16"/>
                <w:szCs w:val="16"/>
              </w:rPr>
              <w:t>Total</w:t>
            </w:r>
          </w:p>
        </w:tc>
        <w:tc>
          <w:tcPr>
            <w:tcW w:w="3686" w:type="dxa"/>
            <w:gridSpan w:val="2"/>
            <w:tcBorders>
              <w:top w:val="single" w:sz="4" w:space="0" w:color="auto"/>
              <w:left w:val="nil"/>
              <w:bottom w:val="single" w:sz="4" w:space="0" w:color="auto"/>
              <w:right w:val="nil"/>
              <w:tl2br w:val="nil"/>
              <w:tr2bl w:val="nil"/>
            </w:tcBorders>
            <w:shd w:val="clear" w:color="auto" w:fill="auto"/>
          </w:tcPr>
          <w:p w:rsidR="001D2E73" w:rsidRDefault="001D2E73">
            <w:pPr>
              <w:spacing w:before="80" w:after="80" w:line="200" w:lineRule="exact"/>
              <w:jc w:val="center"/>
              <w:rPr>
                <w:i/>
                <w:sz w:val="16"/>
                <w:szCs w:val="16"/>
              </w:rPr>
            </w:pPr>
            <w:r>
              <w:rPr>
                <w:i/>
                <w:sz w:val="16"/>
                <w:szCs w:val="16"/>
              </w:rPr>
              <w:t>Desglosado:</w:t>
            </w:r>
          </w:p>
        </w:tc>
      </w:tr>
      <w:tr w:rsidR="001D2E73">
        <w:trPr>
          <w:tblHeader/>
        </w:trPr>
        <w:tc>
          <w:tcPr>
            <w:tcW w:w="1841" w:type="dxa"/>
            <w:vMerge/>
            <w:tcBorders>
              <w:bottom w:val="single" w:sz="12" w:space="0" w:color="auto"/>
            </w:tcBorders>
            <w:shd w:val="clear" w:color="auto" w:fill="auto"/>
          </w:tcPr>
          <w:p w:rsidR="001D2E73" w:rsidRDefault="001D2E73">
            <w:pPr>
              <w:spacing w:before="80" w:after="80" w:line="200" w:lineRule="exact"/>
              <w:rPr>
                <w:i/>
                <w:sz w:val="16"/>
                <w:szCs w:val="16"/>
              </w:rPr>
            </w:pPr>
          </w:p>
        </w:tc>
        <w:tc>
          <w:tcPr>
            <w:tcW w:w="1843" w:type="dxa"/>
            <w:vMerge/>
            <w:tcBorders>
              <w:bottom w:val="single" w:sz="12" w:space="0" w:color="auto"/>
            </w:tcBorders>
            <w:shd w:val="clear" w:color="auto" w:fill="auto"/>
          </w:tcPr>
          <w:p w:rsidR="001D2E73" w:rsidRDefault="001D2E73">
            <w:pPr>
              <w:spacing w:before="80" w:after="80" w:line="200" w:lineRule="exact"/>
              <w:rPr>
                <w:b/>
                <w:i/>
                <w:sz w:val="16"/>
                <w:szCs w:val="16"/>
              </w:rPr>
            </w:pPr>
          </w:p>
        </w:tc>
        <w:tc>
          <w:tcPr>
            <w:tcW w:w="1843"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szCs w:val="16"/>
              </w:rPr>
            </w:pPr>
            <w:r>
              <w:rPr>
                <w:i/>
                <w:sz w:val="16"/>
                <w:szCs w:val="16"/>
              </w:rPr>
              <w:t>En zonas urbanas</w:t>
            </w:r>
          </w:p>
        </w:tc>
        <w:tc>
          <w:tcPr>
            <w:tcW w:w="1843" w:type="dxa"/>
            <w:tcBorders>
              <w:top w:val="single" w:sz="4" w:space="0" w:color="auto"/>
              <w:left w:val="nil"/>
              <w:bottom w:val="single" w:sz="12" w:space="0" w:color="auto"/>
              <w:right w:val="nil"/>
              <w:tl2br w:val="nil"/>
              <w:tr2bl w:val="nil"/>
            </w:tcBorders>
            <w:shd w:val="clear" w:color="auto" w:fill="auto"/>
            <w:vAlign w:val="bottom"/>
          </w:tcPr>
          <w:p w:rsidR="001D2E73" w:rsidRDefault="001D2E73">
            <w:pPr>
              <w:spacing w:before="80" w:after="80" w:line="200" w:lineRule="exact"/>
              <w:jc w:val="right"/>
              <w:rPr>
                <w:i/>
                <w:sz w:val="16"/>
                <w:szCs w:val="16"/>
              </w:rPr>
            </w:pPr>
            <w:r>
              <w:rPr>
                <w:i/>
                <w:sz w:val="16"/>
                <w:szCs w:val="16"/>
              </w:rPr>
              <w:t>En zonas rurales</w:t>
            </w:r>
          </w:p>
        </w:tc>
      </w:tr>
      <w:tr w:rsidR="001D2E73">
        <w:tc>
          <w:tcPr>
            <w:tcW w:w="1841" w:type="dxa"/>
            <w:tcBorders>
              <w:top w:val="single" w:sz="12" w:space="0" w:color="auto"/>
            </w:tcBorders>
          </w:tcPr>
          <w:p w:rsidR="001D2E73" w:rsidRDefault="001D2E73">
            <w:pPr>
              <w:spacing w:before="40" w:after="40" w:line="220" w:lineRule="exact"/>
              <w:rPr>
                <w:sz w:val="18"/>
                <w:szCs w:val="18"/>
              </w:rPr>
            </w:pPr>
            <w:r>
              <w:rPr>
                <w:sz w:val="18"/>
                <w:szCs w:val="18"/>
              </w:rPr>
              <w:t>2003</w:t>
            </w:r>
          </w:p>
        </w:tc>
        <w:tc>
          <w:tcPr>
            <w:tcW w:w="1843" w:type="dxa"/>
            <w:tcBorders>
              <w:top w:val="single" w:sz="12" w:space="0" w:color="auto"/>
            </w:tcBorders>
          </w:tcPr>
          <w:p w:rsidR="001D2E73" w:rsidRDefault="001D2E73">
            <w:pPr>
              <w:spacing w:before="40" w:after="40" w:line="220" w:lineRule="exact"/>
              <w:jc w:val="right"/>
              <w:rPr>
                <w:b/>
                <w:sz w:val="18"/>
                <w:szCs w:val="18"/>
              </w:rPr>
            </w:pPr>
            <w:r>
              <w:rPr>
                <w:b/>
                <w:sz w:val="18"/>
                <w:szCs w:val="18"/>
              </w:rPr>
              <w:t>1 339</w:t>
            </w:r>
          </w:p>
        </w:tc>
        <w:tc>
          <w:tcPr>
            <w:tcW w:w="1843" w:type="dxa"/>
            <w:tcBorders>
              <w:top w:val="single" w:sz="12" w:space="0" w:color="auto"/>
            </w:tcBorders>
          </w:tcPr>
          <w:p w:rsidR="001D2E73" w:rsidRDefault="001D2E73">
            <w:pPr>
              <w:spacing w:before="40" w:after="40" w:line="220" w:lineRule="exact"/>
              <w:jc w:val="right"/>
              <w:rPr>
                <w:sz w:val="18"/>
                <w:szCs w:val="18"/>
              </w:rPr>
            </w:pPr>
            <w:r>
              <w:rPr>
                <w:sz w:val="18"/>
                <w:szCs w:val="18"/>
              </w:rPr>
              <w:t>745</w:t>
            </w:r>
          </w:p>
        </w:tc>
        <w:tc>
          <w:tcPr>
            <w:tcW w:w="1843" w:type="dxa"/>
            <w:tcBorders>
              <w:top w:val="single" w:sz="12" w:space="0" w:color="auto"/>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594</w:t>
            </w:r>
          </w:p>
        </w:tc>
      </w:tr>
      <w:tr w:rsidR="001D2E73">
        <w:tc>
          <w:tcPr>
            <w:tcW w:w="1841" w:type="dxa"/>
          </w:tcPr>
          <w:p w:rsidR="001D2E73" w:rsidRDefault="001D2E73">
            <w:pPr>
              <w:spacing w:before="40" w:after="40" w:line="220" w:lineRule="exact"/>
              <w:rPr>
                <w:sz w:val="18"/>
                <w:szCs w:val="18"/>
              </w:rPr>
            </w:pPr>
            <w:r>
              <w:rPr>
                <w:sz w:val="18"/>
                <w:szCs w:val="18"/>
              </w:rPr>
              <w:t>2004</w:t>
            </w:r>
          </w:p>
        </w:tc>
        <w:tc>
          <w:tcPr>
            <w:tcW w:w="1843" w:type="dxa"/>
          </w:tcPr>
          <w:p w:rsidR="001D2E73" w:rsidRDefault="001D2E73">
            <w:pPr>
              <w:spacing w:before="40" w:after="40" w:line="220" w:lineRule="exact"/>
              <w:jc w:val="right"/>
              <w:rPr>
                <w:b/>
                <w:sz w:val="18"/>
                <w:szCs w:val="18"/>
              </w:rPr>
            </w:pPr>
            <w:r>
              <w:rPr>
                <w:b/>
                <w:sz w:val="18"/>
                <w:szCs w:val="18"/>
              </w:rPr>
              <w:t>1 359</w:t>
            </w:r>
          </w:p>
        </w:tc>
        <w:tc>
          <w:tcPr>
            <w:tcW w:w="1843" w:type="dxa"/>
          </w:tcPr>
          <w:p w:rsidR="001D2E73" w:rsidRDefault="001D2E73">
            <w:pPr>
              <w:spacing w:before="40" w:after="40" w:line="220" w:lineRule="exact"/>
              <w:jc w:val="right"/>
              <w:rPr>
                <w:sz w:val="18"/>
                <w:szCs w:val="18"/>
              </w:rPr>
            </w:pPr>
            <w:r>
              <w:rPr>
                <w:sz w:val="18"/>
                <w:szCs w:val="18"/>
              </w:rPr>
              <w:t>1 008</w:t>
            </w:r>
          </w:p>
        </w:tc>
        <w:tc>
          <w:tcPr>
            <w:tcW w:w="1843"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351</w:t>
            </w:r>
          </w:p>
        </w:tc>
      </w:tr>
      <w:tr w:rsidR="001D2E73">
        <w:tc>
          <w:tcPr>
            <w:tcW w:w="1841" w:type="dxa"/>
            <w:tcBorders>
              <w:bottom w:val="nil"/>
            </w:tcBorders>
          </w:tcPr>
          <w:p w:rsidR="001D2E73" w:rsidRDefault="001D2E73">
            <w:pPr>
              <w:spacing w:before="40" w:after="40" w:line="220" w:lineRule="exact"/>
              <w:rPr>
                <w:sz w:val="18"/>
                <w:szCs w:val="18"/>
              </w:rPr>
            </w:pPr>
            <w:r>
              <w:rPr>
                <w:sz w:val="18"/>
                <w:szCs w:val="18"/>
              </w:rPr>
              <w:t>2005</w:t>
            </w:r>
          </w:p>
        </w:tc>
        <w:tc>
          <w:tcPr>
            <w:tcW w:w="1843" w:type="dxa"/>
            <w:tcBorders>
              <w:bottom w:val="nil"/>
            </w:tcBorders>
          </w:tcPr>
          <w:p w:rsidR="001D2E73" w:rsidRDefault="001D2E73">
            <w:pPr>
              <w:spacing w:before="40" w:after="40" w:line="220" w:lineRule="exact"/>
              <w:jc w:val="right"/>
              <w:rPr>
                <w:b/>
                <w:sz w:val="18"/>
                <w:szCs w:val="18"/>
              </w:rPr>
            </w:pPr>
            <w:r>
              <w:rPr>
                <w:b/>
                <w:sz w:val="18"/>
                <w:szCs w:val="18"/>
              </w:rPr>
              <w:t>1 593</w:t>
            </w:r>
          </w:p>
        </w:tc>
        <w:tc>
          <w:tcPr>
            <w:tcW w:w="1843" w:type="dxa"/>
            <w:tcBorders>
              <w:bottom w:val="nil"/>
            </w:tcBorders>
          </w:tcPr>
          <w:p w:rsidR="001D2E73" w:rsidRDefault="001D2E73">
            <w:pPr>
              <w:spacing w:before="40" w:after="40" w:line="220" w:lineRule="exact"/>
              <w:jc w:val="right"/>
              <w:rPr>
                <w:sz w:val="18"/>
                <w:szCs w:val="18"/>
              </w:rPr>
            </w:pPr>
            <w:r>
              <w:rPr>
                <w:sz w:val="18"/>
                <w:szCs w:val="18"/>
              </w:rPr>
              <w:t>1 197</w:t>
            </w:r>
          </w:p>
        </w:tc>
        <w:tc>
          <w:tcPr>
            <w:tcW w:w="1843"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396</w:t>
            </w:r>
          </w:p>
        </w:tc>
      </w:tr>
      <w:tr w:rsidR="001D2E73">
        <w:tc>
          <w:tcPr>
            <w:tcW w:w="1841" w:type="dxa"/>
            <w:tcBorders>
              <w:top w:val="nil"/>
              <w:bottom w:val="nil"/>
            </w:tcBorders>
          </w:tcPr>
          <w:p w:rsidR="001D2E73" w:rsidRDefault="001D2E73">
            <w:pPr>
              <w:spacing w:before="40" w:after="40" w:line="220" w:lineRule="exact"/>
              <w:rPr>
                <w:sz w:val="18"/>
                <w:szCs w:val="18"/>
              </w:rPr>
            </w:pPr>
            <w:r>
              <w:rPr>
                <w:sz w:val="18"/>
                <w:szCs w:val="18"/>
              </w:rPr>
              <w:t>2006</w:t>
            </w:r>
          </w:p>
        </w:tc>
        <w:tc>
          <w:tcPr>
            <w:tcW w:w="1843" w:type="dxa"/>
            <w:tcBorders>
              <w:top w:val="nil"/>
              <w:bottom w:val="nil"/>
            </w:tcBorders>
          </w:tcPr>
          <w:p w:rsidR="001D2E73" w:rsidRDefault="001D2E73">
            <w:pPr>
              <w:spacing w:before="40" w:after="40" w:line="220" w:lineRule="exact"/>
              <w:jc w:val="right"/>
              <w:rPr>
                <w:b/>
                <w:sz w:val="18"/>
                <w:szCs w:val="18"/>
              </w:rPr>
            </w:pPr>
            <w:r>
              <w:rPr>
                <w:b/>
                <w:sz w:val="18"/>
                <w:szCs w:val="18"/>
              </w:rPr>
              <w:t>1 583</w:t>
            </w:r>
          </w:p>
        </w:tc>
        <w:tc>
          <w:tcPr>
            <w:tcW w:w="1843" w:type="dxa"/>
            <w:tcBorders>
              <w:top w:val="nil"/>
              <w:bottom w:val="nil"/>
            </w:tcBorders>
          </w:tcPr>
          <w:p w:rsidR="001D2E73" w:rsidRDefault="001D2E73">
            <w:pPr>
              <w:spacing w:before="40" w:after="40" w:line="220" w:lineRule="exact"/>
              <w:jc w:val="right"/>
              <w:rPr>
                <w:sz w:val="18"/>
                <w:szCs w:val="18"/>
              </w:rPr>
            </w:pPr>
            <w:r>
              <w:rPr>
                <w:sz w:val="18"/>
                <w:szCs w:val="18"/>
              </w:rPr>
              <w:t>1 139</w:t>
            </w:r>
          </w:p>
        </w:tc>
        <w:tc>
          <w:tcPr>
            <w:tcW w:w="1843"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444</w:t>
            </w:r>
          </w:p>
        </w:tc>
      </w:tr>
      <w:tr w:rsidR="001D2E73">
        <w:tc>
          <w:tcPr>
            <w:tcW w:w="1841" w:type="dxa"/>
            <w:tcBorders>
              <w:top w:val="nil"/>
              <w:bottom w:val="nil"/>
            </w:tcBorders>
          </w:tcPr>
          <w:p w:rsidR="001D2E73" w:rsidRDefault="001D2E73">
            <w:pPr>
              <w:keepNext/>
              <w:keepLines/>
              <w:spacing w:before="40" w:after="40" w:line="220" w:lineRule="exact"/>
              <w:rPr>
                <w:sz w:val="18"/>
                <w:szCs w:val="18"/>
              </w:rPr>
            </w:pPr>
            <w:r>
              <w:rPr>
                <w:sz w:val="18"/>
                <w:szCs w:val="18"/>
              </w:rPr>
              <w:t>2007</w:t>
            </w:r>
          </w:p>
        </w:tc>
        <w:tc>
          <w:tcPr>
            <w:tcW w:w="1843" w:type="dxa"/>
            <w:tcBorders>
              <w:top w:val="nil"/>
              <w:bottom w:val="nil"/>
            </w:tcBorders>
          </w:tcPr>
          <w:p w:rsidR="001D2E73" w:rsidRDefault="001D2E73">
            <w:pPr>
              <w:spacing w:before="40" w:after="40" w:line="220" w:lineRule="exact"/>
              <w:jc w:val="right"/>
              <w:rPr>
                <w:b/>
                <w:sz w:val="18"/>
                <w:szCs w:val="18"/>
              </w:rPr>
            </w:pPr>
            <w:r>
              <w:rPr>
                <w:b/>
                <w:sz w:val="18"/>
                <w:szCs w:val="18"/>
              </w:rPr>
              <w:t>1 616</w:t>
            </w:r>
          </w:p>
        </w:tc>
        <w:tc>
          <w:tcPr>
            <w:tcW w:w="1843" w:type="dxa"/>
            <w:tcBorders>
              <w:top w:val="nil"/>
              <w:bottom w:val="nil"/>
            </w:tcBorders>
          </w:tcPr>
          <w:p w:rsidR="001D2E73" w:rsidRDefault="001D2E73">
            <w:pPr>
              <w:spacing w:before="40" w:after="40" w:line="220" w:lineRule="exact"/>
              <w:jc w:val="right"/>
              <w:rPr>
                <w:sz w:val="18"/>
                <w:szCs w:val="18"/>
              </w:rPr>
            </w:pPr>
            <w:r>
              <w:rPr>
                <w:sz w:val="18"/>
                <w:szCs w:val="18"/>
              </w:rPr>
              <w:t>1 057</w:t>
            </w:r>
          </w:p>
        </w:tc>
        <w:tc>
          <w:tcPr>
            <w:tcW w:w="1843"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559</w:t>
            </w:r>
          </w:p>
        </w:tc>
      </w:tr>
      <w:tr w:rsidR="001D2E73">
        <w:tc>
          <w:tcPr>
            <w:tcW w:w="1841" w:type="dxa"/>
            <w:tcBorders>
              <w:top w:val="nil"/>
            </w:tcBorders>
          </w:tcPr>
          <w:p w:rsidR="001D2E73" w:rsidRDefault="001D2E73">
            <w:pPr>
              <w:keepNext/>
              <w:keepLines/>
              <w:spacing w:before="40" w:after="40" w:line="220" w:lineRule="exact"/>
              <w:rPr>
                <w:sz w:val="18"/>
                <w:szCs w:val="18"/>
              </w:rPr>
            </w:pPr>
            <w:r>
              <w:rPr>
                <w:sz w:val="18"/>
                <w:szCs w:val="18"/>
              </w:rPr>
              <w:t>2008</w:t>
            </w:r>
          </w:p>
        </w:tc>
        <w:tc>
          <w:tcPr>
            <w:tcW w:w="1843" w:type="dxa"/>
            <w:tcBorders>
              <w:top w:val="nil"/>
            </w:tcBorders>
          </w:tcPr>
          <w:p w:rsidR="001D2E73" w:rsidRDefault="001D2E73">
            <w:pPr>
              <w:spacing w:before="40" w:after="40" w:line="220" w:lineRule="exact"/>
              <w:jc w:val="right"/>
              <w:rPr>
                <w:b/>
                <w:sz w:val="18"/>
                <w:szCs w:val="18"/>
              </w:rPr>
            </w:pPr>
            <w:r>
              <w:rPr>
                <w:b/>
                <w:sz w:val="18"/>
                <w:szCs w:val="18"/>
              </w:rPr>
              <w:t>1 568</w:t>
            </w:r>
          </w:p>
        </w:tc>
        <w:tc>
          <w:tcPr>
            <w:tcW w:w="1843" w:type="dxa"/>
            <w:tcBorders>
              <w:top w:val="nil"/>
            </w:tcBorders>
          </w:tcPr>
          <w:p w:rsidR="001D2E73" w:rsidRDefault="001D2E73">
            <w:pPr>
              <w:spacing w:before="40" w:after="40" w:line="220" w:lineRule="exact"/>
              <w:jc w:val="right"/>
              <w:rPr>
                <w:sz w:val="18"/>
                <w:szCs w:val="18"/>
              </w:rPr>
            </w:pPr>
            <w:r>
              <w:rPr>
                <w:sz w:val="18"/>
                <w:szCs w:val="18"/>
              </w:rPr>
              <w:t>1 061</w:t>
            </w:r>
          </w:p>
        </w:tc>
        <w:tc>
          <w:tcPr>
            <w:tcW w:w="1843" w:type="dxa"/>
            <w:tcBorders>
              <w:left w:val="nil"/>
              <w:bottom w:val="single" w:sz="12" w:space="0" w:color="auto"/>
              <w:right w:val="nil"/>
              <w:tl2br w:val="nil"/>
              <w:tr2bl w:val="nil"/>
            </w:tcBorders>
          </w:tcPr>
          <w:p w:rsidR="001D2E73" w:rsidRDefault="001D2E73">
            <w:pPr>
              <w:spacing w:before="40" w:after="40" w:line="220" w:lineRule="exact"/>
              <w:jc w:val="right"/>
              <w:rPr>
                <w:sz w:val="18"/>
                <w:szCs w:val="18"/>
              </w:rPr>
            </w:pPr>
            <w:r>
              <w:rPr>
                <w:sz w:val="18"/>
                <w:szCs w:val="18"/>
              </w:rPr>
              <w:t>507</w:t>
            </w:r>
          </w:p>
        </w:tc>
      </w:tr>
    </w:tbl>
    <w:p w:rsidR="001D2E73" w:rsidRDefault="001D2E73">
      <w:pPr>
        <w:pStyle w:val="SingleTxtGR"/>
        <w:spacing w:before="240"/>
        <w:rPr>
          <w:spacing w:val="0"/>
          <w:lang w:val="es-ES"/>
        </w:rPr>
      </w:pPr>
      <w:r>
        <w:rPr>
          <w:spacing w:val="0"/>
          <w:lang w:val="es-ES"/>
        </w:rPr>
        <w:t>428.</w:t>
      </w:r>
      <w:r>
        <w:rPr>
          <w:spacing w:val="0"/>
          <w:lang w:val="es-ES"/>
        </w:rPr>
        <w:tab/>
        <w:t xml:space="preserve">Reconociendo plenamente su responsabilidad de proteger a los refugiados y desplazados forzosos, el Gobierno de Azerbaiyán sigue ejecutando un conjunto de medidas encaminadas a mejorar la situación socio-económica de esta categoría de personas y su integración temporal en la sociedad, considerando que en el futuro ejercerán su derecho a regresar a su tierra natal. </w:t>
      </w:r>
    </w:p>
    <w:p w:rsidR="001D2E73" w:rsidRDefault="001D2E73">
      <w:pPr>
        <w:pStyle w:val="SingleTxtGR"/>
        <w:rPr>
          <w:spacing w:val="0"/>
          <w:lang w:val="es-ES"/>
        </w:rPr>
      </w:pPr>
      <w:r>
        <w:rPr>
          <w:spacing w:val="0"/>
          <w:lang w:val="es-ES"/>
        </w:rPr>
        <w:t>429.</w:t>
      </w:r>
      <w:r>
        <w:rPr>
          <w:spacing w:val="0"/>
          <w:lang w:val="es-ES"/>
        </w:rPr>
        <w:tab/>
        <w:t>La Oficina del Alto Comisionado de las Naciones Unidas para los Refugiados valora especialmente los esfuerzos que realiza el Gobierno de Azerbaiyán para mej</w:t>
      </w:r>
      <w:r>
        <w:rPr>
          <w:spacing w:val="0"/>
          <w:lang w:val="es-ES"/>
        </w:rPr>
        <w:t>o</w:t>
      </w:r>
      <w:r>
        <w:rPr>
          <w:spacing w:val="0"/>
          <w:lang w:val="es-ES"/>
        </w:rPr>
        <w:t xml:space="preserve">rar la situación de los refugiados y los desplazados forzosos. </w:t>
      </w:r>
    </w:p>
    <w:p w:rsidR="001D2E73" w:rsidRDefault="001D2E73">
      <w:pPr>
        <w:pStyle w:val="SingleTxtGR"/>
        <w:rPr>
          <w:bCs/>
          <w:spacing w:val="0"/>
          <w:lang w:val="es-ES"/>
        </w:rPr>
      </w:pPr>
      <w:r>
        <w:rPr>
          <w:bCs/>
          <w:spacing w:val="0"/>
          <w:lang w:val="es-ES"/>
        </w:rPr>
        <w:t>430.</w:t>
      </w:r>
      <w:r>
        <w:rPr>
          <w:bCs/>
          <w:spacing w:val="0"/>
          <w:lang w:val="es-ES"/>
        </w:rPr>
        <w:tab/>
        <w:t>Desde agosto de 2008, por Instrucción del Presidente se incrementó en 50% la prestación me</w:t>
      </w:r>
      <w:r>
        <w:rPr>
          <w:bCs/>
          <w:spacing w:val="0"/>
          <w:lang w:val="es-ES"/>
        </w:rPr>
        <w:t>n</w:t>
      </w:r>
      <w:r>
        <w:rPr>
          <w:bCs/>
          <w:spacing w:val="0"/>
          <w:lang w:val="es-ES"/>
        </w:rPr>
        <w:t xml:space="preserve">sual para alimentos que reciben los desplazados forzosos. </w:t>
      </w:r>
    </w:p>
    <w:p w:rsidR="001D2E73" w:rsidRDefault="001D2E73">
      <w:pPr>
        <w:pStyle w:val="SingleTxtGR"/>
        <w:rPr>
          <w:spacing w:val="0"/>
          <w:lang w:val="es-ES"/>
        </w:rPr>
      </w:pPr>
      <w:r>
        <w:rPr>
          <w:bCs/>
          <w:spacing w:val="0"/>
          <w:lang w:val="es-ES"/>
        </w:rPr>
        <w:t>431.</w:t>
      </w:r>
      <w:r>
        <w:rPr>
          <w:bCs/>
          <w:spacing w:val="0"/>
          <w:lang w:val="es-ES"/>
        </w:rPr>
        <w:tab/>
        <w:t>Hasta 2008, de los 270.000 desplazados forzosos que reciben ayuda humanit</w:t>
      </w:r>
      <w:r>
        <w:rPr>
          <w:bCs/>
          <w:spacing w:val="0"/>
          <w:lang w:val="es-ES"/>
        </w:rPr>
        <w:t>a</w:t>
      </w:r>
      <w:r>
        <w:rPr>
          <w:bCs/>
          <w:spacing w:val="0"/>
          <w:lang w:val="es-ES"/>
        </w:rPr>
        <w:t>ria mensual en la forma de alimentos, 140.000 recibían esa ayuda con cargo al pr</w:t>
      </w:r>
      <w:r>
        <w:rPr>
          <w:bCs/>
          <w:spacing w:val="0"/>
          <w:lang w:val="es-ES"/>
        </w:rPr>
        <w:t>e</w:t>
      </w:r>
      <w:r>
        <w:rPr>
          <w:bCs/>
          <w:spacing w:val="0"/>
          <w:lang w:val="es-ES"/>
        </w:rPr>
        <w:t xml:space="preserve">supuesto estatal. El 1º de julio de 2008, el Programa Mundial de Alimentos dio por terminado su programa humanitario en relación con esos desplazados forzosos. Por esa razón los otros 130.000 que también reciben esa atención y la ayuda mensual en alimentos comenzaron a sufragarse con cargo al presupuesto estatal. </w:t>
      </w:r>
    </w:p>
    <w:p w:rsidR="001D2E73" w:rsidRDefault="001D2E73">
      <w:pPr>
        <w:pStyle w:val="H1G"/>
        <w:rPr>
          <w:lang w:val="es-ES"/>
        </w:rPr>
      </w:pPr>
      <w:r>
        <w:rPr>
          <w:lang w:val="es-ES"/>
        </w:rPr>
        <w:tab/>
      </w:r>
      <w:r>
        <w:rPr>
          <w:lang w:val="es-ES"/>
        </w:rPr>
        <w:tab/>
        <w:t>Artículo 12</w:t>
      </w:r>
    </w:p>
    <w:p w:rsidR="001D2E73" w:rsidRDefault="001D2E73">
      <w:pPr>
        <w:pStyle w:val="SingleTxtGR"/>
        <w:rPr>
          <w:spacing w:val="0"/>
          <w:lang w:val="es-ES"/>
        </w:rPr>
      </w:pPr>
      <w:r>
        <w:rPr>
          <w:spacing w:val="0"/>
          <w:lang w:val="es-ES"/>
        </w:rPr>
        <w:t>432.</w:t>
      </w:r>
      <w:r>
        <w:rPr>
          <w:spacing w:val="0"/>
          <w:lang w:val="es-ES"/>
        </w:rPr>
        <w:tab/>
        <w:t>De conformidad con el párrafo 1 del artículo 39 de la Constitución, toda pe</w:t>
      </w:r>
      <w:r>
        <w:rPr>
          <w:spacing w:val="0"/>
          <w:lang w:val="es-ES"/>
        </w:rPr>
        <w:t>r</w:t>
      </w:r>
      <w:r>
        <w:rPr>
          <w:spacing w:val="0"/>
          <w:lang w:val="es-ES"/>
        </w:rPr>
        <w:t>sona tiene derecho a vivir en un entorno saludable.</w:t>
      </w:r>
    </w:p>
    <w:p w:rsidR="001D2E73" w:rsidRDefault="001D2E73">
      <w:pPr>
        <w:pStyle w:val="SingleTxtGR"/>
        <w:rPr>
          <w:spacing w:val="0"/>
          <w:lang w:val="es-ES"/>
        </w:rPr>
      </w:pPr>
      <w:r>
        <w:rPr>
          <w:spacing w:val="0"/>
          <w:lang w:val="es-ES"/>
        </w:rPr>
        <w:t>433.</w:t>
      </w:r>
      <w:r>
        <w:rPr>
          <w:spacing w:val="0"/>
          <w:lang w:val="es-ES"/>
        </w:rPr>
        <w:tab/>
        <w:t>Conforme al párrafo 2 de ese artículo de la Constitución, toda persona tiene derecho a reunir información sobre el estado natural del medio ambiente y a obtener indemnización por daños y perjuicios causados a su salud y a sus bienes a causa de un delito ecológico.</w:t>
      </w:r>
    </w:p>
    <w:p w:rsidR="001D2E73" w:rsidRDefault="001D2E73">
      <w:pPr>
        <w:pStyle w:val="SingleTxtGR"/>
        <w:rPr>
          <w:spacing w:val="0"/>
          <w:lang w:val="es-ES"/>
        </w:rPr>
      </w:pPr>
      <w:r>
        <w:rPr>
          <w:spacing w:val="0"/>
          <w:lang w:val="es-ES"/>
        </w:rPr>
        <w:t>434.</w:t>
      </w:r>
      <w:r>
        <w:rPr>
          <w:spacing w:val="0"/>
          <w:lang w:val="es-ES"/>
        </w:rPr>
        <w:tab/>
        <w:t>En virtud de las adiciones y enmiendas a la Constitución, que entraron en vigor el 31 de marzo de 2009, se añadieron a ese artículo los párrafos 3 y 4, de co</w:t>
      </w:r>
      <w:r>
        <w:rPr>
          <w:spacing w:val="0"/>
          <w:lang w:val="es-ES"/>
        </w:rPr>
        <w:t>n</w:t>
      </w:r>
      <w:r>
        <w:rPr>
          <w:spacing w:val="0"/>
          <w:lang w:val="es-ES"/>
        </w:rPr>
        <w:t>formidad con los cuales, nadie tiene derecho a poner en peligro o causar daños al medio ambiente o a los recursos naturales que rebasen determinado nivel establecido por ley, además el Estado garantiza la conservación del equilibrio ecológico y la protección legal de determinados tipos de animales salvajes y plantas silvestres.</w:t>
      </w:r>
    </w:p>
    <w:p w:rsidR="001D2E73" w:rsidRDefault="001D2E73">
      <w:pPr>
        <w:pStyle w:val="SingleTxtGR"/>
        <w:rPr>
          <w:spacing w:val="0"/>
          <w:lang w:val="es-ES"/>
        </w:rPr>
      </w:pPr>
      <w:r>
        <w:rPr>
          <w:spacing w:val="0"/>
          <w:lang w:val="es-ES"/>
        </w:rPr>
        <w:t>435.</w:t>
      </w:r>
      <w:r>
        <w:rPr>
          <w:spacing w:val="0"/>
          <w:lang w:val="es-ES"/>
        </w:rPr>
        <w:tab/>
        <w:t>Asimismo, de conformidad con el artículo 42 de la Constitución, toda persona tiene derecho a la protección de su salud y a recibir asistencia médica, el Estado también adopta las medidas necesarias para la prestación de todos los tipos de servicios de salud, que prestan los distintos tipos de propiedad, garant</w:t>
      </w:r>
      <w:r>
        <w:rPr>
          <w:spacing w:val="0"/>
          <w:lang w:val="es-ES"/>
        </w:rPr>
        <w:t>i</w:t>
      </w:r>
      <w:r>
        <w:rPr>
          <w:spacing w:val="0"/>
          <w:lang w:val="es-ES"/>
        </w:rPr>
        <w:t>za el bienestar sanitario y epidemiológico, crea las posibilidades para el funcionamiento de distintas formas de seguro médico; asimismo, los funcionarios que oculten hechos y acontecimientos que constituyan un peligro para la vida y la s</w:t>
      </w:r>
      <w:r>
        <w:rPr>
          <w:spacing w:val="0"/>
          <w:lang w:val="es-ES"/>
        </w:rPr>
        <w:t>a</w:t>
      </w:r>
      <w:r>
        <w:rPr>
          <w:spacing w:val="0"/>
          <w:lang w:val="es-ES"/>
        </w:rPr>
        <w:t>lud de la población incurren en responsabilidad conforme a lo establecido en la ley.</w:t>
      </w:r>
    </w:p>
    <w:p w:rsidR="001D2E73" w:rsidRDefault="001D2E73">
      <w:pPr>
        <w:pStyle w:val="SingleTxtGR"/>
        <w:rPr>
          <w:spacing w:val="0"/>
          <w:lang w:val="es-ES"/>
        </w:rPr>
      </w:pPr>
      <w:r>
        <w:rPr>
          <w:spacing w:val="0"/>
          <w:lang w:val="es-ES"/>
        </w:rPr>
        <w:t>436.</w:t>
      </w:r>
      <w:r>
        <w:rPr>
          <w:spacing w:val="0"/>
          <w:lang w:val="es-ES"/>
        </w:rPr>
        <w:tab/>
        <w:t>De conformidad con el artículo 15 de la Ley de protección de la salud de la población, de 26 de junio 1997, los extranjeros y apátridas tienen derecho a la protección de la salud conforme a lo previsto en la legislación de la República de Azerbaiyán y a los acuerdos internacionales en los que el país es pa</w:t>
      </w:r>
      <w:r>
        <w:rPr>
          <w:spacing w:val="0"/>
          <w:lang w:val="es-ES"/>
        </w:rPr>
        <w:t>r</w:t>
      </w:r>
      <w:r>
        <w:rPr>
          <w:spacing w:val="0"/>
          <w:lang w:val="es-ES"/>
        </w:rPr>
        <w:t>te.</w:t>
      </w:r>
    </w:p>
    <w:p w:rsidR="001D2E73" w:rsidRDefault="001D2E73">
      <w:pPr>
        <w:pStyle w:val="SingleTxtGR"/>
        <w:rPr>
          <w:spacing w:val="0"/>
          <w:lang w:val="es-ES"/>
        </w:rPr>
      </w:pPr>
      <w:r>
        <w:rPr>
          <w:spacing w:val="0"/>
          <w:lang w:val="es-ES"/>
        </w:rPr>
        <w:t>437.</w:t>
      </w:r>
      <w:r>
        <w:rPr>
          <w:spacing w:val="0"/>
          <w:lang w:val="es-ES"/>
        </w:rPr>
        <w:tab/>
        <w:t>De conformidad con el artículo 10 de esa misma Ley, la atención médica que se presta en los centros de salud estatales es gratuita.</w:t>
      </w:r>
    </w:p>
    <w:p w:rsidR="001D2E73" w:rsidRDefault="001D2E73">
      <w:pPr>
        <w:pStyle w:val="SingleTxtGR"/>
        <w:rPr>
          <w:spacing w:val="0"/>
          <w:lang w:val="es-ES"/>
        </w:rPr>
      </w:pPr>
      <w:r>
        <w:rPr>
          <w:spacing w:val="0"/>
          <w:lang w:val="es-ES"/>
        </w:rPr>
        <w:t>438.</w:t>
      </w:r>
      <w:r>
        <w:rPr>
          <w:spacing w:val="0"/>
          <w:lang w:val="es-ES"/>
        </w:rPr>
        <w:tab/>
        <w:t>Actualmente, Azerbaiyán continúa realizando reformas radicales en el sistema de salud y ha formulado una política nacional y un concepto del desarrollo de la s</w:t>
      </w:r>
      <w:r>
        <w:rPr>
          <w:spacing w:val="0"/>
          <w:lang w:val="es-ES"/>
        </w:rPr>
        <w:t>a</w:t>
      </w:r>
      <w:r>
        <w:rPr>
          <w:spacing w:val="0"/>
          <w:lang w:val="es-ES"/>
        </w:rPr>
        <w:t>lud.</w:t>
      </w:r>
    </w:p>
    <w:p w:rsidR="001D2E73" w:rsidRDefault="001D2E73">
      <w:pPr>
        <w:pStyle w:val="SingleTxtGR"/>
        <w:rPr>
          <w:spacing w:val="0"/>
          <w:lang w:val="es-ES"/>
        </w:rPr>
      </w:pPr>
      <w:r>
        <w:rPr>
          <w:spacing w:val="0"/>
          <w:lang w:val="es-ES"/>
        </w:rPr>
        <w:t>439.</w:t>
      </w:r>
      <w:r>
        <w:rPr>
          <w:spacing w:val="0"/>
          <w:lang w:val="es-ES"/>
        </w:rPr>
        <w:tab/>
        <w:t xml:space="preserve">Año tras año aumentan los recursos se asignan a la salud en el presupuesto. En 2008, los gastos en salud representaros 346,2 millones de manat (432,75 millones de dólares de los Estados Unidos). </w:t>
      </w:r>
    </w:p>
    <w:p w:rsidR="001D2E73" w:rsidRDefault="001D2E73">
      <w:pPr>
        <w:pStyle w:val="SingleTxtGR"/>
        <w:rPr>
          <w:spacing w:val="0"/>
          <w:lang w:val="es-ES"/>
        </w:rPr>
      </w:pPr>
      <w:r>
        <w:rPr>
          <w:spacing w:val="0"/>
          <w:lang w:val="es-ES"/>
        </w:rPr>
        <w:t>440.</w:t>
      </w:r>
      <w:r>
        <w:rPr>
          <w:spacing w:val="0"/>
          <w:lang w:val="es-ES"/>
        </w:rPr>
        <w:tab/>
        <w:t>En los últimos tres años, se han preparado y aprobado a nivel estatal progr</w:t>
      </w:r>
      <w:r>
        <w:rPr>
          <w:spacing w:val="0"/>
          <w:lang w:val="es-ES"/>
        </w:rPr>
        <w:t>a</w:t>
      </w:r>
      <w:r>
        <w:rPr>
          <w:spacing w:val="0"/>
          <w:lang w:val="es-ES"/>
        </w:rPr>
        <w:t>mas nacionales para abordar los problemas de salud de más actualidad y garantizar una financiación adecuada, entre ellos:</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a)</w:t>
      </w:r>
      <w:r>
        <w:rPr>
          <w:spacing w:val="0"/>
          <w:lang w:val="es-ES"/>
        </w:rPr>
        <w:tab/>
        <w:t>Programa de medidas de protección de la salud materna e infantil, de 15 de septiembre de 2006;</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Programa estatal de desarrollo de los servicios hematológicos y de donación de sangre y componentes de la sangre, de 6 de marzo de 2006;</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Programa estatal sobre la diabetes, de 7 de junio 2005;</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d)</w:t>
      </w:r>
      <w:r>
        <w:rPr>
          <w:spacing w:val="0"/>
          <w:lang w:val="es-ES"/>
        </w:rPr>
        <w:tab/>
        <w:t xml:space="preserve">Programa estatal sobre enfermedades hereditarias de la sangre, hemofilia y talasemia, de 18 de enero de 2006; </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e)</w:t>
      </w:r>
      <w:r>
        <w:rPr>
          <w:spacing w:val="0"/>
          <w:lang w:val="es-ES"/>
        </w:rPr>
        <w:tab/>
        <w:t>Programa de medidas contra la insuficiencia renal crónica, de 19 de julio de 2006;</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f)</w:t>
      </w:r>
      <w:r>
        <w:rPr>
          <w:spacing w:val="0"/>
          <w:lang w:val="es-ES"/>
        </w:rPr>
        <w:tab/>
        <w:t>Programa de medidas de inmunización contra enfermedades infecciosas, de 19 de julio de 2006;</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g)</w:t>
      </w:r>
      <w:r>
        <w:rPr>
          <w:spacing w:val="0"/>
          <w:lang w:val="es-ES"/>
        </w:rPr>
        <w:tab/>
        <w:t xml:space="preserve">Programa de medidas para abastecer de antineoplásicos fundamentales a los enfermos de cáncer, de 19 de julio de 2006. </w:t>
      </w:r>
    </w:p>
    <w:p w:rsidR="001D2E73" w:rsidRDefault="001D2E73">
      <w:pPr>
        <w:pStyle w:val="SingleTxtGR"/>
        <w:rPr>
          <w:spacing w:val="0"/>
          <w:lang w:val="es-ES"/>
        </w:rPr>
      </w:pPr>
      <w:r>
        <w:rPr>
          <w:spacing w:val="0"/>
          <w:lang w:val="es-ES"/>
        </w:rPr>
        <w:t>441.</w:t>
      </w:r>
      <w:r>
        <w:rPr>
          <w:spacing w:val="0"/>
          <w:lang w:val="es-ES"/>
        </w:rPr>
        <w:tab/>
        <w:t xml:space="preserve">Para que la población ejerza su derecho a la salud, en los últimos cinco años se han construido y reconstruido más de 200 establecimientos médicos. </w:t>
      </w:r>
    </w:p>
    <w:p w:rsidR="001D2E73" w:rsidRDefault="001D2E73">
      <w:pPr>
        <w:pStyle w:val="SingleTxtGR"/>
        <w:rPr>
          <w:spacing w:val="0"/>
          <w:lang w:val="es-ES"/>
        </w:rPr>
      </w:pPr>
      <w:r>
        <w:rPr>
          <w:spacing w:val="0"/>
          <w:lang w:val="es-ES"/>
        </w:rPr>
        <w:t>442.</w:t>
      </w:r>
      <w:r>
        <w:rPr>
          <w:spacing w:val="0"/>
          <w:lang w:val="es-ES"/>
        </w:rPr>
        <w:tab/>
        <w:t xml:space="preserve">Cabe señalar, que en el marco del programa Vivir sin Talasemia, ejecutado por el Fondo Gaidar Aliev inauguró el 9 de mayo de 2009 el Centro de Talasemia. Con la construcción del centro se logró el objetivo de crear un centro médico especializado dotado del equipo más moderno y un banco de sangre, ampliar el servicio de donaciones voluntarias para abastecer a los niños que padecen talasemia de sangre segura y de calidad, informar a la población de los objetivos de la prevención de la propagación de la talasemia, ampliar la colaboración con otros Estados que luchan contra esta enfermedad y preparar especialistas altamente calificados en Azerbaiyán. </w:t>
      </w:r>
    </w:p>
    <w:p w:rsidR="001D2E73" w:rsidRDefault="001D2E73">
      <w:pPr>
        <w:pStyle w:val="SingleTxtGR"/>
        <w:rPr>
          <w:spacing w:val="0"/>
          <w:lang w:val="es-ES"/>
        </w:rPr>
      </w:pPr>
      <w:r>
        <w:rPr>
          <w:spacing w:val="0"/>
          <w:lang w:val="es-ES"/>
        </w:rPr>
        <w:t>443.</w:t>
      </w:r>
      <w:r>
        <w:rPr>
          <w:spacing w:val="0"/>
          <w:lang w:val="es-ES"/>
        </w:rPr>
        <w:tab/>
        <w:t>También por iniciativa del Fondo Gaidar Aliev se inauguró en Bakú en mayo de 2009 el recién reconstruido Hogar Infantil Psiconeurológico, que cumple las normas modernas. En el futuro se proyecta construir también un centro para el tratamiento del síndrome de Down.</w:t>
      </w:r>
    </w:p>
    <w:p w:rsidR="001D2E73" w:rsidRDefault="001D2E73">
      <w:pPr>
        <w:pStyle w:val="SingleTxtGR"/>
        <w:rPr>
          <w:spacing w:val="0"/>
          <w:lang w:val="es-ES"/>
        </w:rPr>
      </w:pPr>
      <w:r>
        <w:rPr>
          <w:spacing w:val="0"/>
          <w:lang w:val="es-ES"/>
        </w:rPr>
        <w:t>444.</w:t>
      </w:r>
      <w:r>
        <w:rPr>
          <w:spacing w:val="0"/>
          <w:lang w:val="es-ES"/>
        </w:rPr>
        <w:tab/>
        <w:t>En el marco del proyecto Más atención a los niños diabéticos, ejecutado por el Fondo Gaidar Aliev, se eliminaron las dificultades para la distribución de medicamentos a 310 menores de 14 años, que padecen esta enfermedad. El 8 de junio 2009 en el marco de ese programa, el Fondo Gaidar Aliev, conjuntamente con la conocida empresa farmacéutica Servier, suministró medicamentos para el tratamiento de 100 diabéticos durante un año. Asimismo, los diabéticos de familias de víctimas de guerra, r</w:t>
      </w:r>
      <w:r>
        <w:rPr>
          <w:spacing w:val="0"/>
          <w:lang w:val="es-ES"/>
        </w:rPr>
        <w:t>e</w:t>
      </w:r>
      <w:r>
        <w:rPr>
          <w:spacing w:val="0"/>
          <w:lang w:val="es-ES"/>
        </w:rPr>
        <w:t xml:space="preserve">fugiados y desplazados forzosos y de familias de pocos recursos recibieron 1.200 cajas de Diabeton MR. </w:t>
      </w:r>
    </w:p>
    <w:p w:rsidR="001D2E73" w:rsidRDefault="001D2E73">
      <w:pPr>
        <w:pStyle w:val="SingleTxtGR"/>
        <w:rPr>
          <w:spacing w:val="0"/>
          <w:lang w:val="es-ES"/>
        </w:rPr>
      </w:pPr>
      <w:r>
        <w:rPr>
          <w:spacing w:val="0"/>
          <w:lang w:val="es-ES"/>
        </w:rPr>
        <w:t>445.</w:t>
      </w:r>
      <w:r>
        <w:rPr>
          <w:spacing w:val="0"/>
          <w:lang w:val="es-ES"/>
        </w:rPr>
        <w:tab/>
        <w:t>Se amplía satisfactoriamente la colaboración internacional. Se han elaborado y puesto en práctica estrategias conjuntas, los donantes extranjeros y las organizaciones internacionales cooperan en la protección de la salud de la población que goza de un elevado compromiso político del Estado y la movilización de la comunidad médica ha garantizado el logro de altos resultados finales.</w:t>
      </w:r>
    </w:p>
    <w:p w:rsidR="001D2E73" w:rsidRDefault="001D2E73">
      <w:pPr>
        <w:pStyle w:val="SingleTxtGR"/>
        <w:rPr>
          <w:spacing w:val="0"/>
          <w:lang w:val="es-ES"/>
        </w:rPr>
      </w:pPr>
      <w:r>
        <w:rPr>
          <w:spacing w:val="0"/>
          <w:lang w:val="es-ES"/>
        </w:rPr>
        <w:t>446.</w:t>
      </w:r>
      <w:r>
        <w:rPr>
          <w:spacing w:val="0"/>
          <w:lang w:val="es-ES"/>
        </w:rPr>
        <w:tab/>
        <w:t>En 1997 se introdujeron enmiendas y adiciones a la Ley de protección social de las personas con discapacidad de 1992, a raíz de lo cual se cambió el nombre a Ley de prevención de la discapacidad, la rehabilitación y la protección social de las personas con discapacidad.</w:t>
      </w:r>
    </w:p>
    <w:p w:rsidR="001D2E73" w:rsidRDefault="001D2E73">
      <w:pPr>
        <w:pStyle w:val="SingleTxtGR"/>
        <w:rPr>
          <w:spacing w:val="0"/>
          <w:lang w:val="es-ES"/>
        </w:rPr>
      </w:pPr>
      <w:r>
        <w:rPr>
          <w:spacing w:val="0"/>
          <w:lang w:val="es-ES"/>
        </w:rPr>
        <w:t>447.</w:t>
      </w:r>
      <w:r>
        <w:rPr>
          <w:spacing w:val="0"/>
          <w:lang w:val="es-ES"/>
        </w:rPr>
        <w:tab/>
        <w:t>De conformidad con el artículo 14-1 de esa Ley, las personas con discapacidad tienen derecho a recibir asistencia médica especializada gratuita en los centros médicos estatales con cargo a los recursos presupuestarios, a recibir medicamentos en las farmacias a precios módicos y a la atención preferencial en los sanatorios y centros de recuperación.</w:t>
      </w:r>
    </w:p>
    <w:p w:rsidR="001D2E73" w:rsidRDefault="001D2E73">
      <w:pPr>
        <w:pStyle w:val="SingleTxtGR"/>
        <w:rPr>
          <w:spacing w:val="0"/>
          <w:lang w:val="es-ES"/>
        </w:rPr>
      </w:pPr>
      <w:r>
        <w:rPr>
          <w:spacing w:val="0"/>
          <w:lang w:val="es-ES"/>
        </w:rPr>
        <w:t>448.</w:t>
      </w:r>
      <w:r>
        <w:rPr>
          <w:spacing w:val="0"/>
          <w:lang w:val="es-ES"/>
        </w:rPr>
        <w:tab/>
        <w:t>Con arreglo al artículo 14-2 de esa Ley, las medidas de rehabilitación se llevan a cabo en centros especializados de conformidad con el programa individual de rehabilitación y el programa estatal de medidas de rehabilitación de personas con discapacidad. En estas instituciones se aplican las orientaciones fundamentales sobre rehabilitación. Junto con los centros estatales de rehabilitación funcionan también centros no gubernamentales de este tipo.</w:t>
      </w:r>
    </w:p>
    <w:p w:rsidR="001D2E73" w:rsidRDefault="001D2E73">
      <w:pPr>
        <w:pStyle w:val="SingleTxtGR"/>
        <w:rPr>
          <w:spacing w:val="0"/>
          <w:lang w:val="es-ES"/>
        </w:rPr>
      </w:pPr>
      <w:r>
        <w:rPr>
          <w:spacing w:val="0"/>
          <w:lang w:val="es-ES"/>
        </w:rPr>
        <w:t>449.</w:t>
      </w:r>
      <w:r>
        <w:rPr>
          <w:spacing w:val="0"/>
          <w:lang w:val="es-ES"/>
        </w:rPr>
        <w:tab/>
        <w:t>Cabe señalar al respecto que, a partir del 1º de febrero de 2008, los centros de prevención y curación que pertenecen al sistema del Ministerio de Salud dejaron de cobrar los servicios médicos que ahora se sufragan con cargo al presupuesto estatal.</w:t>
      </w:r>
    </w:p>
    <w:p w:rsidR="001D2E73" w:rsidRDefault="001D2E73">
      <w:pPr>
        <w:pStyle w:val="SingleTxtGR"/>
        <w:rPr>
          <w:spacing w:val="0"/>
          <w:lang w:val="es-ES"/>
        </w:rPr>
      </w:pPr>
      <w:r>
        <w:rPr>
          <w:spacing w:val="0"/>
          <w:lang w:val="es-ES"/>
        </w:rPr>
        <w:t>450.</w:t>
      </w:r>
      <w:r>
        <w:rPr>
          <w:spacing w:val="0"/>
          <w:lang w:val="es-ES"/>
        </w:rPr>
        <w:tab/>
        <w:t>En estos momentos, para apoyar las reformas que se llevan a cabo en el sector de la salud, el Banco Mundial asignó un crédito de 50 m</w:t>
      </w:r>
      <w:r>
        <w:rPr>
          <w:spacing w:val="0"/>
          <w:lang w:val="es-ES"/>
        </w:rPr>
        <w:t>i</w:t>
      </w:r>
      <w:r>
        <w:rPr>
          <w:spacing w:val="0"/>
          <w:lang w:val="es-ES"/>
        </w:rPr>
        <w:t xml:space="preserve">llones de dólares de los Estados Unidos para atención primaria de </w:t>
      </w:r>
      <w:smartTag w:uri="urn:schemas-microsoft-com:office:smarttags" w:element="PersonName">
        <w:smartTagPr>
          <w:attr w:name="ProductID" w:val="la salud. Este"/>
        </w:smartTagPr>
        <w:r>
          <w:rPr>
            <w:spacing w:val="0"/>
            <w:lang w:val="es-ES"/>
          </w:rPr>
          <w:t>la salud. Este</w:t>
        </w:r>
      </w:smartTag>
      <w:r>
        <w:rPr>
          <w:spacing w:val="0"/>
          <w:lang w:val="es-ES"/>
        </w:rPr>
        <w:t xml:space="preserve"> proyecto piloto se lleva a cabo en los distritos de Agdash, Ismailin, Gah y Absheron. Cabe señalar también que para la ejecución del proyecto, el Gobierno se propone asignar 28,3 millones de dólares de los Estados Unidos, la Agencia de los Estados Unidos para el Desarrollo Internacional, 8 millones de dólares de los Estados Unidos, el UNICEF 470.000 dólares de los Estados Unidos. y la OMS, 35.000 dólares de los Estados Unidos.</w:t>
      </w:r>
    </w:p>
    <w:p w:rsidR="001D2E73" w:rsidRDefault="001D2E73">
      <w:pPr>
        <w:pStyle w:val="SingleTxtGR"/>
        <w:rPr>
          <w:spacing w:val="0"/>
          <w:lang w:val="es-ES"/>
        </w:rPr>
      </w:pPr>
      <w:r>
        <w:rPr>
          <w:spacing w:val="0"/>
          <w:lang w:val="es-ES"/>
        </w:rPr>
        <w:t>451.</w:t>
      </w:r>
      <w:r>
        <w:rPr>
          <w:spacing w:val="0"/>
          <w:lang w:val="es-ES"/>
        </w:rPr>
        <w:tab/>
        <w:t>En el marco de este proyecto se prevé fortalecer la base técnico material de las instituciones médicas de esos distritos, dotarlas de equipo médico moderno y aplicar nuevas formas de financiación y gestión de la atención de la salud.</w:t>
      </w:r>
    </w:p>
    <w:p w:rsidR="001D2E73" w:rsidRDefault="001D2E73">
      <w:pPr>
        <w:pStyle w:val="SingleTxtGR"/>
        <w:rPr>
          <w:spacing w:val="0"/>
          <w:lang w:val="es-ES"/>
        </w:rPr>
      </w:pPr>
      <w:r>
        <w:rPr>
          <w:spacing w:val="0"/>
          <w:lang w:val="es-ES"/>
        </w:rPr>
        <w:t>452.</w:t>
      </w:r>
      <w:r>
        <w:rPr>
          <w:spacing w:val="0"/>
          <w:lang w:val="es-ES"/>
        </w:rPr>
        <w:tab/>
        <w:t xml:space="preserve">En el marco del proyecto Realización de las medidas establecidas en la Estrategia nacional de empleo y ampliación del sistema de protección social para 2002-2025, firmado el 18 de julio de 2002 y ejecutado conjuntamente por el Gobierno de Azerbaiyán y el PNUD, se llevaron a cabo actividades para mejorar el sistema de rehabilitación de personas con discapacidad del país. </w:t>
      </w:r>
    </w:p>
    <w:p w:rsidR="001D2E73" w:rsidRDefault="001D2E73">
      <w:pPr>
        <w:pStyle w:val="SingleTxtGR"/>
        <w:rPr>
          <w:spacing w:val="0"/>
          <w:lang w:val="es-ES"/>
        </w:rPr>
      </w:pPr>
      <w:r>
        <w:rPr>
          <w:spacing w:val="0"/>
          <w:lang w:val="es-ES"/>
        </w:rPr>
        <w:t>453.</w:t>
      </w:r>
      <w:r>
        <w:rPr>
          <w:spacing w:val="0"/>
          <w:lang w:val="es-ES"/>
        </w:rPr>
        <w:tab/>
        <w:t>Por eso, en distintos distritos de Azerbaiyán se inauguraron centros de recuperación, entre ellos un hotel-pensión para el tratamiento de mutilados de guerra, un centro de deportes y salud para personas con discapacidad, así como centros de rehabilitación para niños con discapacidad.</w:t>
      </w:r>
    </w:p>
    <w:p w:rsidR="001D2E73" w:rsidRDefault="001D2E73">
      <w:pPr>
        <w:pStyle w:val="SingleTxtGR"/>
        <w:rPr>
          <w:spacing w:val="0"/>
          <w:lang w:val="es-ES"/>
        </w:rPr>
      </w:pPr>
      <w:r>
        <w:rPr>
          <w:spacing w:val="0"/>
          <w:lang w:val="es-ES"/>
        </w:rPr>
        <w:t>454.</w:t>
      </w:r>
      <w:r>
        <w:rPr>
          <w:spacing w:val="0"/>
          <w:lang w:val="es-ES"/>
        </w:rPr>
        <w:tab/>
        <w:t xml:space="preserve">Además, en la actualidad, </w:t>
      </w:r>
      <w:smartTag w:uri="urn:schemas-microsoft-com:office:smarttags" w:element="PersonName">
        <w:smartTagPr>
          <w:attr w:name="ProductID" w:val="la Asociaci￳n Nacional"/>
        </w:smartTagPr>
        <w:r>
          <w:rPr>
            <w:spacing w:val="0"/>
            <w:lang w:val="es-ES"/>
          </w:rPr>
          <w:t>la Asociación Nacional</w:t>
        </w:r>
      </w:smartTag>
      <w:r>
        <w:rPr>
          <w:spacing w:val="0"/>
          <w:lang w:val="es-ES"/>
        </w:rPr>
        <w:t xml:space="preserve"> de Hemofilia ejecuta el proyecto Prevención de la discapacidad de los hemofílicos. El objetivo del proyecto es garantizar a los hemofílicos los costosos medicamentos que necesitan para la coagulación sanguínea. En el marco de este proyecto se prestarán servicios fisioterapéuticos gratuitos.</w:t>
      </w:r>
    </w:p>
    <w:p w:rsidR="001D2E73" w:rsidRDefault="001D2E73">
      <w:pPr>
        <w:pStyle w:val="SingleTxtGR"/>
        <w:rPr>
          <w:spacing w:val="0"/>
          <w:lang w:val="es-ES"/>
        </w:rPr>
      </w:pPr>
      <w:r>
        <w:rPr>
          <w:spacing w:val="0"/>
          <w:lang w:val="es-ES"/>
        </w:rPr>
        <w:t>455.</w:t>
      </w:r>
      <w:r>
        <w:rPr>
          <w:spacing w:val="0"/>
          <w:lang w:val="es-ES"/>
        </w:rPr>
        <w:tab/>
        <w:t xml:space="preserve">Con el fin de facilitar el acceso de la población a los medicamentos, por Decreto del Presidente de 6 de febrero de 2007 entró en vigor la Ley de medicamentos. </w:t>
      </w:r>
    </w:p>
    <w:p w:rsidR="001D2E73" w:rsidRDefault="001D2E73">
      <w:pPr>
        <w:pStyle w:val="SingleTxtGR"/>
        <w:rPr>
          <w:spacing w:val="0"/>
          <w:lang w:val="es-ES"/>
        </w:rPr>
      </w:pPr>
      <w:r>
        <w:rPr>
          <w:spacing w:val="0"/>
          <w:lang w:val="es-ES"/>
        </w:rPr>
        <w:t>456.</w:t>
      </w:r>
      <w:r>
        <w:rPr>
          <w:spacing w:val="0"/>
          <w:lang w:val="es-ES"/>
        </w:rPr>
        <w:tab/>
        <w:t xml:space="preserve">Como continuación de las reformas iniciadas en el sector de la salud, por Instrucción del Presidente se estableció </w:t>
      </w:r>
      <w:smartTag w:uri="urn:schemas-microsoft-com:office:smarttags" w:element="PersonName">
        <w:smartTagPr>
          <w:attr w:name="ProductID" w:val="la Agencia Estatal"/>
        </w:smartTagPr>
        <w:r>
          <w:rPr>
            <w:spacing w:val="0"/>
            <w:lang w:val="es-ES"/>
          </w:rPr>
          <w:t>la Agencia Estatal</w:t>
        </w:r>
      </w:smartTag>
      <w:r>
        <w:rPr>
          <w:spacing w:val="0"/>
          <w:lang w:val="es-ES"/>
        </w:rPr>
        <w:t xml:space="preserve"> de Seguro Médico Obligatorio. También por Instrucción del Presidente, de 10 de enero de 2008 se aprobó el Concepto de la aplicación del seguro médico obligatorio y la reforma del sistema de financiación de la salud en Azerbaiyán.</w:t>
      </w:r>
    </w:p>
    <w:p w:rsidR="001D2E73" w:rsidRDefault="001D2E73">
      <w:pPr>
        <w:spacing w:before="240" w:after="120"/>
        <w:rPr>
          <w:sz w:val="16"/>
          <w:szCs w:val="16"/>
        </w:rPr>
      </w:pPr>
      <w:r>
        <w:tab/>
      </w:r>
      <w:r>
        <w:tab/>
        <w:t>Cuadro 20</w:t>
      </w:r>
      <w:r>
        <w:br/>
      </w:r>
      <w:r>
        <w:tab/>
      </w:r>
      <w:r>
        <w:tab/>
      </w:r>
      <w:r>
        <w:rPr>
          <w:b/>
        </w:rPr>
        <w:t xml:space="preserve">Indicadores fundamentales de la salud </w:t>
      </w:r>
      <w:r>
        <w:rPr>
          <w:b/>
        </w:rPr>
        <w:br/>
      </w:r>
      <w:r>
        <w:rPr>
          <w:b/>
        </w:rPr>
        <w:tab/>
      </w:r>
      <w:r>
        <w:rPr>
          <w:b/>
          <w:sz w:val="16"/>
          <w:szCs w:val="16"/>
        </w:rPr>
        <w:tab/>
      </w:r>
      <w:r>
        <w:rPr>
          <w:iCs/>
          <w:sz w:val="16"/>
          <w:szCs w:val="16"/>
        </w:rPr>
        <w:t>(a principios de año)</w:t>
      </w:r>
    </w:p>
    <w:tbl>
      <w:tblPr>
        <w:tblW w:w="8561"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885"/>
        <w:gridCol w:w="710"/>
        <w:gridCol w:w="710"/>
        <w:gridCol w:w="710"/>
        <w:gridCol w:w="710"/>
        <w:gridCol w:w="836"/>
      </w:tblGrid>
      <w:tr w:rsidR="001D2E73">
        <w:trPr>
          <w:trHeight w:val="300"/>
          <w:tblHeader/>
        </w:trPr>
        <w:tc>
          <w:tcPr>
            <w:tcW w:w="4885" w:type="dxa"/>
            <w:tcBorders>
              <w:top w:val="single" w:sz="4" w:space="0" w:color="auto"/>
              <w:bottom w:val="single" w:sz="12" w:space="0" w:color="auto"/>
            </w:tcBorders>
            <w:shd w:val="clear" w:color="auto" w:fill="auto"/>
            <w:noWrap/>
          </w:tcPr>
          <w:p w:rsidR="001D2E73" w:rsidRDefault="001D2E73">
            <w:pPr>
              <w:spacing w:before="80" w:after="80" w:line="200" w:lineRule="exact"/>
              <w:rPr>
                <w:i/>
                <w:sz w:val="16"/>
              </w:rPr>
            </w:pPr>
            <w:r>
              <w:rPr>
                <w:i/>
                <w:sz w:val="16"/>
              </w:rPr>
              <w:t> </w:t>
            </w:r>
          </w:p>
        </w:tc>
        <w:tc>
          <w:tcPr>
            <w:tcW w:w="710"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2004</w:t>
            </w:r>
          </w:p>
        </w:tc>
        <w:tc>
          <w:tcPr>
            <w:tcW w:w="710"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2005</w:t>
            </w:r>
          </w:p>
        </w:tc>
        <w:tc>
          <w:tcPr>
            <w:tcW w:w="710"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2006</w:t>
            </w:r>
          </w:p>
        </w:tc>
        <w:tc>
          <w:tcPr>
            <w:tcW w:w="710"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2007</w:t>
            </w:r>
          </w:p>
        </w:tc>
        <w:tc>
          <w:tcPr>
            <w:tcW w:w="836" w:type="dxa"/>
            <w:tcBorders>
              <w:top w:val="single" w:sz="4" w:space="0" w:color="auto"/>
              <w:left w:val="nil"/>
              <w:bottom w:val="single" w:sz="12" w:space="0" w:color="auto"/>
              <w:right w:val="nil"/>
              <w:tl2br w:val="nil"/>
              <w:tr2bl w:val="nil"/>
            </w:tcBorders>
            <w:shd w:val="clear" w:color="auto" w:fill="auto"/>
            <w:noWrap/>
          </w:tcPr>
          <w:p w:rsidR="001D2E73" w:rsidRDefault="001D2E73">
            <w:pPr>
              <w:spacing w:before="80" w:after="80" w:line="200" w:lineRule="exact"/>
              <w:jc w:val="right"/>
              <w:rPr>
                <w:i/>
                <w:sz w:val="16"/>
              </w:rPr>
            </w:pPr>
            <w:r>
              <w:rPr>
                <w:i/>
                <w:sz w:val="16"/>
              </w:rPr>
              <w:t>2008</w:t>
            </w:r>
          </w:p>
        </w:tc>
      </w:tr>
      <w:tr w:rsidR="001D2E73">
        <w:trPr>
          <w:trHeight w:val="20"/>
        </w:trPr>
        <w:tc>
          <w:tcPr>
            <w:tcW w:w="4885" w:type="dxa"/>
            <w:tcBorders>
              <w:top w:val="single" w:sz="12" w:space="0" w:color="auto"/>
            </w:tcBorders>
          </w:tcPr>
          <w:p w:rsidR="001D2E73" w:rsidRDefault="001D2E73">
            <w:pPr>
              <w:spacing w:before="40" w:after="40" w:line="220" w:lineRule="exact"/>
              <w:rPr>
                <w:sz w:val="18"/>
                <w:szCs w:val="18"/>
              </w:rPr>
            </w:pPr>
            <w:r>
              <w:rPr>
                <w:sz w:val="18"/>
                <w:szCs w:val="18"/>
              </w:rPr>
              <w:t>Número de médicos de todas las especialidades, miles de personas</w:t>
            </w:r>
          </w:p>
        </w:tc>
        <w:tc>
          <w:tcPr>
            <w:tcW w:w="710" w:type="dxa"/>
            <w:tcBorders>
              <w:top w:val="single" w:sz="12" w:space="0" w:color="auto"/>
            </w:tcBorders>
            <w:noWrap/>
            <w:vAlign w:val="bottom"/>
          </w:tcPr>
          <w:p w:rsidR="001D2E73" w:rsidRDefault="001D2E73">
            <w:pPr>
              <w:spacing w:before="40" w:after="40" w:line="220" w:lineRule="exact"/>
              <w:jc w:val="right"/>
              <w:rPr>
                <w:sz w:val="18"/>
                <w:szCs w:val="18"/>
              </w:rPr>
            </w:pPr>
            <w:r>
              <w:rPr>
                <w:sz w:val="18"/>
                <w:szCs w:val="18"/>
              </w:rPr>
              <w:t>29,7</w:t>
            </w:r>
          </w:p>
        </w:tc>
        <w:tc>
          <w:tcPr>
            <w:tcW w:w="710" w:type="dxa"/>
            <w:tcBorders>
              <w:top w:val="single" w:sz="12" w:space="0" w:color="auto"/>
            </w:tcBorders>
            <w:noWrap/>
            <w:vAlign w:val="bottom"/>
          </w:tcPr>
          <w:p w:rsidR="001D2E73" w:rsidRDefault="001D2E73">
            <w:pPr>
              <w:spacing w:before="40" w:after="40" w:line="220" w:lineRule="exact"/>
              <w:jc w:val="right"/>
              <w:rPr>
                <w:sz w:val="18"/>
                <w:szCs w:val="18"/>
              </w:rPr>
            </w:pPr>
            <w:r>
              <w:rPr>
                <w:sz w:val="18"/>
                <w:szCs w:val="18"/>
              </w:rPr>
              <w:t>30,1</w:t>
            </w:r>
          </w:p>
        </w:tc>
        <w:tc>
          <w:tcPr>
            <w:tcW w:w="710" w:type="dxa"/>
            <w:tcBorders>
              <w:top w:val="single" w:sz="12" w:space="0" w:color="auto"/>
            </w:tcBorders>
            <w:noWrap/>
            <w:vAlign w:val="bottom"/>
          </w:tcPr>
          <w:p w:rsidR="001D2E73" w:rsidRDefault="001D2E73">
            <w:pPr>
              <w:spacing w:before="40" w:after="40" w:line="220" w:lineRule="exact"/>
              <w:jc w:val="right"/>
              <w:rPr>
                <w:sz w:val="18"/>
                <w:szCs w:val="18"/>
              </w:rPr>
            </w:pPr>
            <w:r>
              <w:rPr>
                <w:sz w:val="18"/>
                <w:szCs w:val="18"/>
              </w:rPr>
              <w:t>30,6</w:t>
            </w:r>
          </w:p>
        </w:tc>
        <w:tc>
          <w:tcPr>
            <w:tcW w:w="710" w:type="dxa"/>
            <w:tcBorders>
              <w:top w:val="single" w:sz="12" w:space="0" w:color="auto"/>
            </w:tcBorders>
            <w:noWrap/>
            <w:vAlign w:val="bottom"/>
          </w:tcPr>
          <w:p w:rsidR="001D2E73" w:rsidRDefault="001D2E73">
            <w:pPr>
              <w:spacing w:before="40" w:after="40" w:line="220" w:lineRule="exact"/>
              <w:jc w:val="right"/>
              <w:rPr>
                <w:sz w:val="18"/>
                <w:szCs w:val="18"/>
              </w:rPr>
            </w:pPr>
            <w:r>
              <w:rPr>
                <w:sz w:val="18"/>
                <w:szCs w:val="18"/>
              </w:rPr>
              <w:t>30,8</w:t>
            </w:r>
          </w:p>
        </w:tc>
        <w:tc>
          <w:tcPr>
            <w:tcW w:w="836" w:type="dxa"/>
            <w:tcBorders>
              <w:top w:val="single" w:sz="12"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32,4</w:t>
            </w:r>
            <w:r>
              <w:rPr>
                <w:i/>
                <w:sz w:val="18"/>
                <w:szCs w:val="18"/>
                <w:vertAlign w:val="superscript"/>
              </w:rPr>
              <w:t>а</w:t>
            </w:r>
          </w:p>
        </w:tc>
      </w:tr>
      <w:tr w:rsidR="001D2E73">
        <w:trPr>
          <w:trHeight w:val="20"/>
        </w:trPr>
        <w:tc>
          <w:tcPr>
            <w:tcW w:w="4885" w:type="dxa"/>
          </w:tcPr>
          <w:p w:rsidR="001D2E73" w:rsidRDefault="001D2E73">
            <w:pPr>
              <w:spacing w:before="40" w:after="40" w:line="220" w:lineRule="exact"/>
              <w:rPr>
                <w:sz w:val="18"/>
                <w:szCs w:val="18"/>
              </w:rPr>
            </w:pPr>
            <w:r>
              <w:rPr>
                <w:sz w:val="18"/>
                <w:szCs w:val="18"/>
              </w:rPr>
              <w:t>Por cada 10 000 habitantes</w:t>
            </w:r>
          </w:p>
        </w:tc>
        <w:tc>
          <w:tcPr>
            <w:tcW w:w="710" w:type="dxa"/>
            <w:noWrap/>
            <w:vAlign w:val="bottom"/>
          </w:tcPr>
          <w:p w:rsidR="001D2E73" w:rsidRDefault="001D2E73">
            <w:pPr>
              <w:spacing w:before="40" w:after="40" w:line="220" w:lineRule="exact"/>
              <w:jc w:val="right"/>
              <w:rPr>
                <w:sz w:val="18"/>
                <w:szCs w:val="18"/>
              </w:rPr>
            </w:pPr>
            <w:r>
              <w:rPr>
                <w:sz w:val="18"/>
                <w:szCs w:val="18"/>
              </w:rPr>
              <w:t>36,4</w:t>
            </w:r>
          </w:p>
        </w:tc>
        <w:tc>
          <w:tcPr>
            <w:tcW w:w="710" w:type="dxa"/>
            <w:noWrap/>
            <w:vAlign w:val="bottom"/>
          </w:tcPr>
          <w:p w:rsidR="001D2E73" w:rsidRDefault="001D2E73">
            <w:pPr>
              <w:spacing w:before="40" w:after="40" w:line="220" w:lineRule="exact"/>
              <w:jc w:val="right"/>
              <w:rPr>
                <w:sz w:val="18"/>
                <w:szCs w:val="18"/>
              </w:rPr>
            </w:pPr>
            <w:r>
              <w:rPr>
                <w:sz w:val="18"/>
                <w:szCs w:val="18"/>
              </w:rPr>
              <w:t>36,6</w:t>
            </w:r>
          </w:p>
        </w:tc>
        <w:tc>
          <w:tcPr>
            <w:tcW w:w="710" w:type="dxa"/>
            <w:noWrap/>
            <w:vAlign w:val="bottom"/>
          </w:tcPr>
          <w:p w:rsidR="001D2E73" w:rsidRDefault="001D2E73">
            <w:pPr>
              <w:spacing w:before="40" w:after="40" w:line="220" w:lineRule="exact"/>
              <w:jc w:val="right"/>
              <w:rPr>
                <w:sz w:val="18"/>
                <w:szCs w:val="18"/>
              </w:rPr>
            </w:pPr>
            <w:r>
              <w:rPr>
                <w:sz w:val="18"/>
                <w:szCs w:val="18"/>
              </w:rPr>
              <w:t>36,8</w:t>
            </w:r>
          </w:p>
        </w:tc>
        <w:tc>
          <w:tcPr>
            <w:tcW w:w="710" w:type="dxa"/>
            <w:noWrap/>
            <w:vAlign w:val="bottom"/>
          </w:tcPr>
          <w:p w:rsidR="001D2E73" w:rsidRDefault="001D2E73">
            <w:pPr>
              <w:spacing w:before="40" w:after="40" w:line="220" w:lineRule="exact"/>
              <w:jc w:val="right"/>
              <w:rPr>
                <w:sz w:val="18"/>
                <w:szCs w:val="18"/>
              </w:rPr>
            </w:pPr>
            <w:r>
              <w:rPr>
                <w:sz w:val="18"/>
                <w:szCs w:val="18"/>
              </w:rPr>
              <w:t>36,6</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38,1</w:t>
            </w:r>
          </w:p>
        </w:tc>
      </w:tr>
      <w:tr w:rsidR="001D2E73">
        <w:trPr>
          <w:trHeight w:val="20"/>
        </w:trPr>
        <w:tc>
          <w:tcPr>
            <w:tcW w:w="4885" w:type="dxa"/>
          </w:tcPr>
          <w:p w:rsidR="001D2E73" w:rsidRDefault="001D2E73">
            <w:pPr>
              <w:spacing w:before="40" w:after="40" w:line="220" w:lineRule="exact"/>
              <w:rPr>
                <w:sz w:val="18"/>
                <w:szCs w:val="18"/>
              </w:rPr>
            </w:pPr>
            <w:r>
              <w:rPr>
                <w:sz w:val="18"/>
                <w:szCs w:val="18"/>
              </w:rPr>
              <w:t>Personal de enfermería y auxiliar, miles de personas</w:t>
            </w:r>
          </w:p>
        </w:tc>
        <w:tc>
          <w:tcPr>
            <w:tcW w:w="710" w:type="dxa"/>
            <w:noWrap/>
            <w:vAlign w:val="bottom"/>
          </w:tcPr>
          <w:p w:rsidR="001D2E73" w:rsidRDefault="001D2E73">
            <w:pPr>
              <w:spacing w:before="40" w:after="40" w:line="220" w:lineRule="exact"/>
              <w:jc w:val="right"/>
              <w:rPr>
                <w:sz w:val="18"/>
                <w:szCs w:val="18"/>
              </w:rPr>
            </w:pPr>
            <w:r>
              <w:rPr>
                <w:sz w:val="18"/>
                <w:szCs w:val="18"/>
              </w:rPr>
              <w:t>59,5</w:t>
            </w:r>
          </w:p>
        </w:tc>
        <w:tc>
          <w:tcPr>
            <w:tcW w:w="710" w:type="dxa"/>
            <w:noWrap/>
            <w:vAlign w:val="bottom"/>
          </w:tcPr>
          <w:p w:rsidR="001D2E73" w:rsidRDefault="001D2E73">
            <w:pPr>
              <w:spacing w:before="40" w:after="40" w:line="220" w:lineRule="exact"/>
              <w:jc w:val="right"/>
              <w:rPr>
                <w:sz w:val="18"/>
                <w:szCs w:val="18"/>
              </w:rPr>
            </w:pPr>
            <w:r>
              <w:rPr>
                <w:sz w:val="18"/>
                <w:szCs w:val="18"/>
              </w:rPr>
              <w:t>59,7</w:t>
            </w:r>
          </w:p>
        </w:tc>
        <w:tc>
          <w:tcPr>
            <w:tcW w:w="710" w:type="dxa"/>
            <w:noWrap/>
            <w:vAlign w:val="bottom"/>
          </w:tcPr>
          <w:p w:rsidR="001D2E73" w:rsidRDefault="001D2E73">
            <w:pPr>
              <w:spacing w:before="40" w:after="40" w:line="220" w:lineRule="exact"/>
              <w:jc w:val="right"/>
              <w:rPr>
                <w:sz w:val="18"/>
                <w:szCs w:val="18"/>
              </w:rPr>
            </w:pPr>
            <w:r>
              <w:rPr>
                <w:sz w:val="18"/>
                <w:szCs w:val="18"/>
              </w:rPr>
              <w:t>60,8</w:t>
            </w:r>
          </w:p>
        </w:tc>
        <w:tc>
          <w:tcPr>
            <w:tcW w:w="710" w:type="dxa"/>
            <w:noWrap/>
            <w:vAlign w:val="bottom"/>
          </w:tcPr>
          <w:p w:rsidR="001D2E73" w:rsidRDefault="001D2E73">
            <w:pPr>
              <w:spacing w:before="40" w:after="40" w:line="220" w:lineRule="exact"/>
              <w:jc w:val="right"/>
              <w:rPr>
                <w:sz w:val="18"/>
                <w:szCs w:val="18"/>
              </w:rPr>
            </w:pPr>
            <w:r>
              <w:rPr>
                <w:sz w:val="18"/>
                <w:szCs w:val="18"/>
              </w:rPr>
              <w:t>61,6</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62,2</w:t>
            </w:r>
            <w:r>
              <w:rPr>
                <w:i/>
                <w:sz w:val="18"/>
                <w:szCs w:val="18"/>
                <w:vertAlign w:val="superscript"/>
              </w:rPr>
              <w:t>1</w:t>
            </w:r>
          </w:p>
        </w:tc>
      </w:tr>
      <w:tr w:rsidR="001D2E73">
        <w:trPr>
          <w:trHeight w:val="20"/>
        </w:trPr>
        <w:tc>
          <w:tcPr>
            <w:tcW w:w="4885" w:type="dxa"/>
          </w:tcPr>
          <w:p w:rsidR="001D2E73" w:rsidRDefault="001D2E73">
            <w:pPr>
              <w:spacing w:before="40" w:after="40" w:line="220" w:lineRule="exact"/>
              <w:rPr>
                <w:sz w:val="18"/>
                <w:szCs w:val="18"/>
              </w:rPr>
            </w:pPr>
            <w:r>
              <w:rPr>
                <w:sz w:val="18"/>
                <w:szCs w:val="18"/>
              </w:rPr>
              <w:t>Por cada 10 000 habitantes</w:t>
            </w:r>
          </w:p>
        </w:tc>
        <w:tc>
          <w:tcPr>
            <w:tcW w:w="710" w:type="dxa"/>
            <w:noWrap/>
            <w:vAlign w:val="bottom"/>
          </w:tcPr>
          <w:p w:rsidR="001D2E73" w:rsidRDefault="001D2E73">
            <w:pPr>
              <w:spacing w:before="40" w:after="40" w:line="220" w:lineRule="exact"/>
              <w:jc w:val="right"/>
              <w:rPr>
                <w:sz w:val="18"/>
                <w:szCs w:val="18"/>
              </w:rPr>
            </w:pPr>
            <w:r>
              <w:rPr>
                <w:sz w:val="18"/>
                <w:szCs w:val="18"/>
              </w:rPr>
              <w:t>73,1</w:t>
            </w:r>
          </w:p>
        </w:tc>
        <w:tc>
          <w:tcPr>
            <w:tcW w:w="710" w:type="dxa"/>
            <w:noWrap/>
            <w:vAlign w:val="bottom"/>
          </w:tcPr>
          <w:p w:rsidR="001D2E73" w:rsidRDefault="001D2E73">
            <w:pPr>
              <w:spacing w:before="40" w:after="40" w:line="220" w:lineRule="exact"/>
              <w:jc w:val="right"/>
              <w:rPr>
                <w:sz w:val="18"/>
                <w:szCs w:val="18"/>
              </w:rPr>
            </w:pPr>
            <w:r>
              <w:rPr>
                <w:sz w:val="18"/>
                <w:szCs w:val="18"/>
              </w:rPr>
              <w:t>72,6</w:t>
            </w:r>
          </w:p>
        </w:tc>
        <w:tc>
          <w:tcPr>
            <w:tcW w:w="710" w:type="dxa"/>
            <w:noWrap/>
            <w:vAlign w:val="bottom"/>
          </w:tcPr>
          <w:p w:rsidR="001D2E73" w:rsidRDefault="001D2E73">
            <w:pPr>
              <w:spacing w:before="40" w:after="40" w:line="220" w:lineRule="exact"/>
              <w:jc w:val="right"/>
              <w:rPr>
                <w:sz w:val="18"/>
                <w:szCs w:val="18"/>
              </w:rPr>
            </w:pPr>
            <w:r>
              <w:rPr>
                <w:sz w:val="18"/>
                <w:szCs w:val="18"/>
              </w:rPr>
              <w:t>73,1</w:t>
            </w:r>
          </w:p>
        </w:tc>
        <w:tc>
          <w:tcPr>
            <w:tcW w:w="710" w:type="dxa"/>
            <w:noWrap/>
            <w:vAlign w:val="bottom"/>
          </w:tcPr>
          <w:p w:rsidR="001D2E73" w:rsidRDefault="001D2E73">
            <w:pPr>
              <w:spacing w:before="40" w:after="40" w:line="220" w:lineRule="exact"/>
              <w:jc w:val="right"/>
              <w:rPr>
                <w:sz w:val="18"/>
                <w:szCs w:val="18"/>
              </w:rPr>
            </w:pPr>
            <w:r>
              <w:rPr>
                <w:sz w:val="18"/>
                <w:szCs w:val="18"/>
              </w:rPr>
              <w:t>73,2</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73,1</w:t>
            </w:r>
          </w:p>
        </w:tc>
      </w:tr>
      <w:tr w:rsidR="001D2E73">
        <w:trPr>
          <w:trHeight w:val="20"/>
        </w:trPr>
        <w:tc>
          <w:tcPr>
            <w:tcW w:w="4885" w:type="dxa"/>
            <w:tcBorders>
              <w:bottom w:val="nil"/>
            </w:tcBorders>
          </w:tcPr>
          <w:p w:rsidR="001D2E73" w:rsidRDefault="001D2E73">
            <w:pPr>
              <w:spacing w:before="40" w:after="40" w:line="220" w:lineRule="exact"/>
              <w:rPr>
                <w:sz w:val="18"/>
                <w:szCs w:val="18"/>
              </w:rPr>
            </w:pPr>
            <w:r>
              <w:rPr>
                <w:sz w:val="18"/>
                <w:szCs w:val="18"/>
              </w:rPr>
              <w:t>Número de hospitales</w:t>
            </w:r>
          </w:p>
        </w:tc>
        <w:tc>
          <w:tcPr>
            <w:tcW w:w="710" w:type="dxa"/>
            <w:tcBorders>
              <w:bottom w:val="nil"/>
            </w:tcBorders>
            <w:noWrap/>
            <w:vAlign w:val="bottom"/>
          </w:tcPr>
          <w:p w:rsidR="001D2E73" w:rsidRDefault="001D2E73">
            <w:pPr>
              <w:spacing w:before="40" w:after="40" w:line="220" w:lineRule="exact"/>
              <w:jc w:val="right"/>
              <w:rPr>
                <w:sz w:val="18"/>
                <w:szCs w:val="18"/>
              </w:rPr>
            </w:pPr>
            <w:r>
              <w:rPr>
                <w:sz w:val="18"/>
                <w:szCs w:val="18"/>
              </w:rPr>
              <w:t>734</w:t>
            </w:r>
          </w:p>
        </w:tc>
        <w:tc>
          <w:tcPr>
            <w:tcW w:w="710" w:type="dxa"/>
            <w:tcBorders>
              <w:bottom w:val="nil"/>
            </w:tcBorders>
            <w:noWrap/>
            <w:vAlign w:val="bottom"/>
          </w:tcPr>
          <w:p w:rsidR="001D2E73" w:rsidRDefault="001D2E73">
            <w:pPr>
              <w:spacing w:before="40" w:after="40" w:line="220" w:lineRule="exact"/>
              <w:jc w:val="right"/>
              <w:rPr>
                <w:sz w:val="18"/>
                <w:szCs w:val="18"/>
              </w:rPr>
            </w:pPr>
            <w:r>
              <w:rPr>
                <w:sz w:val="18"/>
                <w:szCs w:val="18"/>
              </w:rPr>
              <w:t>732</w:t>
            </w:r>
          </w:p>
        </w:tc>
        <w:tc>
          <w:tcPr>
            <w:tcW w:w="710" w:type="dxa"/>
            <w:tcBorders>
              <w:bottom w:val="nil"/>
            </w:tcBorders>
            <w:noWrap/>
            <w:vAlign w:val="bottom"/>
          </w:tcPr>
          <w:p w:rsidR="001D2E73" w:rsidRDefault="001D2E73">
            <w:pPr>
              <w:spacing w:before="40" w:after="40" w:line="220" w:lineRule="exact"/>
              <w:jc w:val="right"/>
              <w:rPr>
                <w:sz w:val="18"/>
                <w:szCs w:val="18"/>
              </w:rPr>
            </w:pPr>
            <w:r>
              <w:rPr>
                <w:sz w:val="18"/>
                <w:szCs w:val="18"/>
              </w:rPr>
              <w:t>729</w:t>
            </w:r>
          </w:p>
        </w:tc>
        <w:tc>
          <w:tcPr>
            <w:tcW w:w="710" w:type="dxa"/>
            <w:tcBorders>
              <w:bottom w:val="nil"/>
            </w:tcBorders>
            <w:noWrap/>
            <w:vAlign w:val="bottom"/>
          </w:tcPr>
          <w:p w:rsidR="001D2E73" w:rsidRDefault="001D2E73">
            <w:pPr>
              <w:spacing w:before="40" w:after="40" w:line="220" w:lineRule="exact"/>
              <w:jc w:val="right"/>
              <w:rPr>
                <w:sz w:val="18"/>
                <w:szCs w:val="18"/>
              </w:rPr>
            </w:pPr>
            <w:r>
              <w:rPr>
                <w:sz w:val="18"/>
                <w:szCs w:val="18"/>
              </w:rPr>
              <w:t>726</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748</w:t>
            </w:r>
            <w:r>
              <w:rPr>
                <w:i/>
                <w:sz w:val="18"/>
                <w:szCs w:val="18"/>
                <w:vertAlign w:val="superscript"/>
              </w:rPr>
              <w:t>1</w:t>
            </w:r>
          </w:p>
        </w:tc>
      </w:tr>
      <w:tr w:rsidR="001D2E73">
        <w:trPr>
          <w:trHeight w:val="20"/>
        </w:trPr>
        <w:tc>
          <w:tcPr>
            <w:tcW w:w="4885" w:type="dxa"/>
            <w:tcBorders>
              <w:top w:val="nil"/>
              <w:bottom w:val="nil"/>
            </w:tcBorders>
          </w:tcPr>
          <w:p w:rsidR="001D2E73" w:rsidRDefault="001D2E73">
            <w:pPr>
              <w:spacing w:before="40" w:after="40" w:line="220" w:lineRule="exact"/>
              <w:rPr>
                <w:sz w:val="18"/>
                <w:szCs w:val="18"/>
              </w:rPr>
            </w:pPr>
            <w:r>
              <w:rPr>
                <w:sz w:val="18"/>
                <w:szCs w:val="18"/>
              </w:rPr>
              <w:t>Número de camas en los hospitales — Total, miles</w:t>
            </w:r>
          </w:p>
        </w:tc>
        <w:tc>
          <w:tcPr>
            <w:tcW w:w="71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68,1</w:t>
            </w:r>
          </w:p>
        </w:tc>
        <w:tc>
          <w:tcPr>
            <w:tcW w:w="71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68,4</w:t>
            </w:r>
          </w:p>
        </w:tc>
        <w:tc>
          <w:tcPr>
            <w:tcW w:w="71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68,9</w:t>
            </w:r>
          </w:p>
        </w:tc>
        <w:tc>
          <w:tcPr>
            <w:tcW w:w="71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68,4</w:t>
            </w:r>
          </w:p>
        </w:tc>
        <w:tc>
          <w:tcPr>
            <w:tcW w:w="836" w:type="dxa"/>
            <w:tcBorders>
              <w:top w:val="nil"/>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68,1</w:t>
            </w:r>
            <w:r>
              <w:rPr>
                <w:i/>
                <w:sz w:val="18"/>
                <w:szCs w:val="18"/>
                <w:vertAlign w:val="superscript"/>
              </w:rPr>
              <w:t>1</w:t>
            </w:r>
          </w:p>
        </w:tc>
      </w:tr>
      <w:tr w:rsidR="001D2E73">
        <w:trPr>
          <w:trHeight w:val="20"/>
        </w:trPr>
        <w:tc>
          <w:tcPr>
            <w:tcW w:w="4885" w:type="dxa"/>
            <w:tcBorders>
              <w:top w:val="nil"/>
            </w:tcBorders>
          </w:tcPr>
          <w:p w:rsidR="001D2E73" w:rsidRDefault="001D2E73">
            <w:pPr>
              <w:spacing w:before="40" w:after="40" w:line="220" w:lineRule="exact"/>
              <w:rPr>
                <w:sz w:val="18"/>
                <w:szCs w:val="18"/>
              </w:rPr>
            </w:pPr>
            <w:r>
              <w:rPr>
                <w:sz w:val="18"/>
                <w:szCs w:val="18"/>
              </w:rPr>
              <w:t>Por cada 10 000 habitantes</w:t>
            </w:r>
          </w:p>
        </w:tc>
        <w:tc>
          <w:tcPr>
            <w:tcW w:w="710" w:type="dxa"/>
            <w:tcBorders>
              <w:top w:val="nil"/>
            </w:tcBorders>
            <w:noWrap/>
            <w:vAlign w:val="bottom"/>
          </w:tcPr>
          <w:p w:rsidR="001D2E73" w:rsidRDefault="001D2E73">
            <w:pPr>
              <w:spacing w:before="40" w:after="40" w:line="220" w:lineRule="exact"/>
              <w:jc w:val="right"/>
              <w:rPr>
                <w:sz w:val="18"/>
                <w:szCs w:val="18"/>
              </w:rPr>
            </w:pPr>
            <w:r>
              <w:rPr>
                <w:sz w:val="18"/>
                <w:szCs w:val="18"/>
              </w:rPr>
              <w:t>83,6</w:t>
            </w:r>
          </w:p>
        </w:tc>
        <w:tc>
          <w:tcPr>
            <w:tcW w:w="710" w:type="dxa"/>
            <w:tcBorders>
              <w:top w:val="nil"/>
            </w:tcBorders>
            <w:noWrap/>
            <w:vAlign w:val="bottom"/>
          </w:tcPr>
          <w:p w:rsidR="001D2E73" w:rsidRDefault="001D2E73">
            <w:pPr>
              <w:spacing w:before="40" w:after="40" w:line="220" w:lineRule="exact"/>
              <w:jc w:val="right"/>
              <w:rPr>
                <w:sz w:val="18"/>
                <w:szCs w:val="18"/>
              </w:rPr>
            </w:pPr>
            <w:r>
              <w:rPr>
                <w:sz w:val="18"/>
                <w:szCs w:val="18"/>
              </w:rPr>
              <w:t>83,1</w:t>
            </w:r>
          </w:p>
        </w:tc>
        <w:tc>
          <w:tcPr>
            <w:tcW w:w="710" w:type="dxa"/>
            <w:tcBorders>
              <w:top w:val="nil"/>
            </w:tcBorders>
            <w:noWrap/>
            <w:vAlign w:val="bottom"/>
          </w:tcPr>
          <w:p w:rsidR="001D2E73" w:rsidRDefault="001D2E73">
            <w:pPr>
              <w:spacing w:before="40" w:after="40" w:line="220" w:lineRule="exact"/>
              <w:jc w:val="right"/>
              <w:rPr>
                <w:sz w:val="18"/>
                <w:szCs w:val="18"/>
              </w:rPr>
            </w:pPr>
            <w:r>
              <w:rPr>
                <w:sz w:val="18"/>
                <w:szCs w:val="18"/>
              </w:rPr>
              <w:t>82,9</w:t>
            </w:r>
          </w:p>
        </w:tc>
        <w:tc>
          <w:tcPr>
            <w:tcW w:w="710" w:type="dxa"/>
            <w:tcBorders>
              <w:top w:val="nil"/>
            </w:tcBorders>
            <w:noWrap/>
            <w:vAlign w:val="bottom"/>
          </w:tcPr>
          <w:p w:rsidR="001D2E73" w:rsidRDefault="001D2E73">
            <w:pPr>
              <w:spacing w:before="40" w:after="40" w:line="220" w:lineRule="exact"/>
              <w:jc w:val="right"/>
              <w:rPr>
                <w:sz w:val="18"/>
                <w:szCs w:val="18"/>
              </w:rPr>
            </w:pPr>
            <w:r>
              <w:rPr>
                <w:sz w:val="18"/>
                <w:szCs w:val="18"/>
              </w:rPr>
              <w:t>81,3</w:t>
            </w:r>
          </w:p>
        </w:tc>
        <w:tc>
          <w:tcPr>
            <w:tcW w:w="836" w:type="dxa"/>
            <w:tcBorders>
              <w:top w:val="nil"/>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80,0</w:t>
            </w:r>
          </w:p>
        </w:tc>
      </w:tr>
      <w:tr w:rsidR="001D2E73">
        <w:trPr>
          <w:trHeight w:val="20"/>
        </w:trPr>
        <w:tc>
          <w:tcPr>
            <w:tcW w:w="4885" w:type="dxa"/>
          </w:tcPr>
          <w:p w:rsidR="001D2E73" w:rsidRDefault="001D2E73">
            <w:pPr>
              <w:spacing w:before="40" w:after="40" w:line="220" w:lineRule="exact"/>
              <w:rPr>
                <w:sz w:val="18"/>
                <w:szCs w:val="18"/>
              </w:rPr>
            </w:pPr>
            <w:r>
              <w:rPr>
                <w:sz w:val="18"/>
                <w:szCs w:val="18"/>
              </w:rPr>
              <w:t xml:space="preserve">Número de camas en los hospitales pediátricos — Total, miles </w:t>
            </w:r>
          </w:p>
        </w:tc>
        <w:tc>
          <w:tcPr>
            <w:tcW w:w="710" w:type="dxa"/>
            <w:noWrap/>
            <w:vAlign w:val="bottom"/>
          </w:tcPr>
          <w:p w:rsidR="001D2E73" w:rsidRDefault="001D2E73">
            <w:pPr>
              <w:spacing w:before="40" w:after="40" w:line="220" w:lineRule="exact"/>
              <w:jc w:val="right"/>
              <w:rPr>
                <w:sz w:val="18"/>
                <w:szCs w:val="18"/>
              </w:rPr>
            </w:pPr>
            <w:r>
              <w:rPr>
                <w:sz w:val="18"/>
                <w:szCs w:val="18"/>
              </w:rPr>
              <w:t>11,7</w:t>
            </w:r>
          </w:p>
        </w:tc>
        <w:tc>
          <w:tcPr>
            <w:tcW w:w="710" w:type="dxa"/>
            <w:noWrap/>
            <w:vAlign w:val="bottom"/>
          </w:tcPr>
          <w:p w:rsidR="001D2E73" w:rsidRDefault="001D2E73">
            <w:pPr>
              <w:spacing w:before="40" w:after="40" w:line="220" w:lineRule="exact"/>
              <w:jc w:val="right"/>
              <w:rPr>
                <w:sz w:val="18"/>
                <w:szCs w:val="18"/>
              </w:rPr>
            </w:pPr>
            <w:r>
              <w:rPr>
                <w:sz w:val="18"/>
                <w:szCs w:val="18"/>
              </w:rPr>
              <w:t>11,7</w:t>
            </w:r>
          </w:p>
        </w:tc>
        <w:tc>
          <w:tcPr>
            <w:tcW w:w="710" w:type="dxa"/>
            <w:noWrap/>
            <w:vAlign w:val="bottom"/>
          </w:tcPr>
          <w:p w:rsidR="001D2E73" w:rsidRDefault="001D2E73">
            <w:pPr>
              <w:spacing w:before="40" w:after="40" w:line="220" w:lineRule="exact"/>
              <w:jc w:val="right"/>
              <w:rPr>
                <w:sz w:val="18"/>
                <w:szCs w:val="18"/>
              </w:rPr>
            </w:pPr>
            <w:r>
              <w:rPr>
                <w:sz w:val="18"/>
                <w:szCs w:val="18"/>
              </w:rPr>
              <w:t>11,7</w:t>
            </w:r>
          </w:p>
        </w:tc>
        <w:tc>
          <w:tcPr>
            <w:tcW w:w="710" w:type="dxa"/>
            <w:noWrap/>
            <w:vAlign w:val="bottom"/>
          </w:tcPr>
          <w:p w:rsidR="001D2E73" w:rsidRDefault="001D2E73">
            <w:pPr>
              <w:spacing w:before="40" w:after="40" w:line="220" w:lineRule="exact"/>
              <w:jc w:val="right"/>
              <w:rPr>
                <w:sz w:val="18"/>
                <w:szCs w:val="18"/>
              </w:rPr>
            </w:pPr>
            <w:r>
              <w:rPr>
                <w:sz w:val="18"/>
                <w:szCs w:val="18"/>
              </w:rPr>
              <w:t>11,5</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11,4</w:t>
            </w:r>
          </w:p>
        </w:tc>
      </w:tr>
      <w:tr w:rsidR="001D2E73">
        <w:trPr>
          <w:trHeight w:val="20"/>
        </w:trPr>
        <w:tc>
          <w:tcPr>
            <w:tcW w:w="4885" w:type="dxa"/>
            <w:tcBorders>
              <w:bottom w:val="nil"/>
            </w:tcBorders>
          </w:tcPr>
          <w:p w:rsidR="001D2E73" w:rsidRDefault="001D2E73">
            <w:pPr>
              <w:spacing w:before="40" w:after="40" w:line="220" w:lineRule="exact"/>
              <w:rPr>
                <w:sz w:val="18"/>
                <w:szCs w:val="18"/>
              </w:rPr>
            </w:pPr>
            <w:r>
              <w:rPr>
                <w:sz w:val="18"/>
                <w:szCs w:val="18"/>
              </w:rPr>
              <w:t>Número de dispensarios y policlínicas</w:t>
            </w:r>
          </w:p>
        </w:tc>
        <w:tc>
          <w:tcPr>
            <w:tcW w:w="710" w:type="dxa"/>
            <w:tcBorders>
              <w:bottom w:val="nil"/>
            </w:tcBorders>
            <w:noWrap/>
            <w:vAlign w:val="bottom"/>
          </w:tcPr>
          <w:p w:rsidR="001D2E73" w:rsidRDefault="001D2E73">
            <w:pPr>
              <w:spacing w:before="40" w:after="40" w:line="220" w:lineRule="exact"/>
              <w:jc w:val="right"/>
              <w:rPr>
                <w:sz w:val="18"/>
                <w:szCs w:val="18"/>
              </w:rPr>
            </w:pPr>
            <w:r>
              <w:rPr>
                <w:sz w:val="18"/>
                <w:szCs w:val="18"/>
              </w:rPr>
              <w:t>1 591</w:t>
            </w:r>
          </w:p>
        </w:tc>
        <w:tc>
          <w:tcPr>
            <w:tcW w:w="710" w:type="dxa"/>
            <w:tcBorders>
              <w:bottom w:val="nil"/>
            </w:tcBorders>
            <w:noWrap/>
            <w:vAlign w:val="bottom"/>
          </w:tcPr>
          <w:p w:rsidR="001D2E73" w:rsidRDefault="001D2E73">
            <w:pPr>
              <w:spacing w:before="40" w:after="40" w:line="220" w:lineRule="exact"/>
              <w:jc w:val="right"/>
              <w:rPr>
                <w:sz w:val="18"/>
                <w:szCs w:val="18"/>
              </w:rPr>
            </w:pPr>
            <w:r>
              <w:rPr>
                <w:sz w:val="18"/>
                <w:szCs w:val="18"/>
              </w:rPr>
              <w:t>1 594</w:t>
            </w:r>
          </w:p>
        </w:tc>
        <w:tc>
          <w:tcPr>
            <w:tcW w:w="710" w:type="dxa"/>
            <w:tcBorders>
              <w:bottom w:val="nil"/>
            </w:tcBorders>
            <w:noWrap/>
            <w:vAlign w:val="bottom"/>
          </w:tcPr>
          <w:p w:rsidR="001D2E73" w:rsidRDefault="001D2E73">
            <w:pPr>
              <w:spacing w:before="40" w:after="40" w:line="220" w:lineRule="exact"/>
              <w:jc w:val="right"/>
              <w:rPr>
                <w:sz w:val="18"/>
                <w:szCs w:val="18"/>
              </w:rPr>
            </w:pPr>
            <w:r>
              <w:rPr>
                <w:sz w:val="18"/>
                <w:szCs w:val="18"/>
              </w:rPr>
              <w:t>1 595</w:t>
            </w:r>
          </w:p>
        </w:tc>
        <w:tc>
          <w:tcPr>
            <w:tcW w:w="710" w:type="dxa"/>
            <w:tcBorders>
              <w:bottom w:val="nil"/>
            </w:tcBorders>
            <w:noWrap/>
            <w:vAlign w:val="bottom"/>
          </w:tcPr>
          <w:p w:rsidR="001D2E73" w:rsidRDefault="001D2E73">
            <w:pPr>
              <w:spacing w:before="40" w:after="40" w:line="220" w:lineRule="exact"/>
              <w:jc w:val="right"/>
              <w:rPr>
                <w:sz w:val="18"/>
                <w:szCs w:val="18"/>
              </w:rPr>
            </w:pPr>
            <w:r>
              <w:rPr>
                <w:sz w:val="18"/>
                <w:szCs w:val="18"/>
              </w:rPr>
              <w:t>1 589</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1 692</w:t>
            </w:r>
            <w:r>
              <w:rPr>
                <w:i/>
                <w:sz w:val="18"/>
                <w:szCs w:val="18"/>
                <w:vertAlign w:val="superscript"/>
              </w:rPr>
              <w:t>1</w:t>
            </w:r>
          </w:p>
        </w:tc>
      </w:tr>
      <w:tr w:rsidR="001D2E73">
        <w:trPr>
          <w:trHeight w:val="20"/>
        </w:trPr>
        <w:tc>
          <w:tcPr>
            <w:tcW w:w="4885" w:type="dxa"/>
            <w:tcBorders>
              <w:top w:val="nil"/>
              <w:bottom w:val="nil"/>
            </w:tcBorders>
          </w:tcPr>
          <w:p w:rsidR="001D2E73" w:rsidRDefault="001D2E73">
            <w:pPr>
              <w:spacing w:before="40" w:after="40" w:line="220" w:lineRule="exact"/>
              <w:rPr>
                <w:sz w:val="18"/>
                <w:szCs w:val="18"/>
              </w:rPr>
            </w:pPr>
            <w:r>
              <w:rPr>
                <w:sz w:val="18"/>
                <w:szCs w:val="18"/>
              </w:rPr>
              <w:t>Capacidad de los dispensarios y policlínicos (pacientes por consulta), miles</w:t>
            </w:r>
          </w:p>
        </w:tc>
        <w:tc>
          <w:tcPr>
            <w:tcW w:w="71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105,0</w:t>
            </w:r>
          </w:p>
        </w:tc>
        <w:tc>
          <w:tcPr>
            <w:tcW w:w="71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105,3</w:t>
            </w:r>
          </w:p>
        </w:tc>
        <w:tc>
          <w:tcPr>
            <w:tcW w:w="71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104,1</w:t>
            </w:r>
          </w:p>
        </w:tc>
        <w:tc>
          <w:tcPr>
            <w:tcW w:w="710"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103,9</w:t>
            </w:r>
          </w:p>
        </w:tc>
        <w:tc>
          <w:tcPr>
            <w:tcW w:w="836" w:type="dxa"/>
            <w:tcBorders>
              <w:top w:val="nil"/>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104,7</w:t>
            </w:r>
            <w:r>
              <w:rPr>
                <w:i/>
                <w:sz w:val="18"/>
                <w:szCs w:val="18"/>
                <w:vertAlign w:val="superscript"/>
              </w:rPr>
              <w:t>1</w:t>
            </w:r>
          </w:p>
        </w:tc>
      </w:tr>
      <w:tr w:rsidR="001D2E73">
        <w:trPr>
          <w:trHeight w:val="20"/>
        </w:trPr>
        <w:tc>
          <w:tcPr>
            <w:tcW w:w="4885" w:type="dxa"/>
            <w:tcBorders>
              <w:top w:val="nil"/>
            </w:tcBorders>
          </w:tcPr>
          <w:p w:rsidR="001D2E73" w:rsidRDefault="001D2E73">
            <w:pPr>
              <w:spacing w:before="40" w:after="40" w:line="220" w:lineRule="exact"/>
              <w:rPr>
                <w:sz w:val="18"/>
                <w:szCs w:val="18"/>
              </w:rPr>
            </w:pPr>
            <w:r>
              <w:rPr>
                <w:sz w:val="18"/>
                <w:szCs w:val="18"/>
              </w:rPr>
              <w:t>Por cada 10 000 habitantes</w:t>
            </w:r>
          </w:p>
        </w:tc>
        <w:tc>
          <w:tcPr>
            <w:tcW w:w="710" w:type="dxa"/>
            <w:tcBorders>
              <w:top w:val="nil"/>
            </w:tcBorders>
            <w:noWrap/>
            <w:vAlign w:val="bottom"/>
          </w:tcPr>
          <w:p w:rsidR="001D2E73" w:rsidRDefault="001D2E73">
            <w:pPr>
              <w:spacing w:before="40" w:after="40" w:line="220" w:lineRule="exact"/>
              <w:jc w:val="right"/>
              <w:rPr>
                <w:sz w:val="18"/>
                <w:szCs w:val="18"/>
              </w:rPr>
            </w:pPr>
            <w:r>
              <w:rPr>
                <w:sz w:val="18"/>
                <w:szCs w:val="18"/>
              </w:rPr>
              <w:t>1 28,9</w:t>
            </w:r>
          </w:p>
        </w:tc>
        <w:tc>
          <w:tcPr>
            <w:tcW w:w="710" w:type="dxa"/>
            <w:tcBorders>
              <w:top w:val="nil"/>
            </w:tcBorders>
            <w:noWrap/>
            <w:vAlign w:val="bottom"/>
          </w:tcPr>
          <w:p w:rsidR="001D2E73" w:rsidRDefault="001D2E73">
            <w:pPr>
              <w:spacing w:before="40" w:after="40" w:line="220" w:lineRule="exact"/>
              <w:jc w:val="right"/>
              <w:rPr>
                <w:sz w:val="18"/>
                <w:szCs w:val="18"/>
              </w:rPr>
            </w:pPr>
            <w:r>
              <w:rPr>
                <w:sz w:val="18"/>
                <w:szCs w:val="18"/>
              </w:rPr>
              <w:t>127,9</w:t>
            </w:r>
          </w:p>
        </w:tc>
        <w:tc>
          <w:tcPr>
            <w:tcW w:w="710" w:type="dxa"/>
            <w:tcBorders>
              <w:top w:val="nil"/>
            </w:tcBorders>
            <w:noWrap/>
            <w:vAlign w:val="bottom"/>
          </w:tcPr>
          <w:p w:rsidR="001D2E73" w:rsidRDefault="001D2E73">
            <w:pPr>
              <w:spacing w:before="40" w:after="40" w:line="220" w:lineRule="exact"/>
              <w:jc w:val="right"/>
              <w:rPr>
                <w:sz w:val="18"/>
                <w:szCs w:val="18"/>
              </w:rPr>
            </w:pPr>
            <w:r>
              <w:rPr>
                <w:sz w:val="18"/>
                <w:szCs w:val="18"/>
              </w:rPr>
              <w:t>125,2</w:t>
            </w:r>
          </w:p>
        </w:tc>
        <w:tc>
          <w:tcPr>
            <w:tcW w:w="710" w:type="dxa"/>
            <w:tcBorders>
              <w:top w:val="nil"/>
            </w:tcBorders>
            <w:noWrap/>
            <w:vAlign w:val="bottom"/>
          </w:tcPr>
          <w:p w:rsidR="001D2E73" w:rsidRDefault="001D2E73">
            <w:pPr>
              <w:spacing w:before="40" w:after="40" w:line="220" w:lineRule="exact"/>
              <w:jc w:val="right"/>
              <w:rPr>
                <w:sz w:val="18"/>
                <w:szCs w:val="18"/>
              </w:rPr>
            </w:pPr>
            <w:r>
              <w:rPr>
                <w:sz w:val="18"/>
                <w:szCs w:val="18"/>
              </w:rPr>
              <w:t>123,5</w:t>
            </w:r>
          </w:p>
        </w:tc>
        <w:tc>
          <w:tcPr>
            <w:tcW w:w="836" w:type="dxa"/>
            <w:tcBorders>
              <w:top w:val="nil"/>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123,0</w:t>
            </w:r>
          </w:p>
        </w:tc>
      </w:tr>
      <w:tr w:rsidR="001D2E73">
        <w:trPr>
          <w:trHeight w:val="20"/>
        </w:trPr>
        <w:tc>
          <w:tcPr>
            <w:tcW w:w="4885" w:type="dxa"/>
          </w:tcPr>
          <w:p w:rsidR="001D2E73" w:rsidRDefault="001D2E73">
            <w:pPr>
              <w:spacing w:before="40" w:after="40" w:line="220" w:lineRule="exact"/>
              <w:rPr>
                <w:sz w:val="18"/>
                <w:szCs w:val="18"/>
              </w:rPr>
            </w:pPr>
            <w:r>
              <w:rPr>
                <w:sz w:val="18"/>
                <w:szCs w:val="18"/>
              </w:rPr>
              <w:t>Número de consultas gineco-obstétricas, pediátricas y de medicina general (independientes o en otras instituciones)</w:t>
            </w:r>
          </w:p>
        </w:tc>
        <w:tc>
          <w:tcPr>
            <w:tcW w:w="710" w:type="dxa"/>
            <w:noWrap/>
            <w:vAlign w:val="bottom"/>
          </w:tcPr>
          <w:p w:rsidR="001D2E73" w:rsidRDefault="001D2E73">
            <w:pPr>
              <w:spacing w:before="40" w:after="40" w:line="220" w:lineRule="exact"/>
              <w:jc w:val="right"/>
              <w:rPr>
                <w:sz w:val="18"/>
                <w:szCs w:val="18"/>
              </w:rPr>
            </w:pPr>
            <w:r>
              <w:rPr>
                <w:sz w:val="18"/>
                <w:szCs w:val="18"/>
              </w:rPr>
              <w:t>916</w:t>
            </w:r>
          </w:p>
        </w:tc>
        <w:tc>
          <w:tcPr>
            <w:tcW w:w="710" w:type="dxa"/>
            <w:noWrap/>
            <w:vAlign w:val="bottom"/>
          </w:tcPr>
          <w:p w:rsidR="001D2E73" w:rsidRDefault="001D2E73">
            <w:pPr>
              <w:spacing w:before="40" w:after="40" w:line="220" w:lineRule="exact"/>
              <w:jc w:val="right"/>
              <w:rPr>
                <w:sz w:val="18"/>
                <w:szCs w:val="18"/>
              </w:rPr>
            </w:pPr>
            <w:r>
              <w:rPr>
                <w:sz w:val="18"/>
                <w:szCs w:val="18"/>
              </w:rPr>
              <w:t>922</w:t>
            </w:r>
          </w:p>
        </w:tc>
        <w:tc>
          <w:tcPr>
            <w:tcW w:w="710" w:type="dxa"/>
            <w:noWrap/>
            <w:vAlign w:val="bottom"/>
          </w:tcPr>
          <w:p w:rsidR="001D2E73" w:rsidRDefault="001D2E73">
            <w:pPr>
              <w:spacing w:before="40" w:after="40" w:line="220" w:lineRule="exact"/>
              <w:jc w:val="right"/>
              <w:rPr>
                <w:sz w:val="18"/>
                <w:szCs w:val="18"/>
              </w:rPr>
            </w:pPr>
            <w:r>
              <w:rPr>
                <w:sz w:val="18"/>
                <w:szCs w:val="18"/>
              </w:rPr>
              <w:t>923</w:t>
            </w:r>
          </w:p>
        </w:tc>
        <w:tc>
          <w:tcPr>
            <w:tcW w:w="710" w:type="dxa"/>
            <w:noWrap/>
            <w:vAlign w:val="bottom"/>
          </w:tcPr>
          <w:p w:rsidR="001D2E73" w:rsidRDefault="001D2E73">
            <w:pPr>
              <w:spacing w:before="40" w:after="40" w:line="220" w:lineRule="exact"/>
              <w:jc w:val="right"/>
              <w:rPr>
                <w:sz w:val="18"/>
                <w:szCs w:val="18"/>
              </w:rPr>
            </w:pPr>
            <w:r>
              <w:rPr>
                <w:sz w:val="18"/>
                <w:szCs w:val="18"/>
              </w:rPr>
              <w:t>914</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904</w:t>
            </w:r>
            <w:r>
              <w:rPr>
                <w:i/>
                <w:sz w:val="18"/>
                <w:szCs w:val="18"/>
                <w:vertAlign w:val="superscript"/>
              </w:rPr>
              <w:t>1</w:t>
            </w:r>
          </w:p>
        </w:tc>
      </w:tr>
      <w:tr w:rsidR="001D2E73">
        <w:trPr>
          <w:trHeight w:val="20"/>
        </w:trPr>
        <w:tc>
          <w:tcPr>
            <w:tcW w:w="4885" w:type="dxa"/>
          </w:tcPr>
          <w:p w:rsidR="001D2E73" w:rsidRDefault="001D2E73">
            <w:pPr>
              <w:spacing w:before="40" w:after="40" w:line="220" w:lineRule="exact"/>
              <w:rPr>
                <w:sz w:val="18"/>
                <w:szCs w:val="18"/>
              </w:rPr>
            </w:pPr>
            <w:r>
              <w:rPr>
                <w:sz w:val="18"/>
                <w:szCs w:val="18"/>
              </w:rPr>
              <w:t xml:space="preserve">Número de camas en los hospitales de maternidad (incluidas las de atención general y ginecología), miles </w:t>
            </w:r>
          </w:p>
        </w:tc>
        <w:tc>
          <w:tcPr>
            <w:tcW w:w="710" w:type="dxa"/>
            <w:noWrap/>
            <w:vAlign w:val="bottom"/>
          </w:tcPr>
          <w:p w:rsidR="001D2E73" w:rsidRDefault="001D2E73">
            <w:pPr>
              <w:spacing w:before="40" w:after="40" w:line="220" w:lineRule="exact"/>
              <w:jc w:val="right"/>
              <w:rPr>
                <w:sz w:val="18"/>
                <w:szCs w:val="18"/>
              </w:rPr>
            </w:pPr>
            <w:r>
              <w:rPr>
                <w:sz w:val="18"/>
                <w:szCs w:val="18"/>
              </w:rPr>
              <w:t>7,4</w:t>
            </w:r>
          </w:p>
        </w:tc>
        <w:tc>
          <w:tcPr>
            <w:tcW w:w="710" w:type="dxa"/>
            <w:noWrap/>
            <w:vAlign w:val="bottom"/>
          </w:tcPr>
          <w:p w:rsidR="001D2E73" w:rsidRDefault="001D2E73">
            <w:pPr>
              <w:spacing w:before="40" w:after="40" w:line="220" w:lineRule="exact"/>
              <w:jc w:val="right"/>
              <w:rPr>
                <w:sz w:val="18"/>
                <w:szCs w:val="18"/>
              </w:rPr>
            </w:pPr>
            <w:r>
              <w:rPr>
                <w:sz w:val="18"/>
                <w:szCs w:val="18"/>
              </w:rPr>
              <w:t>7,4</w:t>
            </w:r>
          </w:p>
        </w:tc>
        <w:tc>
          <w:tcPr>
            <w:tcW w:w="710" w:type="dxa"/>
            <w:noWrap/>
            <w:vAlign w:val="bottom"/>
          </w:tcPr>
          <w:p w:rsidR="001D2E73" w:rsidRDefault="001D2E73">
            <w:pPr>
              <w:spacing w:before="40" w:after="40" w:line="220" w:lineRule="exact"/>
              <w:jc w:val="right"/>
              <w:rPr>
                <w:sz w:val="18"/>
                <w:szCs w:val="18"/>
              </w:rPr>
            </w:pPr>
            <w:r>
              <w:rPr>
                <w:sz w:val="18"/>
                <w:szCs w:val="18"/>
              </w:rPr>
              <w:t>7,4</w:t>
            </w:r>
          </w:p>
        </w:tc>
        <w:tc>
          <w:tcPr>
            <w:tcW w:w="710" w:type="dxa"/>
            <w:noWrap/>
            <w:vAlign w:val="bottom"/>
          </w:tcPr>
          <w:p w:rsidR="001D2E73" w:rsidRDefault="001D2E73">
            <w:pPr>
              <w:spacing w:before="40" w:after="40" w:line="220" w:lineRule="exact"/>
              <w:jc w:val="right"/>
              <w:rPr>
                <w:sz w:val="18"/>
                <w:szCs w:val="18"/>
              </w:rPr>
            </w:pPr>
            <w:r>
              <w:rPr>
                <w:sz w:val="18"/>
                <w:szCs w:val="18"/>
              </w:rPr>
              <w:t>7,4</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7,4</w:t>
            </w:r>
          </w:p>
        </w:tc>
      </w:tr>
      <w:tr w:rsidR="001D2E73">
        <w:trPr>
          <w:trHeight w:val="20"/>
        </w:trPr>
        <w:tc>
          <w:tcPr>
            <w:tcW w:w="4885" w:type="dxa"/>
          </w:tcPr>
          <w:p w:rsidR="001D2E73" w:rsidRDefault="001D2E73">
            <w:pPr>
              <w:spacing w:before="40" w:after="40" w:line="220" w:lineRule="exact"/>
              <w:rPr>
                <w:sz w:val="18"/>
                <w:szCs w:val="18"/>
              </w:rPr>
            </w:pPr>
            <w:r>
              <w:rPr>
                <w:sz w:val="18"/>
                <w:szCs w:val="18"/>
              </w:rPr>
              <w:t>Número de hogares infantiles</w:t>
            </w:r>
          </w:p>
        </w:tc>
        <w:tc>
          <w:tcPr>
            <w:tcW w:w="710" w:type="dxa"/>
            <w:noWrap/>
            <w:vAlign w:val="bottom"/>
          </w:tcPr>
          <w:p w:rsidR="001D2E73" w:rsidRDefault="001D2E73">
            <w:pPr>
              <w:spacing w:before="40" w:after="40" w:line="220" w:lineRule="exact"/>
              <w:jc w:val="right"/>
              <w:rPr>
                <w:sz w:val="18"/>
                <w:szCs w:val="18"/>
              </w:rPr>
            </w:pPr>
            <w:r>
              <w:rPr>
                <w:sz w:val="18"/>
                <w:szCs w:val="18"/>
              </w:rPr>
              <w:t>4</w:t>
            </w:r>
          </w:p>
        </w:tc>
        <w:tc>
          <w:tcPr>
            <w:tcW w:w="710" w:type="dxa"/>
            <w:noWrap/>
            <w:vAlign w:val="bottom"/>
          </w:tcPr>
          <w:p w:rsidR="001D2E73" w:rsidRDefault="001D2E73">
            <w:pPr>
              <w:spacing w:before="40" w:after="40" w:line="220" w:lineRule="exact"/>
              <w:jc w:val="right"/>
              <w:rPr>
                <w:sz w:val="18"/>
                <w:szCs w:val="18"/>
              </w:rPr>
            </w:pPr>
            <w:r>
              <w:rPr>
                <w:sz w:val="18"/>
                <w:szCs w:val="18"/>
              </w:rPr>
              <w:t>4</w:t>
            </w:r>
          </w:p>
        </w:tc>
        <w:tc>
          <w:tcPr>
            <w:tcW w:w="710" w:type="dxa"/>
            <w:noWrap/>
            <w:vAlign w:val="bottom"/>
          </w:tcPr>
          <w:p w:rsidR="001D2E73" w:rsidRDefault="001D2E73">
            <w:pPr>
              <w:spacing w:before="40" w:after="40" w:line="220" w:lineRule="exact"/>
              <w:jc w:val="right"/>
              <w:rPr>
                <w:sz w:val="18"/>
                <w:szCs w:val="18"/>
              </w:rPr>
            </w:pPr>
            <w:r>
              <w:rPr>
                <w:sz w:val="18"/>
                <w:szCs w:val="18"/>
              </w:rPr>
              <w:t>4</w:t>
            </w:r>
          </w:p>
        </w:tc>
        <w:tc>
          <w:tcPr>
            <w:tcW w:w="710" w:type="dxa"/>
            <w:noWrap/>
            <w:vAlign w:val="bottom"/>
          </w:tcPr>
          <w:p w:rsidR="001D2E73" w:rsidRDefault="001D2E73">
            <w:pPr>
              <w:spacing w:before="40" w:after="40" w:line="220" w:lineRule="exact"/>
              <w:jc w:val="right"/>
              <w:rPr>
                <w:sz w:val="18"/>
                <w:szCs w:val="18"/>
              </w:rPr>
            </w:pPr>
            <w:r>
              <w:rPr>
                <w:sz w:val="18"/>
                <w:szCs w:val="18"/>
              </w:rPr>
              <w:t>4</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4</w:t>
            </w:r>
          </w:p>
        </w:tc>
      </w:tr>
      <w:tr w:rsidR="001D2E73">
        <w:trPr>
          <w:trHeight w:val="20"/>
        </w:trPr>
        <w:tc>
          <w:tcPr>
            <w:tcW w:w="4885" w:type="dxa"/>
          </w:tcPr>
          <w:p w:rsidR="001D2E73" w:rsidRDefault="001D2E73">
            <w:pPr>
              <w:spacing w:before="40" w:after="40" w:line="220" w:lineRule="exact"/>
              <w:rPr>
                <w:sz w:val="18"/>
                <w:szCs w:val="18"/>
              </w:rPr>
            </w:pPr>
            <w:r>
              <w:rPr>
                <w:sz w:val="18"/>
                <w:szCs w:val="18"/>
              </w:rPr>
              <w:t>Número de plazas</w:t>
            </w:r>
          </w:p>
        </w:tc>
        <w:tc>
          <w:tcPr>
            <w:tcW w:w="710" w:type="dxa"/>
            <w:noWrap/>
            <w:vAlign w:val="bottom"/>
          </w:tcPr>
          <w:p w:rsidR="001D2E73" w:rsidRDefault="001D2E73">
            <w:pPr>
              <w:spacing w:before="40" w:after="40" w:line="220" w:lineRule="exact"/>
              <w:jc w:val="right"/>
              <w:rPr>
                <w:sz w:val="18"/>
                <w:szCs w:val="18"/>
              </w:rPr>
            </w:pPr>
            <w:r>
              <w:rPr>
                <w:sz w:val="18"/>
                <w:szCs w:val="18"/>
              </w:rPr>
              <w:t>370</w:t>
            </w:r>
          </w:p>
        </w:tc>
        <w:tc>
          <w:tcPr>
            <w:tcW w:w="710" w:type="dxa"/>
            <w:noWrap/>
            <w:vAlign w:val="bottom"/>
          </w:tcPr>
          <w:p w:rsidR="001D2E73" w:rsidRDefault="001D2E73">
            <w:pPr>
              <w:spacing w:before="40" w:after="40" w:line="220" w:lineRule="exact"/>
              <w:jc w:val="right"/>
              <w:rPr>
                <w:sz w:val="18"/>
                <w:szCs w:val="18"/>
              </w:rPr>
            </w:pPr>
            <w:r>
              <w:rPr>
                <w:sz w:val="18"/>
                <w:szCs w:val="18"/>
              </w:rPr>
              <w:t>370</w:t>
            </w:r>
          </w:p>
        </w:tc>
        <w:tc>
          <w:tcPr>
            <w:tcW w:w="710" w:type="dxa"/>
            <w:noWrap/>
            <w:vAlign w:val="bottom"/>
          </w:tcPr>
          <w:p w:rsidR="001D2E73" w:rsidRDefault="001D2E73">
            <w:pPr>
              <w:spacing w:before="40" w:after="40" w:line="220" w:lineRule="exact"/>
              <w:jc w:val="right"/>
              <w:rPr>
                <w:sz w:val="18"/>
                <w:szCs w:val="18"/>
              </w:rPr>
            </w:pPr>
            <w:r>
              <w:rPr>
                <w:sz w:val="18"/>
                <w:szCs w:val="18"/>
              </w:rPr>
              <w:t>370</w:t>
            </w:r>
          </w:p>
        </w:tc>
        <w:tc>
          <w:tcPr>
            <w:tcW w:w="710" w:type="dxa"/>
            <w:noWrap/>
            <w:vAlign w:val="bottom"/>
          </w:tcPr>
          <w:p w:rsidR="001D2E73" w:rsidRDefault="001D2E73">
            <w:pPr>
              <w:spacing w:before="40" w:after="40" w:line="220" w:lineRule="exact"/>
              <w:jc w:val="right"/>
              <w:rPr>
                <w:sz w:val="18"/>
                <w:szCs w:val="18"/>
              </w:rPr>
            </w:pPr>
            <w:r>
              <w:rPr>
                <w:sz w:val="18"/>
                <w:szCs w:val="18"/>
              </w:rPr>
              <w:t>370</w:t>
            </w:r>
          </w:p>
        </w:tc>
        <w:tc>
          <w:tcPr>
            <w:tcW w:w="83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356</w:t>
            </w:r>
          </w:p>
        </w:tc>
      </w:tr>
      <w:tr w:rsidR="001D2E73">
        <w:trPr>
          <w:trHeight w:val="20"/>
        </w:trPr>
        <w:tc>
          <w:tcPr>
            <w:tcW w:w="4885" w:type="dxa"/>
          </w:tcPr>
          <w:p w:rsidR="001D2E73" w:rsidRDefault="001D2E73">
            <w:pPr>
              <w:spacing w:before="40" w:after="40" w:line="220" w:lineRule="exact"/>
              <w:rPr>
                <w:sz w:val="18"/>
                <w:szCs w:val="18"/>
              </w:rPr>
            </w:pPr>
            <w:r>
              <w:rPr>
                <w:sz w:val="18"/>
                <w:szCs w:val="18"/>
              </w:rPr>
              <w:t>Número de niños</w:t>
            </w:r>
          </w:p>
        </w:tc>
        <w:tc>
          <w:tcPr>
            <w:tcW w:w="710" w:type="dxa"/>
            <w:noWrap/>
          </w:tcPr>
          <w:p w:rsidR="001D2E73" w:rsidRDefault="001D2E73">
            <w:pPr>
              <w:spacing w:before="40" w:after="40" w:line="220" w:lineRule="exact"/>
              <w:jc w:val="right"/>
              <w:rPr>
                <w:sz w:val="18"/>
                <w:szCs w:val="18"/>
              </w:rPr>
            </w:pPr>
            <w:r>
              <w:rPr>
                <w:sz w:val="18"/>
                <w:szCs w:val="18"/>
              </w:rPr>
              <w:t>152</w:t>
            </w:r>
          </w:p>
        </w:tc>
        <w:tc>
          <w:tcPr>
            <w:tcW w:w="710" w:type="dxa"/>
            <w:noWrap/>
          </w:tcPr>
          <w:p w:rsidR="001D2E73" w:rsidRDefault="001D2E73">
            <w:pPr>
              <w:spacing w:before="40" w:after="40" w:line="220" w:lineRule="exact"/>
              <w:jc w:val="right"/>
              <w:rPr>
                <w:sz w:val="18"/>
                <w:szCs w:val="18"/>
              </w:rPr>
            </w:pPr>
            <w:r>
              <w:rPr>
                <w:sz w:val="18"/>
                <w:szCs w:val="18"/>
              </w:rPr>
              <w:t>144</w:t>
            </w:r>
          </w:p>
        </w:tc>
        <w:tc>
          <w:tcPr>
            <w:tcW w:w="710" w:type="dxa"/>
            <w:noWrap/>
          </w:tcPr>
          <w:p w:rsidR="001D2E73" w:rsidRDefault="001D2E73">
            <w:pPr>
              <w:spacing w:before="40" w:after="40" w:line="220" w:lineRule="exact"/>
              <w:jc w:val="right"/>
              <w:rPr>
                <w:sz w:val="18"/>
                <w:szCs w:val="18"/>
              </w:rPr>
            </w:pPr>
            <w:r>
              <w:rPr>
                <w:sz w:val="18"/>
                <w:szCs w:val="18"/>
              </w:rPr>
              <w:t>156</w:t>
            </w:r>
          </w:p>
        </w:tc>
        <w:tc>
          <w:tcPr>
            <w:tcW w:w="710" w:type="dxa"/>
            <w:noWrap/>
          </w:tcPr>
          <w:p w:rsidR="001D2E73" w:rsidRDefault="001D2E73">
            <w:pPr>
              <w:spacing w:before="40" w:after="40" w:line="220" w:lineRule="exact"/>
              <w:jc w:val="right"/>
              <w:rPr>
                <w:sz w:val="18"/>
                <w:szCs w:val="18"/>
              </w:rPr>
            </w:pPr>
            <w:r>
              <w:rPr>
                <w:sz w:val="18"/>
                <w:szCs w:val="18"/>
              </w:rPr>
              <w:t>142</w:t>
            </w:r>
          </w:p>
        </w:tc>
        <w:tc>
          <w:tcPr>
            <w:tcW w:w="836"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105</w:t>
            </w:r>
          </w:p>
        </w:tc>
      </w:tr>
      <w:tr w:rsidR="001D2E73">
        <w:trPr>
          <w:trHeight w:val="20"/>
        </w:trPr>
        <w:tc>
          <w:tcPr>
            <w:tcW w:w="4885" w:type="dxa"/>
          </w:tcPr>
          <w:p w:rsidR="001D2E73" w:rsidRDefault="001D2E73">
            <w:pPr>
              <w:spacing w:before="40" w:after="40" w:line="220" w:lineRule="exact"/>
              <w:rPr>
                <w:sz w:val="18"/>
                <w:szCs w:val="18"/>
              </w:rPr>
            </w:pPr>
            <w:r>
              <w:rPr>
                <w:sz w:val="18"/>
                <w:szCs w:val="18"/>
              </w:rPr>
              <w:t xml:space="preserve">  De ellos, huérfanos</w:t>
            </w:r>
          </w:p>
        </w:tc>
        <w:tc>
          <w:tcPr>
            <w:tcW w:w="710" w:type="dxa"/>
            <w:noWrap/>
          </w:tcPr>
          <w:p w:rsidR="001D2E73" w:rsidRDefault="001D2E73">
            <w:pPr>
              <w:spacing w:before="40" w:after="40" w:line="220" w:lineRule="exact"/>
              <w:jc w:val="right"/>
              <w:rPr>
                <w:sz w:val="18"/>
                <w:szCs w:val="18"/>
              </w:rPr>
            </w:pPr>
            <w:r>
              <w:rPr>
                <w:sz w:val="18"/>
                <w:szCs w:val="18"/>
              </w:rPr>
              <w:t>57</w:t>
            </w:r>
          </w:p>
        </w:tc>
        <w:tc>
          <w:tcPr>
            <w:tcW w:w="710" w:type="dxa"/>
            <w:noWrap/>
          </w:tcPr>
          <w:p w:rsidR="001D2E73" w:rsidRDefault="001D2E73">
            <w:pPr>
              <w:spacing w:before="40" w:after="40" w:line="220" w:lineRule="exact"/>
              <w:jc w:val="right"/>
              <w:rPr>
                <w:sz w:val="18"/>
                <w:szCs w:val="18"/>
              </w:rPr>
            </w:pPr>
            <w:r>
              <w:rPr>
                <w:sz w:val="18"/>
                <w:szCs w:val="18"/>
              </w:rPr>
              <w:t>55</w:t>
            </w:r>
          </w:p>
        </w:tc>
        <w:tc>
          <w:tcPr>
            <w:tcW w:w="710" w:type="dxa"/>
            <w:noWrap/>
          </w:tcPr>
          <w:p w:rsidR="001D2E73" w:rsidRDefault="001D2E73">
            <w:pPr>
              <w:spacing w:before="40" w:after="40" w:line="220" w:lineRule="exact"/>
              <w:jc w:val="right"/>
              <w:rPr>
                <w:sz w:val="18"/>
                <w:szCs w:val="18"/>
              </w:rPr>
            </w:pPr>
            <w:r>
              <w:rPr>
                <w:sz w:val="18"/>
                <w:szCs w:val="18"/>
              </w:rPr>
              <w:t>59</w:t>
            </w:r>
          </w:p>
        </w:tc>
        <w:tc>
          <w:tcPr>
            <w:tcW w:w="710" w:type="dxa"/>
            <w:noWrap/>
          </w:tcPr>
          <w:p w:rsidR="001D2E73" w:rsidRDefault="001D2E73">
            <w:pPr>
              <w:spacing w:before="40" w:after="40" w:line="220" w:lineRule="exact"/>
              <w:jc w:val="right"/>
              <w:rPr>
                <w:sz w:val="18"/>
                <w:szCs w:val="18"/>
              </w:rPr>
            </w:pPr>
            <w:r>
              <w:rPr>
                <w:sz w:val="18"/>
                <w:szCs w:val="18"/>
              </w:rPr>
              <w:t>61</w:t>
            </w:r>
          </w:p>
        </w:tc>
        <w:tc>
          <w:tcPr>
            <w:tcW w:w="836"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38</w:t>
            </w:r>
          </w:p>
        </w:tc>
      </w:tr>
    </w:tbl>
    <w:p w:rsidR="001D2E73" w:rsidRDefault="001D2E73">
      <w:pPr>
        <w:pStyle w:val="SingleTxtG"/>
        <w:tabs>
          <w:tab w:val="left" w:pos="1260"/>
        </w:tabs>
        <w:spacing w:before="120" w:after="240"/>
        <w:rPr>
          <w:sz w:val="18"/>
          <w:szCs w:val="18"/>
          <w:lang w:val="es-ES"/>
        </w:rPr>
      </w:pPr>
      <w:r>
        <w:rPr>
          <w:sz w:val="18"/>
          <w:szCs w:val="18"/>
          <w:vertAlign w:val="superscript"/>
          <w:lang w:val="es-ES"/>
        </w:rPr>
        <w:tab/>
      </w:r>
      <w:r>
        <w:rPr>
          <w:i/>
          <w:sz w:val="18"/>
          <w:szCs w:val="18"/>
          <w:vertAlign w:val="superscript"/>
          <w:lang w:val="es-ES"/>
        </w:rPr>
        <w:t>a</w:t>
      </w:r>
      <w:r>
        <w:rPr>
          <w:sz w:val="18"/>
          <w:szCs w:val="18"/>
          <w:lang w:val="es-ES"/>
        </w:rPr>
        <w:t xml:space="preserve">  Incluidos los centros médicos no gubernamentales.</w:t>
      </w:r>
    </w:p>
    <w:p w:rsidR="001D2E73" w:rsidRDefault="001D2E73">
      <w:pPr>
        <w:pStyle w:val="SingleTxtGR"/>
        <w:spacing w:before="240"/>
        <w:rPr>
          <w:spacing w:val="0"/>
          <w:lang w:val="es-ES"/>
        </w:rPr>
      </w:pPr>
      <w:r>
        <w:rPr>
          <w:spacing w:val="0"/>
          <w:lang w:val="es-ES"/>
        </w:rPr>
        <w:t>457.</w:t>
      </w:r>
      <w:r>
        <w:rPr>
          <w:spacing w:val="0"/>
          <w:lang w:val="es-ES"/>
        </w:rPr>
        <w:tab/>
        <w:t xml:space="preserve">La lucha contra la epidemia del VIH/SIDA en Azerbaiyán se lleva a cabo de conformidad con los requisitos internacionales. </w:t>
      </w:r>
    </w:p>
    <w:p w:rsidR="001D2E73" w:rsidRDefault="001D2E73">
      <w:pPr>
        <w:pStyle w:val="SingleTxtGR"/>
        <w:rPr>
          <w:spacing w:val="0"/>
          <w:lang w:val="es-ES"/>
        </w:rPr>
      </w:pPr>
      <w:r>
        <w:rPr>
          <w:spacing w:val="0"/>
          <w:lang w:val="es-ES"/>
        </w:rPr>
        <w:t>458.</w:t>
      </w:r>
      <w:r>
        <w:rPr>
          <w:spacing w:val="0"/>
          <w:lang w:val="es-ES"/>
        </w:rPr>
        <w:tab/>
        <w:t>Pese a que Azerbaiyán no figura en la lista de países con una situación epidemiológica difícil en relación con el VIH/SIDA, el sistema de control epidemiológico de esta enfermedad se ha fortalecido y ha aumentado considerablemente el número de pruebas de VIH.</w:t>
      </w:r>
    </w:p>
    <w:p w:rsidR="001D2E73" w:rsidRDefault="001D2E73">
      <w:pPr>
        <w:pStyle w:val="SingleTxtGR"/>
        <w:rPr>
          <w:spacing w:val="0"/>
          <w:lang w:val="es-ES"/>
        </w:rPr>
      </w:pPr>
      <w:r>
        <w:rPr>
          <w:spacing w:val="0"/>
          <w:lang w:val="es-ES"/>
        </w:rPr>
        <w:t>459.</w:t>
      </w:r>
      <w:r>
        <w:rPr>
          <w:spacing w:val="0"/>
          <w:lang w:val="es-ES"/>
        </w:rPr>
        <w:tab/>
        <w:t>Con el fin de garantizar que la sangre donada no esté contaminada, toda la sangre que se procesa en el país se analiza para detectar si está infectada con VIH. Para la prevención y la lucha contra el VIH/SIDA se elaboró el Plan estratégico nacional de prevención y lucha contra el VIH/SIDA para 2009-2013 con el apoyo de la OMS.</w:t>
      </w:r>
    </w:p>
    <w:p w:rsidR="001D2E73" w:rsidRDefault="001D2E73">
      <w:pPr>
        <w:pStyle w:val="SingleTxtGR"/>
        <w:rPr>
          <w:spacing w:val="0"/>
          <w:lang w:val="es-ES"/>
        </w:rPr>
      </w:pPr>
      <w:r>
        <w:rPr>
          <w:spacing w:val="0"/>
          <w:lang w:val="es-ES"/>
        </w:rPr>
        <w:t>460.</w:t>
      </w:r>
      <w:r>
        <w:rPr>
          <w:spacing w:val="0"/>
          <w:lang w:val="es-ES"/>
        </w:rPr>
        <w:tab/>
        <w:t xml:space="preserve">Hasta el 31 de diciembre de 2008 se habían registrado 1.815 casos de de VIH/SIDA, de los cuales 1.744 eran ciudadanos azerbaiyanos. La causa fundamental del contagio de esta enfermedad es el uso común de jeringuillas para inyectarse drogas (1.744 enfermos, 62,7%). En el marco del programa del Fondo Mundial de Lucha contra el Sida, la Tuberculosis y la Malaria se está empezando a tratar a los enfermos de VIH/SIDA con terapia antirretroviral. Actualmente 155 enfermos reciben ese tratamiento. </w:t>
      </w:r>
    </w:p>
    <w:p w:rsidR="001D2E73" w:rsidRDefault="001D2E73">
      <w:pPr>
        <w:pStyle w:val="SingleTxtGR"/>
        <w:rPr>
          <w:spacing w:val="0"/>
          <w:lang w:val="es-ES"/>
        </w:rPr>
      </w:pPr>
      <w:r>
        <w:rPr>
          <w:spacing w:val="0"/>
          <w:lang w:val="es-ES"/>
        </w:rPr>
        <w:t>461.</w:t>
      </w:r>
      <w:r>
        <w:rPr>
          <w:spacing w:val="0"/>
          <w:lang w:val="es-ES"/>
        </w:rPr>
        <w:tab/>
        <w:t>Por otra parte, el Comité Estatal de Asuntos de la Familia, la Mujer y la Infancia, en el marco de la colaboración con el Centro Nacional de Lucha contra el Sida, el Fondo Mundial de Lucha contra el Sida, la Tuberculosis y la Malaria y otras organizaciones gubernamentales y no gubernamentales pertinentes, llevó a cabo distintas actividades de divulgación, entre ellas se distribuyeron entre la juventud 1500 condones, así como folletos y calendarios sobre estos temas; se celebraron consultas confidenciales con fines informativos; se organizaron encuentros y mesas redondas en las escuelas de enseñanza media y superior.</w:t>
      </w:r>
    </w:p>
    <w:p w:rsidR="001D2E73" w:rsidRDefault="001D2E73">
      <w:pPr>
        <w:pStyle w:val="SingleTxtGR"/>
        <w:rPr>
          <w:spacing w:val="0"/>
          <w:lang w:val="es-ES"/>
        </w:rPr>
      </w:pPr>
      <w:r>
        <w:rPr>
          <w:spacing w:val="0"/>
          <w:lang w:val="es-ES"/>
        </w:rPr>
        <w:t>462.</w:t>
      </w:r>
      <w:r>
        <w:rPr>
          <w:spacing w:val="0"/>
          <w:lang w:val="es-ES"/>
        </w:rPr>
        <w:tab/>
        <w:t xml:space="preserve">Con el fin de dar a conocer a la opinión pública este problema, en 1.758 escuelas del país, incluidas escuelas para niños refugiados y desplazados forzosos, se imparten cursos de instrucción sobre buenos hábitos. Estos cursos se imparten a 1.138.679 alumnos. </w:t>
      </w:r>
    </w:p>
    <w:p w:rsidR="001D2E73" w:rsidRDefault="001D2E73">
      <w:pPr>
        <w:pStyle w:val="SingleTxtGR"/>
        <w:rPr>
          <w:spacing w:val="0"/>
          <w:lang w:val="es-ES"/>
        </w:rPr>
      </w:pPr>
      <w:r>
        <w:rPr>
          <w:spacing w:val="0"/>
          <w:lang w:val="es-ES"/>
        </w:rPr>
        <w:t>463.</w:t>
      </w:r>
      <w:r>
        <w:rPr>
          <w:spacing w:val="0"/>
          <w:lang w:val="es-ES"/>
        </w:rPr>
        <w:tab/>
        <w:t>En diciembre de 2007, por iniciativa del Ministerio de la Juventud y el Deporte y el UNICEF se celebró una conferencia nacional de la juventud azerbaiyana dedicada a la lucha contra el sida. En la conferencia se aprobó una Declaración, en la que se expresaba la preocupación de la juventud por el aumento de este problema y se señalaban formas de resolverlo.</w:t>
      </w:r>
    </w:p>
    <w:p w:rsidR="001D2E73" w:rsidRDefault="001D2E73">
      <w:pPr>
        <w:pStyle w:val="SingleTxtGR"/>
        <w:rPr>
          <w:spacing w:val="0"/>
          <w:lang w:val="es-ES"/>
        </w:rPr>
      </w:pPr>
      <w:r>
        <w:rPr>
          <w:spacing w:val="0"/>
          <w:lang w:val="es-ES"/>
        </w:rPr>
        <w:t>464.</w:t>
      </w:r>
      <w:r>
        <w:rPr>
          <w:spacing w:val="0"/>
          <w:lang w:val="es-ES"/>
        </w:rPr>
        <w:tab/>
        <w:t>Además, todos los años el Ministerio organiza cursos de capacitación y seminarios para los funcionarios de las oficinas de la juventud y el deporte de los distritos y los representantes de organizaciones juveniles sobre la prevención de la drogadicción, el sida y los malos hábitos. El objetivo de esas actividades es realizar una labor de educación sobre la prevención de los malos hábitos entre la juventud, el intercambio de información y experiencias y el análisis de la labor realizada, así como determinar qué hacer en adelante. Estas actividades se llevan a cabo con la participación de instructores experimentados, y en ellas se distribuyen también materiales metodológicos sobre prevención de los malos hábitos entre la juventud.</w:t>
      </w:r>
    </w:p>
    <w:p w:rsidR="001D2E73" w:rsidRDefault="001D2E73">
      <w:pPr>
        <w:pStyle w:val="SingleTxtGR"/>
        <w:rPr>
          <w:spacing w:val="0"/>
          <w:lang w:val="es-ES"/>
        </w:rPr>
      </w:pPr>
      <w:r>
        <w:rPr>
          <w:spacing w:val="0"/>
          <w:lang w:val="es-ES"/>
        </w:rPr>
        <w:t>465.</w:t>
      </w:r>
      <w:r>
        <w:rPr>
          <w:spacing w:val="0"/>
          <w:lang w:val="es-ES"/>
        </w:rPr>
        <w:tab/>
        <w:t xml:space="preserve">Tiene suma importancia la norma jurídica sobre salud reproductiva y planificación de </w:t>
      </w:r>
      <w:smartTag w:uri="urn:schemas-microsoft-com:office:smarttags" w:element="PersonName">
        <w:smartTagPr>
          <w:attr w:name="ProductID" w:val="la familia. En"/>
        </w:smartTagPr>
        <w:r>
          <w:rPr>
            <w:spacing w:val="0"/>
            <w:lang w:val="es-ES"/>
          </w:rPr>
          <w:t>la familia. En</w:t>
        </w:r>
      </w:smartTag>
      <w:r>
        <w:rPr>
          <w:spacing w:val="0"/>
          <w:lang w:val="es-ES"/>
        </w:rPr>
        <w:t xml:space="preserve"> este sentido se proyecta la aprobación de una ley sobre salud sexual y reproductiva y los derechos correspondientes que favorezca a los jóvenes y que prevea un enfoque integral de los problemas existentes en esta esfera. El Parlamento del país está examinando en primera lectura ese proyecto y está celebrando audiencias públicas para aclarar el sentido de la ley a todas las capas de la población.</w:t>
      </w:r>
    </w:p>
    <w:p w:rsidR="001D2E73" w:rsidRDefault="001D2E73">
      <w:pPr>
        <w:pStyle w:val="SingleTxtGR"/>
        <w:rPr>
          <w:spacing w:val="0"/>
          <w:lang w:val="es-ES"/>
        </w:rPr>
      </w:pPr>
      <w:r>
        <w:rPr>
          <w:spacing w:val="0"/>
          <w:lang w:val="es-ES"/>
        </w:rPr>
        <w:t>466.</w:t>
      </w:r>
      <w:r>
        <w:rPr>
          <w:spacing w:val="0"/>
          <w:lang w:val="es-ES"/>
        </w:rPr>
        <w:tab/>
        <w:t xml:space="preserve">En el marco de </w:t>
      </w:r>
      <w:smartTag w:uri="urn:schemas-microsoft-com:office:smarttags" w:element="PersonName">
        <w:smartTagPr>
          <w:attr w:name="ProductID" w:val="la Campa￱a Mundial"/>
        </w:smartTagPr>
        <w:r>
          <w:rPr>
            <w:spacing w:val="0"/>
            <w:lang w:val="es-ES"/>
          </w:rPr>
          <w:t>la Campaña Mundial</w:t>
        </w:r>
      </w:smartTag>
      <w:r>
        <w:rPr>
          <w:spacing w:val="0"/>
          <w:lang w:val="es-ES"/>
        </w:rPr>
        <w:t xml:space="preserve"> contra el Sida: </w:t>
      </w:r>
      <w:r>
        <w:rPr>
          <w:i/>
          <w:spacing w:val="0"/>
          <w:lang w:val="es-ES"/>
        </w:rPr>
        <w:t>Detener el sida. Mantener la promesa</w:t>
      </w:r>
      <w:r>
        <w:rPr>
          <w:spacing w:val="0"/>
          <w:lang w:val="es-ES"/>
        </w:rPr>
        <w:t xml:space="preserve">, el 1º de diciembre de 2008 el Ministerio de la Juventud y el Deporte, conjuntamente con RHIYC, organizó en Azerbaiyán el Festival de </w:t>
      </w:r>
      <w:smartTag w:uri="urn:schemas-microsoft-com:office:smarttags" w:element="PersonName">
        <w:smartTagPr>
          <w:attr w:name="ProductID" w:val="la Salud Reproductiva"/>
        </w:smartTagPr>
        <w:r>
          <w:rPr>
            <w:spacing w:val="0"/>
            <w:lang w:val="es-ES"/>
          </w:rPr>
          <w:t>la Salud Reproductiva</w:t>
        </w:r>
      </w:smartTag>
      <w:r>
        <w:rPr>
          <w:spacing w:val="0"/>
          <w:lang w:val="es-ES"/>
        </w:rPr>
        <w:t xml:space="preserve"> y los Derechos Reproductivos de </w:t>
      </w:r>
      <w:smartTag w:uri="urn:schemas-microsoft-com:office:smarttags" w:element="PersonName">
        <w:smartTagPr>
          <w:attr w:name="ProductID" w:val="la Juventud. El Festival"/>
        </w:smartTagPr>
        <w:r>
          <w:rPr>
            <w:spacing w:val="0"/>
            <w:lang w:val="es-ES"/>
          </w:rPr>
          <w:t>la Juventud. El Festival</w:t>
        </w:r>
      </w:smartTag>
      <w:r>
        <w:rPr>
          <w:spacing w:val="0"/>
          <w:lang w:val="es-ES"/>
        </w:rPr>
        <w:t xml:space="preserve"> contó con varias actividades, como exposiciones de diseñadores y pintores de grafiti jóvenes, actuaciones de jóvenes músicos, deportistas y </w:t>
      </w:r>
      <w:r>
        <w:rPr>
          <w:i/>
          <w:spacing w:val="0"/>
          <w:lang w:val="es-ES"/>
        </w:rPr>
        <w:t>disc-jockeys</w:t>
      </w:r>
      <w:r>
        <w:rPr>
          <w:spacing w:val="0"/>
          <w:lang w:val="es-ES"/>
        </w:rPr>
        <w:t>. Todos los participantes recibieron boletines informativos y preservativos.</w:t>
      </w:r>
    </w:p>
    <w:p w:rsidR="001D2E73" w:rsidRDefault="001D2E73">
      <w:pPr>
        <w:pStyle w:val="SingleTxtGR"/>
        <w:rPr>
          <w:spacing w:val="0"/>
          <w:lang w:val="es-ES"/>
        </w:rPr>
      </w:pPr>
      <w:r>
        <w:rPr>
          <w:spacing w:val="0"/>
          <w:lang w:val="es-ES"/>
        </w:rPr>
        <w:t>467.</w:t>
      </w:r>
      <w:r>
        <w:rPr>
          <w:spacing w:val="0"/>
          <w:lang w:val="es-ES"/>
        </w:rPr>
        <w:tab/>
        <w:t xml:space="preserve">Con el apoyo del Ministerio de la Juventud y el Deporte y el RHIYC se ejecutó el proyecto La salud reproductiva como elemento importante en la organización de la recreación de los jóvenes y tema de la campaña informativa. En el marco de este proyecto, en la capital y en las regiones se organizaron más de 50 seminarios en los que participaron escolares, estudiantes y trabajadores. Además, se seleccionaron también los lugares adecuados para celebrar esos encuentros, a saber bibliotecas, clubes de Internet, escuelas y centros de enseñanza superior. En estas actividades, los asistentes recibieron información exhaustiva acerca del peligro de fumar y de las drogas, la propagación del VIH/SIDA, las medidas preventivas de esta y otras enfermedades infecciosas peligrosas que causan la infertilidad y </w:t>
      </w:r>
      <w:smartTag w:uri="urn:schemas-microsoft-com:office:smarttags" w:element="PersonName">
        <w:smartTagPr>
          <w:attr w:name="ProductID" w:val="la muerte. Adem￡s"/>
        </w:smartTagPr>
        <w:r>
          <w:rPr>
            <w:spacing w:val="0"/>
            <w:lang w:val="es-ES"/>
          </w:rPr>
          <w:t>la muerte. Además</w:t>
        </w:r>
      </w:smartTag>
      <w:r>
        <w:rPr>
          <w:spacing w:val="0"/>
          <w:lang w:val="es-ES"/>
        </w:rPr>
        <w:t>, se presentaron también páginas web creadas por RHIYC</w:t>
      </w:r>
      <w:r>
        <w:rPr>
          <w:rStyle w:val="FootnoteReference"/>
          <w:spacing w:val="0"/>
          <w:lang w:val="es-ES"/>
        </w:rPr>
        <w:footnoteReference w:id="2"/>
      </w:r>
      <w:r>
        <w:rPr>
          <w:spacing w:val="0"/>
          <w:lang w:val="es-ES"/>
        </w:rPr>
        <w:t>.</w:t>
      </w:r>
    </w:p>
    <w:p w:rsidR="001D2E73" w:rsidRDefault="001D2E73">
      <w:pPr>
        <w:pStyle w:val="SingleTxtGR"/>
        <w:rPr>
          <w:bCs/>
          <w:spacing w:val="0"/>
          <w:lang w:val="es-ES"/>
        </w:rPr>
      </w:pPr>
      <w:r>
        <w:rPr>
          <w:spacing w:val="0"/>
          <w:lang w:val="es-ES"/>
        </w:rPr>
        <w:t>468.</w:t>
      </w:r>
      <w:r>
        <w:rPr>
          <w:spacing w:val="0"/>
          <w:lang w:val="es-ES"/>
        </w:rPr>
        <w:tab/>
        <w:t>En cumplimiento de una Instrucción del Presidente de 1º de julio de 2004 sobre la aprobación del Programa nacional de mejora de las condiciones de vivienda y aumento del porcentaje de empleo entre los refugiados y los desplazados forzosos, se garantiza a estas personas con cargo al presupuesto estatal los medicamentos que figuran en la lista de medicamentos por receta aprobados por el Ministerio de Salud, además los análisis y los exámenes médicos y el tratamiento que reciben son gratuitos.</w:t>
      </w:r>
    </w:p>
    <w:p w:rsidR="001D2E73" w:rsidRDefault="001D2E73">
      <w:pPr>
        <w:pStyle w:val="SingleTxtGR"/>
        <w:rPr>
          <w:spacing w:val="0"/>
          <w:lang w:val="es-ES"/>
        </w:rPr>
      </w:pPr>
      <w:r>
        <w:rPr>
          <w:spacing w:val="0"/>
          <w:lang w:val="es-ES"/>
        </w:rPr>
        <w:t>469.</w:t>
      </w:r>
      <w:r>
        <w:rPr>
          <w:spacing w:val="0"/>
          <w:lang w:val="es-ES"/>
        </w:rPr>
        <w:tab/>
        <w:t xml:space="preserve">Para prevenir la helmintosis en 2008, en 1900 escuelas de 24 distritos se aplicó tratamiento masivo contra la helmintosis en dos etapas (mayo y noviembre) a 250.000 escolares de los primeros grados (primero a cuarto grados). </w:t>
      </w:r>
    </w:p>
    <w:p w:rsidR="001D2E73" w:rsidRDefault="001D2E73">
      <w:pPr>
        <w:pStyle w:val="SingleTxtGR"/>
        <w:rPr>
          <w:spacing w:val="0"/>
          <w:lang w:val="es-ES"/>
        </w:rPr>
      </w:pPr>
      <w:r>
        <w:rPr>
          <w:spacing w:val="0"/>
          <w:lang w:val="es-ES"/>
        </w:rPr>
        <w:t>470.</w:t>
      </w:r>
      <w:r>
        <w:rPr>
          <w:spacing w:val="0"/>
          <w:lang w:val="es-ES"/>
        </w:rPr>
        <w:tab/>
        <w:t>En la lucha contra la malaria, el Gobierno de Azerbaiyán aprobó la Estrategia nacional de erradicación de la malaria en Azerbaiyán para 2008-2013. Cabe señalar también que, como resultado de las medidas adoptadas contra esta epidemia, el índice de esta enfermedad se redujo en más de 183 veces en el país. En 2008 se registraron en total 71 casos frente a 13.000 en 1996.</w:t>
      </w:r>
    </w:p>
    <w:p w:rsidR="001D2E73" w:rsidRDefault="001D2E73">
      <w:pPr>
        <w:spacing w:before="240" w:after="120"/>
        <w:rPr>
          <w:sz w:val="16"/>
          <w:szCs w:val="16"/>
        </w:rPr>
      </w:pPr>
      <w:r>
        <w:tab/>
      </w:r>
      <w:r>
        <w:tab/>
        <w:t>Cuadro 21</w:t>
      </w:r>
      <w:r>
        <w:br/>
      </w:r>
      <w:r>
        <w:tab/>
      </w:r>
      <w:r>
        <w:tab/>
      </w:r>
      <w:r>
        <w:rPr>
          <w:b/>
        </w:rPr>
        <w:t xml:space="preserve">Vacunación infantil </w:t>
      </w:r>
      <w:r>
        <w:rPr>
          <w:b/>
        </w:rPr>
        <w:br/>
      </w:r>
      <w:r>
        <w:rPr>
          <w:b/>
          <w:sz w:val="16"/>
          <w:szCs w:val="16"/>
        </w:rPr>
        <w:tab/>
      </w:r>
      <w:r>
        <w:rPr>
          <w:b/>
          <w:sz w:val="16"/>
          <w:szCs w:val="16"/>
        </w:rPr>
        <w:tab/>
      </w:r>
      <w:r>
        <w:rPr>
          <w:iCs/>
          <w:sz w:val="16"/>
          <w:szCs w:val="16"/>
        </w:rPr>
        <w:t>(porcentaje)</w:t>
      </w:r>
    </w:p>
    <w:tbl>
      <w:tblPr>
        <w:tblW w:w="7433"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784"/>
        <w:gridCol w:w="1232"/>
        <w:gridCol w:w="1442"/>
        <w:gridCol w:w="1259"/>
        <w:gridCol w:w="1557"/>
        <w:gridCol w:w="1159"/>
      </w:tblGrid>
      <w:tr w:rsidR="001D2E73">
        <w:trPr>
          <w:trHeight w:val="287"/>
        </w:trPr>
        <w:tc>
          <w:tcPr>
            <w:tcW w:w="784" w:type="dxa"/>
            <w:vMerge w:val="restart"/>
            <w:tcBorders>
              <w:top w:val="single" w:sz="4" w:space="0" w:color="auto"/>
              <w:bottom w:val="nil"/>
            </w:tcBorders>
            <w:shd w:val="clear" w:color="auto" w:fill="auto"/>
            <w:vAlign w:val="bottom"/>
          </w:tcPr>
          <w:p w:rsidR="001D2E73" w:rsidRDefault="001D2E73">
            <w:pPr>
              <w:spacing w:before="80" w:after="80" w:line="200" w:lineRule="exact"/>
              <w:rPr>
                <w:i/>
                <w:sz w:val="16"/>
              </w:rPr>
            </w:pPr>
            <w:r>
              <w:rPr>
                <w:i/>
                <w:sz w:val="16"/>
              </w:rPr>
              <w:t>Años</w:t>
            </w:r>
          </w:p>
        </w:tc>
        <w:tc>
          <w:tcPr>
            <w:tcW w:w="6649" w:type="dxa"/>
            <w:gridSpan w:val="5"/>
            <w:tcBorders>
              <w:top w:val="single" w:sz="4" w:space="0" w:color="auto"/>
              <w:left w:val="nil"/>
              <w:bottom w:val="single" w:sz="4" w:space="0" w:color="auto"/>
              <w:right w:val="nil"/>
              <w:tl2br w:val="nil"/>
              <w:tr2bl w:val="nil"/>
            </w:tcBorders>
            <w:shd w:val="clear" w:color="auto" w:fill="auto"/>
            <w:noWrap/>
            <w:vAlign w:val="center"/>
          </w:tcPr>
          <w:p w:rsidR="001D2E73" w:rsidRDefault="001D2E73">
            <w:pPr>
              <w:spacing w:before="80" w:after="80" w:line="200" w:lineRule="exact"/>
              <w:jc w:val="center"/>
              <w:rPr>
                <w:i/>
                <w:sz w:val="16"/>
              </w:rPr>
            </w:pPr>
            <w:r>
              <w:rPr>
                <w:i/>
                <w:sz w:val="16"/>
              </w:rPr>
              <w:t>Vacunas contra:</w:t>
            </w:r>
          </w:p>
        </w:tc>
      </w:tr>
      <w:tr w:rsidR="001D2E73">
        <w:trPr>
          <w:trHeight w:val="832"/>
        </w:trPr>
        <w:tc>
          <w:tcPr>
            <w:tcW w:w="784" w:type="dxa"/>
            <w:vMerge/>
            <w:tcBorders>
              <w:top w:val="nil"/>
              <w:bottom w:val="single" w:sz="12" w:space="0" w:color="auto"/>
            </w:tcBorders>
            <w:shd w:val="clear" w:color="auto" w:fill="auto"/>
          </w:tcPr>
          <w:p w:rsidR="001D2E73" w:rsidRDefault="001D2E73">
            <w:pPr>
              <w:spacing w:before="80" w:after="80" w:line="200" w:lineRule="exact"/>
              <w:rPr>
                <w:i/>
                <w:sz w:val="16"/>
              </w:rPr>
            </w:pPr>
          </w:p>
        </w:tc>
        <w:tc>
          <w:tcPr>
            <w:tcW w:w="1232"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 xml:space="preserve">Tuberculosis </w:t>
            </w:r>
            <w:r>
              <w:rPr>
                <w:i/>
                <w:sz w:val="16"/>
              </w:rPr>
              <w:br/>
              <w:t>(hasta 1 año)</w:t>
            </w:r>
          </w:p>
        </w:tc>
        <w:tc>
          <w:tcPr>
            <w:tcW w:w="1442"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Difteria,</w:t>
            </w:r>
            <w:r>
              <w:rPr>
                <w:i/>
                <w:sz w:val="16"/>
              </w:rPr>
              <w:br/>
              <w:t>tosferina,</w:t>
            </w:r>
            <w:r>
              <w:rPr>
                <w:i/>
                <w:sz w:val="16"/>
              </w:rPr>
              <w:br/>
              <w:t xml:space="preserve"> tétanos </w:t>
            </w:r>
            <w:r>
              <w:rPr>
                <w:i/>
                <w:sz w:val="16"/>
              </w:rPr>
              <w:br/>
              <w:t>(hasta 1 año)</w:t>
            </w:r>
          </w:p>
        </w:tc>
        <w:tc>
          <w:tcPr>
            <w:tcW w:w="1259"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Polio</w:t>
            </w:r>
            <w:r>
              <w:rPr>
                <w:i/>
                <w:sz w:val="16"/>
              </w:rPr>
              <w:br/>
              <w:t>(hasta 1 año)</w:t>
            </w:r>
          </w:p>
        </w:tc>
        <w:tc>
          <w:tcPr>
            <w:tcW w:w="1557"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rPr>
            </w:pPr>
            <w:r>
              <w:rPr>
                <w:i/>
                <w:sz w:val="16"/>
              </w:rPr>
              <w:t xml:space="preserve">Sarampión, </w:t>
            </w:r>
            <w:r>
              <w:rPr>
                <w:i/>
                <w:sz w:val="16"/>
              </w:rPr>
              <w:br/>
              <w:t>rubeola,</w:t>
            </w:r>
            <w:r>
              <w:rPr>
                <w:i/>
                <w:sz w:val="16"/>
              </w:rPr>
              <w:br/>
              <w:t xml:space="preserve">paperas </w:t>
            </w:r>
            <w:r>
              <w:rPr>
                <w:i/>
                <w:sz w:val="16"/>
              </w:rPr>
              <w:br/>
              <w:t>(1 año)</w:t>
            </w:r>
          </w:p>
        </w:tc>
        <w:tc>
          <w:tcPr>
            <w:tcW w:w="1159" w:type="dxa"/>
            <w:tcBorders>
              <w:top w:val="single" w:sz="4" w:space="0" w:color="auto"/>
              <w:left w:val="nil"/>
              <w:bottom w:val="single" w:sz="12" w:space="0" w:color="auto"/>
              <w:right w:val="nil"/>
              <w:tl2br w:val="nil"/>
              <w:tr2bl w:val="nil"/>
            </w:tcBorders>
            <w:shd w:val="clear" w:color="auto" w:fill="auto"/>
            <w:vAlign w:val="bottom"/>
          </w:tcPr>
          <w:p w:rsidR="001D2E73" w:rsidRDefault="001D2E73">
            <w:pPr>
              <w:spacing w:before="80" w:after="80" w:line="200" w:lineRule="exact"/>
              <w:jc w:val="right"/>
              <w:rPr>
                <w:i/>
                <w:sz w:val="16"/>
              </w:rPr>
            </w:pPr>
            <w:r>
              <w:rPr>
                <w:i/>
                <w:sz w:val="16"/>
              </w:rPr>
              <w:t xml:space="preserve">Hepatitis B </w:t>
            </w:r>
            <w:r>
              <w:rPr>
                <w:i/>
                <w:sz w:val="16"/>
              </w:rPr>
              <w:br/>
              <w:t>(hasta 1 año)</w:t>
            </w:r>
          </w:p>
        </w:tc>
      </w:tr>
      <w:tr w:rsidR="001D2E73">
        <w:trPr>
          <w:trHeight w:val="300"/>
        </w:trPr>
        <w:tc>
          <w:tcPr>
            <w:tcW w:w="784" w:type="dxa"/>
            <w:tcBorders>
              <w:top w:val="single" w:sz="12" w:space="0" w:color="auto"/>
            </w:tcBorders>
            <w:noWrap/>
          </w:tcPr>
          <w:p w:rsidR="001D2E73" w:rsidRDefault="001D2E73">
            <w:pPr>
              <w:spacing w:before="40" w:after="40" w:line="220" w:lineRule="exact"/>
              <w:rPr>
                <w:sz w:val="18"/>
                <w:szCs w:val="18"/>
              </w:rPr>
            </w:pPr>
            <w:r>
              <w:rPr>
                <w:sz w:val="18"/>
                <w:szCs w:val="18"/>
              </w:rPr>
              <w:t>2003</w:t>
            </w:r>
          </w:p>
        </w:tc>
        <w:tc>
          <w:tcPr>
            <w:tcW w:w="1232" w:type="dxa"/>
            <w:tcBorders>
              <w:top w:val="single" w:sz="12" w:space="0" w:color="auto"/>
            </w:tcBorders>
            <w:noWrap/>
          </w:tcPr>
          <w:p w:rsidR="001D2E73" w:rsidRDefault="001D2E73">
            <w:pPr>
              <w:spacing w:before="40" w:after="40" w:line="220" w:lineRule="exact"/>
              <w:jc w:val="right"/>
              <w:rPr>
                <w:sz w:val="18"/>
                <w:szCs w:val="18"/>
              </w:rPr>
            </w:pPr>
            <w:r>
              <w:rPr>
                <w:sz w:val="18"/>
                <w:szCs w:val="18"/>
              </w:rPr>
              <w:t>98,5</w:t>
            </w:r>
          </w:p>
        </w:tc>
        <w:tc>
          <w:tcPr>
            <w:tcW w:w="1442" w:type="dxa"/>
            <w:tcBorders>
              <w:top w:val="single" w:sz="12" w:space="0" w:color="auto"/>
            </w:tcBorders>
            <w:noWrap/>
          </w:tcPr>
          <w:p w:rsidR="001D2E73" w:rsidRDefault="001D2E73">
            <w:pPr>
              <w:spacing w:before="40" w:after="40" w:line="220" w:lineRule="exact"/>
              <w:jc w:val="right"/>
              <w:rPr>
                <w:sz w:val="18"/>
                <w:szCs w:val="18"/>
              </w:rPr>
            </w:pPr>
            <w:r>
              <w:rPr>
                <w:sz w:val="18"/>
                <w:szCs w:val="18"/>
              </w:rPr>
              <w:t>96,5</w:t>
            </w:r>
          </w:p>
        </w:tc>
        <w:tc>
          <w:tcPr>
            <w:tcW w:w="1259" w:type="dxa"/>
            <w:tcBorders>
              <w:top w:val="single" w:sz="12" w:space="0" w:color="auto"/>
            </w:tcBorders>
            <w:noWrap/>
          </w:tcPr>
          <w:p w:rsidR="001D2E73" w:rsidRDefault="001D2E73">
            <w:pPr>
              <w:spacing w:before="40" w:after="40" w:line="220" w:lineRule="exact"/>
              <w:jc w:val="right"/>
              <w:rPr>
                <w:sz w:val="18"/>
                <w:szCs w:val="18"/>
              </w:rPr>
            </w:pPr>
            <w:r>
              <w:rPr>
                <w:sz w:val="18"/>
                <w:szCs w:val="18"/>
              </w:rPr>
              <w:t>97,5</w:t>
            </w:r>
          </w:p>
        </w:tc>
        <w:tc>
          <w:tcPr>
            <w:tcW w:w="1557" w:type="dxa"/>
            <w:tcBorders>
              <w:top w:val="single" w:sz="12" w:space="0" w:color="auto"/>
            </w:tcBorders>
            <w:noWrap/>
          </w:tcPr>
          <w:p w:rsidR="001D2E73" w:rsidRDefault="001D2E73">
            <w:pPr>
              <w:spacing w:before="40" w:after="40" w:line="220" w:lineRule="exact"/>
              <w:jc w:val="right"/>
              <w:rPr>
                <w:sz w:val="18"/>
                <w:szCs w:val="18"/>
              </w:rPr>
            </w:pPr>
            <w:r>
              <w:rPr>
                <w:sz w:val="18"/>
                <w:szCs w:val="18"/>
              </w:rPr>
              <w:t>97,2</w:t>
            </w:r>
          </w:p>
        </w:tc>
        <w:tc>
          <w:tcPr>
            <w:tcW w:w="1159" w:type="dxa"/>
            <w:tcBorders>
              <w:top w:val="single" w:sz="12" w:space="0" w:color="auto"/>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96,9</w:t>
            </w:r>
          </w:p>
        </w:tc>
      </w:tr>
      <w:tr w:rsidR="001D2E73">
        <w:trPr>
          <w:trHeight w:val="315"/>
        </w:trPr>
        <w:tc>
          <w:tcPr>
            <w:tcW w:w="784" w:type="dxa"/>
            <w:noWrap/>
          </w:tcPr>
          <w:p w:rsidR="001D2E73" w:rsidRDefault="001D2E73">
            <w:pPr>
              <w:spacing w:before="40" w:after="40" w:line="220" w:lineRule="exact"/>
              <w:rPr>
                <w:sz w:val="18"/>
                <w:szCs w:val="18"/>
              </w:rPr>
            </w:pPr>
            <w:r>
              <w:rPr>
                <w:sz w:val="18"/>
                <w:szCs w:val="18"/>
              </w:rPr>
              <w:t>2004</w:t>
            </w:r>
          </w:p>
        </w:tc>
        <w:tc>
          <w:tcPr>
            <w:tcW w:w="1232" w:type="dxa"/>
            <w:noWrap/>
          </w:tcPr>
          <w:p w:rsidR="001D2E73" w:rsidRDefault="001D2E73">
            <w:pPr>
              <w:spacing w:before="40" w:after="40" w:line="220" w:lineRule="exact"/>
              <w:jc w:val="right"/>
              <w:rPr>
                <w:sz w:val="18"/>
                <w:szCs w:val="18"/>
              </w:rPr>
            </w:pPr>
            <w:r>
              <w:rPr>
                <w:sz w:val="18"/>
                <w:szCs w:val="18"/>
              </w:rPr>
              <w:t>98,6</w:t>
            </w:r>
          </w:p>
        </w:tc>
        <w:tc>
          <w:tcPr>
            <w:tcW w:w="1442" w:type="dxa"/>
            <w:noWrap/>
          </w:tcPr>
          <w:p w:rsidR="001D2E73" w:rsidRDefault="001D2E73">
            <w:pPr>
              <w:spacing w:before="40" w:after="40" w:line="220" w:lineRule="exact"/>
              <w:jc w:val="right"/>
              <w:rPr>
                <w:sz w:val="18"/>
                <w:szCs w:val="18"/>
              </w:rPr>
            </w:pPr>
            <w:r>
              <w:rPr>
                <w:sz w:val="18"/>
                <w:szCs w:val="18"/>
              </w:rPr>
              <w:t>96,3</w:t>
            </w:r>
          </w:p>
        </w:tc>
        <w:tc>
          <w:tcPr>
            <w:tcW w:w="1259" w:type="dxa"/>
            <w:noWrap/>
          </w:tcPr>
          <w:p w:rsidR="001D2E73" w:rsidRDefault="001D2E73">
            <w:pPr>
              <w:spacing w:before="40" w:after="40" w:line="220" w:lineRule="exact"/>
              <w:jc w:val="right"/>
              <w:rPr>
                <w:sz w:val="18"/>
                <w:szCs w:val="18"/>
              </w:rPr>
            </w:pPr>
            <w:r>
              <w:rPr>
                <w:sz w:val="18"/>
                <w:szCs w:val="18"/>
              </w:rPr>
              <w:t>97,3</w:t>
            </w:r>
          </w:p>
        </w:tc>
        <w:tc>
          <w:tcPr>
            <w:tcW w:w="1557" w:type="dxa"/>
            <w:noWrap/>
          </w:tcPr>
          <w:p w:rsidR="001D2E73" w:rsidRDefault="001D2E73">
            <w:pPr>
              <w:spacing w:before="40" w:after="40" w:line="220" w:lineRule="exact"/>
              <w:jc w:val="right"/>
              <w:rPr>
                <w:sz w:val="18"/>
                <w:szCs w:val="18"/>
              </w:rPr>
            </w:pPr>
            <w:r>
              <w:rPr>
                <w:sz w:val="18"/>
                <w:szCs w:val="18"/>
              </w:rPr>
              <w:t>94,5</w:t>
            </w:r>
          </w:p>
        </w:tc>
        <w:tc>
          <w:tcPr>
            <w:tcW w:w="1159"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97,2</w:t>
            </w:r>
          </w:p>
        </w:tc>
      </w:tr>
      <w:tr w:rsidR="001D2E73">
        <w:trPr>
          <w:trHeight w:val="315"/>
        </w:trPr>
        <w:tc>
          <w:tcPr>
            <w:tcW w:w="784" w:type="dxa"/>
            <w:noWrap/>
          </w:tcPr>
          <w:p w:rsidR="001D2E73" w:rsidRDefault="001D2E73">
            <w:pPr>
              <w:spacing w:before="40" w:after="40" w:line="220" w:lineRule="exact"/>
              <w:rPr>
                <w:sz w:val="18"/>
                <w:szCs w:val="18"/>
              </w:rPr>
            </w:pPr>
            <w:r>
              <w:rPr>
                <w:sz w:val="18"/>
                <w:szCs w:val="18"/>
              </w:rPr>
              <w:t>2005</w:t>
            </w:r>
          </w:p>
        </w:tc>
        <w:tc>
          <w:tcPr>
            <w:tcW w:w="1232" w:type="dxa"/>
            <w:noWrap/>
          </w:tcPr>
          <w:p w:rsidR="001D2E73" w:rsidRDefault="001D2E73">
            <w:pPr>
              <w:spacing w:before="40" w:after="40" w:line="220" w:lineRule="exact"/>
              <w:jc w:val="right"/>
              <w:rPr>
                <w:sz w:val="18"/>
                <w:szCs w:val="18"/>
              </w:rPr>
            </w:pPr>
            <w:r>
              <w:rPr>
                <w:sz w:val="18"/>
                <w:szCs w:val="18"/>
              </w:rPr>
              <w:t>98,0</w:t>
            </w:r>
          </w:p>
        </w:tc>
        <w:tc>
          <w:tcPr>
            <w:tcW w:w="1442" w:type="dxa"/>
            <w:noWrap/>
          </w:tcPr>
          <w:p w:rsidR="001D2E73" w:rsidRDefault="001D2E73">
            <w:pPr>
              <w:spacing w:before="40" w:after="40" w:line="220" w:lineRule="exact"/>
              <w:jc w:val="right"/>
              <w:rPr>
                <w:sz w:val="18"/>
                <w:szCs w:val="18"/>
              </w:rPr>
            </w:pPr>
            <w:r>
              <w:rPr>
                <w:sz w:val="18"/>
                <w:szCs w:val="18"/>
              </w:rPr>
              <w:t>93,2</w:t>
            </w:r>
          </w:p>
        </w:tc>
        <w:tc>
          <w:tcPr>
            <w:tcW w:w="1259" w:type="dxa"/>
            <w:noWrap/>
          </w:tcPr>
          <w:p w:rsidR="001D2E73" w:rsidRDefault="001D2E73">
            <w:pPr>
              <w:spacing w:before="40" w:after="40" w:line="220" w:lineRule="exact"/>
              <w:jc w:val="right"/>
              <w:rPr>
                <w:sz w:val="18"/>
                <w:szCs w:val="18"/>
              </w:rPr>
            </w:pPr>
            <w:r>
              <w:rPr>
                <w:sz w:val="18"/>
                <w:szCs w:val="18"/>
              </w:rPr>
              <w:t>96,5</w:t>
            </w:r>
          </w:p>
        </w:tc>
        <w:tc>
          <w:tcPr>
            <w:tcW w:w="1557" w:type="dxa"/>
            <w:noWrap/>
          </w:tcPr>
          <w:p w:rsidR="001D2E73" w:rsidRDefault="001D2E73">
            <w:pPr>
              <w:spacing w:before="40" w:after="40" w:line="220" w:lineRule="exact"/>
              <w:jc w:val="right"/>
              <w:rPr>
                <w:sz w:val="18"/>
                <w:szCs w:val="18"/>
              </w:rPr>
            </w:pPr>
            <w:r>
              <w:rPr>
                <w:sz w:val="18"/>
                <w:szCs w:val="18"/>
              </w:rPr>
              <w:t>94,2</w:t>
            </w:r>
          </w:p>
        </w:tc>
        <w:tc>
          <w:tcPr>
            <w:tcW w:w="1159"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95,4</w:t>
            </w:r>
          </w:p>
        </w:tc>
      </w:tr>
      <w:tr w:rsidR="001D2E73">
        <w:trPr>
          <w:trHeight w:val="315"/>
        </w:trPr>
        <w:tc>
          <w:tcPr>
            <w:tcW w:w="784" w:type="dxa"/>
            <w:noWrap/>
          </w:tcPr>
          <w:p w:rsidR="001D2E73" w:rsidRDefault="001D2E73">
            <w:pPr>
              <w:spacing w:before="40" w:after="40" w:line="220" w:lineRule="exact"/>
              <w:rPr>
                <w:sz w:val="18"/>
                <w:szCs w:val="18"/>
              </w:rPr>
            </w:pPr>
            <w:r>
              <w:rPr>
                <w:sz w:val="18"/>
                <w:szCs w:val="18"/>
              </w:rPr>
              <w:t>2006</w:t>
            </w:r>
          </w:p>
        </w:tc>
        <w:tc>
          <w:tcPr>
            <w:tcW w:w="1232" w:type="dxa"/>
            <w:noWrap/>
          </w:tcPr>
          <w:p w:rsidR="001D2E73" w:rsidRDefault="001D2E73">
            <w:pPr>
              <w:spacing w:before="40" w:after="40" w:line="220" w:lineRule="exact"/>
              <w:jc w:val="right"/>
              <w:rPr>
                <w:sz w:val="18"/>
                <w:szCs w:val="18"/>
              </w:rPr>
            </w:pPr>
            <w:r>
              <w:rPr>
                <w:sz w:val="18"/>
                <w:szCs w:val="18"/>
              </w:rPr>
              <w:t>98,1</w:t>
            </w:r>
          </w:p>
        </w:tc>
        <w:tc>
          <w:tcPr>
            <w:tcW w:w="1442" w:type="dxa"/>
            <w:noWrap/>
          </w:tcPr>
          <w:p w:rsidR="001D2E73" w:rsidRDefault="001D2E73">
            <w:pPr>
              <w:spacing w:before="40" w:after="40" w:line="220" w:lineRule="exact"/>
              <w:jc w:val="right"/>
              <w:rPr>
                <w:sz w:val="18"/>
                <w:szCs w:val="18"/>
              </w:rPr>
            </w:pPr>
            <w:r>
              <w:rPr>
                <w:sz w:val="18"/>
                <w:szCs w:val="18"/>
              </w:rPr>
              <w:t>95,3</w:t>
            </w:r>
          </w:p>
        </w:tc>
        <w:tc>
          <w:tcPr>
            <w:tcW w:w="1259" w:type="dxa"/>
            <w:noWrap/>
          </w:tcPr>
          <w:p w:rsidR="001D2E73" w:rsidRDefault="001D2E73">
            <w:pPr>
              <w:spacing w:before="40" w:after="40" w:line="220" w:lineRule="exact"/>
              <w:jc w:val="right"/>
              <w:rPr>
                <w:sz w:val="18"/>
                <w:szCs w:val="18"/>
              </w:rPr>
            </w:pPr>
            <w:r>
              <w:rPr>
                <w:sz w:val="18"/>
                <w:szCs w:val="18"/>
              </w:rPr>
              <w:t>97,1</w:t>
            </w:r>
          </w:p>
        </w:tc>
        <w:tc>
          <w:tcPr>
            <w:tcW w:w="1557" w:type="dxa"/>
            <w:noWrap/>
          </w:tcPr>
          <w:p w:rsidR="001D2E73" w:rsidRDefault="001D2E73">
            <w:pPr>
              <w:spacing w:before="40" w:after="40" w:line="220" w:lineRule="exact"/>
              <w:jc w:val="right"/>
              <w:rPr>
                <w:sz w:val="18"/>
                <w:szCs w:val="18"/>
              </w:rPr>
            </w:pPr>
            <w:r>
              <w:rPr>
                <w:sz w:val="18"/>
                <w:szCs w:val="18"/>
              </w:rPr>
              <w:t>95,8</w:t>
            </w:r>
          </w:p>
        </w:tc>
        <w:tc>
          <w:tcPr>
            <w:tcW w:w="1159"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93,1</w:t>
            </w:r>
          </w:p>
        </w:tc>
      </w:tr>
      <w:tr w:rsidR="001D2E73">
        <w:trPr>
          <w:trHeight w:val="315"/>
        </w:trPr>
        <w:tc>
          <w:tcPr>
            <w:tcW w:w="784" w:type="dxa"/>
            <w:noWrap/>
          </w:tcPr>
          <w:p w:rsidR="001D2E73" w:rsidRDefault="001D2E73">
            <w:pPr>
              <w:spacing w:before="40" w:after="40" w:line="220" w:lineRule="exact"/>
              <w:rPr>
                <w:sz w:val="18"/>
                <w:szCs w:val="18"/>
              </w:rPr>
            </w:pPr>
            <w:r>
              <w:rPr>
                <w:sz w:val="18"/>
                <w:szCs w:val="18"/>
              </w:rPr>
              <w:t>2007</w:t>
            </w:r>
          </w:p>
        </w:tc>
        <w:tc>
          <w:tcPr>
            <w:tcW w:w="1232" w:type="dxa"/>
            <w:noWrap/>
          </w:tcPr>
          <w:p w:rsidR="001D2E73" w:rsidRDefault="001D2E73">
            <w:pPr>
              <w:spacing w:before="40" w:after="40" w:line="220" w:lineRule="exact"/>
              <w:jc w:val="right"/>
              <w:rPr>
                <w:sz w:val="18"/>
                <w:szCs w:val="18"/>
              </w:rPr>
            </w:pPr>
            <w:r>
              <w:rPr>
                <w:sz w:val="18"/>
                <w:szCs w:val="18"/>
              </w:rPr>
              <w:t>97,8</w:t>
            </w:r>
          </w:p>
        </w:tc>
        <w:tc>
          <w:tcPr>
            <w:tcW w:w="1442" w:type="dxa"/>
            <w:noWrap/>
          </w:tcPr>
          <w:p w:rsidR="001D2E73" w:rsidRDefault="001D2E73">
            <w:pPr>
              <w:spacing w:before="40" w:after="40" w:line="220" w:lineRule="exact"/>
              <w:jc w:val="right"/>
              <w:rPr>
                <w:sz w:val="18"/>
                <w:szCs w:val="18"/>
              </w:rPr>
            </w:pPr>
            <w:r>
              <w:rPr>
                <w:sz w:val="18"/>
                <w:szCs w:val="18"/>
              </w:rPr>
              <w:t>94,8</w:t>
            </w:r>
          </w:p>
        </w:tc>
        <w:tc>
          <w:tcPr>
            <w:tcW w:w="1259" w:type="dxa"/>
            <w:noWrap/>
          </w:tcPr>
          <w:p w:rsidR="001D2E73" w:rsidRDefault="001D2E73">
            <w:pPr>
              <w:spacing w:before="40" w:after="40" w:line="220" w:lineRule="exact"/>
              <w:jc w:val="right"/>
              <w:rPr>
                <w:sz w:val="18"/>
                <w:szCs w:val="18"/>
              </w:rPr>
            </w:pPr>
            <w:r>
              <w:rPr>
                <w:sz w:val="18"/>
                <w:szCs w:val="18"/>
              </w:rPr>
              <w:t>97,0</w:t>
            </w:r>
          </w:p>
        </w:tc>
        <w:tc>
          <w:tcPr>
            <w:tcW w:w="1557" w:type="dxa"/>
            <w:noWrap/>
          </w:tcPr>
          <w:p w:rsidR="001D2E73" w:rsidRDefault="001D2E73">
            <w:pPr>
              <w:spacing w:before="40" w:after="40" w:line="220" w:lineRule="exact"/>
              <w:jc w:val="right"/>
              <w:rPr>
                <w:sz w:val="18"/>
                <w:szCs w:val="18"/>
              </w:rPr>
            </w:pPr>
            <w:r>
              <w:rPr>
                <w:sz w:val="18"/>
                <w:szCs w:val="18"/>
              </w:rPr>
              <w:t>95,1</w:t>
            </w:r>
          </w:p>
        </w:tc>
        <w:tc>
          <w:tcPr>
            <w:tcW w:w="1159"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97,2</w:t>
            </w:r>
          </w:p>
        </w:tc>
      </w:tr>
    </w:tbl>
    <w:p w:rsidR="001D2E73" w:rsidRDefault="001D2E73">
      <w:pPr>
        <w:pStyle w:val="SingleTxtGR"/>
        <w:spacing w:before="240"/>
        <w:rPr>
          <w:spacing w:val="0"/>
          <w:lang w:val="es-ES"/>
        </w:rPr>
      </w:pPr>
      <w:r>
        <w:rPr>
          <w:spacing w:val="0"/>
          <w:lang w:val="es-ES"/>
        </w:rPr>
        <w:t>471.</w:t>
      </w:r>
      <w:r>
        <w:rPr>
          <w:spacing w:val="0"/>
          <w:lang w:val="es-ES"/>
        </w:rPr>
        <w:tab/>
        <w:t>La protección de la maternidad y la infancia es para el Estado una de las prioridades más importantes. El 15 de septiembre de 2006 fue aprobado el Programa de medidas de protección de la salud maternoinfantil.</w:t>
      </w:r>
    </w:p>
    <w:p w:rsidR="001D2E73" w:rsidRDefault="001D2E73">
      <w:pPr>
        <w:pStyle w:val="SingleTxtGR"/>
        <w:rPr>
          <w:spacing w:val="0"/>
          <w:lang w:val="es-ES"/>
        </w:rPr>
      </w:pPr>
      <w:r>
        <w:rPr>
          <w:spacing w:val="0"/>
          <w:lang w:val="es-ES"/>
        </w:rPr>
        <w:t>472.</w:t>
      </w:r>
      <w:r>
        <w:rPr>
          <w:spacing w:val="0"/>
          <w:lang w:val="es-ES"/>
        </w:rPr>
        <w:tab/>
        <w:t>En el marco de este programa se prevé construir en 6 ciudades y distritos del país (Bakú, Najicheván, Cheki, Guba, Lankaran, Sabirabad) centros perinatales y dotarlos de equipo moderno. A principios de año se inauguraron centros de este tipo que comenzaron a funcionar en la ciudad de Gandja y en la clínica de maternidad de Bakú.</w:t>
      </w:r>
    </w:p>
    <w:p w:rsidR="001D2E73" w:rsidRDefault="001D2E73">
      <w:pPr>
        <w:pStyle w:val="SingleTxtGR"/>
        <w:rPr>
          <w:spacing w:val="0"/>
          <w:lang w:val="es-ES"/>
        </w:rPr>
      </w:pPr>
      <w:r>
        <w:rPr>
          <w:spacing w:val="0"/>
          <w:lang w:val="es-ES"/>
        </w:rPr>
        <w:t>473.</w:t>
      </w:r>
      <w:r>
        <w:rPr>
          <w:spacing w:val="0"/>
          <w:lang w:val="es-ES"/>
        </w:rPr>
        <w:tab/>
        <w:t>Con miras a reforzar los servicios de salud reproductiva y controlar su actividad se organizaron 14 centros zonales de planificación de la familia.</w:t>
      </w:r>
    </w:p>
    <w:p w:rsidR="001D2E73" w:rsidRDefault="001D2E73">
      <w:pPr>
        <w:pStyle w:val="SingleTxtGR"/>
        <w:rPr>
          <w:spacing w:val="0"/>
          <w:lang w:val="es-ES"/>
        </w:rPr>
      </w:pPr>
      <w:r>
        <w:rPr>
          <w:spacing w:val="0"/>
          <w:lang w:val="es-ES"/>
        </w:rPr>
        <w:t>474.</w:t>
      </w:r>
      <w:r>
        <w:rPr>
          <w:spacing w:val="0"/>
          <w:lang w:val="es-ES"/>
        </w:rPr>
        <w:tab/>
        <w:t>En el Parlamento se presentó un proyecto de Ley de la salud reproductiva.</w:t>
      </w:r>
    </w:p>
    <w:p w:rsidR="001D2E73" w:rsidRDefault="001D2E73">
      <w:pPr>
        <w:pStyle w:val="SingleTxtGR"/>
        <w:rPr>
          <w:spacing w:val="0"/>
          <w:lang w:val="es-ES"/>
        </w:rPr>
      </w:pPr>
      <w:r>
        <w:rPr>
          <w:spacing w:val="0"/>
          <w:lang w:val="es-ES"/>
        </w:rPr>
        <w:t>475.</w:t>
      </w:r>
      <w:r>
        <w:rPr>
          <w:spacing w:val="0"/>
          <w:lang w:val="es-ES"/>
        </w:rPr>
        <w:tab/>
        <w:t xml:space="preserve">Con apoyo del UNICEF se han preparado protocolos clínicos sobre Reanimación del recién nacido, Cuidado efectivo del recién nacido e Hipertensión durante el embarazo. </w:t>
      </w:r>
    </w:p>
    <w:p w:rsidR="001D2E73" w:rsidRDefault="001D2E73">
      <w:pPr>
        <w:pStyle w:val="SingleTxtGR"/>
        <w:rPr>
          <w:spacing w:val="0"/>
          <w:lang w:val="es-ES"/>
        </w:rPr>
      </w:pPr>
      <w:r>
        <w:rPr>
          <w:spacing w:val="0"/>
          <w:lang w:val="es-ES"/>
        </w:rPr>
        <w:t>476.</w:t>
      </w:r>
      <w:r>
        <w:rPr>
          <w:spacing w:val="0"/>
          <w:lang w:val="es-ES"/>
        </w:rPr>
        <w:tab/>
        <w:t xml:space="preserve">Gracias a las actividades realizadas, año tras años se observa una sensible disminución de la dinámica de la mortalidad materna e infantil. Según datos estadísticos, en comparación con 2003 la mortalidad infantil (la tasa) se redujo en 2008 a 11,4%. Durante ese mismo período, la mortalidad materna disminuyó de 37,6% a 26,3%. </w:t>
      </w:r>
    </w:p>
    <w:p w:rsidR="001D2E73" w:rsidRDefault="001D2E73">
      <w:pPr>
        <w:spacing w:before="240" w:after="120"/>
      </w:pPr>
      <w:r>
        <w:tab/>
      </w:r>
      <w:r>
        <w:tab/>
        <w:t>Cuadro 22</w:t>
      </w:r>
      <w:r>
        <w:br/>
      </w:r>
      <w:r>
        <w:tab/>
      </w:r>
      <w:r>
        <w:tab/>
      </w:r>
      <w:r>
        <w:rPr>
          <w:b/>
        </w:rPr>
        <w:t>Mortalidad derivada de la maternidad</w:t>
      </w:r>
      <w:r>
        <w:rPr>
          <w:i/>
          <w:sz w:val="18"/>
          <w:szCs w:val="18"/>
          <w:vertAlign w:val="superscript"/>
        </w:rPr>
        <w:t>a</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938"/>
        <w:gridCol w:w="1064"/>
        <w:gridCol w:w="1036"/>
        <w:gridCol w:w="1036"/>
        <w:gridCol w:w="1119"/>
        <w:gridCol w:w="1018"/>
        <w:gridCol w:w="1159"/>
      </w:tblGrid>
      <w:tr w:rsidR="001D2E73">
        <w:trPr>
          <w:trHeight w:val="315"/>
        </w:trPr>
        <w:tc>
          <w:tcPr>
            <w:tcW w:w="938" w:type="dxa"/>
            <w:vMerge w:val="restart"/>
            <w:tcBorders>
              <w:top w:val="single" w:sz="4" w:space="0" w:color="auto"/>
              <w:bottom w:val="nil"/>
            </w:tcBorders>
            <w:shd w:val="clear" w:color="auto" w:fill="auto"/>
            <w:noWrap/>
            <w:vAlign w:val="bottom"/>
          </w:tcPr>
          <w:p w:rsidR="001D2E73" w:rsidRDefault="001D2E73">
            <w:pPr>
              <w:spacing w:before="80" w:after="80" w:line="200" w:lineRule="exact"/>
              <w:rPr>
                <w:i/>
                <w:sz w:val="16"/>
              </w:rPr>
            </w:pPr>
            <w:r>
              <w:rPr>
                <w:i/>
                <w:sz w:val="16"/>
              </w:rPr>
              <w:t>Años</w:t>
            </w:r>
          </w:p>
        </w:tc>
        <w:tc>
          <w:tcPr>
            <w:tcW w:w="3136" w:type="dxa"/>
            <w:gridSpan w:val="3"/>
            <w:tcBorders>
              <w:top w:val="single" w:sz="4" w:space="0" w:color="auto"/>
              <w:bottom w:val="single" w:sz="2" w:space="0" w:color="auto"/>
            </w:tcBorders>
            <w:shd w:val="clear" w:color="auto" w:fill="auto"/>
            <w:noWrap/>
          </w:tcPr>
          <w:p w:rsidR="001D2E73" w:rsidRDefault="001D2E73">
            <w:pPr>
              <w:spacing w:before="80" w:after="80" w:line="200" w:lineRule="exact"/>
              <w:jc w:val="center"/>
              <w:rPr>
                <w:i/>
                <w:sz w:val="16"/>
              </w:rPr>
            </w:pPr>
            <w:r>
              <w:rPr>
                <w:i/>
                <w:sz w:val="16"/>
              </w:rPr>
              <w:t>Personas</w:t>
            </w:r>
          </w:p>
        </w:tc>
        <w:tc>
          <w:tcPr>
            <w:tcW w:w="3296" w:type="dxa"/>
            <w:gridSpan w:val="3"/>
            <w:tcBorders>
              <w:top w:val="single" w:sz="4" w:space="0" w:color="auto"/>
              <w:left w:val="nil"/>
              <w:bottom w:val="single" w:sz="2" w:space="0" w:color="auto"/>
              <w:right w:val="nil"/>
              <w:tl2br w:val="nil"/>
              <w:tr2bl w:val="nil"/>
            </w:tcBorders>
            <w:shd w:val="clear" w:color="auto" w:fill="auto"/>
          </w:tcPr>
          <w:p w:rsidR="001D2E73" w:rsidRDefault="001D2E73">
            <w:pPr>
              <w:spacing w:before="80" w:after="80" w:line="200" w:lineRule="exact"/>
              <w:jc w:val="center"/>
              <w:rPr>
                <w:i/>
                <w:sz w:val="16"/>
              </w:rPr>
            </w:pPr>
            <w:r>
              <w:rPr>
                <w:i/>
                <w:sz w:val="16"/>
              </w:rPr>
              <w:t>Por cada 100.000 nacidos vivos</w:t>
            </w:r>
          </w:p>
        </w:tc>
      </w:tr>
      <w:tr w:rsidR="001D2E73">
        <w:trPr>
          <w:trHeight w:val="315"/>
        </w:trPr>
        <w:tc>
          <w:tcPr>
            <w:tcW w:w="938" w:type="dxa"/>
            <w:vMerge/>
            <w:tcBorders>
              <w:top w:val="nil"/>
              <w:bottom w:val="nil"/>
            </w:tcBorders>
            <w:shd w:val="clear" w:color="auto" w:fill="auto"/>
          </w:tcPr>
          <w:p w:rsidR="001D2E73" w:rsidRDefault="001D2E73">
            <w:pPr>
              <w:spacing w:before="80" w:after="80" w:line="200" w:lineRule="exact"/>
              <w:rPr>
                <w:i/>
                <w:sz w:val="16"/>
              </w:rPr>
            </w:pPr>
          </w:p>
        </w:tc>
        <w:tc>
          <w:tcPr>
            <w:tcW w:w="1064" w:type="dxa"/>
            <w:vMerge w:val="restart"/>
            <w:tcBorders>
              <w:top w:val="single" w:sz="2" w:space="0" w:color="auto"/>
              <w:bottom w:val="nil"/>
            </w:tcBorders>
            <w:shd w:val="clear" w:color="auto" w:fill="auto"/>
            <w:vAlign w:val="bottom"/>
          </w:tcPr>
          <w:p w:rsidR="001D2E73" w:rsidRDefault="001D2E73">
            <w:pPr>
              <w:spacing w:before="80" w:after="80" w:line="200" w:lineRule="exact"/>
              <w:jc w:val="right"/>
              <w:rPr>
                <w:i/>
                <w:sz w:val="16"/>
              </w:rPr>
            </w:pPr>
            <w:r>
              <w:rPr>
                <w:i/>
                <w:sz w:val="16"/>
              </w:rPr>
              <w:t>Total</w:t>
            </w:r>
            <w:r>
              <w:rPr>
                <w:i/>
                <w:sz w:val="16"/>
              </w:rPr>
              <w:br/>
              <w:t>de muertes</w:t>
            </w:r>
          </w:p>
        </w:tc>
        <w:tc>
          <w:tcPr>
            <w:tcW w:w="2072" w:type="dxa"/>
            <w:gridSpan w:val="2"/>
            <w:tcBorders>
              <w:top w:val="single" w:sz="2" w:space="0" w:color="auto"/>
              <w:bottom w:val="single" w:sz="2" w:space="0" w:color="auto"/>
            </w:tcBorders>
            <w:shd w:val="clear" w:color="auto" w:fill="auto"/>
            <w:noWrap/>
          </w:tcPr>
          <w:p w:rsidR="001D2E73" w:rsidRDefault="001D2E73">
            <w:pPr>
              <w:spacing w:before="80" w:after="80" w:line="200" w:lineRule="exact"/>
              <w:jc w:val="center"/>
              <w:rPr>
                <w:i/>
                <w:sz w:val="16"/>
              </w:rPr>
            </w:pPr>
            <w:r>
              <w:rPr>
                <w:i/>
                <w:sz w:val="16"/>
              </w:rPr>
              <w:t>Desglose:</w:t>
            </w:r>
          </w:p>
        </w:tc>
        <w:tc>
          <w:tcPr>
            <w:tcW w:w="1119" w:type="dxa"/>
            <w:vMerge w:val="restart"/>
            <w:tcBorders>
              <w:top w:val="single" w:sz="2" w:space="0" w:color="auto"/>
              <w:bottom w:val="nil"/>
            </w:tcBorders>
            <w:shd w:val="clear" w:color="auto" w:fill="auto"/>
            <w:vAlign w:val="bottom"/>
          </w:tcPr>
          <w:p w:rsidR="001D2E73" w:rsidRDefault="001D2E73">
            <w:pPr>
              <w:spacing w:before="80" w:after="80" w:line="200" w:lineRule="exact"/>
              <w:jc w:val="right"/>
              <w:rPr>
                <w:i/>
                <w:sz w:val="16"/>
              </w:rPr>
            </w:pPr>
            <w:r>
              <w:rPr>
                <w:i/>
                <w:sz w:val="16"/>
              </w:rPr>
              <w:t xml:space="preserve">Total </w:t>
            </w:r>
            <w:r>
              <w:rPr>
                <w:i/>
                <w:sz w:val="16"/>
              </w:rPr>
              <w:br/>
              <w:t>de muertes</w:t>
            </w:r>
          </w:p>
        </w:tc>
        <w:tc>
          <w:tcPr>
            <w:tcW w:w="2177" w:type="dxa"/>
            <w:gridSpan w:val="2"/>
            <w:tcBorders>
              <w:top w:val="single" w:sz="2" w:space="0" w:color="auto"/>
              <w:left w:val="nil"/>
              <w:bottom w:val="single" w:sz="2" w:space="0" w:color="auto"/>
              <w:right w:val="nil"/>
              <w:tl2br w:val="nil"/>
              <w:tr2bl w:val="nil"/>
            </w:tcBorders>
            <w:shd w:val="clear" w:color="auto" w:fill="auto"/>
            <w:noWrap/>
          </w:tcPr>
          <w:p w:rsidR="001D2E73" w:rsidRDefault="001D2E73">
            <w:pPr>
              <w:spacing w:before="80" w:after="80" w:line="200" w:lineRule="exact"/>
              <w:jc w:val="center"/>
              <w:rPr>
                <w:i/>
                <w:sz w:val="16"/>
              </w:rPr>
            </w:pPr>
            <w:r>
              <w:rPr>
                <w:i/>
                <w:sz w:val="16"/>
              </w:rPr>
              <w:t>Desglose:</w:t>
            </w:r>
          </w:p>
        </w:tc>
      </w:tr>
      <w:tr w:rsidR="001D2E73">
        <w:trPr>
          <w:trHeight w:val="379"/>
        </w:trPr>
        <w:tc>
          <w:tcPr>
            <w:tcW w:w="938" w:type="dxa"/>
            <w:vMerge/>
            <w:tcBorders>
              <w:top w:val="nil"/>
              <w:bottom w:val="single" w:sz="12" w:space="0" w:color="auto"/>
            </w:tcBorders>
            <w:shd w:val="clear" w:color="auto" w:fill="auto"/>
          </w:tcPr>
          <w:p w:rsidR="001D2E73" w:rsidRDefault="001D2E73">
            <w:pPr>
              <w:spacing w:before="80" w:after="80" w:line="200" w:lineRule="exact"/>
              <w:rPr>
                <w:i/>
                <w:sz w:val="16"/>
              </w:rPr>
            </w:pPr>
          </w:p>
        </w:tc>
        <w:tc>
          <w:tcPr>
            <w:tcW w:w="1064" w:type="dxa"/>
            <w:vMerge/>
            <w:tcBorders>
              <w:top w:val="nil"/>
              <w:bottom w:val="single" w:sz="12" w:space="0" w:color="auto"/>
            </w:tcBorders>
            <w:shd w:val="clear" w:color="auto" w:fill="auto"/>
          </w:tcPr>
          <w:p w:rsidR="001D2E73" w:rsidRDefault="001D2E73">
            <w:pPr>
              <w:spacing w:before="80" w:after="80" w:line="200" w:lineRule="exact"/>
              <w:jc w:val="right"/>
              <w:rPr>
                <w:i/>
                <w:sz w:val="16"/>
              </w:rPr>
            </w:pPr>
          </w:p>
        </w:tc>
        <w:tc>
          <w:tcPr>
            <w:tcW w:w="1036" w:type="dxa"/>
            <w:tcBorders>
              <w:top w:val="nil"/>
              <w:bottom w:val="single" w:sz="12" w:space="0" w:color="auto"/>
            </w:tcBorders>
            <w:shd w:val="clear" w:color="auto" w:fill="auto"/>
          </w:tcPr>
          <w:p w:rsidR="001D2E73" w:rsidRDefault="001D2E73">
            <w:pPr>
              <w:spacing w:before="80" w:after="80" w:line="200" w:lineRule="exact"/>
              <w:jc w:val="right"/>
              <w:rPr>
                <w:i/>
                <w:sz w:val="16"/>
              </w:rPr>
            </w:pPr>
            <w:r>
              <w:rPr>
                <w:i/>
                <w:sz w:val="16"/>
              </w:rPr>
              <w:t>En centros urbanos</w:t>
            </w:r>
          </w:p>
        </w:tc>
        <w:tc>
          <w:tcPr>
            <w:tcW w:w="1036" w:type="dxa"/>
            <w:tcBorders>
              <w:top w:val="nil"/>
              <w:bottom w:val="single" w:sz="12" w:space="0" w:color="auto"/>
            </w:tcBorders>
            <w:shd w:val="clear" w:color="auto" w:fill="auto"/>
          </w:tcPr>
          <w:p w:rsidR="001D2E73" w:rsidRDefault="001D2E73">
            <w:pPr>
              <w:spacing w:before="80" w:after="80" w:line="200" w:lineRule="exact"/>
              <w:jc w:val="right"/>
              <w:rPr>
                <w:i/>
                <w:sz w:val="16"/>
              </w:rPr>
            </w:pPr>
            <w:r>
              <w:rPr>
                <w:i/>
                <w:sz w:val="16"/>
              </w:rPr>
              <w:t>En centros rurales</w:t>
            </w:r>
          </w:p>
        </w:tc>
        <w:tc>
          <w:tcPr>
            <w:tcW w:w="1119" w:type="dxa"/>
            <w:vMerge/>
            <w:tcBorders>
              <w:top w:val="nil"/>
              <w:bottom w:val="single" w:sz="12" w:space="0" w:color="auto"/>
            </w:tcBorders>
            <w:shd w:val="clear" w:color="auto" w:fill="auto"/>
          </w:tcPr>
          <w:p w:rsidR="001D2E73" w:rsidRDefault="001D2E73">
            <w:pPr>
              <w:spacing w:before="80" w:after="80" w:line="200" w:lineRule="exact"/>
              <w:jc w:val="right"/>
              <w:rPr>
                <w:i/>
                <w:sz w:val="16"/>
              </w:rPr>
            </w:pPr>
          </w:p>
        </w:tc>
        <w:tc>
          <w:tcPr>
            <w:tcW w:w="1018" w:type="dxa"/>
            <w:tcBorders>
              <w:top w:val="nil"/>
              <w:bottom w:val="single" w:sz="12" w:space="0" w:color="auto"/>
            </w:tcBorders>
            <w:shd w:val="clear" w:color="auto" w:fill="auto"/>
          </w:tcPr>
          <w:p w:rsidR="001D2E73" w:rsidRDefault="001D2E73">
            <w:pPr>
              <w:spacing w:before="80" w:after="80" w:line="200" w:lineRule="exact"/>
              <w:jc w:val="right"/>
              <w:rPr>
                <w:i/>
                <w:sz w:val="16"/>
              </w:rPr>
            </w:pPr>
            <w:r>
              <w:rPr>
                <w:i/>
                <w:sz w:val="16"/>
              </w:rPr>
              <w:t>En centros urbanos</w:t>
            </w:r>
          </w:p>
        </w:tc>
        <w:tc>
          <w:tcPr>
            <w:tcW w:w="1159" w:type="dxa"/>
            <w:tcBorders>
              <w:top w:val="nil"/>
              <w:left w:val="nil"/>
              <w:bottom w:val="single" w:sz="12" w:space="0" w:color="auto"/>
              <w:right w:val="nil"/>
              <w:tl2br w:val="nil"/>
              <w:tr2bl w:val="nil"/>
            </w:tcBorders>
            <w:shd w:val="clear" w:color="auto" w:fill="auto"/>
          </w:tcPr>
          <w:p w:rsidR="001D2E73" w:rsidRDefault="001D2E73">
            <w:pPr>
              <w:spacing w:before="80" w:after="80" w:line="200" w:lineRule="exact"/>
              <w:jc w:val="right"/>
              <w:rPr>
                <w:i/>
                <w:sz w:val="16"/>
              </w:rPr>
            </w:pPr>
            <w:r>
              <w:rPr>
                <w:i/>
                <w:sz w:val="16"/>
              </w:rPr>
              <w:t>En centros rurales</w:t>
            </w:r>
          </w:p>
        </w:tc>
      </w:tr>
      <w:tr w:rsidR="001D2E73">
        <w:trPr>
          <w:trHeight w:val="300"/>
        </w:trPr>
        <w:tc>
          <w:tcPr>
            <w:tcW w:w="938" w:type="dxa"/>
            <w:tcBorders>
              <w:top w:val="single" w:sz="12" w:space="0" w:color="auto"/>
            </w:tcBorders>
            <w:noWrap/>
          </w:tcPr>
          <w:p w:rsidR="001D2E73" w:rsidRDefault="001D2E73">
            <w:pPr>
              <w:spacing w:before="40" w:after="40" w:line="220" w:lineRule="exact"/>
              <w:rPr>
                <w:sz w:val="18"/>
                <w:szCs w:val="18"/>
              </w:rPr>
            </w:pPr>
            <w:r>
              <w:rPr>
                <w:sz w:val="18"/>
                <w:szCs w:val="18"/>
              </w:rPr>
              <w:t>2003</w:t>
            </w:r>
          </w:p>
        </w:tc>
        <w:tc>
          <w:tcPr>
            <w:tcW w:w="1064" w:type="dxa"/>
            <w:tcBorders>
              <w:top w:val="single" w:sz="12" w:space="0" w:color="auto"/>
            </w:tcBorders>
            <w:noWrap/>
          </w:tcPr>
          <w:p w:rsidR="001D2E73" w:rsidRDefault="001D2E73">
            <w:pPr>
              <w:spacing w:before="40" w:after="40" w:line="220" w:lineRule="exact"/>
              <w:jc w:val="right"/>
              <w:rPr>
                <w:sz w:val="18"/>
                <w:szCs w:val="18"/>
              </w:rPr>
            </w:pPr>
            <w:r>
              <w:rPr>
                <w:sz w:val="18"/>
                <w:szCs w:val="18"/>
              </w:rPr>
              <w:t>21</w:t>
            </w:r>
          </w:p>
        </w:tc>
        <w:tc>
          <w:tcPr>
            <w:tcW w:w="1036" w:type="dxa"/>
            <w:tcBorders>
              <w:top w:val="single" w:sz="12" w:space="0" w:color="auto"/>
            </w:tcBorders>
            <w:noWrap/>
          </w:tcPr>
          <w:p w:rsidR="001D2E73" w:rsidRDefault="001D2E73">
            <w:pPr>
              <w:spacing w:before="40" w:after="40" w:line="220" w:lineRule="exact"/>
              <w:jc w:val="right"/>
              <w:rPr>
                <w:sz w:val="18"/>
                <w:szCs w:val="18"/>
              </w:rPr>
            </w:pPr>
            <w:r>
              <w:rPr>
                <w:sz w:val="18"/>
                <w:szCs w:val="18"/>
              </w:rPr>
              <w:t>8</w:t>
            </w:r>
          </w:p>
        </w:tc>
        <w:tc>
          <w:tcPr>
            <w:tcW w:w="1036" w:type="dxa"/>
            <w:tcBorders>
              <w:top w:val="single" w:sz="12" w:space="0" w:color="auto"/>
            </w:tcBorders>
            <w:noWrap/>
          </w:tcPr>
          <w:p w:rsidR="001D2E73" w:rsidRDefault="001D2E73">
            <w:pPr>
              <w:spacing w:before="40" w:after="40" w:line="220" w:lineRule="exact"/>
              <w:jc w:val="right"/>
              <w:rPr>
                <w:sz w:val="18"/>
                <w:szCs w:val="18"/>
              </w:rPr>
            </w:pPr>
            <w:r>
              <w:rPr>
                <w:sz w:val="18"/>
                <w:szCs w:val="18"/>
              </w:rPr>
              <w:t>13</w:t>
            </w:r>
          </w:p>
        </w:tc>
        <w:tc>
          <w:tcPr>
            <w:tcW w:w="1119" w:type="dxa"/>
            <w:tcBorders>
              <w:top w:val="single" w:sz="12" w:space="0" w:color="auto"/>
            </w:tcBorders>
            <w:noWrap/>
          </w:tcPr>
          <w:p w:rsidR="001D2E73" w:rsidRDefault="001D2E73">
            <w:pPr>
              <w:spacing w:before="40" w:after="40" w:line="220" w:lineRule="exact"/>
              <w:jc w:val="right"/>
              <w:rPr>
                <w:sz w:val="18"/>
                <w:szCs w:val="18"/>
              </w:rPr>
            </w:pPr>
            <w:r>
              <w:rPr>
                <w:sz w:val="18"/>
                <w:szCs w:val="18"/>
              </w:rPr>
              <w:t>18,5</w:t>
            </w:r>
          </w:p>
        </w:tc>
        <w:tc>
          <w:tcPr>
            <w:tcW w:w="1018" w:type="dxa"/>
            <w:tcBorders>
              <w:top w:val="single" w:sz="12" w:space="0" w:color="auto"/>
            </w:tcBorders>
            <w:noWrap/>
          </w:tcPr>
          <w:p w:rsidR="001D2E73" w:rsidRDefault="001D2E73">
            <w:pPr>
              <w:spacing w:before="40" w:after="40" w:line="220" w:lineRule="exact"/>
              <w:jc w:val="right"/>
              <w:rPr>
                <w:sz w:val="18"/>
                <w:szCs w:val="18"/>
              </w:rPr>
            </w:pPr>
            <w:r>
              <w:rPr>
                <w:sz w:val="18"/>
                <w:szCs w:val="18"/>
              </w:rPr>
              <w:t>15,7</w:t>
            </w:r>
          </w:p>
        </w:tc>
        <w:tc>
          <w:tcPr>
            <w:tcW w:w="1159" w:type="dxa"/>
            <w:tcBorders>
              <w:top w:val="single" w:sz="12" w:space="0" w:color="auto"/>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20,1</w:t>
            </w:r>
          </w:p>
        </w:tc>
      </w:tr>
      <w:tr w:rsidR="001D2E73">
        <w:trPr>
          <w:trHeight w:val="300"/>
        </w:trPr>
        <w:tc>
          <w:tcPr>
            <w:tcW w:w="938" w:type="dxa"/>
            <w:noWrap/>
          </w:tcPr>
          <w:p w:rsidR="001D2E73" w:rsidRDefault="001D2E73">
            <w:pPr>
              <w:spacing w:before="40" w:after="40" w:line="220" w:lineRule="exact"/>
              <w:rPr>
                <w:sz w:val="18"/>
                <w:szCs w:val="18"/>
              </w:rPr>
            </w:pPr>
            <w:r>
              <w:rPr>
                <w:sz w:val="18"/>
                <w:szCs w:val="18"/>
              </w:rPr>
              <w:t>2004</w:t>
            </w:r>
          </w:p>
        </w:tc>
        <w:tc>
          <w:tcPr>
            <w:tcW w:w="1064" w:type="dxa"/>
            <w:noWrap/>
          </w:tcPr>
          <w:p w:rsidR="001D2E73" w:rsidRDefault="001D2E73">
            <w:pPr>
              <w:spacing w:before="40" w:after="40" w:line="220" w:lineRule="exact"/>
              <w:jc w:val="right"/>
              <w:rPr>
                <w:sz w:val="18"/>
                <w:szCs w:val="18"/>
              </w:rPr>
            </w:pPr>
            <w:r>
              <w:rPr>
                <w:sz w:val="18"/>
                <w:szCs w:val="18"/>
              </w:rPr>
              <w:t>34</w:t>
            </w:r>
          </w:p>
        </w:tc>
        <w:tc>
          <w:tcPr>
            <w:tcW w:w="1036" w:type="dxa"/>
            <w:noWrap/>
          </w:tcPr>
          <w:p w:rsidR="001D2E73" w:rsidRDefault="001D2E73">
            <w:pPr>
              <w:spacing w:before="40" w:after="40" w:line="220" w:lineRule="exact"/>
              <w:jc w:val="right"/>
              <w:rPr>
                <w:sz w:val="18"/>
                <w:szCs w:val="18"/>
              </w:rPr>
            </w:pPr>
            <w:r>
              <w:rPr>
                <w:sz w:val="18"/>
                <w:szCs w:val="18"/>
              </w:rPr>
              <w:t>25</w:t>
            </w:r>
          </w:p>
        </w:tc>
        <w:tc>
          <w:tcPr>
            <w:tcW w:w="1036" w:type="dxa"/>
            <w:noWrap/>
          </w:tcPr>
          <w:p w:rsidR="001D2E73" w:rsidRDefault="001D2E73">
            <w:pPr>
              <w:spacing w:before="40" w:after="40" w:line="220" w:lineRule="exact"/>
              <w:jc w:val="right"/>
              <w:rPr>
                <w:sz w:val="18"/>
                <w:szCs w:val="18"/>
              </w:rPr>
            </w:pPr>
            <w:r>
              <w:rPr>
                <w:sz w:val="18"/>
                <w:szCs w:val="18"/>
              </w:rPr>
              <w:t>9</w:t>
            </w:r>
          </w:p>
        </w:tc>
        <w:tc>
          <w:tcPr>
            <w:tcW w:w="1119" w:type="dxa"/>
            <w:noWrap/>
          </w:tcPr>
          <w:p w:rsidR="001D2E73" w:rsidRDefault="001D2E73">
            <w:pPr>
              <w:spacing w:before="40" w:after="40" w:line="220" w:lineRule="exact"/>
              <w:jc w:val="right"/>
              <w:rPr>
                <w:sz w:val="18"/>
                <w:szCs w:val="18"/>
              </w:rPr>
            </w:pPr>
            <w:r>
              <w:rPr>
                <w:sz w:val="18"/>
                <w:szCs w:val="18"/>
              </w:rPr>
              <w:t>25,8</w:t>
            </w:r>
          </w:p>
        </w:tc>
        <w:tc>
          <w:tcPr>
            <w:tcW w:w="1018" w:type="dxa"/>
            <w:noWrap/>
          </w:tcPr>
          <w:p w:rsidR="001D2E73" w:rsidRDefault="001D2E73">
            <w:pPr>
              <w:spacing w:before="40" w:after="40" w:line="220" w:lineRule="exact"/>
              <w:jc w:val="right"/>
              <w:rPr>
                <w:sz w:val="18"/>
                <w:szCs w:val="18"/>
              </w:rPr>
            </w:pPr>
            <w:r>
              <w:rPr>
                <w:sz w:val="18"/>
                <w:szCs w:val="18"/>
              </w:rPr>
              <w:t>42,4</w:t>
            </w:r>
          </w:p>
        </w:tc>
        <w:tc>
          <w:tcPr>
            <w:tcW w:w="1159"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12,4</w:t>
            </w:r>
          </w:p>
        </w:tc>
      </w:tr>
      <w:tr w:rsidR="001D2E73">
        <w:trPr>
          <w:trHeight w:val="300"/>
        </w:trPr>
        <w:tc>
          <w:tcPr>
            <w:tcW w:w="938" w:type="dxa"/>
            <w:noWrap/>
          </w:tcPr>
          <w:p w:rsidR="001D2E73" w:rsidRDefault="001D2E73">
            <w:pPr>
              <w:spacing w:before="40" w:after="40" w:line="220" w:lineRule="exact"/>
              <w:rPr>
                <w:sz w:val="18"/>
                <w:szCs w:val="18"/>
              </w:rPr>
            </w:pPr>
            <w:r>
              <w:rPr>
                <w:sz w:val="18"/>
                <w:szCs w:val="18"/>
              </w:rPr>
              <w:t>2005</w:t>
            </w:r>
          </w:p>
        </w:tc>
        <w:tc>
          <w:tcPr>
            <w:tcW w:w="1064" w:type="dxa"/>
            <w:noWrap/>
          </w:tcPr>
          <w:p w:rsidR="001D2E73" w:rsidRDefault="001D2E73">
            <w:pPr>
              <w:spacing w:before="40" w:after="40" w:line="220" w:lineRule="exact"/>
              <w:jc w:val="right"/>
              <w:rPr>
                <w:sz w:val="18"/>
                <w:szCs w:val="18"/>
              </w:rPr>
            </w:pPr>
            <w:r>
              <w:rPr>
                <w:sz w:val="18"/>
                <w:szCs w:val="18"/>
              </w:rPr>
              <w:t>41</w:t>
            </w:r>
          </w:p>
        </w:tc>
        <w:tc>
          <w:tcPr>
            <w:tcW w:w="1036" w:type="dxa"/>
            <w:noWrap/>
          </w:tcPr>
          <w:p w:rsidR="001D2E73" w:rsidRDefault="001D2E73">
            <w:pPr>
              <w:spacing w:before="40" w:after="40" w:line="220" w:lineRule="exact"/>
              <w:jc w:val="right"/>
              <w:rPr>
                <w:sz w:val="18"/>
                <w:szCs w:val="18"/>
              </w:rPr>
            </w:pPr>
            <w:r>
              <w:rPr>
                <w:sz w:val="18"/>
                <w:szCs w:val="18"/>
              </w:rPr>
              <w:t>27</w:t>
            </w:r>
          </w:p>
        </w:tc>
        <w:tc>
          <w:tcPr>
            <w:tcW w:w="1036" w:type="dxa"/>
            <w:noWrap/>
          </w:tcPr>
          <w:p w:rsidR="001D2E73" w:rsidRDefault="001D2E73">
            <w:pPr>
              <w:spacing w:before="40" w:after="40" w:line="220" w:lineRule="exact"/>
              <w:jc w:val="right"/>
              <w:rPr>
                <w:sz w:val="18"/>
                <w:szCs w:val="18"/>
              </w:rPr>
            </w:pPr>
            <w:r>
              <w:rPr>
                <w:sz w:val="18"/>
                <w:szCs w:val="18"/>
              </w:rPr>
              <w:t>14</w:t>
            </w:r>
          </w:p>
        </w:tc>
        <w:tc>
          <w:tcPr>
            <w:tcW w:w="1119" w:type="dxa"/>
            <w:noWrap/>
          </w:tcPr>
          <w:p w:rsidR="001D2E73" w:rsidRDefault="001D2E73">
            <w:pPr>
              <w:spacing w:before="40" w:after="40" w:line="220" w:lineRule="exact"/>
              <w:jc w:val="right"/>
              <w:rPr>
                <w:sz w:val="18"/>
                <w:szCs w:val="18"/>
              </w:rPr>
            </w:pPr>
            <w:r>
              <w:rPr>
                <w:sz w:val="18"/>
                <w:szCs w:val="18"/>
              </w:rPr>
              <w:t>28,9</w:t>
            </w:r>
          </w:p>
        </w:tc>
        <w:tc>
          <w:tcPr>
            <w:tcW w:w="1018" w:type="dxa"/>
            <w:noWrap/>
          </w:tcPr>
          <w:p w:rsidR="001D2E73" w:rsidRDefault="001D2E73">
            <w:pPr>
              <w:spacing w:before="40" w:after="40" w:line="220" w:lineRule="exact"/>
              <w:jc w:val="right"/>
              <w:rPr>
                <w:sz w:val="18"/>
                <w:szCs w:val="18"/>
              </w:rPr>
            </w:pPr>
            <w:r>
              <w:rPr>
                <w:sz w:val="18"/>
                <w:szCs w:val="18"/>
              </w:rPr>
              <w:t>42,0</w:t>
            </w:r>
          </w:p>
        </w:tc>
        <w:tc>
          <w:tcPr>
            <w:tcW w:w="1159"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18,1</w:t>
            </w:r>
          </w:p>
        </w:tc>
      </w:tr>
      <w:tr w:rsidR="001D2E73">
        <w:trPr>
          <w:trHeight w:val="300"/>
        </w:trPr>
        <w:tc>
          <w:tcPr>
            <w:tcW w:w="938" w:type="dxa"/>
            <w:noWrap/>
          </w:tcPr>
          <w:p w:rsidR="001D2E73" w:rsidRDefault="001D2E73">
            <w:pPr>
              <w:spacing w:before="40" w:after="40" w:line="220" w:lineRule="exact"/>
              <w:rPr>
                <w:sz w:val="18"/>
                <w:szCs w:val="18"/>
              </w:rPr>
            </w:pPr>
            <w:r>
              <w:rPr>
                <w:sz w:val="18"/>
                <w:szCs w:val="18"/>
              </w:rPr>
              <w:t>2006</w:t>
            </w:r>
          </w:p>
        </w:tc>
        <w:tc>
          <w:tcPr>
            <w:tcW w:w="1064" w:type="dxa"/>
            <w:noWrap/>
          </w:tcPr>
          <w:p w:rsidR="001D2E73" w:rsidRDefault="001D2E73">
            <w:pPr>
              <w:spacing w:before="40" w:after="40" w:line="220" w:lineRule="exact"/>
              <w:jc w:val="right"/>
              <w:rPr>
                <w:sz w:val="18"/>
                <w:szCs w:val="18"/>
              </w:rPr>
            </w:pPr>
            <w:r>
              <w:rPr>
                <w:sz w:val="18"/>
                <w:szCs w:val="18"/>
              </w:rPr>
              <w:t>51</w:t>
            </w:r>
          </w:p>
        </w:tc>
        <w:tc>
          <w:tcPr>
            <w:tcW w:w="1036" w:type="dxa"/>
            <w:noWrap/>
          </w:tcPr>
          <w:p w:rsidR="001D2E73" w:rsidRDefault="001D2E73">
            <w:pPr>
              <w:spacing w:before="40" w:after="40" w:line="220" w:lineRule="exact"/>
              <w:jc w:val="right"/>
              <w:rPr>
                <w:sz w:val="18"/>
                <w:szCs w:val="18"/>
              </w:rPr>
            </w:pPr>
            <w:r>
              <w:rPr>
                <w:sz w:val="18"/>
                <w:szCs w:val="18"/>
              </w:rPr>
              <w:t>33</w:t>
            </w:r>
          </w:p>
        </w:tc>
        <w:tc>
          <w:tcPr>
            <w:tcW w:w="1036" w:type="dxa"/>
            <w:noWrap/>
          </w:tcPr>
          <w:p w:rsidR="001D2E73" w:rsidRDefault="001D2E73">
            <w:pPr>
              <w:spacing w:before="40" w:after="40" w:line="220" w:lineRule="exact"/>
              <w:jc w:val="right"/>
              <w:rPr>
                <w:sz w:val="18"/>
                <w:szCs w:val="18"/>
              </w:rPr>
            </w:pPr>
            <w:r>
              <w:rPr>
                <w:sz w:val="18"/>
                <w:szCs w:val="18"/>
              </w:rPr>
              <w:t>18</w:t>
            </w:r>
          </w:p>
        </w:tc>
        <w:tc>
          <w:tcPr>
            <w:tcW w:w="1119" w:type="dxa"/>
            <w:noWrap/>
          </w:tcPr>
          <w:p w:rsidR="001D2E73" w:rsidRDefault="001D2E73">
            <w:pPr>
              <w:spacing w:before="40" w:after="40" w:line="220" w:lineRule="exact"/>
              <w:jc w:val="right"/>
              <w:rPr>
                <w:sz w:val="18"/>
                <w:szCs w:val="18"/>
              </w:rPr>
            </w:pPr>
            <w:r>
              <w:rPr>
                <w:sz w:val="18"/>
                <w:szCs w:val="18"/>
              </w:rPr>
              <w:t>34,2</w:t>
            </w:r>
          </w:p>
        </w:tc>
        <w:tc>
          <w:tcPr>
            <w:tcW w:w="1018" w:type="dxa"/>
            <w:noWrap/>
          </w:tcPr>
          <w:p w:rsidR="001D2E73" w:rsidRDefault="001D2E73">
            <w:pPr>
              <w:spacing w:before="40" w:after="40" w:line="220" w:lineRule="exact"/>
              <w:jc w:val="right"/>
              <w:rPr>
                <w:sz w:val="18"/>
                <w:szCs w:val="18"/>
              </w:rPr>
            </w:pPr>
            <w:r>
              <w:rPr>
                <w:sz w:val="18"/>
                <w:szCs w:val="18"/>
              </w:rPr>
              <w:t>46,8</w:t>
            </w:r>
          </w:p>
        </w:tc>
        <w:tc>
          <w:tcPr>
            <w:tcW w:w="1159"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23,0</w:t>
            </w:r>
          </w:p>
        </w:tc>
      </w:tr>
      <w:tr w:rsidR="001D2E73">
        <w:trPr>
          <w:trHeight w:val="300"/>
        </w:trPr>
        <w:tc>
          <w:tcPr>
            <w:tcW w:w="938" w:type="dxa"/>
            <w:noWrap/>
          </w:tcPr>
          <w:p w:rsidR="001D2E73" w:rsidRDefault="001D2E73">
            <w:pPr>
              <w:spacing w:before="40" w:after="40" w:line="220" w:lineRule="exact"/>
              <w:rPr>
                <w:sz w:val="18"/>
                <w:szCs w:val="18"/>
              </w:rPr>
            </w:pPr>
            <w:r>
              <w:rPr>
                <w:sz w:val="18"/>
                <w:szCs w:val="18"/>
              </w:rPr>
              <w:t>2007</w:t>
            </w:r>
          </w:p>
        </w:tc>
        <w:tc>
          <w:tcPr>
            <w:tcW w:w="1064" w:type="dxa"/>
            <w:noWrap/>
          </w:tcPr>
          <w:p w:rsidR="001D2E73" w:rsidRDefault="001D2E73">
            <w:pPr>
              <w:spacing w:before="40" w:after="40" w:line="220" w:lineRule="exact"/>
              <w:jc w:val="right"/>
              <w:rPr>
                <w:sz w:val="18"/>
                <w:szCs w:val="18"/>
              </w:rPr>
            </w:pPr>
            <w:r>
              <w:rPr>
                <w:sz w:val="18"/>
                <w:szCs w:val="18"/>
              </w:rPr>
              <w:t>54</w:t>
            </w:r>
          </w:p>
        </w:tc>
        <w:tc>
          <w:tcPr>
            <w:tcW w:w="1036" w:type="dxa"/>
            <w:noWrap/>
          </w:tcPr>
          <w:p w:rsidR="001D2E73" w:rsidRDefault="001D2E73">
            <w:pPr>
              <w:spacing w:before="40" w:after="40" w:line="220" w:lineRule="exact"/>
              <w:jc w:val="right"/>
              <w:rPr>
                <w:sz w:val="18"/>
                <w:szCs w:val="18"/>
              </w:rPr>
            </w:pPr>
            <w:r>
              <w:rPr>
                <w:sz w:val="18"/>
                <w:szCs w:val="18"/>
              </w:rPr>
              <w:t>37</w:t>
            </w:r>
          </w:p>
        </w:tc>
        <w:tc>
          <w:tcPr>
            <w:tcW w:w="1036" w:type="dxa"/>
            <w:noWrap/>
          </w:tcPr>
          <w:p w:rsidR="001D2E73" w:rsidRDefault="001D2E73">
            <w:pPr>
              <w:spacing w:before="40" w:after="40" w:line="220" w:lineRule="exact"/>
              <w:jc w:val="right"/>
              <w:rPr>
                <w:sz w:val="18"/>
                <w:szCs w:val="18"/>
              </w:rPr>
            </w:pPr>
            <w:r>
              <w:rPr>
                <w:sz w:val="18"/>
                <w:szCs w:val="18"/>
              </w:rPr>
              <w:t>17</w:t>
            </w:r>
          </w:p>
        </w:tc>
        <w:tc>
          <w:tcPr>
            <w:tcW w:w="1119" w:type="dxa"/>
            <w:noWrap/>
          </w:tcPr>
          <w:p w:rsidR="001D2E73" w:rsidRDefault="001D2E73">
            <w:pPr>
              <w:spacing w:before="40" w:after="40" w:line="220" w:lineRule="exact"/>
              <w:jc w:val="right"/>
              <w:rPr>
                <w:sz w:val="18"/>
                <w:szCs w:val="18"/>
              </w:rPr>
            </w:pPr>
            <w:r>
              <w:rPr>
                <w:sz w:val="18"/>
                <w:szCs w:val="18"/>
              </w:rPr>
              <w:t>35,5</w:t>
            </w:r>
          </w:p>
        </w:tc>
        <w:tc>
          <w:tcPr>
            <w:tcW w:w="1018" w:type="dxa"/>
            <w:noWrap/>
          </w:tcPr>
          <w:p w:rsidR="001D2E73" w:rsidRDefault="001D2E73">
            <w:pPr>
              <w:spacing w:before="40" w:after="40" w:line="220" w:lineRule="exact"/>
              <w:jc w:val="right"/>
              <w:rPr>
                <w:sz w:val="18"/>
                <w:szCs w:val="18"/>
              </w:rPr>
            </w:pPr>
            <w:r>
              <w:rPr>
                <w:sz w:val="18"/>
                <w:szCs w:val="18"/>
              </w:rPr>
              <w:t>50,6</w:t>
            </w:r>
          </w:p>
        </w:tc>
        <w:tc>
          <w:tcPr>
            <w:tcW w:w="1159"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21,6</w:t>
            </w:r>
          </w:p>
        </w:tc>
      </w:tr>
      <w:tr w:rsidR="001D2E73">
        <w:trPr>
          <w:trHeight w:val="300"/>
        </w:trPr>
        <w:tc>
          <w:tcPr>
            <w:tcW w:w="938" w:type="dxa"/>
            <w:noWrap/>
          </w:tcPr>
          <w:p w:rsidR="001D2E73" w:rsidRDefault="001D2E73">
            <w:pPr>
              <w:spacing w:before="40" w:after="40" w:line="220" w:lineRule="exact"/>
              <w:rPr>
                <w:sz w:val="18"/>
                <w:szCs w:val="18"/>
              </w:rPr>
            </w:pPr>
            <w:r>
              <w:rPr>
                <w:sz w:val="18"/>
                <w:szCs w:val="18"/>
              </w:rPr>
              <w:t>2008</w:t>
            </w:r>
          </w:p>
        </w:tc>
        <w:tc>
          <w:tcPr>
            <w:tcW w:w="1064" w:type="dxa"/>
            <w:noWrap/>
          </w:tcPr>
          <w:p w:rsidR="001D2E73" w:rsidRDefault="001D2E73">
            <w:pPr>
              <w:spacing w:before="40" w:after="40" w:line="220" w:lineRule="exact"/>
              <w:jc w:val="right"/>
              <w:rPr>
                <w:sz w:val="18"/>
                <w:szCs w:val="18"/>
              </w:rPr>
            </w:pPr>
            <w:r>
              <w:rPr>
                <w:sz w:val="18"/>
                <w:szCs w:val="18"/>
              </w:rPr>
              <w:t>40</w:t>
            </w:r>
          </w:p>
        </w:tc>
        <w:tc>
          <w:tcPr>
            <w:tcW w:w="1036" w:type="dxa"/>
            <w:noWrap/>
          </w:tcPr>
          <w:p w:rsidR="001D2E73" w:rsidRDefault="001D2E73">
            <w:pPr>
              <w:spacing w:before="40" w:after="40" w:line="220" w:lineRule="exact"/>
              <w:jc w:val="right"/>
              <w:rPr>
                <w:sz w:val="18"/>
                <w:szCs w:val="18"/>
              </w:rPr>
            </w:pPr>
            <w:r>
              <w:rPr>
                <w:sz w:val="18"/>
                <w:szCs w:val="18"/>
              </w:rPr>
              <w:t>23</w:t>
            </w:r>
          </w:p>
        </w:tc>
        <w:tc>
          <w:tcPr>
            <w:tcW w:w="1036" w:type="dxa"/>
            <w:noWrap/>
          </w:tcPr>
          <w:p w:rsidR="001D2E73" w:rsidRDefault="001D2E73">
            <w:pPr>
              <w:spacing w:before="40" w:after="40" w:line="220" w:lineRule="exact"/>
              <w:jc w:val="right"/>
              <w:rPr>
                <w:sz w:val="18"/>
                <w:szCs w:val="18"/>
              </w:rPr>
            </w:pPr>
            <w:r>
              <w:rPr>
                <w:sz w:val="18"/>
                <w:szCs w:val="18"/>
              </w:rPr>
              <w:t>17</w:t>
            </w:r>
          </w:p>
        </w:tc>
        <w:tc>
          <w:tcPr>
            <w:tcW w:w="1119" w:type="dxa"/>
            <w:noWrap/>
          </w:tcPr>
          <w:p w:rsidR="001D2E73" w:rsidRDefault="001D2E73">
            <w:pPr>
              <w:spacing w:before="40" w:after="40" w:line="220" w:lineRule="exact"/>
              <w:jc w:val="right"/>
              <w:rPr>
                <w:sz w:val="18"/>
                <w:szCs w:val="18"/>
              </w:rPr>
            </w:pPr>
            <w:r>
              <w:rPr>
                <w:sz w:val="18"/>
                <w:szCs w:val="18"/>
              </w:rPr>
              <w:t>26,3</w:t>
            </w:r>
          </w:p>
        </w:tc>
        <w:tc>
          <w:tcPr>
            <w:tcW w:w="1018" w:type="dxa"/>
            <w:noWrap/>
          </w:tcPr>
          <w:p w:rsidR="001D2E73" w:rsidRDefault="001D2E73">
            <w:pPr>
              <w:spacing w:before="40" w:after="40" w:line="220" w:lineRule="exact"/>
              <w:jc w:val="right"/>
              <w:rPr>
                <w:sz w:val="18"/>
                <w:szCs w:val="18"/>
              </w:rPr>
            </w:pPr>
            <w:r>
              <w:rPr>
                <w:sz w:val="18"/>
                <w:szCs w:val="18"/>
              </w:rPr>
              <w:t>31,1</w:t>
            </w:r>
          </w:p>
        </w:tc>
        <w:tc>
          <w:tcPr>
            <w:tcW w:w="1159"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21,7</w:t>
            </w:r>
          </w:p>
        </w:tc>
      </w:tr>
    </w:tbl>
    <w:p w:rsidR="001D2E73" w:rsidRDefault="001D2E73">
      <w:pPr>
        <w:tabs>
          <w:tab w:val="left" w:pos="1080"/>
          <w:tab w:val="left" w:pos="1260"/>
        </w:tabs>
        <w:spacing w:before="120"/>
        <w:ind w:left="1134" w:right="1134"/>
        <w:rPr>
          <w:sz w:val="18"/>
          <w:szCs w:val="18"/>
        </w:rPr>
      </w:pPr>
      <w:r>
        <w:rPr>
          <w:sz w:val="18"/>
          <w:szCs w:val="18"/>
        </w:rPr>
        <w:tab/>
      </w:r>
      <w:r>
        <w:rPr>
          <w:i/>
          <w:sz w:val="18"/>
          <w:szCs w:val="18"/>
          <w:vertAlign w:val="superscript"/>
        </w:rPr>
        <w:t>a</w:t>
      </w:r>
      <w:r>
        <w:rPr>
          <w:sz w:val="18"/>
          <w:szCs w:val="18"/>
        </w:rPr>
        <w:t xml:space="preserve">  Mortalidad de embarazadas, parturientas y paridas por complicaciones del embarazo, el parto y el puerperio.</w:t>
      </w:r>
    </w:p>
    <w:p w:rsidR="001D2E73" w:rsidRDefault="001D2E73">
      <w:pPr>
        <w:spacing w:before="240" w:after="120"/>
        <w:rPr>
          <w:sz w:val="16"/>
          <w:szCs w:val="16"/>
        </w:rPr>
      </w:pPr>
      <w:r>
        <w:tab/>
      </w:r>
      <w:r>
        <w:tab/>
        <w:t>Cuadro 23</w:t>
      </w:r>
      <w:r>
        <w:br/>
      </w:r>
      <w:r>
        <w:rPr>
          <w:b/>
        </w:rPr>
        <w:tab/>
      </w:r>
      <w:r>
        <w:rPr>
          <w:b/>
        </w:rPr>
        <w:tab/>
        <w:t xml:space="preserve">Índice de mortalidad infantil </w:t>
      </w:r>
      <w:r>
        <w:rPr>
          <w:b/>
        </w:rPr>
        <w:br/>
      </w:r>
      <w:r>
        <w:rPr>
          <w:sz w:val="16"/>
          <w:szCs w:val="16"/>
        </w:rPr>
        <w:tab/>
      </w:r>
      <w:r>
        <w:rPr>
          <w:sz w:val="16"/>
          <w:szCs w:val="16"/>
        </w:rPr>
        <w:tab/>
      </w:r>
      <w:r>
        <w:rPr>
          <w:iCs/>
          <w:sz w:val="16"/>
          <w:szCs w:val="16"/>
        </w:rPr>
        <w:t>(por 1000 nacidos vivos)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194"/>
        <w:gridCol w:w="696"/>
        <w:gridCol w:w="696"/>
        <w:gridCol w:w="696"/>
        <w:gridCol w:w="696"/>
        <w:gridCol w:w="696"/>
        <w:gridCol w:w="696"/>
      </w:tblGrid>
      <w:tr w:rsidR="001D2E73">
        <w:trPr>
          <w:trHeight w:val="315"/>
          <w:tblHeader/>
        </w:trPr>
        <w:tc>
          <w:tcPr>
            <w:tcW w:w="3194" w:type="dxa"/>
            <w:tcBorders>
              <w:top w:val="single" w:sz="4" w:space="0" w:color="auto"/>
              <w:bottom w:val="single" w:sz="12" w:space="0" w:color="auto"/>
            </w:tcBorders>
            <w:shd w:val="clear" w:color="auto" w:fill="auto"/>
            <w:noWrap/>
          </w:tcPr>
          <w:p w:rsidR="001D2E73" w:rsidRDefault="001D2E73">
            <w:pPr>
              <w:spacing w:before="80" w:after="80" w:line="200" w:lineRule="exact"/>
              <w:rPr>
                <w:i/>
                <w:sz w:val="16"/>
              </w:rPr>
            </w:pPr>
            <w:r>
              <w:rPr>
                <w:i/>
                <w:sz w:val="16"/>
              </w:rPr>
              <w:t> </w:t>
            </w:r>
          </w:p>
        </w:tc>
        <w:tc>
          <w:tcPr>
            <w:tcW w:w="696"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2003</w:t>
            </w:r>
          </w:p>
        </w:tc>
        <w:tc>
          <w:tcPr>
            <w:tcW w:w="696"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2004</w:t>
            </w:r>
          </w:p>
        </w:tc>
        <w:tc>
          <w:tcPr>
            <w:tcW w:w="696"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2005</w:t>
            </w:r>
          </w:p>
        </w:tc>
        <w:tc>
          <w:tcPr>
            <w:tcW w:w="696"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2006</w:t>
            </w:r>
          </w:p>
        </w:tc>
        <w:tc>
          <w:tcPr>
            <w:tcW w:w="696"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2007</w:t>
            </w:r>
          </w:p>
        </w:tc>
        <w:tc>
          <w:tcPr>
            <w:tcW w:w="696" w:type="dxa"/>
            <w:tcBorders>
              <w:top w:val="single" w:sz="4" w:space="0" w:color="auto"/>
              <w:left w:val="nil"/>
              <w:bottom w:val="single" w:sz="12" w:space="0" w:color="auto"/>
              <w:right w:val="nil"/>
              <w:tl2br w:val="nil"/>
              <w:tr2bl w:val="nil"/>
            </w:tcBorders>
            <w:shd w:val="clear" w:color="auto" w:fill="auto"/>
            <w:noWrap/>
          </w:tcPr>
          <w:p w:rsidR="001D2E73" w:rsidRDefault="001D2E73">
            <w:pPr>
              <w:spacing w:before="80" w:after="80" w:line="200" w:lineRule="exact"/>
              <w:jc w:val="right"/>
              <w:rPr>
                <w:i/>
                <w:sz w:val="16"/>
              </w:rPr>
            </w:pPr>
            <w:r>
              <w:rPr>
                <w:i/>
                <w:sz w:val="16"/>
              </w:rPr>
              <w:t>2008</w:t>
            </w:r>
          </w:p>
        </w:tc>
      </w:tr>
      <w:tr w:rsidR="001D2E73">
        <w:trPr>
          <w:trHeight w:val="20"/>
        </w:trPr>
        <w:tc>
          <w:tcPr>
            <w:tcW w:w="3194" w:type="dxa"/>
            <w:tcBorders>
              <w:top w:val="single" w:sz="12"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Total de fallecidos antes de cumplir el año</w:t>
            </w:r>
          </w:p>
        </w:tc>
        <w:tc>
          <w:tcPr>
            <w:tcW w:w="696" w:type="dxa"/>
            <w:tcBorders>
              <w:top w:val="single" w:sz="12"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15,5</w:t>
            </w:r>
          </w:p>
        </w:tc>
        <w:tc>
          <w:tcPr>
            <w:tcW w:w="696" w:type="dxa"/>
            <w:tcBorders>
              <w:top w:val="single" w:sz="12"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14,4</w:t>
            </w:r>
          </w:p>
        </w:tc>
        <w:tc>
          <w:tcPr>
            <w:tcW w:w="696" w:type="dxa"/>
            <w:tcBorders>
              <w:top w:val="single" w:sz="12"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12,7</w:t>
            </w:r>
          </w:p>
        </w:tc>
        <w:tc>
          <w:tcPr>
            <w:tcW w:w="696" w:type="dxa"/>
            <w:tcBorders>
              <w:top w:val="single" w:sz="12"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11,9</w:t>
            </w:r>
          </w:p>
        </w:tc>
        <w:tc>
          <w:tcPr>
            <w:tcW w:w="696" w:type="dxa"/>
            <w:tcBorders>
              <w:top w:val="single" w:sz="12"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12,1</w:t>
            </w:r>
          </w:p>
        </w:tc>
        <w:tc>
          <w:tcPr>
            <w:tcW w:w="696" w:type="dxa"/>
            <w:tcBorders>
              <w:top w:val="single" w:sz="12"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11,4</w:t>
            </w:r>
          </w:p>
        </w:tc>
      </w:tr>
      <w:tr w:rsidR="001D2E73">
        <w:trPr>
          <w:trHeight w:val="20"/>
        </w:trPr>
        <w:tc>
          <w:tcPr>
            <w:tcW w:w="3194" w:type="dxa"/>
            <w:tcBorders>
              <w:top w:val="single" w:sz="4" w:space="0" w:color="auto"/>
            </w:tcBorders>
            <w:noWrap/>
            <w:vAlign w:val="bottom"/>
          </w:tcPr>
          <w:p w:rsidR="001D2E73" w:rsidRDefault="001D2E73">
            <w:pPr>
              <w:spacing w:before="40" w:after="40" w:line="220" w:lineRule="exact"/>
              <w:rPr>
                <w:i/>
                <w:sz w:val="18"/>
                <w:szCs w:val="18"/>
              </w:rPr>
            </w:pPr>
            <w:r>
              <w:rPr>
                <w:i/>
                <w:sz w:val="18"/>
                <w:szCs w:val="18"/>
              </w:rPr>
              <w:t>De ellos:</w:t>
            </w: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194" w:type="dxa"/>
            <w:tcBorders>
              <w:bottom w:val="nil"/>
            </w:tcBorders>
            <w:noWrap/>
            <w:vAlign w:val="bottom"/>
          </w:tcPr>
          <w:p w:rsidR="001D2E73" w:rsidRDefault="001D2E73">
            <w:pPr>
              <w:spacing w:before="40" w:after="40" w:line="220" w:lineRule="exact"/>
              <w:rPr>
                <w:sz w:val="18"/>
                <w:szCs w:val="18"/>
              </w:rPr>
            </w:pPr>
            <w:r>
              <w:rPr>
                <w:sz w:val="18"/>
                <w:szCs w:val="18"/>
              </w:rPr>
              <w:t>Niños</w:t>
            </w:r>
          </w:p>
        </w:tc>
        <w:tc>
          <w:tcPr>
            <w:tcW w:w="696" w:type="dxa"/>
            <w:tcBorders>
              <w:bottom w:val="nil"/>
            </w:tcBorders>
            <w:noWrap/>
            <w:vAlign w:val="bottom"/>
          </w:tcPr>
          <w:p w:rsidR="001D2E73" w:rsidRDefault="001D2E73">
            <w:pPr>
              <w:spacing w:before="40" w:after="40" w:line="220" w:lineRule="exact"/>
              <w:jc w:val="right"/>
              <w:rPr>
                <w:sz w:val="18"/>
                <w:szCs w:val="18"/>
              </w:rPr>
            </w:pPr>
            <w:r>
              <w:rPr>
                <w:sz w:val="18"/>
                <w:szCs w:val="18"/>
              </w:rPr>
              <w:t>16,1</w:t>
            </w:r>
          </w:p>
        </w:tc>
        <w:tc>
          <w:tcPr>
            <w:tcW w:w="696" w:type="dxa"/>
            <w:tcBorders>
              <w:bottom w:val="nil"/>
            </w:tcBorders>
            <w:noWrap/>
            <w:vAlign w:val="bottom"/>
          </w:tcPr>
          <w:p w:rsidR="001D2E73" w:rsidRDefault="001D2E73">
            <w:pPr>
              <w:spacing w:before="40" w:after="40" w:line="220" w:lineRule="exact"/>
              <w:jc w:val="right"/>
              <w:rPr>
                <w:sz w:val="18"/>
                <w:szCs w:val="18"/>
              </w:rPr>
            </w:pPr>
            <w:r>
              <w:rPr>
                <w:sz w:val="18"/>
                <w:szCs w:val="18"/>
              </w:rPr>
              <w:t>15,4</w:t>
            </w:r>
          </w:p>
        </w:tc>
        <w:tc>
          <w:tcPr>
            <w:tcW w:w="696" w:type="dxa"/>
            <w:tcBorders>
              <w:bottom w:val="nil"/>
            </w:tcBorders>
            <w:noWrap/>
            <w:vAlign w:val="bottom"/>
          </w:tcPr>
          <w:p w:rsidR="001D2E73" w:rsidRDefault="001D2E73">
            <w:pPr>
              <w:spacing w:before="40" w:after="40" w:line="220" w:lineRule="exact"/>
              <w:jc w:val="right"/>
              <w:rPr>
                <w:sz w:val="18"/>
                <w:szCs w:val="18"/>
              </w:rPr>
            </w:pPr>
            <w:r>
              <w:rPr>
                <w:sz w:val="18"/>
                <w:szCs w:val="18"/>
              </w:rPr>
              <w:t>13,6</w:t>
            </w:r>
          </w:p>
        </w:tc>
        <w:tc>
          <w:tcPr>
            <w:tcW w:w="696" w:type="dxa"/>
            <w:tcBorders>
              <w:bottom w:val="nil"/>
            </w:tcBorders>
            <w:noWrap/>
            <w:vAlign w:val="bottom"/>
          </w:tcPr>
          <w:p w:rsidR="001D2E73" w:rsidRDefault="001D2E73">
            <w:pPr>
              <w:spacing w:before="40" w:after="40" w:line="220" w:lineRule="exact"/>
              <w:jc w:val="right"/>
              <w:rPr>
                <w:sz w:val="18"/>
                <w:szCs w:val="18"/>
              </w:rPr>
            </w:pPr>
            <w:r>
              <w:rPr>
                <w:sz w:val="18"/>
                <w:szCs w:val="18"/>
              </w:rPr>
              <w:t>12,6</w:t>
            </w:r>
          </w:p>
        </w:tc>
        <w:tc>
          <w:tcPr>
            <w:tcW w:w="696" w:type="dxa"/>
            <w:tcBorders>
              <w:bottom w:val="nil"/>
            </w:tcBorders>
            <w:noWrap/>
            <w:vAlign w:val="bottom"/>
          </w:tcPr>
          <w:p w:rsidR="001D2E73" w:rsidRDefault="001D2E73">
            <w:pPr>
              <w:spacing w:before="40" w:after="40" w:line="220" w:lineRule="exact"/>
              <w:jc w:val="right"/>
              <w:rPr>
                <w:sz w:val="18"/>
                <w:szCs w:val="18"/>
              </w:rPr>
            </w:pPr>
            <w:r>
              <w:rPr>
                <w:sz w:val="18"/>
                <w:szCs w:val="18"/>
              </w:rPr>
              <w:t>12,6</w:t>
            </w:r>
          </w:p>
        </w:tc>
        <w:tc>
          <w:tcPr>
            <w:tcW w:w="69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11,6</w:t>
            </w:r>
          </w:p>
        </w:tc>
      </w:tr>
      <w:tr w:rsidR="001D2E73">
        <w:trPr>
          <w:trHeight w:val="20"/>
        </w:trPr>
        <w:tc>
          <w:tcPr>
            <w:tcW w:w="3194" w:type="dxa"/>
            <w:tcBorders>
              <w:top w:val="nil"/>
              <w:bottom w:val="nil"/>
            </w:tcBorders>
            <w:noWrap/>
            <w:vAlign w:val="bottom"/>
          </w:tcPr>
          <w:p w:rsidR="001D2E73" w:rsidRDefault="001D2E73">
            <w:pPr>
              <w:spacing w:before="40" w:after="40" w:line="220" w:lineRule="exact"/>
              <w:rPr>
                <w:sz w:val="18"/>
                <w:szCs w:val="18"/>
              </w:rPr>
            </w:pPr>
            <w:r>
              <w:rPr>
                <w:sz w:val="18"/>
                <w:szCs w:val="18"/>
              </w:rPr>
              <w:t>Niñas</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14,7</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13,3</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11,6</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11,1</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11,5</w:t>
            </w:r>
          </w:p>
        </w:tc>
        <w:tc>
          <w:tcPr>
            <w:tcW w:w="69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11,2</w:t>
            </w:r>
          </w:p>
        </w:tc>
      </w:tr>
      <w:tr w:rsidR="001D2E73">
        <w:trPr>
          <w:trHeight w:val="20"/>
        </w:trPr>
        <w:tc>
          <w:tcPr>
            <w:tcW w:w="3194" w:type="dxa"/>
            <w:tcBorders>
              <w:top w:val="nil"/>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Población urbana </w:t>
            </w:r>
          </w:p>
        </w:tc>
        <w:tc>
          <w:tcPr>
            <w:tcW w:w="696"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194"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Total</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14,1</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14,6</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13,5</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13,8</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14,7</w:t>
            </w:r>
          </w:p>
        </w:tc>
        <w:tc>
          <w:tcPr>
            <w:tcW w:w="696"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14,2</w:t>
            </w:r>
          </w:p>
        </w:tc>
      </w:tr>
      <w:tr w:rsidR="001D2E73">
        <w:trPr>
          <w:trHeight w:val="20"/>
        </w:trPr>
        <w:tc>
          <w:tcPr>
            <w:tcW w:w="3194" w:type="dxa"/>
            <w:tcBorders>
              <w:top w:val="single" w:sz="4" w:space="0" w:color="auto"/>
              <w:bottom w:val="nil"/>
            </w:tcBorders>
            <w:noWrap/>
            <w:vAlign w:val="bottom"/>
          </w:tcPr>
          <w:p w:rsidR="001D2E73" w:rsidRDefault="001D2E73">
            <w:pPr>
              <w:spacing w:before="40" w:after="40" w:line="220" w:lineRule="exact"/>
              <w:rPr>
                <w:i/>
                <w:sz w:val="18"/>
                <w:szCs w:val="18"/>
              </w:rPr>
            </w:pPr>
            <w:r>
              <w:rPr>
                <w:i/>
                <w:sz w:val="18"/>
                <w:szCs w:val="18"/>
              </w:rPr>
              <w:t>De ellos:</w:t>
            </w:r>
          </w:p>
        </w:tc>
        <w:tc>
          <w:tcPr>
            <w:tcW w:w="696"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194" w:type="dxa"/>
            <w:tcBorders>
              <w:top w:val="nil"/>
              <w:bottom w:val="nil"/>
            </w:tcBorders>
            <w:noWrap/>
            <w:vAlign w:val="bottom"/>
          </w:tcPr>
          <w:p w:rsidR="001D2E73" w:rsidRDefault="001D2E73">
            <w:pPr>
              <w:spacing w:before="40" w:after="40" w:line="220" w:lineRule="exact"/>
              <w:rPr>
                <w:sz w:val="18"/>
                <w:szCs w:val="18"/>
              </w:rPr>
            </w:pPr>
            <w:r>
              <w:rPr>
                <w:sz w:val="18"/>
                <w:szCs w:val="18"/>
              </w:rPr>
              <w:t>Niños</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15,3</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16,7</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15,4</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15,3</w:t>
            </w:r>
          </w:p>
        </w:tc>
        <w:tc>
          <w:tcPr>
            <w:tcW w:w="69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16,4</w:t>
            </w:r>
          </w:p>
        </w:tc>
        <w:tc>
          <w:tcPr>
            <w:tcW w:w="696" w:type="dxa"/>
            <w:tcBorders>
              <w:top w:val="nil"/>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15,6</w:t>
            </w:r>
          </w:p>
        </w:tc>
      </w:tr>
      <w:tr w:rsidR="001D2E73">
        <w:trPr>
          <w:trHeight w:val="20"/>
        </w:trPr>
        <w:tc>
          <w:tcPr>
            <w:tcW w:w="3194" w:type="dxa"/>
            <w:tcBorders>
              <w:top w:val="nil"/>
            </w:tcBorders>
            <w:noWrap/>
            <w:vAlign w:val="bottom"/>
          </w:tcPr>
          <w:p w:rsidR="001D2E73" w:rsidRDefault="001D2E73">
            <w:pPr>
              <w:spacing w:before="40" w:after="40" w:line="220" w:lineRule="exact"/>
              <w:rPr>
                <w:sz w:val="18"/>
                <w:szCs w:val="18"/>
              </w:rPr>
            </w:pPr>
            <w:r>
              <w:rPr>
                <w:sz w:val="18"/>
                <w:szCs w:val="18"/>
              </w:rPr>
              <w:t>Niñas</w:t>
            </w:r>
          </w:p>
        </w:tc>
        <w:tc>
          <w:tcPr>
            <w:tcW w:w="696" w:type="dxa"/>
            <w:tcBorders>
              <w:top w:val="nil"/>
            </w:tcBorders>
            <w:noWrap/>
            <w:vAlign w:val="bottom"/>
          </w:tcPr>
          <w:p w:rsidR="001D2E73" w:rsidRDefault="001D2E73">
            <w:pPr>
              <w:spacing w:before="40" w:after="40" w:line="220" w:lineRule="exact"/>
              <w:jc w:val="right"/>
              <w:rPr>
                <w:sz w:val="18"/>
                <w:szCs w:val="18"/>
              </w:rPr>
            </w:pPr>
            <w:r>
              <w:rPr>
                <w:sz w:val="18"/>
                <w:szCs w:val="18"/>
              </w:rPr>
              <w:t>12,7</w:t>
            </w:r>
          </w:p>
        </w:tc>
        <w:tc>
          <w:tcPr>
            <w:tcW w:w="696" w:type="dxa"/>
            <w:tcBorders>
              <w:top w:val="nil"/>
            </w:tcBorders>
            <w:noWrap/>
            <w:vAlign w:val="bottom"/>
          </w:tcPr>
          <w:p w:rsidR="001D2E73" w:rsidRDefault="001D2E73">
            <w:pPr>
              <w:spacing w:before="40" w:after="40" w:line="220" w:lineRule="exact"/>
              <w:jc w:val="right"/>
              <w:rPr>
                <w:sz w:val="18"/>
                <w:szCs w:val="18"/>
              </w:rPr>
            </w:pPr>
            <w:r>
              <w:rPr>
                <w:sz w:val="18"/>
                <w:szCs w:val="18"/>
              </w:rPr>
              <w:t>12,1</w:t>
            </w:r>
          </w:p>
        </w:tc>
        <w:tc>
          <w:tcPr>
            <w:tcW w:w="696" w:type="dxa"/>
            <w:tcBorders>
              <w:top w:val="nil"/>
            </w:tcBorders>
            <w:noWrap/>
            <w:vAlign w:val="bottom"/>
          </w:tcPr>
          <w:p w:rsidR="001D2E73" w:rsidRDefault="001D2E73">
            <w:pPr>
              <w:spacing w:before="40" w:after="40" w:line="220" w:lineRule="exact"/>
              <w:jc w:val="right"/>
              <w:rPr>
                <w:sz w:val="18"/>
                <w:szCs w:val="18"/>
              </w:rPr>
            </w:pPr>
            <w:r>
              <w:rPr>
                <w:sz w:val="18"/>
                <w:szCs w:val="18"/>
              </w:rPr>
              <w:t>11,3</w:t>
            </w:r>
          </w:p>
        </w:tc>
        <w:tc>
          <w:tcPr>
            <w:tcW w:w="696" w:type="dxa"/>
            <w:tcBorders>
              <w:top w:val="nil"/>
            </w:tcBorders>
            <w:noWrap/>
            <w:vAlign w:val="bottom"/>
          </w:tcPr>
          <w:p w:rsidR="001D2E73" w:rsidRDefault="001D2E73">
            <w:pPr>
              <w:spacing w:before="40" w:after="40" w:line="220" w:lineRule="exact"/>
              <w:jc w:val="right"/>
              <w:rPr>
                <w:sz w:val="18"/>
                <w:szCs w:val="18"/>
              </w:rPr>
            </w:pPr>
            <w:r>
              <w:rPr>
                <w:sz w:val="18"/>
                <w:szCs w:val="18"/>
              </w:rPr>
              <w:t>12,0</w:t>
            </w:r>
          </w:p>
        </w:tc>
        <w:tc>
          <w:tcPr>
            <w:tcW w:w="696" w:type="dxa"/>
            <w:tcBorders>
              <w:top w:val="nil"/>
            </w:tcBorders>
            <w:noWrap/>
            <w:vAlign w:val="bottom"/>
          </w:tcPr>
          <w:p w:rsidR="001D2E73" w:rsidRDefault="001D2E73">
            <w:pPr>
              <w:spacing w:before="40" w:after="40" w:line="220" w:lineRule="exact"/>
              <w:jc w:val="right"/>
              <w:rPr>
                <w:sz w:val="18"/>
                <w:szCs w:val="18"/>
              </w:rPr>
            </w:pPr>
            <w:r>
              <w:rPr>
                <w:sz w:val="18"/>
                <w:szCs w:val="18"/>
              </w:rPr>
              <w:t>12,9</w:t>
            </w:r>
          </w:p>
        </w:tc>
        <w:tc>
          <w:tcPr>
            <w:tcW w:w="696" w:type="dxa"/>
            <w:tcBorders>
              <w:top w:val="nil"/>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12,5</w:t>
            </w:r>
          </w:p>
        </w:tc>
      </w:tr>
      <w:tr w:rsidR="001D2E73">
        <w:trPr>
          <w:trHeight w:val="20"/>
        </w:trPr>
        <w:tc>
          <w:tcPr>
            <w:tcW w:w="3194"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Población rural</w:t>
            </w:r>
          </w:p>
        </w:tc>
        <w:tc>
          <w:tcPr>
            <w:tcW w:w="69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bottom w:val="single" w:sz="4" w:space="0" w:color="auto"/>
            </w:tcBorders>
            <w:noWrap/>
            <w:vAlign w:val="bottom"/>
          </w:tcPr>
          <w:p w:rsidR="001D2E73" w:rsidRDefault="001D2E73">
            <w:pPr>
              <w:spacing w:before="40" w:after="40" w:line="220" w:lineRule="exact"/>
              <w:jc w:val="right"/>
              <w:rPr>
                <w:sz w:val="18"/>
                <w:szCs w:val="18"/>
              </w:rPr>
            </w:pPr>
          </w:p>
        </w:tc>
        <w:tc>
          <w:tcPr>
            <w:tcW w:w="696"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194"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Total</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16,5</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14,3</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12,0</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10,3</w:t>
            </w:r>
          </w:p>
        </w:tc>
        <w:tc>
          <w:tcPr>
            <w:tcW w:w="696"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9,7</w:t>
            </w:r>
          </w:p>
        </w:tc>
        <w:tc>
          <w:tcPr>
            <w:tcW w:w="696"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8,8</w:t>
            </w:r>
          </w:p>
        </w:tc>
      </w:tr>
      <w:tr w:rsidR="001D2E73">
        <w:trPr>
          <w:trHeight w:val="20"/>
        </w:trPr>
        <w:tc>
          <w:tcPr>
            <w:tcW w:w="3194" w:type="dxa"/>
            <w:tcBorders>
              <w:top w:val="single" w:sz="4" w:space="0" w:color="auto"/>
            </w:tcBorders>
            <w:noWrap/>
            <w:vAlign w:val="bottom"/>
          </w:tcPr>
          <w:p w:rsidR="001D2E73" w:rsidRDefault="001D2E73">
            <w:pPr>
              <w:spacing w:before="40" w:after="40" w:line="220" w:lineRule="exact"/>
              <w:rPr>
                <w:i/>
                <w:sz w:val="18"/>
                <w:szCs w:val="18"/>
              </w:rPr>
            </w:pPr>
            <w:r>
              <w:rPr>
                <w:i/>
                <w:sz w:val="18"/>
                <w:szCs w:val="18"/>
              </w:rPr>
              <w:t>De ellos:</w:t>
            </w: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tcBorders>
            <w:noWrap/>
            <w:vAlign w:val="bottom"/>
          </w:tcPr>
          <w:p w:rsidR="001D2E73" w:rsidRDefault="001D2E73">
            <w:pPr>
              <w:spacing w:before="40" w:after="40" w:line="220" w:lineRule="exact"/>
              <w:jc w:val="right"/>
              <w:rPr>
                <w:sz w:val="18"/>
                <w:szCs w:val="18"/>
              </w:rPr>
            </w:pPr>
          </w:p>
        </w:tc>
        <w:tc>
          <w:tcPr>
            <w:tcW w:w="696"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194" w:type="dxa"/>
            <w:noWrap/>
            <w:vAlign w:val="bottom"/>
          </w:tcPr>
          <w:p w:rsidR="001D2E73" w:rsidRDefault="001D2E73">
            <w:pPr>
              <w:spacing w:before="40" w:after="40" w:line="220" w:lineRule="exact"/>
              <w:rPr>
                <w:sz w:val="18"/>
                <w:szCs w:val="18"/>
              </w:rPr>
            </w:pPr>
            <w:r>
              <w:rPr>
                <w:sz w:val="18"/>
                <w:szCs w:val="18"/>
              </w:rPr>
              <w:t>Niños</w:t>
            </w:r>
          </w:p>
        </w:tc>
        <w:tc>
          <w:tcPr>
            <w:tcW w:w="696" w:type="dxa"/>
            <w:noWrap/>
            <w:vAlign w:val="bottom"/>
          </w:tcPr>
          <w:p w:rsidR="001D2E73" w:rsidRDefault="001D2E73">
            <w:pPr>
              <w:spacing w:before="40" w:after="40" w:line="220" w:lineRule="exact"/>
              <w:jc w:val="right"/>
              <w:rPr>
                <w:sz w:val="18"/>
                <w:szCs w:val="18"/>
              </w:rPr>
            </w:pPr>
            <w:r>
              <w:rPr>
                <w:sz w:val="18"/>
                <w:szCs w:val="18"/>
              </w:rPr>
              <w:t>16,6</w:t>
            </w:r>
          </w:p>
        </w:tc>
        <w:tc>
          <w:tcPr>
            <w:tcW w:w="696" w:type="dxa"/>
            <w:noWrap/>
            <w:vAlign w:val="bottom"/>
          </w:tcPr>
          <w:p w:rsidR="001D2E73" w:rsidRDefault="001D2E73">
            <w:pPr>
              <w:spacing w:before="40" w:after="40" w:line="220" w:lineRule="exact"/>
              <w:jc w:val="right"/>
              <w:rPr>
                <w:sz w:val="18"/>
                <w:szCs w:val="18"/>
              </w:rPr>
            </w:pPr>
            <w:r>
              <w:rPr>
                <w:sz w:val="18"/>
                <w:szCs w:val="18"/>
              </w:rPr>
              <w:t>14,4</w:t>
            </w:r>
          </w:p>
        </w:tc>
        <w:tc>
          <w:tcPr>
            <w:tcW w:w="696" w:type="dxa"/>
            <w:noWrap/>
            <w:vAlign w:val="bottom"/>
          </w:tcPr>
          <w:p w:rsidR="001D2E73" w:rsidRDefault="001D2E73">
            <w:pPr>
              <w:spacing w:before="40" w:after="40" w:line="220" w:lineRule="exact"/>
              <w:jc w:val="right"/>
              <w:rPr>
                <w:sz w:val="18"/>
                <w:szCs w:val="18"/>
              </w:rPr>
            </w:pPr>
            <w:r>
              <w:rPr>
                <w:sz w:val="18"/>
                <w:szCs w:val="18"/>
              </w:rPr>
              <w:t>12,1</w:t>
            </w:r>
          </w:p>
        </w:tc>
        <w:tc>
          <w:tcPr>
            <w:tcW w:w="696" w:type="dxa"/>
            <w:noWrap/>
            <w:vAlign w:val="bottom"/>
          </w:tcPr>
          <w:p w:rsidR="001D2E73" w:rsidRDefault="001D2E73">
            <w:pPr>
              <w:spacing w:before="40" w:after="40" w:line="220" w:lineRule="exact"/>
              <w:jc w:val="right"/>
              <w:rPr>
                <w:sz w:val="18"/>
                <w:szCs w:val="18"/>
              </w:rPr>
            </w:pPr>
            <w:r>
              <w:rPr>
                <w:sz w:val="18"/>
                <w:szCs w:val="18"/>
              </w:rPr>
              <w:t>10,2</w:t>
            </w:r>
          </w:p>
        </w:tc>
        <w:tc>
          <w:tcPr>
            <w:tcW w:w="696" w:type="dxa"/>
            <w:noWrap/>
            <w:vAlign w:val="bottom"/>
          </w:tcPr>
          <w:p w:rsidR="001D2E73" w:rsidRDefault="001D2E73">
            <w:pPr>
              <w:spacing w:before="40" w:after="40" w:line="220" w:lineRule="exact"/>
              <w:jc w:val="right"/>
              <w:rPr>
                <w:sz w:val="18"/>
                <w:szCs w:val="18"/>
              </w:rPr>
            </w:pPr>
            <w:r>
              <w:rPr>
                <w:sz w:val="18"/>
                <w:szCs w:val="18"/>
              </w:rPr>
              <w:t>9,1</w:t>
            </w:r>
          </w:p>
        </w:tc>
        <w:tc>
          <w:tcPr>
            <w:tcW w:w="696"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7,8</w:t>
            </w:r>
          </w:p>
        </w:tc>
      </w:tr>
      <w:tr w:rsidR="001D2E73">
        <w:trPr>
          <w:trHeight w:val="20"/>
        </w:trPr>
        <w:tc>
          <w:tcPr>
            <w:tcW w:w="3194" w:type="dxa"/>
            <w:noWrap/>
            <w:vAlign w:val="bottom"/>
          </w:tcPr>
          <w:p w:rsidR="001D2E73" w:rsidRDefault="001D2E73">
            <w:pPr>
              <w:spacing w:before="40" w:after="40" w:line="220" w:lineRule="exact"/>
              <w:rPr>
                <w:sz w:val="18"/>
                <w:szCs w:val="18"/>
              </w:rPr>
            </w:pPr>
            <w:r>
              <w:rPr>
                <w:sz w:val="18"/>
                <w:szCs w:val="18"/>
              </w:rPr>
              <w:t>Niñas</w:t>
            </w:r>
          </w:p>
        </w:tc>
        <w:tc>
          <w:tcPr>
            <w:tcW w:w="696" w:type="dxa"/>
            <w:noWrap/>
            <w:vAlign w:val="bottom"/>
          </w:tcPr>
          <w:p w:rsidR="001D2E73" w:rsidRDefault="001D2E73">
            <w:pPr>
              <w:spacing w:before="40" w:after="40" w:line="220" w:lineRule="exact"/>
              <w:jc w:val="right"/>
              <w:rPr>
                <w:sz w:val="18"/>
                <w:szCs w:val="18"/>
              </w:rPr>
            </w:pPr>
            <w:r>
              <w:rPr>
                <w:sz w:val="18"/>
                <w:szCs w:val="18"/>
              </w:rPr>
              <w:t>16,4</w:t>
            </w:r>
          </w:p>
        </w:tc>
        <w:tc>
          <w:tcPr>
            <w:tcW w:w="696" w:type="dxa"/>
            <w:noWrap/>
            <w:vAlign w:val="bottom"/>
          </w:tcPr>
          <w:p w:rsidR="001D2E73" w:rsidRDefault="001D2E73">
            <w:pPr>
              <w:spacing w:before="40" w:after="40" w:line="220" w:lineRule="exact"/>
              <w:jc w:val="right"/>
              <w:rPr>
                <w:sz w:val="18"/>
                <w:szCs w:val="18"/>
              </w:rPr>
            </w:pPr>
            <w:r>
              <w:rPr>
                <w:sz w:val="18"/>
                <w:szCs w:val="18"/>
              </w:rPr>
              <w:t>14,2</w:t>
            </w:r>
          </w:p>
        </w:tc>
        <w:tc>
          <w:tcPr>
            <w:tcW w:w="696" w:type="dxa"/>
            <w:noWrap/>
            <w:vAlign w:val="bottom"/>
          </w:tcPr>
          <w:p w:rsidR="001D2E73" w:rsidRDefault="001D2E73">
            <w:pPr>
              <w:spacing w:before="40" w:after="40" w:line="220" w:lineRule="exact"/>
              <w:jc w:val="right"/>
              <w:rPr>
                <w:sz w:val="18"/>
                <w:szCs w:val="18"/>
              </w:rPr>
            </w:pPr>
            <w:r>
              <w:rPr>
                <w:sz w:val="18"/>
                <w:szCs w:val="18"/>
              </w:rPr>
              <w:t>11,9</w:t>
            </w:r>
          </w:p>
        </w:tc>
        <w:tc>
          <w:tcPr>
            <w:tcW w:w="696" w:type="dxa"/>
            <w:noWrap/>
            <w:vAlign w:val="bottom"/>
          </w:tcPr>
          <w:p w:rsidR="001D2E73" w:rsidRDefault="001D2E73">
            <w:pPr>
              <w:spacing w:before="40" w:after="40" w:line="220" w:lineRule="exact"/>
              <w:jc w:val="right"/>
              <w:rPr>
                <w:sz w:val="18"/>
                <w:szCs w:val="18"/>
              </w:rPr>
            </w:pPr>
            <w:r>
              <w:rPr>
                <w:sz w:val="18"/>
                <w:szCs w:val="18"/>
              </w:rPr>
              <w:t>10,4</w:t>
            </w:r>
          </w:p>
        </w:tc>
        <w:tc>
          <w:tcPr>
            <w:tcW w:w="696" w:type="dxa"/>
            <w:noWrap/>
            <w:vAlign w:val="bottom"/>
          </w:tcPr>
          <w:p w:rsidR="001D2E73" w:rsidRDefault="001D2E73">
            <w:pPr>
              <w:spacing w:before="40" w:after="40" w:line="220" w:lineRule="exact"/>
              <w:jc w:val="right"/>
              <w:rPr>
                <w:sz w:val="18"/>
                <w:szCs w:val="18"/>
              </w:rPr>
            </w:pPr>
            <w:r>
              <w:rPr>
                <w:sz w:val="18"/>
                <w:szCs w:val="18"/>
              </w:rPr>
              <w:t>10,3</w:t>
            </w:r>
          </w:p>
        </w:tc>
        <w:tc>
          <w:tcPr>
            <w:tcW w:w="696" w:type="dxa"/>
            <w:tcBorders>
              <w:left w:val="nil"/>
              <w:bottom w:val="single" w:sz="12"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10,1</w:t>
            </w:r>
          </w:p>
        </w:tc>
      </w:tr>
    </w:tbl>
    <w:p w:rsidR="001D2E73" w:rsidRDefault="001D2E73">
      <w:pPr>
        <w:pStyle w:val="SingleTxtGR"/>
        <w:spacing w:before="240"/>
        <w:rPr>
          <w:spacing w:val="0"/>
          <w:lang w:val="es-ES"/>
        </w:rPr>
      </w:pPr>
      <w:r>
        <w:rPr>
          <w:spacing w:val="0"/>
          <w:lang w:val="es-ES"/>
        </w:rPr>
        <w:t>477.</w:t>
      </w:r>
      <w:r>
        <w:rPr>
          <w:spacing w:val="0"/>
          <w:lang w:val="es-ES"/>
        </w:rPr>
        <w:tab/>
        <w:t xml:space="preserve">La lucha contra el tráfico ilícito de estupefacientes se lleva a cabo conforme a lo estipulado en los instrumentos normativos, entre los cuales cabe señalar la Ley sobre el tráfico de estupefacientes, sustancias psicotrópicas y sus precursores, de 28 de junio de 2005, la Ley de ratificación de la lista de estupefacientes y sustancias psicotrópicas, así como sus precursores, cuya importación, exportación y tránsito está prohibido, limitado y controlado en territorio de Azerbaiyán y para cuya producción en el territorio es obligatoria la licencia (permiso especial), de </w:t>
      </w:r>
      <w:r>
        <w:rPr>
          <w:bCs/>
          <w:iCs/>
          <w:spacing w:val="0"/>
          <w:lang w:val="es-ES"/>
        </w:rPr>
        <w:t>28 de junio de 2005, la Ley de ratificación de la cantidad de estupefacientes y sustancias psicotrópicas</w:t>
      </w:r>
      <w:r>
        <w:rPr>
          <w:spacing w:val="0"/>
          <w:lang w:val="es-ES"/>
        </w:rPr>
        <w:t xml:space="preserve"> de la lista, así como de la cantidad excesiva, que hace que una persona incurra en responsabilidad penal, de 28 de junio de 2005, la Ley sobre la lista de objetos que pueden poseer determinados comerciantes, cuya presencia en la circulación de mercancías requiere un permiso especial (cuya venta al público está limitada), de </w:t>
      </w:r>
      <w:r>
        <w:rPr>
          <w:bCs/>
          <w:iCs/>
          <w:spacing w:val="0"/>
          <w:lang w:val="es-ES"/>
        </w:rPr>
        <w:t xml:space="preserve">23 de diciembre de 2003, la Ley de </w:t>
      </w:r>
      <w:r>
        <w:rPr>
          <w:spacing w:val="0"/>
          <w:lang w:val="es-ES"/>
        </w:rPr>
        <w:t>servicio y control narcológico, aprobada el 23 de diciembre de 2003, y los decretos presidenciales sobre la aprobación del Programa de lucha contra el tráfico ilícito de estupefacientes, sustancias psicotrópicas y sus precursores y contra la propagación de la drogadicción (para 2007-2012) de 28 de junio de 2007 y de las medidas contra la drogadicción y la distribución ilícita de estupefacientes de 26 de agosto de 1996.</w:t>
      </w:r>
    </w:p>
    <w:p w:rsidR="001D2E73" w:rsidRDefault="001D2E73">
      <w:pPr>
        <w:pStyle w:val="SingleTxtGR"/>
        <w:rPr>
          <w:spacing w:val="0"/>
          <w:lang w:val="es-ES"/>
        </w:rPr>
      </w:pPr>
      <w:r>
        <w:rPr>
          <w:spacing w:val="0"/>
          <w:lang w:val="es-ES"/>
        </w:rPr>
        <w:t>478.</w:t>
      </w:r>
      <w:r>
        <w:rPr>
          <w:spacing w:val="0"/>
          <w:lang w:val="es-ES"/>
        </w:rPr>
        <w:tab/>
        <w:t xml:space="preserve">Además, es conveniente señalar que en 2005 se registraron 2.114 delitos relacionados con el tráfico ilícito de estupefacientes, de los cuales 742 estuvieron relacionados con la venta, en 2006 las cifras correspondientes fueron 2.266 y 774, en 2007 fueron 2396 y 881 y en 2008 ascendieron a 2.786 y 1.099 delitos respectivamente. </w:t>
      </w:r>
    </w:p>
    <w:p w:rsidR="001D2E73" w:rsidRDefault="001D2E73">
      <w:pPr>
        <w:pStyle w:val="SingleTxtGR"/>
        <w:rPr>
          <w:spacing w:val="0"/>
          <w:lang w:val="es-ES"/>
        </w:rPr>
      </w:pPr>
      <w:r>
        <w:rPr>
          <w:spacing w:val="0"/>
          <w:lang w:val="es-ES"/>
        </w:rPr>
        <w:t>479.</w:t>
      </w:r>
      <w:r>
        <w:rPr>
          <w:spacing w:val="0"/>
          <w:lang w:val="es-ES"/>
        </w:rPr>
        <w:tab/>
        <w:t xml:space="preserve">De los delitos cometidos quedaron al descubierto: </w:t>
      </w:r>
    </w:p>
    <w:p w:rsidR="001D2E73" w:rsidRDefault="001D2E73">
      <w:pPr>
        <w:pStyle w:val="Bullet1G"/>
        <w:rPr>
          <w:lang w:val="es-ES"/>
        </w:rPr>
      </w:pPr>
      <w:r>
        <w:rPr>
          <w:lang w:val="es-ES"/>
        </w:rPr>
        <w:t>En 2005: 2.036 (96,3%), de esa cifra se relacionaban con la venta 669 (90,2%)</w:t>
      </w:r>
    </w:p>
    <w:p w:rsidR="001D2E73" w:rsidRDefault="001D2E73">
      <w:pPr>
        <w:pStyle w:val="Bullet1G"/>
        <w:rPr>
          <w:lang w:val="es-ES"/>
        </w:rPr>
      </w:pPr>
      <w:r>
        <w:rPr>
          <w:lang w:val="es-ES"/>
        </w:rPr>
        <w:t>En 2006: 1.929 (85,1%), de esa cifra se relacionaban con la venta 577 (74,5%)</w:t>
      </w:r>
    </w:p>
    <w:p w:rsidR="001D2E73" w:rsidRDefault="001D2E73">
      <w:pPr>
        <w:pStyle w:val="Bullet1G"/>
        <w:rPr>
          <w:lang w:val="es-ES"/>
        </w:rPr>
      </w:pPr>
      <w:r>
        <w:rPr>
          <w:lang w:val="es-ES"/>
        </w:rPr>
        <w:t xml:space="preserve">En 2007: 2.279 (94,2%), de esa cifra se relacionaban con la venta 747 (84.9%) </w:t>
      </w:r>
    </w:p>
    <w:p w:rsidR="001D2E73" w:rsidRDefault="001D2E73">
      <w:pPr>
        <w:pStyle w:val="Bullet1G"/>
        <w:rPr>
          <w:lang w:val="es-ES"/>
        </w:rPr>
      </w:pPr>
      <w:r>
        <w:rPr>
          <w:lang w:val="es-ES"/>
        </w:rPr>
        <w:t xml:space="preserve">En 2008: 2.495 (91,4%), de esa cifra se relacionaban con la venta 857 (79,0%). </w:t>
      </w:r>
    </w:p>
    <w:p w:rsidR="001D2E73" w:rsidRDefault="001D2E73">
      <w:pPr>
        <w:pStyle w:val="SingleTxtGR"/>
        <w:rPr>
          <w:spacing w:val="0"/>
          <w:lang w:val="es-ES"/>
        </w:rPr>
      </w:pPr>
      <w:r>
        <w:rPr>
          <w:spacing w:val="0"/>
          <w:lang w:val="es-ES"/>
        </w:rPr>
        <w:t>480.</w:t>
      </w:r>
      <w:r>
        <w:rPr>
          <w:spacing w:val="0"/>
          <w:lang w:val="es-ES"/>
        </w:rPr>
        <w:tab/>
        <w:t xml:space="preserve">En 2008 se confiscaron 1.126.262,99 gramos de distintos tipos de estupefacientes, de ellos 213.725.733 gramos de marihuana, 723.372.891 gramos de hachís, 70.415.118 gramos de heroína, 116.009.237 gramos de opio, 565.400 kg de </w:t>
      </w:r>
      <w:r>
        <w:rPr>
          <w:i/>
          <w:spacing w:val="0"/>
          <w:lang w:val="es-ES"/>
        </w:rPr>
        <w:t>charos</w:t>
      </w:r>
      <w:r>
        <w:rPr>
          <w:spacing w:val="0"/>
          <w:lang w:val="es-ES"/>
        </w:rPr>
        <w:t>, así como 29.894 kg de otros opiáceos.</w:t>
      </w:r>
    </w:p>
    <w:p w:rsidR="001D2E73" w:rsidRDefault="001D2E73">
      <w:pPr>
        <w:pStyle w:val="SingleTxtGR"/>
        <w:rPr>
          <w:spacing w:val="0"/>
          <w:lang w:val="es-ES"/>
        </w:rPr>
      </w:pPr>
      <w:r>
        <w:rPr>
          <w:spacing w:val="0"/>
          <w:lang w:val="es-ES"/>
        </w:rPr>
        <w:t>481.</w:t>
      </w:r>
      <w:r>
        <w:rPr>
          <w:spacing w:val="0"/>
          <w:lang w:val="es-ES"/>
        </w:rPr>
        <w:tab/>
        <w:t>En 2008 cometieron delitos relacionados con el tráfico ilícito de estupefacientes 2.308 personas, de ellas 2.247 hombres y 61 mujeres y de ese total 68 extranjeros.</w:t>
      </w:r>
    </w:p>
    <w:p w:rsidR="001D2E73" w:rsidRDefault="001D2E73">
      <w:pPr>
        <w:pStyle w:val="H1G"/>
        <w:rPr>
          <w:lang w:val="es-ES"/>
        </w:rPr>
      </w:pPr>
      <w:r>
        <w:rPr>
          <w:lang w:val="es-ES"/>
        </w:rPr>
        <w:tab/>
      </w:r>
      <w:r>
        <w:rPr>
          <w:lang w:val="es-ES"/>
        </w:rPr>
        <w:tab/>
        <w:t>Artículo 13</w:t>
      </w:r>
    </w:p>
    <w:p w:rsidR="001D2E73" w:rsidRDefault="001D2E73">
      <w:pPr>
        <w:pStyle w:val="SingleTxtG"/>
        <w:rPr>
          <w:lang w:val="es-ES"/>
        </w:rPr>
      </w:pPr>
      <w:r>
        <w:rPr>
          <w:lang w:val="es-ES"/>
        </w:rPr>
        <w:t>482.</w:t>
      </w:r>
      <w:r>
        <w:rPr>
          <w:lang w:val="es-ES"/>
        </w:rPr>
        <w:tab/>
        <w:t>De conformidad con el artículo 42 de la Constitución, todo ciudadano tiene derecho a obtener una educación; el Estado garantiza hasta la enseñanza media obligatoria gratuita; el Estado controla el sistema de enseñanza y además garantiza la continuación de estudios para los estudiantes superdotados independientemente de su situación económica y establece las normas mínimas de educación.</w:t>
      </w:r>
    </w:p>
    <w:p w:rsidR="001D2E73" w:rsidRDefault="001D2E73">
      <w:pPr>
        <w:pStyle w:val="SingleTxtG"/>
        <w:rPr>
          <w:lang w:val="es-ES"/>
        </w:rPr>
      </w:pPr>
      <w:r>
        <w:rPr>
          <w:lang w:val="es-ES"/>
        </w:rPr>
        <w:t>483.</w:t>
      </w:r>
      <w:r>
        <w:rPr>
          <w:lang w:val="es-ES"/>
        </w:rPr>
        <w:tab/>
        <w:t xml:space="preserve">Cabe señalar que el Parlamento del país aprobó el 19 de junio de 2009 </w:t>
      </w:r>
      <w:smartTag w:uri="urn:schemas-microsoft-com:office:smarttags" w:element="PersonName">
        <w:smartTagPr>
          <w:attr w:name="ProductID" w:val="la nueva Ley"/>
        </w:smartTagPr>
        <w:r>
          <w:rPr>
            <w:lang w:val="es-ES"/>
          </w:rPr>
          <w:t>la nueva Ley</w:t>
        </w:r>
      </w:smartTag>
      <w:r>
        <w:rPr>
          <w:lang w:val="es-ES"/>
        </w:rPr>
        <w:t xml:space="preserve"> de educación, que cumple los requisitos actuales en la esfera de la educación y se ha preparado de conformidad con las normas internacionales en esta esfera. En estos momentos se aplica el procedimiento interno para la entrada en vigor de esa Ley. </w:t>
      </w:r>
    </w:p>
    <w:p w:rsidR="001D2E73" w:rsidRDefault="001D2E73">
      <w:pPr>
        <w:pStyle w:val="SingleTxtG"/>
        <w:rPr>
          <w:lang w:val="es-ES"/>
        </w:rPr>
      </w:pPr>
      <w:r>
        <w:rPr>
          <w:lang w:val="es-ES"/>
        </w:rPr>
        <w:t>484.</w:t>
      </w:r>
      <w:r>
        <w:rPr>
          <w:lang w:val="es-ES"/>
        </w:rPr>
        <w:tab/>
        <w:t xml:space="preserve">En los últimos seis años se han formulado y puesto en práctica con éxito numerosos programas estatales, entre los cuales cabe señalar el Programa nacional de reforma del sistema de enseñanza superior de Azerbaiyán para </w:t>
      </w:r>
      <w:r>
        <w:rPr>
          <w:bCs/>
          <w:lang w:val="es-ES"/>
        </w:rPr>
        <w:t>2009-2013,</w:t>
      </w:r>
      <w:r>
        <w:rPr>
          <w:lang w:val="es-ES"/>
        </w:rPr>
        <w:t xml:space="preserve"> el Programa nacional de desarrollo de la enseñanza técnica y profesional para 2007-2012, el Programa de renovación de la enseñanza pre-escolar, de desarrollo de la organización del aprendizaje de niños con necesidades especiales (con limitaciones de salud) y de distribución de libros de texto para los alumnos de las escuelas de enseñanza general del país. </w:t>
      </w:r>
    </w:p>
    <w:p w:rsidR="001D2E73" w:rsidRDefault="001D2E73">
      <w:pPr>
        <w:pStyle w:val="SingleTxtG"/>
        <w:rPr>
          <w:lang w:val="es-ES"/>
        </w:rPr>
      </w:pPr>
      <w:r>
        <w:rPr>
          <w:lang w:val="es-ES"/>
        </w:rPr>
        <w:t>485.</w:t>
      </w:r>
      <w:r>
        <w:rPr>
          <w:lang w:val="es-ES"/>
        </w:rPr>
        <w:tab/>
        <w:t xml:space="preserve">Año tras año aumentan los recursos presupuestarios que se asignan a </w:t>
      </w:r>
      <w:smartTag w:uri="urn:schemas-microsoft-com:office:smarttags" w:element="PersonName">
        <w:smartTagPr>
          <w:attr w:name="ProductID" w:val="la educaci￳n. En"/>
        </w:smartTagPr>
        <w:r>
          <w:rPr>
            <w:lang w:val="es-ES"/>
          </w:rPr>
          <w:t>la educación. En</w:t>
        </w:r>
      </w:smartTag>
      <w:r>
        <w:rPr>
          <w:lang w:val="es-ES"/>
        </w:rPr>
        <w:t xml:space="preserve"> 2008, los gastos en educación representaron 979,9 millones de manat (1.224,9 millones de dólares de los Estados Unidos). </w:t>
      </w:r>
    </w:p>
    <w:p w:rsidR="001D2E73" w:rsidRDefault="001D2E73">
      <w:pPr>
        <w:pStyle w:val="SingleTxtGR"/>
        <w:rPr>
          <w:spacing w:val="0"/>
          <w:lang w:val="es-ES"/>
        </w:rPr>
      </w:pPr>
      <w:r>
        <w:rPr>
          <w:spacing w:val="0"/>
          <w:lang w:val="es-ES"/>
        </w:rPr>
        <w:t>486.</w:t>
      </w:r>
      <w:r>
        <w:rPr>
          <w:spacing w:val="0"/>
          <w:lang w:val="es-ES"/>
        </w:rPr>
        <w:tab/>
        <w:t>La tarea estratégica de Azerbaiyán es aumentar el nivel de instrucción media</w:t>
      </w:r>
      <w:r>
        <w:rPr>
          <w:spacing w:val="0"/>
          <w:lang w:val="es-ES"/>
        </w:rPr>
        <w:t>n</w:t>
      </w:r>
      <w:r>
        <w:rPr>
          <w:spacing w:val="0"/>
          <w:lang w:val="es-ES"/>
        </w:rPr>
        <w:t>te el perfeccionamiento de los aspectos cualitativos y la creación de posibilidades p</w:t>
      </w:r>
      <w:r>
        <w:rPr>
          <w:spacing w:val="0"/>
          <w:lang w:val="es-ES"/>
        </w:rPr>
        <w:t>a</w:t>
      </w:r>
      <w:r>
        <w:rPr>
          <w:spacing w:val="0"/>
          <w:lang w:val="es-ES"/>
        </w:rPr>
        <w:t>ra todos en pie de igualdad, la formación de un capital humano altamente calificado, el afianzamiento del sistema de enseñanza con el fin de garantizar un desarrollo estable, la formación de una política única en materia de educación y la garantía de la igua</w:t>
      </w:r>
      <w:r>
        <w:rPr>
          <w:spacing w:val="0"/>
          <w:lang w:val="es-ES"/>
        </w:rPr>
        <w:t>l</w:t>
      </w:r>
      <w:r>
        <w:rPr>
          <w:spacing w:val="0"/>
          <w:lang w:val="es-ES"/>
        </w:rPr>
        <w:t>dad de acceso a la educación para todos.</w:t>
      </w:r>
    </w:p>
    <w:p w:rsidR="001D2E73" w:rsidRDefault="001D2E73">
      <w:pPr>
        <w:pStyle w:val="SingleTxtGR"/>
        <w:rPr>
          <w:spacing w:val="0"/>
          <w:lang w:val="es-ES"/>
        </w:rPr>
      </w:pPr>
      <w:r>
        <w:rPr>
          <w:spacing w:val="0"/>
          <w:lang w:val="es-ES"/>
        </w:rPr>
        <w:t>487.</w:t>
      </w:r>
      <w:r>
        <w:rPr>
          <w:spacing w:val="0"/>
          <w:lang w:val="es-ES"/>
        </w:rPr>
        <w:tab/>
        <w:t>El nivel de instrucción general es lo más significativo en lo que se refiere a la población escolarizada y a su proporción. La perspectiva de desarrollo de la enseñanza media abarca la construcción y dotación de las escuelas de enseñanza general con tecnología de la información y las comunicaciones, la asignación de personal pedagógico a las escuelas rurales, la distribución de libros de textos gratuitos a los alumnos, el perfeccionamiento de la estructura de la enseñanza media general, la creación de nuevos planes de estudios y de mecanismos de formación de maestros y del nuevo sistema de evaluación de los conocimientos de los alumnos, el perfeccionamiento de los mecanismos de dirección, la ampliación del proceso de introducción de nuevos mecanismos de financiación de las escuelas y el fortalecimiento de su base técnica y material.</w:t>
      </w:r>
    </w:p>
    <w:p w:rsidR="001D2E73" w:rsidRDefault="001D2E73">
      <w:pPr>
        <w:pStyle w:val="SingleTxtGR"/>
        <w:rPr>
          <w:spacing w:val="0"/>
          <w:lang w:val="es-ES"/>
        </w:rPr>
      </w:pPr>
      <w:r>
        <w:rPr>
          <w:bCs/>
          <w:spacing w:val="0"/>
          <w:lang w:val="es-ES"/>
        </w:rPr>
        <w:t>488.</w:t>
      </w:r>
      <w:r>
        <w:rPr>
          <w:bCs/>
          <w:spacing w:val="0"/>
          <w:lang w:val="es-ES"/>
        </w:rPr>
        <w:tab/>
        <w:t xml:space="preserve">El Programa nacional de reforma del sistema de enseñanza superior de Azerbaiyán para 2009-2013, aprobado por instrucción del Presidente, es una prueba de que la educación es </w:t>
      </w:r>
      <w:r>
        <w:rPr>
          <w:spacing w:val="0"/>
          <w:lang w:val="es-ES"/>
        </w:rPr>
        <w:t>una de las prioridades más importantes de la política estatal de Azerbaiyán.</w:t>
      </w:r>
    </w:p>
    <w:p w:rsidR="001D2E73" w:rsidRDefault="001D2E73">
      <w:pPr>
        <w:pStyle w:val="SingleTxtGR"/>
        <w:rPr>
          <w:spacing w:val="0"/>
          <w:lang w:val="es-ES"/>
        </w:rPr>
      </w:pPr>
      <w:r>
        <w:rPr>
          <w:spacing w:val="0"/>
          <w:lang w:val="es-ES"/>
        </w:rPr>
        <w:t>489.</w:t>
      </w:r>
      <w:r>
        <w:rPr>
          <w:spacing w:val="0"/>
          <w:lang w:val="es-ES"/>
        </w:rPr>
        <w:tab/>
        <w:t xml:space="preserve">Los principales objetivos del programa son la agilización del proceso de integración del sistema de enseñanza superior de nuestro país en el contexto mundial y europeo de la educación, la adaptación del contenido de la enseñanza superior con a los principios de la Declaración de Bolonia, la atención de las necesidades de contar con cuadros altamente calificados, teniendo en cuenta las tendencias del desarrollo de la economía del país, la garantía de competitividad de la enseñanza superior, así como la formación de un sistema eficaz de enseñanza superior que ofrezca a la población la posibilidad de obtener una educación superior a la altura de las normas modernas. </w:t>
      </w:r>
    </w:p>
    <w:p w:rsidR="001D2E73" w:rsidRDefault="001D2E73">
      <w:pPr>
        <w:pStyle w:val="SingleTxtGR"/>
        <w:rPr>
          <w:spacing w:val="0"/>
          <w:lang w:val="es-ES"/>
        </w:rPr>
      </w:pPr>
      <w:r>
        <w:rPr>
          <w:spacing w:val="0"/>
          <w:lang w:val="es-ES"/>
        </w:rPr>
        <w:t>490.</w:t>
      </w:r>
      <w:r>
        <w:rPr>
          <w:spacing w:val="0"/>
          <w:lang w:val="es-ES"/>
        </w:rPr>
        <w:tab/>
        <w:t xml:space="preserve">Por otra parte, la introducción en los centros de enseñanza superior del sistema de puntuación acumulativa de los conocimientos de los estudiantes estableció las bases para pasar al sistema de créditos. Para crear el fundamento jurídico y normativo de la introducción del sistema de créditos, se estudió la experiencia adquirida en algunos países y se preparó y aprobó el Reglamento modelo de organización de los centros de enseñanza superior con arreglo al sistema de créditos. En la primera etapa, el sistema de créditos se introdujo a título experimental en 10 de esos centros, mientras que en el curso escolar 2008-2009 ya se aplicaba en 21. </w:t>
      </w:r>
    </w:p>
    <w:p w:rsidR="001D2E73" w:rsidRDefault="001D2E73">
      <w:pPr>
        <w:pStyle w:val="SingleTxtGR"/>
        <w:rPr>
          <w:spacing w:val="0"/>
          <w:lang w:val="es-ES"/>
        </w:rPr>
      </w:pPr>
      <w:r>
        <w:rPr>
          <w:spacing w:val="0"/>
          <w:lang w:val="es-ES"/>
        </w:rPr>
        <w:t>491.</w:t>
      </w:r>
      <w:r>
        <w:rPr>
          <w:spacing w:val="0"/>
          <w:lang w:val="es-ES"/>
        </w:rPr>
        <w:tab/>
        <w:t>Además se aplicaron las medidas pertinentes para la convalidación de los títulos obtenidos en otros países, y de conformidad con el Reglamento de convalidación de las especialidades de la enseñanza superior de otros países para determinar su equivalencia (nostrificación), en el Ministerio de Educ</w:t>
      </w:r>
      <w:r>
        <w:rPr>
          <w:spacing w:val="0"/>
          <w:lang w:val="es-ES"/>
        </w:rPr>
        <w:t>a</w:t>
      </w:r>
      <w:r>
        <w:rPr>
          <w:spacing w:val="0"/>
          <w:lang w:val="es-ES"/>
        </w:rPr>
        <w:t xml:space="preserve">ción se creó una comisión permanente. El objetivo fundamental era, por una parte, crear una barrera que impidiese la afluencia al país de especialistas poco calificados con títulos de nivel superior y, por la otra, proteger el mercado de trabajo del país. Sobre la base de un modelo preparado por un grupo de trabajo integrado por expertos de </w:t>
      </w:r>
      <w:smartTag w:uri="urn:schemas-microsoft-com:office:smarttags" w:element="PersonName">
        <w:smartTagPr>
          <w:attr w:name="ProductID" w:val="la Comisi￳n Europea"/>
        </w:smartTagPr>
        <w:r>
          <w:rPr>
            <w:spacing w:val="0"/>
            <w:lang w:val="es-ES"/>
          </w:rPr>
          <w:t>la Comisión Europea</w:t>
        </w:r>
      </w:smartTag>
      <w:r>
        <w:rPr>
          <w:spacing w:val="0"/>
          <w:lang w:val="es-ES"/>
        </w:rPr>
        <w:t xml:space="preserve">, el Consejo de Europa y la UNESCO, se elaboró un prototipo de anexo del diploma de estudios superiores, que se empezó a introducir en los centros de enseñanza superior del país. El objetivo de la introducción de ese documento era eliminar el problema del reconocimiento mutuo de los diplomas expedidos en países europeos, garantizar la transparencia en el reconocimiento internacional de los grados de calificación, aumentar el nivel de movilidad académica y laboral de los egresados y crear las condiciones para que se reconozcan en el exterior los diplomas expedidos. </w:t>
      </w:r>
    </w:p>
    <w:p w:rsidR="001D2E73" w:rsidRDefault="001D2E73">
      <w:pPr>
        <w:pStyle w:val="SingleTxtGR"/>
        <w:rPr>
          <w:spacing w:val="0"/>
          <w:lang w:val="es-ES"/>
        </w:rPr>
      </w:pPr>
      <w:r>
        <w:rPr>
          <w:spacing w:val="0"/>
          <w:lang w:val="es-ES"/>
        </w:rPr>
        <w:t>492.</w:t>
      </w:r>
      <w:r>
        <w:rPr>
          <w:spacing w:val="0"/>
          <w:lang w:val="es-ES"/>
        </w:rPr>
        <w:tab/>
        <w:t>Paralelamente y de conformidad con una instrucción del Presidente sobre algunas medidas para la integración de los centros de enseñanza superior de Azerbaiyán en la enseñanza superior europea, el 31 de enero de 2008, el Ministerio de Educación llevó a cabo una importante labor de preparación de una nueva lista de especialidades. Para redactar ese documento, el Ministerio estableció un grupo de trabajo que estudió la práctica internacional y preparó la nueva lista de especialidades en correspondencia con los documentos pertinentes de la UNESCO y de otras organizaciones internacionales. La lista fue objeto de amplias deliberaciones en las universidades y en el Ministerio, tras lo cual fue presentada al Gobierno.</w:t>
      </w:r>
    </w:p>
    <w:p w:rsidR="001D2E73" w:rsidRDefault="001D2E73">
      <w:pPr>
        <w:pStyle w:val="SingleTxtGR"/>
        <w:rPr>
          <w:spacing w:val="0"/>
          <w:lang w:val="es-ES"/>
        </w:rPr>
      </w:pPr>
      <w:r>
        <w:rPr>
          <w:spacing w:val="0"/>
          <w:lang w:val="es-ES"/>
        </w:rPr>
        <w:t>493.</w:t>
      </w:r>
      <w:r>
        <w:rPr>
          <w:spacing w:val="0"/>
          <w:lang w:val="es-ES"/>
        </w:rPr>
        <w:tab/>
        <w:t>En el Concepto de la enseñanza general en Azerbaiyán (Plan nacional de estudios), aprobado por el Gobierno el 30 de octubre de 2006, se consagran las normas basadas en los resultados y el contenido de la enseñanza general, las asignaturas que se enseñarán en cada nivel de enseñanza general, la cantidad de horas que se dedicará a cada asignatura y la labor extracurricular, la evaluación de los resultados del aprendizaje y los principios fundamentales del seguimiento.</w:t>
      </w:r>
    </w:p>
    <w:p w:rsidR="001D2E73" w:rsidRDefault="001D2E73">
      <w:pPr>
        <w:pStyle w:val="SingleTxtGR"/>
        <w:rPr>
          <w:spacing w:val="0"/>
          <w:lang w:val="es-ES"/>
        </w:rPr>
      </w:pPr>
      <w:r>
        <w:rPr>
          <w:spacing w:val="0"/>
          <w:lang w:val="es-ES"/>
        </w:rPr>
        <w:t>494.</w:t>
      </w:r>
      <w:r>
        <w:rPr>
          <w:spacing w:val="0"/>
          <w:lang w:val="es-ES"/>
        </w:rPr>
        <w:tab/>
        <w:t>En el curso escolar 2008-2009 se empezó a impartir conocimientos a los alumnos con arreglo al nuevo plan de estudios y de esa manera se sentaron las bases del nuevo sistema de enseñanza general. A partir de 2007, cerca de 9.000 maestros de primer grado terminaron cursos especiales y cursillos de capacitación sobre la aplicación del nuevo plan de estudios.</w:t>
      </w:r>
    </w:p>
    <w:p w:rsidR="001D2E73" w:rsidRDefault="001D2E73">
      <w:pPr>
        <w:pStyle w:val="SingleTxtGR"/>
        <w:rPr>
          <w:spacing w:val="0"/>
          <w:lang w:val="es-ES"/>
        </w:rPr>
      </w:pPr>
      <w:r>
        <w:rPr>
          <w:spacing w:val="0"/>
          <w:lang w:val="es-ES"/>
        </w:rPr>
        <w:t>495.</w:t>
      </w:r>
      <w:r>
        <w:rPr>
          <w:spacing w:val="0"/>
          <w:lang w:val="es-ES"/>
        </w:rPr>
        <w:tab/>
        <w:t>Actualmente en el país funcionan 1619 instituciones de pre-escolar con un total de 13.715 educadores, a las que asisten 103.902 niños. Junto con las instituciones estatales de pre-escolar funcionan también 5 guarderías privadas que atienden a 346 niños.</w:t>
      </w:r>
    </w:p>
    <w:p w:rsidR="001D2E73" w:rsidRDefault="001D2E73">
      <w:pPr>
        <w:pStyle w:val="SingleTxtGR"/>
        <w:rPr>
          <w:spacing w:val="0"/>
          <w:lang w:val="es-ES"/>
        </w:rPr>
      </w:pPr>
      <w:r>
        <w:rPr>
          <w:spacing w:val="0"/>
          <w:lang w:val="es-ES"/>
        </w:rPr>
        <w:t>496.</w:t>
      </w:r>
      <w:r>
        <w:rPr>
          <w:spacing w:val="0"/>
          <w:lang w:val="es-ES"/>
        </w:rPr>
        <w:tab/>
        <w:t>Para mejorar la actividad de las instituciones de pre-escolar teniendo en cuenta la experiencia internacional y además introducir nuevas tecnologías de la enseñanza, con el apoyo de organizaciones internacionales se llevó a cabo la labor de formación de 3.000 directores y educadores de las instituciones de pre-escolar, con el fin de aumentar su preparación científica y metodológica.</w:t>
      </w:r>
    </w:p>
    <w:p w:rsidR="001D2E73" w:rsidRDefault="001D2E73">
      <w:pPr>
        <w:pStyle w:val="SingleTxtGR"/>
        <w:rPr>
          <w:spacing w:val="0"/>
          <w:lang w:val="es-ES"/>
        </w:rPr>
      </w:pPr>
      <w:r>
        <w:rPr>
          <w:spacing w:val="0"/>
          <w:lang w:val="es-ES"/>
        </w:rPr>
        <w:t>497.</w:t>
      </w:r>
      <w:r>
        <w:rPr>
          <w:spacing w:val="0"/>
          <w:lang w:val="es-ES"/>
        </w:rPr>
        <w:tab/>
        <w:t>Por primera vez en los últimos 20 años se construyeron y comenzaron a funcionar 11 nuevas guarderías. En 21 guarderías terminó la labor de reparación general y se dotó a esos centros de equipo moderno. Al mismo tiempo terminó la preparación de nuevos materiales pedagógicos para esas guarderías.</w:t>
      </w:r>
    </w:p>
    <w:p w:rsidR="001D2E73" w:rsidRDefault="001D2E73">
      <w:pPr>
        <w:pStyle w:val="SingleTxtGR"/>
        <w:rPr>
          <w:spacing w:val="0"/>
          <w:lang w:val="es-ES"/>
        </w:rPr>
      </w:pPr>
      <w:r>
        <w:rPr>
          <w:spacing w:val="0"/>
          <w:lang w:val="es-ES"/>
        </w:rPr>
        <w:t>498.</w:t>
      </w:r>
      <w:r>
        <w:rPr>
          <w:spacing w:val="0"/>
          <w:lang w:val="es-ES"/>
        </w:rPr>
        <w:tab/>
        <w:t>Durante mucho tiempo, en las instituciones de enseñanza pre-escolar la matrícula no rebasó el 16%. El análisis llevado a cabo confirmó que los problemas fundamentales de la formación pre-escolar eran la carencia de suficientes centros en el 30% de los asentamientos del país, la falta de condiciones elementales para la enseñanza en la mayoría de las guarderías situadas en zonas rurales, la necesidad de reparar el 70% de las instalaciones, además de que el equipo con que se contaba no era técnicamente el adecuado. Para colmo, en el 32% de las instituciones de enseñanza pre-escolar están viviendo algunos desplazados forzosos.</w:t>
      </w:r>
    </w:p>
    <w:p w:rsidR="001D2E73" w:rsidRDefault="001D2E73">
      <w:pPr>
        <w:pStyle w:val="SingleTxtGR"/>
        <w:rPr>
          <w:spacing w:val="0"/>
          <w:lang w:val="es-ES"/>
        </w:rPr>
      </w:pPr>
      <w:r>
        <w:rPr>
          <w:spacing w:val="0"/>
          <w:lang w:val="es-ES"/>
        </w:rPr>
        <w:t>499.</w:t>
      </w:r>
      <w:r>
        <w:rPr>
          <w:spacing w:val="0"/>
          <w:lang w:val="es-ES"/>
        </w:rPr>
        <w:tab/>
        <w:t>Procurando resolver esos problemas, el 12 de abril de 2007, el Presidente aprobó el Programa de renovación de la enseñanza pre-escolar en Azerbaiyán para 2007-2010.</w:t>
      </w:r>
    </w:p>
    <w:p w:rsidR="001D2E73" w:rsidRDefault="001D2E73">
      <w:pPr>
        <w:pStyle w:val="SingleTxtGR"/>
        <w:rPr>
          <w:spacing w:val="0"/>
          <w:lang w:val="es-ES"/>
        </w:rPr>
      </w:pPr>
      <w:r>
        <w:rPr>
          <w:spacing w:val="0"/>
          <w:lang w:val="es-ES"/>
        </w:rPr>
        <w:t>500.</w:t>
      </w:r>
      <w:r>
        <w:rPr>
          <w:spacing w:val="0"/>
          <w:lang w:val="es-ES"/>
        </w:rPr>
        <w:tab/>
        <w:t>De conformidad con ese programa se propone optimizar la red de instituciones de enseñanza pre-escolar y fortalecer su base técnica material, mejorar los mecanismos de dirección y aumentar el acceso a esas instituciones para las capas de la población de pocos recursos, incrementar el número de educadores y poner de relieve ante la opinión pública la importancia de la enseñanza pre-escolar.</w:t>
      </w:r>
    </w:p>
    <w:p w:rsidR="001D2E73" w:rsidRDefault="001D2E73">
      <w:pPr>
        <w:pStyle w:val="SingleTxtGR"/>
        <w:rPr>
          <w:spacing w:val="0"/>
          <w:lang w:val="es-ES"/>
        </w:rPr>
      </w:pPr>
      <w:r>
        <w:rPr>
          <w:spacing w:val="0"/>
          <w:lang w:val="es-ES"/>
        </w:rPr>
        <w:t>501.</w:t>
      </w:r>
      <w:r>
        <w:rPr>
          <w:spacing w:val="0"/>
          <w:lang w:val="es-ES"/>
        </w:rPr>
        <w:tab/>
        <w:t>Una de las tareas fundamentales es la preparación de nuevos programas pedagógicos para las guarderías, que respondan a las necesidades de nuestros tiempos. El análisis llevado a cabo demuestra que debido a la falta de las condiciones necesarias, solo el 20% de los niños que están matriculados en primer grado han recibido preparación pre-escolar. Por esa razón, en las escuelas de enseñanza general se consideró conveniente crear grupos preparatorios. Con el apoyo del Banco Mundial y del UNICEF, a partir del curso escolar 2009-2010, han comenzado a funcionar grupos de educadores en los centros de enseñanza pre-escolar. El Ministerio de Educación, con el apoyo del UNICEF, está preparando el programa de enseñanza pree</w:t>
      </w:r>
      <w:r>
        <w:rPr>
          <w:spacing w:val="0"/>
          <w:lang w:val="es-ES"/>
        </w:rPr>
        <w:t>s</w:t>
      </w:r>
      <w:r>
        <w:rPr>
          <w:spacing w:val="0"/>
          <w:lang w:val="es-ES"/>
        </w:rPr>
        <w:t>colar.</w:t>
      </w:r>
    </w:p>
    <w:p w:rsidR="001D2E73" w:rsidRDefault="001D2E73">
      <w:pPr>
        <w:pStyle w:val="SingleTxtGR"/>
        <w:rPr>
          <w:spacing w:val="0"/>
          <w:lang w:val="es-ES"/>
        </w:rPr>
      </w:pPr>
      <w:r>
        <w:rPr>
          <w:spacing w:val="0"/>
          <w:lang w:val="es-ES"/>
        </w:rPr>
        <w:t>502.</w:t>
      </w:r>
      <w:r>
        <w:rPr>
          <w:spacing w:val="0"/>
          <w:lang w:val="es-ES"/>
        </w:rPr>
        <w:tab/>
        <w:t>En la actualidad, en Azerbaiyán funcionan 4.545 escuelas de enseñanza gen</w:t>
      </w:r>
      <w:r>
        <w:rPr>
          <w:spacing w:val="0"/>
          <w:lang w:val="es-ES"/>
        </w:rPr>
        <w:t>e</w:t>
      </w:r>
      <w:r>
        <w:rPr>
          <w:spacing w:val="0"/>
          <w:lang w:val="es-ES"/>
        </w:rPr>
        <w:t>ral, de ellas 31 son internados, 50 liceos y 8 gimnasios. De ese total, 656 son escuelas para los hijos de desplazados forzosos.</w:t>
      </w:r>
    </w:p>
    <w:p w:rsidR="001D2E73" w:rsidRDefault="001D2E73">
      <w:pPr>
        <w:pStyle w:val="SingleTxtGR"/>
        <w:rPr>
          <w:spacing w:val="0"/>
          <w:lang w:val="es-ES"/>
        </w:rPr>
      </w:pPr>
      <w:r>
        <w:rPr>
          <w:spacing w:val="0"/>
          <w:lang w:val="es-ES"/>
        </w:rPr>
        <w:t>503.</w:t>
      </w:r>
      <w:r>
        <w:rPr>
          <w:spacing w:val="0"/>
          <w:lang w:val="es-ES"/>
        </w:rPr>
        <w:tab/>
        <w:t>En las escuelas de enseñanza general estudian 1.483.311 escolares, cuya in</w:t>
      </w:r>
      <w:r>
        <w:rPr>
          <w:spacing w:val="0"/>
          <w:lang w:val="es-ES"/>
        </w:rPr>
        <w:t>s</w:t>
      </w:r>
      <w:r>
        <w:rPr>
          <w:spacing w:val="0"/>
          <w:lang w:val="es-ES"/>
        </w:rPr>
        <w:t>trucción y educación está a cargo de 175.221 maestros y educadores. Hasta la fecha se han construido 1.360 nuevas escuelas con capacidad para 300.000 alumnos, unas 300 escuelas han sido reconstruidas y 506 han recibido equipo moderno.</w:t>
      </w:r>
    </w:p>
    <w:p w:rsidR="001D2E73" w:rsidRDefault="001D2E73">
      <w:pPr>
        <w:pStyle w:val="SingleTxtGR"/>
        <w:rPr>
          <w:spacing w:val="0"/>
          <w:lang w:val="es-ES"/>
        </w:rPr>
      </w:pPr>
      <w:r>
        <w:rPr>
          <w:spacing w:val="0"/>
          <w:lang w:val="es-ES"/>
        </w:rPr>
        <w:t>504.</w:t>
      </w:r>
      <w:r>
        <w:rPr>
          <w:spacing w:val="0"/>
          <w:lang w:val="es-ES"/>
        </w:rPr>
        <w:tab/>
        <w:t xml:space="preserve">En el marco de la renovación de la infraestructura de las escuelas se lleva a cabo la iniciativa del Fondo Gaidar Aliev </w:t>
      </w:r>
      <w:r>
        <w:rPr>
          <w:i/>
          <w:spacing w:val="0"/>
          <w:lang w:val="es-ES"/>
        </w:rPr>
        <w:t>Nueva escuela para un Azerbaiyán renovado</w:t>
      </w:r>
      <w:r>
        <w:rPr>
          <w:spacing w:val="0"/>
          <w:lang w:val="es-ES"/>
        </w:rPr>
        <w:t xml:space="preserve"> </w:t>
      </w:r>
      <w:r>
        <w:rPr>
          <w:i/>
          <w:spacing w:val="0"/>
          <w:lang w:val="es-ES"/>
        </w:rPr>
        <w:t>y Hogares infantiles y escuelas internado</w:t>
      </w:r>
      <w:r>
        <w:rPr>
          <w:spacing w:val="0"/>
          <w:lang w:val="es-ES"/>
        </w:rPr>
        <w:t>. Durante la ejecución de ese programa se han construido 226 nuevas escuelas para 43.770 alumnos, se han reparado 39 escuelas, de ellas 28 internados para niños que requieren cuidados especiales, a las que se ha dotado de equipo moderno; y se han restaurado 8 guarderías.</w:t>
      </w:r>
    </w:p>
    <w:p w:rsidR="001D2E73" w:rsidRDefault="001D2E73">
      <w:pPr>
        <w:pStyle w:val="SingleTxtGR"/>
        <w:rPr>
          <w:spacing w:val="0"/>
          <w:lang w:val="es-ES"/>
        </w:rPr>
      </w:pPr>
      <w:r>
        <w:rPr>
          <w:spacing w:val="0"/>
          <w:lang w:val="es-ES"/>
        </w:rPr>
        <w:t>505.</w:t>
      </w:r>
      <w:r>
        <w:rPr>
          <w:spacing w:val="0"/>
          <w:lang w:val="es-ES"/>
        </w:rPr>
        <w:tab/>
        <w:t>Se intensifica cada vez más la construcción y reparación de las escuelas. A finales de 2008 comenzó la construcción de 161 nuevas escuelas y se terminó la reparación general de otras 129. En los últimos años, el número de escuelas nuevas y reparadas llegó a 1600, de esa manera, más de 700.000 alumnos (cerca del 50% del total) estudian en escuelas que cumplen los requisitos modernos.</w:t>
      </w:r>
    </w:p>
    <w:p w:rsidR="001D2E73" w:rsidRDefault="001D2E73">
      <w:pPr>
        <w:pStyle w:val="SingleTxtGR"/>
        <w:rPr>
          <w:spacing w:val="0"/>
          <w:lang w:val="es-ES"/>
        </w:rPr>
      </w:pPr>
      <w:r>
        <w:rPr>
          <w:spacing w:val="0"/>
          <w:lang w:val="es-ES"/>
        </w:rPr>
        <w:t>506.</w:t>
      </w:r>
      <w:r>
        <w:rPr>
          <w:spacing w:val="0"/>
          <w:lang w:val="es-ES"/>
        </w:rPr>
        <w:tab/>
        <w:t>De conformidad con el programa para 2008-2012, se proyecta construir otras 450 nuevas escuelas, añadir nuevos pabellones a otras 600 y terminar la reparación general de 1.200 escuelas. El objetivo fundamental es eliminar el sistema de varios turnos de clases y pasar a la semana escolar de cinco días.</w:t>
      </w:r>
    </w:p>
    <w:p w:rsidR="001D2E73" w:rsidRDefault="001D2E73">
      <w:pPr>
        <w:pStyle w:val="SingleTxtGR"/>
        <w:rPr>
          <w:spacing w:val="0"/>
          <w:lang w:val="es-ES"/>
        </w:rPr>
      </w:pPr>
      <w:r>
        <w:rPr>
          <w:spacing w:val="0"/>
          <w:lang w:val="es-ES"/>
        </w:rPr>
        <w:t>507.</w:t>
      </w:r>
      <w:r>
        <w:rPr>
          <w:spacing w:val="0"/>
          <w:lang w:val="es-ES"/>
        </w:rPr>
        <w:tab/>
        <w:t xml:space="preserve">Cabe señalar que, en el marco del Programa estatal de informatización del sistema de educación de Azerbaiyán para 2008-2012, se creó un Centro de Intercambio de Información (Base de Datos) sin precedentes en la región del Cáucaso meridional, al que están conectadas 200 escuelas. Antes de que termine 2009 se habrán conectado otras 300 escuelas a Internet de alta velocidad. </w:t>
      </w:r>
    </w:p>
    <w:p w:rsidR="001D2E73" w:rsidRDefault="001D2E73">
      <w:pPr>
        <w:pStyle w:val="SingleTxtGR"/>
        <w:rPr>
          <w:spacing w:val="0"/>
          <w:lang w:val="es-ES"/>
        </w:rPr>
      </w:pPr>
      <w:r>
        <w:rPr>
          <w:spacing w:val="0"/>
          <w:lang w:val="es-ES"/>
        </w:rPr>
        <w:t>508.</w:t>
      </w:r>
      <w:r>
        <w:rPr>
          <w:spacing w:val="0"/>
          <w:lang w:val="es-ES"/>
        </w:rPr>
        <w:tab/>
        <w:t>Por otra parte, en el marco del Programa estatal culminó la primera etapa de creación del portal de educación, en el que se han cargado distintos recursos pedagógicos electrónicos. La existencia de una red docente única permitirá garantizar un intercambio de información sumamente rápido entre los centros de estudio del país.</w:t>
      </w:r>
    </w:p>
    <w:p w:rsidR="001D2E73" w:rsidRDefault="001D2E73">
      <w:pPr>
        <w:pStyle w:val="SingleTxtGR"/>
        <w:rPr>
          <w:spacing w:val="0"/>
          <w:lang w:val="es-ES"/>
        </w:rPr>
      </w:pPr>
      <w:r>
        <w:rPr>
          <w:spacing w:val="0"/>
          <w:lang w:val="es-ES"/>
        </w:rPr>
        <w:t>509.</w:t>
      </w:r>
      <w:r>
        <w:rPr>
          <w:spacing w:val="0"/>
          <w:lang w:val="es-ES"/>
        </w:rPr>
        <w:tab/>
        <w:t>Actualmente todas las escuelas de enseñanza general del país muestran gran interés por la tecnología de la información y las comunicaciones; más de 30.000 maestros de enseñanza media han pasado cursos de capacitación en esa tecnología y a nivel de Ministerio se han formado unos 100 maestros instructores. Por ahora en el país hay una computadora por cada 29 alumnos y en la mayoría de las escuelas de Bakú una por cada 15 a 17 alumnos.</w:t>
      </w:r>
    </w:p>
    <w:p w:rsidR="001D2E73" w:rsidRDefault="001D2E73">
      <w:pPr>
        <w:pStyle w:val="SingleTxtGR"/>
        <w:rPr>
          <w:spacing w:val="0"/>
          <w:lang w:val="es-ES"/>
        </w:rPr>
      </w:pPr>
      <w:r>
        <w:rPr>
          <w:spacing w:val="0"/>
          <w:lang w:val="es-ES"/>
        </w:rPr>
        <w:t>510. En el sistema de enseñanza general del país funcionan 19 escuelas especializadas e internados para niños que requieren atención especial, en los que estudian 6.450 alumnos.</w:t>
      </w:r>
    </w:p>
    <w:p w:rsidR="001D2E73" w:rsidRDefault="001D2E73">
      <w:pPr>
        <w:pStyle w:val="SingleTxtGR"/>
        <w:rPr>
          <w:spacing w:val="0"/>
          <w:lang w:val="es-ES"/>
        </w:rPr>
      </w:pPr>
      <w:r>
        <w:rPr>
          <w:spacing w:val="0"/>
          <w:lang w:val="es-ES"/>
        </w:rPr>
        <w:t>511.</w:t>
      </w:r>
      <w:r>
        <w:rPr>
          <w:spacing w:val="0"/>
          <w:lang w:val="es-ES"/>
        </w:rPr>
        <w:tab/>
        <w:t>Entre 2005 y 2007, el Fondo Gaidar Aliev sufragó la reparación general y dotó de equipo moderno a 29 establecimientos pedagógicos, en los que estudian niños necesitados de cuidados especiales, así como niños privados del cuidado de sus padres.</w:t>
      </w:r>
    </w:p>
    <w:p w:rsidR="001D2E73" w:rsidRDefault="001D2E73">
      <w:pPr>
        <w:pStyle w:val="SingleTxtGR"/>
        <w:rPr>
          <w:spacing w:val="0"/>
          <w:lang w:val="es-ES"/>
        </w:rPr>
      </w:pPr>
      <w:r>
        <w:rPr>
          <w:spacing w:val="0"/>
          <w:lang w:val="es-ES"/>
        </w:rPr>
        <w:t>512.</w:t>
      </w:r>
      <w:r>
        <w:rPr>
          <w:spacing w:val="0"/>
          <w:lang w:val="es-ES"/>
        </w:rPr>
        <w:tab/>
        <w:t xml:space="preserve">El número de instituciones de pre-escolar, escuelas diurnas y nocturnas de enseñanza general, escuelas técnicas y de aprendizaje de oficios, y escuelas medias especiales y de enseñanza superior se indica en el cuadro 24. </w:t>
      </w:r>
    </w:p>
    <w:p w:rsidR="001D2E73" w:rsidRDefault="001D2E73">
      <w:pPr>
        <w:pStyle w:val="SingleTxtGR"/>
        <w:keepNext/>
        <w:keepLines/>
        <w:spacing w:before="240"/>
        <w:rPr>
          <w:spacing w:val="0"/>
          <w:lang w:val="es-ES"/>
        </w:rPr>
      </w:pPr>
      <w:r>
        <w:rPr>
          <w:spacing w:val="0"/>
          <w:lang w:val="es-ES"/>
        </w:rPr>
        <w:t>Cuadro 24</w:t>
      </w:r>
    </w:p>
    <w:tbl>
      <w:tblPr>
        <w:tblW w:w="8561"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513"/>
        <w:gridCol w:w="842"/>
        <w:gridCol w:w="842"/>
        <w:gridCol w:w="841"/>
        <w:gridCol w:w="841"/>
        <w:gridCol w:w="841"/>
        <w:gridCol w:w="841"/>
      </w:tblGrid>
      <w:tr w:rsidR="001D2E73">
        <w:trPr>
          <w:trHeight w:val="20"/>
          <w:tblHeader/>
        </w:trPr>
        <w:tc>
          <w:tcPr>
            <w:tcW w:w="3513" w:type="dxa"/>
            <w:tcBorders>
              <w:top w:val="single" w:sz="4" w:space="0" w:color="auto"/>
              <w:bottom w:val="single" w:sz="12" w:space="0" w:color="auto"/>
            </w:tcBorders>
            <w:shd w:val="clear" w:color="auto" w:fill="auto"/>
            <w:noWrap/>
          </w:tcPr>
          <w:p w:rsidR="001D2E73" w:rsidRDefault="001D2E73">
            <w:pPr>
              <w:keepNext/>
              <w:keepLines/>
              <w:spacing w:before="20" w:after="20" w:line="200" w:lineRule="exact"/>
              <w:rPr>
                <w:i/>
                <w:sz w:val="18"/>
                <w:szCs w:val="18"/>
              </w:rPr>
            </w:pPr>
            <w:r>
              <w:rPr>
                <w:i/>
                <w:sz w:val="18"/>
                <w:szCs w:val="18"/>
              </w:rPr>
              <w:t> </w:t>
            </w:r>
          </w:p>
        </w:tc>
        <w:tc>
          <w:tcPr>
            <w:tcW w:w="842"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szCs w:val="16"/>
              </w:rPr>
            </w:pPr>
            <w:r>
              <w:rPr>
                <w:i/>
                <w:sz w:val="16"/>
                <w:szCs w:val="16"/>
              </w:rPr>
              <w:t>2003</w:t>
            </w:r>
          </w:p>
        </w:tc>
        <w:tc>
          <w:tcPr>
            <w:tcW w:w="842"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szCs w:val="16"/>
              </w:rPr>
            </w:pPr>
            <w:r>
              <w:rPr>
                <w:i/>
                <w:sz w:val="16"/>
                <w:szCs w:val="16"/>
              </w:rPr>
              <w:t>2004</w:t>
            </w:r>
          </w:p>
        </w:tc>
        <w:tc>
          <w:tcPr>
            <w:tcW w:w="841"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szCs w:val="16"/>
              </w:rPr>
            </w:pPr>
            <w:r>
              <w:rPr>
                <w:i/>
                <w:sz w:val="16"/>
                <w:szCs w:val="16"/>
              </w:rPr>
              <w:t>2005</w:t>
            </w:r>
          </w:p>
        </w:tc>
        <w:tc>
          <w:tcPr>
            <w:tcW w:w="841"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szCs w:val="16"/>
              </w:rPr>
            </w:pPr>
            <w:r>
              <w:rPr>
                <w:i/>
                <w:sz w:val="16"/>
                <w:szCs w:val="16"/>
              </w:rPr>
              <w:t>2006</w:t>
            </w:r>
          </w:p>
        </w:tc>
        <w:tc>
          <w:tcPr>
            <w:tcW w:w="841"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szCs w:val="16"/>
              </w:rPr>
            </w:pPr>
            <w:r>
              <w:rPr>
                <w:i/>
                <w:sz w:val="16"/>
                <w:szCs w:val="16"/>
              </w:rPr>
              <w:t>2007</w:t>
            </w:r>
          </w:p>
        </w:tc>
        <w:tc>
          <w:tcPr>
            <w:tcW w:w="841" w:type="dxa"/>
            <w:tcBorders>
              <w:top w:val="single" w:sz="4" w:space="0" w:color="auto"/>
              <w:left w:val="nil"/>
              <w:bottom w:val="single" w:sz="12" w:space="0" w:color="auto"/>
              <w:right w:val="nil"/>
              <w:tl2br w:val="nil"/>
              <w:tr2bl w:val="nil"/>
            </w:tcBorders>
            <w:shd w:val="clear" w:color="auto" w:fill="auto"/>
            <w:noWrap/>
          </w:tcPr>
          <w:p w:rsidR="001D2E73" w:rsidRDefault="001D2E73">
            <w:pPr>
              <w:keepNext/>
              <w:keepLines/>
              <w:spacing w:before="80" w:after="80" w:line="200" w:lineRule="exact"/>
              <w:jc w:val="right"/>
              <w:rPr>
                <w:i/>
                <w:sz w:val="16"/>
                <w:szCs w:val="16"/>
              </w:rPr>
            </w:pPr>
            <w:r>
              <w:rPr>
                <w:i/>
                <w:sz w:val="16"/>
                <w:szCs w:val="16"/>
              </w:rPr>
              <w:t>2008</w:t>
            </w:r>
          </w:p>
        </w:tc>
      </w:tr>
      <w:tr w:rsidR="001D2E73">
        <w:trPr>
          <w:trHeight w:val="567"/>
        </w:trPr>
        <w:tc>
          <w:tcPr>
            <w:tcW w:w="3513" w:type="dxa"/>
            <w:tcBorders>
              <w:top w:val="single" w:sz="12" w:space="0" w:color="auto"/>
            </w:tcBorders>
            <w:noWrap/>
            <w:vAlign w:val="bottom"/>
          </w:tcPr>
          <w:p w:rsidR="001D2E73" w:rsidRDefault="001D2E73">
            <w:pPr>
              <w:keepNext/>
              <w:keepLines/>
              <w:spacing w:before="80" w:after="80" w:line="220" w:lineRule="exact"/>
              <w:ind w:left="284"/>
              <w:rPr>
                <w:b/>
                <w:sz w:val="18"/>
                <w:szCs w:val="18"/>
              </w:rPr>
            </w:pPr>
            <w:r>
              <w:rPr>
                <w:b/>
                <w:sz w:val="18"/>
                <w:szCs w:val="18"/>
              </w:rPr>
              <w:t>Número de instituciones de enseñanza pre-escolar (a finales del año) — total</w:t>
            </w:r>
          </w:p>
        </w:tc>
        <w:tc>
          <w:tcPr>
            <w:tcW w:w="842" w:type="dxa"/>
            <w:tcBorders>
              <w:top w:val="single" w:sz="12" w:space="0" w:color="auto"/>
            </w:tcBorders>
            <w:noWrap/>
            <w:vAlign w:val="bottom"/>
          </w:tcPr>
          <w:p w:rsidR="001D2E73" w:rsidRDefault="001D2E73">
            <w:pPr>
              <w:keepNext/>
              <w:keepLines/>
              <w:spacing w:before="80" w:after="80" w:line="220" w:lineRule="exact"/>
              <w:jc w:val="right"/>
              <w:rPr>
                <w:sz w:val="18"/>
                <w:szCs w:val="18"/>
              </w:rPr>
            </w:pPr>
            <w:r>
              <w:rPr>
                <w:b/>
                <w:sz w:val="18"/>
                <w:szCs w:val="18"/>
              </w:rPr>
              <w:t>1 780</w:t>
            </w:r>
          </w:p>
        </w:tc>
        <w:tc>
          <w:tcPr>
            <w:tcW w:w="842" w:type="dxa"/>
            <w:tcBorders>
              <w:top w:val="single" w:sz="12" w:space="0" w:color="auto"/>
            </w:tcBorders>
            <w:noWrap/>
            <w:vAlign w:val="bottom"/>
          </w:tcPr>
          <w:p w:rsidR="001D2E73" w:rsidRDefault="001D2E73">
            <w:pPr>
              <w:keepNext/>
              <w:keepLines/>
              <w:spacing w:before="80" w:after="80" w:line="220" w:lineRule="exact"/>
              <w:jc w:val="right"/>
              <w:rPr>
                <w:sz w:val="18"/>
                <w:szCs w:val="18"/>
              </w:rPr>
            </w:pPr>
            <w:r>
              <w:rPr>
                <w:b/>
                <w:sz w:val="18"/>
                <w:szCs w:val="18"/>
              </w:rPr>
              <w:t>1 761</w:t>
            </w:r>
          </w:p>
        </w:tc>
        <w:tc>
          <w:tcPr>
            <w:tcW w:w="841" w:type="dxa"/>
            <w:tcBorders>
              <w:top w:val="single" w:sz="12" w:space="0" w:color="auto"/>
            </w:tcBorders>
            <w:noWrap/>
            <w:vAlign w:val="bottom"/>
          </w:tcPr>
          <w:p w:rsidR="001D2E73" w:rsidRDefault="001D2E73">
            <w:pPr>
              <w:keepNext/>
              <w:keepLines/>
              <w:spacing w:before="80" w:after="80" w:line="220" w:lineRule="exact"/>
              <w:jc w:val="right"/>
              <w:rPr>
                <w:sz w:val="18"/>
                <w:szCs w:val="18"/>
              </w:rPr>
            </w:pPr>
            <w:r>
              <w:rPr>
                <w:b/>
                <w:sz w:val="18"/>
                <w:szCs w:val="18"/>
              </w:rPr>
              <w:t>1 764</w:t>
            </w:r>
          </w:p>
        </w:tc>
        <w:tc>
          <w:tcPr>
            <w:tcW w:w="841" w:type="dxa"/>
            <w:tcBorders>
              <w:top w:val="single" w:sz="12" w:space="0" w:color="auto"/>
            </w:tcBorders>
            <w:noWrap/>
            <w:vAlign w:val="bottom"/>
          </w:tcPr>
          <w:p w:rsidR="001D2E73" w:rsidRDefault="001D2E73">
            <w:pPr>
              <w:keepNext/>
              <w:keepLines/>
              <w:spacing w:before="80" w:after="80" w:line="220" w:lineRule="exact"/>
              <w:jc w:val="right"/>
              <w:rPr>
                <w:sz w:val="18"/>
                <w:szCs w:val="18"/>
              </w:rPr>
            </w:pPr>
            <w:r>
              <w:rPr>
                <w:b/>
                <w:sz w:val="18"/>
                <w:szCs w:val="18"/>
              </w:rPr>
              <w:t>1 760</w:t>
            </w:r>
          </w:p>
        </w:tc>
        <w:tc>
          <w:tcPr>
            <w:tcW w:w="841" w:type="dxa"/>
            <w:tcBorders>
              <w:top w:val="single" w:sz="12" w:space="0" w:color="auto"/>
            </w:tcBorders>
            <w:noWrap/>
            <w:vAlign w:val="bottom"/>
          </w:tcPr>
          <w:p w:rsidR="001D2E73" w:rsidRDefault="001D2E73">
            <w:pPr>
              <w:keepNext/>
              <w:keepLines/>
              <w:spacing w:before="80" w:after="80" w:line="220" w:lineRule="exact"/>
              <w:jc w:val="right"/>
              <w:rPr>
                <w:sz w:val="18"/>
                <w:szCs w:val="18"/>
              </w:rPr>
            </w:pPr>
            <w:r>
              <w:rPr>
                <w:b/>
                <w:sz w:val="18"/>
                <w:szCs w:val="18"/>
              </w:rPr>
              <w:t>1 658</w:t>
            </w:r>
          </w:p>
        </w:tc>
        <w:tc>
          <w:tcPr>
            <w:tcW w:w="841" w:type="dxa"/>
            <w:tcBorders>
              <w:top w:val="single" w:sz="12" w:space="0" w:color="auto"/>
              <w:left w:val="nil"/>
              <w:right w:val="nil"/>
              <w:tl2br w:val="nil"/>
              <w:tr2bl w:val="nil"/>
            </w:tcBorders>
            <w:noWrap/>
            <w:vAlign w:val="bottom"/>
          </w:tcPr>
          <w:p w:rsidR="001D2E73" w:rsidRDefault="001D2E73">
            <w:pPr>
              <w:keepNext/>
              <w:keepLines/>
              <w:spacing w:before="80" w:after="80" w:line="220" w:lineRule="exact"/>
              <w:jc w:val="right"/>
              <w:rPr>
                <w:sz w:val="18"/>
                <w:szCs w:val="18"/>
              </w:rPr>
            </w:pPr>
            <w:r>
              <w:rPr>
                <w:b/>
                <w:sz w:val="18"/>
                <w:szCs w:val="18"/>
              </w:rPr>
              <w:t>1 619</w:t>
            </w:r>
          </w:p>
        </w:tc>
      </w:tr>
      <w:tr w:rsidR="001D2E73">
        <w:trPr>
          <w:trHeight w:val="20"/>
        </w:trPr>
        <w:tc>
          <w:tcPr>
            <w:tcW w:w="3513" w:type="dxa"/>
            <w:tcBorders>
              <w:top w:val="single" w:sz="4" w:space="0" w:color="auto"/>
            </w:tcBorders>
            <w:noWrap/>
            <w:vAlign w:val="bottom"/>
          </w:tcPr>
          <w:p w:rsidR="001D2E73" w:rsidRDefault="001D2E73">
            <w:pPr>
              <w:keepNext/>
              <w:keepLines/>
              <w:spacing w:before="40" w:after="40" w:line="220" w:lineRule="exact"/>
              <w:rPr>
                <w:i/>
                <w:sz w:val="18"/>
                <w:szCs w:val="18"/>
              </w:rPr>
            </w:pPr>
            <w:r>
              <w:rPr>
                <w:i/>
                <w:sz w:val="18"/>
                <w:szCs w:val="18"/>
              </w:rPr>
              <w:t xml:space="preserve"> De ellas: </w:t>
            </w:r>
          </w:p>
        </w:tc>
        <w:tc>
          <w:tcPr>
            <w:tcW w:w="842"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842"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keepNext/>
              <w:keepLines/>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keepNext/>
              <w:keepLines/>
              <w:spacing w:before="40" w:after="40" w:line="220" w:lineRule="exact"/>
              <w:jc w:val="right"/>
              <w:rPr>
                <w:sz w:val="18"/>
                <w:szCs w:val="18"/>
              </w:rPr>
            </w:pPr>
          </w:p>
        </w:tc>
      </w:tr>
      <w:tr w:rsidR="001D2E73">
        <w:trPr>
          <w:trHeight w:val="20"/>
        </w:trPr>
        <w:tc>
          <w:tcPr>
            <w:tcW w:w="3513" w:type="dxa"/>
            <w:noWrap/>
            <w:vAlign w:val="bottom"/>
          </w:tcPr>
          <w:p w:rsidR="001D2E73" w:rsidRDefault="001D2E73">
            <w:pPr>
              <w:keepNext/>
              <w:keepLines/>
              <w:spacing w:before="40" w:after="40" w:line="220" w:lineRule="exact"/>
              <w:rPr>
                <w:sz w:val="18"/>
                <w:szCs w:val="18"/>
              </w:rPr>
            </w:pPr>
            <w:r>
              <w:rPr>
                <w:sz w:val="18"/>
                <w:szCs w:val="18"/>
              </w:rPr>
              <w:t xml:space="preserve">    Estatales</w:t>
            </w:r>
          </w:p>
        </w:tc>
        <w:tc>
          <w:tcPr>
            <w:tcW w:w="842" w:type="dxa"/>
            <w:noWrap/>
            <w:vAlign w:val="bottom"/>
          </w:tcPr>
          <w:p w:rsidR="001D2E73" w:rsidRDefault="001D2E73">
            <w:pPr>
              <w:keepNext/>
              <w:keepLines/>
              <w:spacing w:before="40" w:after="40" w:line="220" w:lineRule="exact"/>
              <w:jc w:val="right"/>
              <w:rPr>
                <w:sz w:val="18"/>
                <w:szCs w:val="18"/>
              </w:rPr>
            </w:pPr>
            <w:r>
              <w:rPr>
                <w:sz w:val="18"/>
                <w:szCs w:val="18"/>
              </w:rPr>
              <w:t>1 777</w:t>
            </w:r>
          </w:p>
        </w:tc>
        <w:tc>
          <w:tcPr>
            <w:tcW w:w="842" w:type="dxa"/>
            <w:noWrap/>
            <w:vAlign w:val="bottom"/>
          </w:tcPr>
          <w:p w:rsidR="001D2E73" w:rsidRDefault="001D2E73">
            <w:pPr>
              <w:keepNext/>
              <w:keepLines/>
              <w:spacing w:before="40" w:after="40" w:line="220" w:lineRule="exact"/>
              <w:jc w:val="right"/>
              <w:rPr>
                <w:sz w:val="18"/>
                <w:szCs w:val="18"/>
              </w:rPr>
            </w:pPr>
            <w:r>
              <w:rPr>
                <w:sz w:val="18"/>
                <w:szCs w:val="18"/>
              </w:rPr>
              <w:t>1 758</w:t>
            </w:r>
          </w:p>
        </w:tc>
        <w:tc>
          <w:tcPr>
            <w:tcW w:w="841" w:type="dxa"/>
            <w:noWrap/>
            <w:vAlign w:val="bottom"/>
          </w:tcPr>
          <w:p w:rsidR="001D2E73" w:rsidRDefault="001D2E73">
            <w:pPr>
              <w:keepNext/>
              <w:keepLines/>
              <w:spacing w:before="40" w:after="40" w:line="220" w:lineRule="exact"/>
              <w:jc w:val="right"/>
              <w:rPr>
                <w:sz w:val="18"/>
                <w:szCs w:val="18"/>
              </w:rPr>
            </w:pPr>
            <w:r>
              <w:rPr>
                <w:sz w:val="18"/>
                <w:szCs w:val="18"/>
              </w:rPr>
              <w:t>1 761</w:t>
            </w:r>
          </w:p>
        </w:tc>
        <w:tc>
          <w:tcPr>
            <w:tcW w:w="841" w:type="dxa"/>
            <w:noWrap/>
            <w:vAlign w:val="bottom"/>
          </w:tcPr>
          <w:p w:rsidR="001D2E73" w:rsidRDefault="001D2E73">
            <w:pPr>
              <w:keepNext/>
              <w:keepLines/>
              <w:spacing w:before="40" w:after="40" w:line="220" w:lineRule="exact"/>
              <w:jc w:val="right"/>
              <w:rPr>
                <w:sz w:val="18"/>
                <w:szCs w:val="18"/>
              </w:rPr>
            </w:pPr>
            <w:r>
              <w:rPr>
                <w:sz w:val="18"/>
                <w:szCs w:val="18"/>
              </w:rPr>
              <w:t>1 757</w:t>
            </w:r>
          </w:p>
        </w:tc>
        <w:tc>
          <w:tcPr>
            <w:tcW w:w="841" w:type="dxa"/>
            <w:noWrap/>
            <w:vAlign w:val="bottom"/>
          </w:tcPr>
          <w:p w:rsidR="001D2E73" w:rsidRDefault="001D2E73">
            <w:pPr>
              <w:keepNext/>
              <w:keepLines/>
              <w:spacing w:before="40" w:after="40" w:line="220" w:lineRule="exact"/>
              <w:jc w:val="right"/>
              <w:rPr>
                <w:sz w:val="18"/>
                <w:szCs w:val="18"/>
              </w:rPr>
            </w:pPr>
            <w:r>
              <w:rPr>
                <w:sz w:val="18"/>
                <w:szCs w:val="18"/>
              </w:rPr>
              <w:t>1 653</w:t>
            </w:r>
          </w:p>
        </w:tc>
        <w:tc>
          <w:tcPr>
            <w:tcW w:w="841" w:type="dxa"/>
            <w:tcBorders>
              <w:left w:val="nil"/>
              <w:bottom w:val="nil"/>
              <w:right w:val="nil"/>
              <w:tl2br w:val="nil"/>
              <w:tr2bl w:val="nil"/>
            </w:tcBorders>
            <w:noWrap/>
            <w:vAlign w:val="bottom"/>
          </w:tcPr>
          <w:p w:rsidR="001D2E73" w:rsidRDefault="001D2E73">
            <w:pPr>
              <w:keepNext/>
              <w:keepLines/>
              <w:spacing w:before="40" w:after="40" w:line="220" w:lineRule="exact"/>
              <w:jc w:val="right"/>
              <w:rPr>
                <w:sz w:val="18"/>
                <w:szCs w:val="18"/>
              </w:rPr>
            </w:pPr>
            <w:r>
              <w:rPr>
                <w:sz w:val="18"/>
                <w:szCs w:val="18"/>
              </w:rPr>
              <w:t>1 607</w:t>
            </w:r>
          </w:p>
        </w:tc>
      </w:tr>
      <w:tr w:rsidR="001D2E73">
        <w:trPr>
          <w:trHeight w:val="20"/>
        </w:trPr>
        <w:tc>
          <w:tcPr>
            <w:tcW w:w="3513" w:type="dxa"/>
            <w:tcBorders>
              <w:bottom w:val="single" w:sz="4" w:space="0" w:color="auto"/>
            </w:tcBorders>
            <w:noWrap/>
            <w:vAlign w:val="bottom"/>
          </w:tcPr>
          <w:p w:rsidR="001D2E73" w:rsidRDefault="001D2E73">
            <w:pPr>
              <w:keepNext/>
              <w:keepLines/>
              <w:spacing w:before="40" w:after="40" w:line="220" w:lineRule="exact"/>
              <w:rPr>
                <w:sz w:val="18"/>
                <w:szCs w:val="18"/>
              </w:rPr>
            </w:pPr>
            <w:r>
              <w:rPr>
                <w:sz w:val="18"/>
                <w:szCs w:val="18"/>
              </w:rPr>
              <w:t xml:space="preserve">    No estatales</w:t>
            </w:r>
          </w:p>
        </w:tc>
        <w:tc>
          <w:tcPr>
            <w:tcW w:w="842"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3</w:t>
            </w:r>
          </w:p>
        </w:tc>
        <w:tc>
          <w:tcPr>
            <w:tcW w:w="842"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3</w:t>
            </w:r>
          </w:p>
        </w:tc>
        <w:tc>
          <w:tcPr>
            <w:tcW w:w="841"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3</w:t>
            </w:r>
          </w:p>
        </w:tc>
        <w:tc>
          <w:tcPr>
            <w:tcW w:w="841"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3</w:t>
            </w:r>
          </w:p>
        </w:tc>
        <w:tc>
          <w:tcPr>
            <w:tcW w:w="841"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5</w:t>
            </w:r>
          </w:p>
        </w:tc>
        <w:tc>
          <w:tcPr>
            <w:tcW w:w="841" w:type="dxa"/>
            <w:tcBorders>
              <w:left w:val="nil"/>
              <w:bottom w:val="single" w:sz="4" w:space="0" w:color="auto"/>
              <w:right w:val="nil"/>
              <w:tl2br w:val="nil"/>
              <w:tr2bl w:val="nil"/>
            </w:tcBorders>
            <w:noWrap/>
            <w:vAlign w:val="bottom"/>
          </w:tcPr>
          <w:p w:rsidR="001D2E73" w:rsidRDefault="001D2E73">
            <w:pPr>
              <w:keepNext/>
              <w:keepLines/>
              <w:spacing w:before="40" w:after="40" w:line="220" w:lineRule="exact"/>
              <w:jc w:val="right"/>
              <w:rPr>
                <w:sz w:val="18"/>
                <w:szCs w:val="18"/>
              </w:rPr>
            </w:pPr>
            <w:r>
              <w:rPr>
                <w:sz w:val="18"/>
                <w:szCs w:val="18"/>
              </w:rPr>
              <w:t>12</w:t>
            </w:r>
          </w:p>
        </w:tc>
      </w:tr>
      <w:tr w:rsidR="001D2E73">
        <w:trPr>
          <w:trHeight w:val="794"/>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Número de niños matriculados en instituciones de enseñanza pre-escolar total, miles</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110,9</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110,1</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110,0</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109,5</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103,9</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103,6</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i/>
                <w:sz w:val="18"/>
                <w:szCs w:val="18"/>
              </w:rPr>
            </w:pPr>
            <w:r>
              <w:rPr>
                <w:i/>
                <w:sz w:val="18"/>
                <w:szCs w:val="18"/>
              </w:rPr>
              <w:t xml:space="preserve">  De ellos: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top w:val="nil"/>
            </w:tcBorders>
            <w:noWrap/>
            <w:vAlign w:val="bottom"/>
          </w:tcPr>
          <w:p w:rsidR="001D2E73" w:rsidRDefault="001D2E73">
            <w:pPr>
              <w:spacing w:before="40" w:after="40" w:line="220" w:lineRule="exact"/>
              <w:rPr>
                <w:sz w:val="18"/>
                <w:szCs w:val="18"/>
              </w:rPr>
            </w:pPr>
            <w:r>
              <w:rPr>
                <w:sz w:val="18"/>
                <w:szCs w:val="18"/>
              </w:rPr>
              <w:t xml:space="preserve">   En las estatales</w:t>
            </w:r>
          </w:p>
        </w:tc>
        <w:tc>
          <w:tcPr>
            <w:tcW w:w="842" w:type="dxa"/>
            <w:tcBorders>
              <w:top w:val="nil"/>
            </w:tcBorders>
            <w:vAlign w:val="bottom"/>
          </w:tcPr>
          <w:p w:rsidR="001D2E73" w:rsidRDefault="001D2E73">
            <w:pPr>
              <w:spacing w:before="40" w:after="40" w:line="220" w:lineRule="exact"/>
              <w:jc w:val="right"/>
              <w:rPr>
                <w:sz w:val="18"/>
                <w:szCs w:val="18"/>
              </w:rPr>
            </w:pPr>
            <w:r>
              <w:rPr>
                <w:sz w:val="18"/>
                <w:szCs w:val="18"/>
              </w:rPr>
              <w:t>110,8</w:t>
            </w:r>
          </w:p>
        </w:tc>
        <w:tc>
          <w:tcPr>
            <w:tcW w:w="842" w:type="dxa"/>
            <w:tcBorders>
              <w:top w:val="nil"/>
            </w:tcBorders>
            <w:vAlign w:val="bottom"/>
          </w:tcPr>
          <w:p w:rsidR="001D2E73" w:rsidRDefault="001D2E73">
            <w:pPr>
              <w:spacing w:before="40" w:after="40" w:line="220" w:lineRule="exact"/>
              <w:jc w:val="right"/>
              <w:rPr>
                <w:sz w:val="18"/>
                <w:szCs w:val="18"/>
              </w:rPr>
            </w:pPr>
            <w:r>
              <w:rPr>
                <w:sz w:val="18"/>
                <w:szCs w:val="18"/>
              </w:rPr>
              <w:t>109,9</w:t>
            </w:r>
          </w:p>
        </w:tc>
        <w:tc>
          <w:tcPr>
            <w:tcW w:w="841" w:type="dxa"/>
            <w:tcBorders>
              <w:top w:val="nil"/>
            </w:tcBorders>
            <w:vAlign w:val="bottom"/>
          </w:tcPr>
          <w:p w:rsidR="001D2E73" w:rsidRDefault="001D2E73">
            <w:pPr>
              <w:spacing w:before="40" w:after="40" w:line="220" w:lineRule="exact"/>
              <w:jc w:val="right"/>
              <w:rPr>
                <w:sz w:val="18"/>
                <w:szCs w:val="18"/>
              </w:rPr>
            </w:pPr>
            <w:r>
              <w:rPr>
                <w:sz w:val="18"/>
                <w:szCs w:val="18"/>
              </w:rPr>
              <w:t>109,9</w:t>
            </w:r>
          </w:p>
        </w:tc>
        <w:tc>
          <w:tcPr>
            <w:tcW w:w="841" w:type="dxa"/>
            <w:tcBorders>
              <w:top w:val="nil"/>
            </w:tcBorders>
            <w:vAlign w:val="bottom"/>
          </w:tcPr>
          <w:p w:rsidR="001D2E73" w:rsidRDefault="001D2E73">
            <w:pPr>
              <w:spacing w:before="40" w:after="40" w:line="220" w:lineRule="exact"/>
              <w:jc w:val="right"/>
              <w:rPr>
                <w:sz w:val="18"/>
                <w:szCs w:val="18"/>
              </w:rPr>
            </w:pPr>
            <w:r>
              <w:rPr>
                <w:sz w:val="18"/>
                <w:szCs w:val="18"/>
              </w:rPr>
              <w:t>109,3</w:t>
            </w:r>
          </w:p>
        </w:tc>
        <w:tc>
          <w:tcPr>
            <w:tcW w:w="841" w:type="dxa"/>
            <w:tcBorders>
              <w:top w:val="nil"/>
            </w:tcBorders>
            <w:vAlign w:val="bottom"/>
          </w:tcPr>
          <w:p w:rsidR="001D2E73" w:rsidRDefault="001D2E73">
            <w:pPr>
              <w:spacing w:before="40" w:after="40" w:line="220" w:lineRule="exact"/>
              <w:jc w:val="right"/>
              <w:rPr>
                <w:sz w:val="18"/>
                <w:szCs w:val="18"/>
              </w:rPr>
            </w:pPr>
            <w:r>
              <w:rPr>
                <w:sz w:val="18"/>
                <w:szCs w:val="18"/>
              </w:rPr>
              <w:t>103,6</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103,0</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En las no estatales</w:t>
            </w:r>
          </w:p>
        </w:tc>
        <w:tc>
          <w:tcPr>
            <w:tcW w:w="842" w:type="dxa"/>
            <w:tcBorders>
              <w:bottom w:val="nil"/>
            </w:tcBorders>
            <w:vAlign w:val="bottom"/>
          </w:tcPr>
          <w:p w:rsidR="001D2E73" w:rsidRDefault="001D2E73">
            <w:pPr>
              <w:spacing w:before="40" w:after="40" w:line="220" w:lineRule="exact"/>
              <w:jc w:val="right"/>
              <w:rPr>
                <w:sz w:val="18"/>
                <w:szCs w:val="18"/>
              </w:rPr>
            </w:pPr>
            <w:r>
              <w:rPr>
                <w:sz w:val="18"/>
                <w:szCs w:val="18"/>
              </w:rPr>
              <w:t>0,1</w:t>
            </w:r>
          </w:p>
        </w:tc>
        <w:tc>
          <w:tcPr>
            <w:tcW w:w="842" w:type="dxa"/>
            <w:tcBorders>
              <w:bottom w:val="nil"/>
            </w:tcBorders>
            <w:vAlign w:val="bottom"/>
          </w:tcPr>
          <w:p w:rsidR="001D2E73" w:rsidRDefault="001D2E73">
            <w:pPr>
              <w:spacing w:before="40" w:after="40" w:line="220" w:lineRule="exact"/>
              <w:jc w:val="right"/>
              <w:rPr>
                <w:sz w:val="18"/>
                <w:szCs w:val="18"/>
              </w:rPr>
            </w:pPr>
            <w:r>
              <w:rPr>
                <w:sz w:val="18"/>
                <w:szCs w:val="18"/>
              </w:rPr>
              <w:t>0,2</w:t>
            </w:r>
          </w:p>
        </w:tc>
        <w:tc>
          <w:tcPr>
            <w:tcW w:w="841" w:type="dxa"/>
            <w:tcBorders>
              <w:bottom w:val="nil"/>
            </w:tcBorders>
            <w:vAlign w:val="bottom"/>
          </w:tcPr>
          <w:p w:rsidR="001D2E73" w:rsidRDefault="001D2E73">
            <w:pPr>
              <w:spacing w:before="40" w:after="40" w:line="220" w:lineRule="exact"/>
              <w:jc w:val="right"/>
              <w:rPr>
                <w:sz w:val="18"/>
                <w:szCs w:val="18"/>
              </w:rPr>
            </w:pPr>
            <w:r>
              <w:rPr>
                <w:sz w:val="18"/>
                <w:szCs w:val="18"/>
              </w:rPr>
              <w:t>0,1</w:t>
            </w:r>
          </w:p>
        </w:tc>
        <w:tc>
          <w:tcPr>
            <w:tcW w:w="841" w:type="dxa"/>
            <w:tcBorders>
              <w:bottom w:val="nil"/>
            </w:tcBorders>
            <w:vAlign w:val="bottom"/>
          </w:tcPr>
          <w:p w:rsidR="001D2E73" w:rsidRDefault="001D2E73">
            <w:pPr>
              <w:spacing w:before="40" w:after="40" w:line="220" w:lineRule="exact"/>
              <w:jc w:val="right"/>
              <w:rPr>
                <w:sz w:val="18"/>
                <w:szCs w:val="18"/>
              </w:rPr>
            </w:pPr>
            <w:r>
              <w:rPr>
                <w:sz w:val="18"/>
                <w:szCs w:val="18"/>
              </w:rPr>
              <w:t>0,2</w:t>
            </w:r>
          </w:p>
        </w:tc>
        <w:tc>
          <w:tcPr>
            <w:tcW w:w="841" w:type="dxa"/>
            <w:tcBorders>
              <w:bottom w:val="nil"/>
            </w:tcBorders>
            <w:vAlign w:val="bottom"/>
          </w:tcPr>
          <w:p w:rsidR="001D2E73" w:rsidRDefault="001D2E73">
            <w:pPr>
              <w:spacing w:before="40" w:after="40" w:line="220" w:lineRule="exact"/>
              <w:jc w:val="right"/>
              <w:rPr>
                <w:sz w:val="18"/>
                <w:szCs w:val="18"/>
              </w:rPr>
            </w:pPr>
            <w:r>
              <w:rPr>
                <w:sz w:val="18"/>
                <w:szCs w:val="18"/>
              </w:rPr>
              <w:t>0,3</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0,6</w:t>
            </w:r>
          </w:p>
        </w:tc>
      </w:tr>
      <w:tr w:rsidR="001D2E73">
        <w:trPr>
          <w:trHeight w:val="900"/>
        </w:trPr>
        <w:tc>
          <w:tcPr>
            <w:tcW w:w="3513" w:type="dxa"/>
            <w:tcBorders>
              <w:top w:val="nil"/>
              <w:bottom w:val="nil"/>
            </w:tcBorders>
            <w:noWrap/>
            <w:vAlign w:val="bottom"/>
          </w:tcPr>
          <w:p w:rsidR="001D2E73" w:rsidRDefault="001D2E73" w:rsidP="0094705E">
            <w:pPr>
              <w:keepNext/>
              <w:spacing w:before="40" w:after="40" w:line="220" w:lineRule="exact"/>
              <w:rPr>
                <w:sz w:val="18"/>
                <w:szCs w:val="18"/>
              </w:rPr>
            </w:pPr>
            <w:r>
              <w:rPr>
                <w:sz w:val="18"/>
                <w:szCs w:val="18"/>
              </w:rPr>
              <w:t xml:space="preserve">Del total de niños matriculados en las </w:t>
            </w:r>
          </w:p>
          <w:p w:rsidR="001D2E73" w:rsidRDefault="001D2E73" w:rsidP="0094705E">
            <w:pPr>
              <w:keepNext/>
              <w:spacing w:before="40" w:after="40" w:line="220" w:lineRule="exact"/>
              <w:rPr>
                <w:sz w:val="18"/>
                <w:szCs w:val="18"/>
              </w:rPr>
            </w:pPr>
            <w:r>
              <w:rPr>
                <w:sz w:val="18"/>
                <w:szCs w:val="18"/>
              </w:rPr>
              <w:t>instituciones de enseñanza pre-escolar</w:t>
            </w:r>
          </w:p>
          <w:p w:rsidR="001D2E73" w:rsidRDefault="001D2E73" w:rsidP="0094705E">
            <w:pPr>
              <w:keepNext/>
              <w:spacing w:before="40" w:after="40" w:line="220" w:lineRule="exact"/>
              <w:rPr>
                <w:sz w:val="18"/>
                <w:szCs w:val="18"/>
              </w:rPr>
            </w:pPr>
            <w:r>
              <w:rPr>
                <w:sz w:val="18"/>
                <w:szCs w:val="18"/>
              </w:rPr>
              <w:t>miles de:</w:t>
            </w:r>
          </w:p>
        </w:tc>
        <w:tc>
          <w:tcPr>
            <w:tcW w:w="842" w:type="dxa"/>
            <w:tcBorders>
              <w:top w:val="nil"/>
              <w:bottom w:val="nil"/>
            </w:tcBorders>
            <w:noWrap/>
            <w:vAlign w:val="bottom"/>
          </w:tcPr>
          <w:p w:rsidR="001D2E73" w:rsidRDefault="001D2E73" w:rsidP="0094705E">
            <w:pPr>
              <w:keepNext/>
              <w:spacing w:before="40" w:after="40" w:line="220" w:lineRule="exact"/>
              <w:jc w:val="right"/>
              <w:rPr>
                <w:sz w:val="18"/>
                <w:szCs w:val="18"/>
              </w:rPr>
            </w:pPr>
          </w:p>
        </w:tc>
        <w:tc>
          <w:tcPr>
            <w:tcW w:w="842" w:type="dxa"/>
            <w:tcBorders>
              <w:top w:val="nil"/>
              <w:bottom w:val="nil"/>
            </w:tcBorders>
            <w:noWrap/>
            <w:vAlign w:val="bottom"/>
          </w:tcPr>
          <w:p w:rsidR="001D2E73" w:rsidRDefault="001D2E73" w:rsidP="0094705E">
            <w:pPr>
              <w:keepNext/>
              <w:spacing w:before="40" w:after="40" w:line="220" w:lineRule="exact"/>
              <w:jc w:val="right"/>
              <w:rPr>
                <w:sz w:val="18"/>
                <w:szCs w:val="18"/>
              </w:rPr>
            </w:pPr>
          </w:p>
        </w:tc>
        <w:tc>
          <w:tcPr>
            <w:tcW w:w="841" w:type="dxa"/>
            <w:tcBorders>
              <w:top w:val="nil"/>
              <w:bottom w:val="nil"/>
            </w:tcBorders>
            <w:noWrap/>
            <w:vAlign w:val="bottom"/>
          </w:tcPr>
          <w:p w:rsidR="001D2E73" w:rsidRDefault="001D2E73" w:rsidP="0094705E">
            <w:pPr>
              <w:keepNext/>
              <w:spacing w:before="40" w:after="40" w:line="220" w:lineRule="exact"/>
              <w:jc w:val="right"/>
              <w:rPr>
                <w:sz w:val="18"/>
                <w:szCs w:val="18"/>
              </w:rPr>
            </w:pPr>
          </w:p>
        </w:tc>
        <w:tc>
          <w:tcPr>
            <w:tcW w:w="841" w:type="dxa"/>
            <w:tcBorders>
              <w:top w:val="nil"/>
              <w:bottom w:val="nil"/>
            </w:tcBorders>
            <w:noWrap/>
            <w:vAlign w:val="bottom"/>
          </w:tcPr>
          <w:p w:rsidR="001D2E73" w:rsidRDefault="001D2E73" w:rsidP="0094705E">
            <w:pPr>
              <w:keepNext/>
              <w:spacing w:before="40" w:after="40" w:line="220" w:lineRule="exact"/>
              <w:jc w:val="right"/>
              <w:rPr>
                <w:sz w:val="18"/>
                <w:szCs w:val="18"/>
              </w:rPr>
            </w:pPr>
          </w:p>
        </w:tc>
        <w:tc>
          <w:tcPr>
            <w:tcW w:w="841" w:type="dxa"/>
            <w:tcBorders>
              <w:top w:val="nil"/>
              <w:bottom w:val="nil"/>
            </w:tcBorders>
            <w:noWrap/>
            <w:vAlign w:val="bottom"/>
          </w:tcPr>
          <w:p w:rsidR="001D2E73" w:rsidRDefault="001D2E73" w:rsidP="0094705E">
            <w:pPr>
              <w:keepNext/>
              <w:spacing w:before="40" w:after="40" w:line="220" w:lineRule="exact"/>
              <w:jc w:val="right"/>
              <w:rPr>
                <w:sz w:val="18"/>
                <w:szCs w:val="18"/>
              </w:rPr>
            </w:pPr>
          </w:p>
        </w:tc>
        <w:tc>
          <w:tcPr>
            <w:tcW w:w="841" w:type="dxa"/>
            <w:tcBorders>
              <w:top w:val="nil"/>
              <w:left w:val="nil"/>
              <w:bottom w:val="nil"/>
              <w:right w:val="nil"/>
              <w:tl2br w:val="nil"/>
              <w:tr2bl w:val="nil"/>
            </w:tcBorders>
            <w:noWrap/>
            <w:vAlign w:val="bottom"/>
          </w:tcPr>
          <w:p w:rsidR="001D2E73" w:rsidRDefault="001D2E73" w:rsidP="0094705E">
            <w:pPr>
              <w:keepNext/>
              <w:spacing w:before="40" w:after="40" w:line="220" w:lineRule="exact"/>
              <w:jc w:val="right"/>
              <w:rPr>
                <w:sz w:val="18"/>
                <w:szCs w:val="18"/>
              </w:rPr>
            </w:pPr>
          </w:p>
        </w:tc>
      </w:tr>
      <w:tr w:rsidR="001D2E73">
        <w:trPr>
          <w:trHeight w:val="20"/>
        </w:trPr>
        <w:tc>
          <w:tcPr>
            <w:tcW w:w="3513" w:type="dxa"/>
            <w:tcBorders>
              <w:top w:val="nil"/>
            </w:tcBorders>
            <w:noWrap/>
            <w:vAlign w:val="bottom"/>
          </w:tcPr>
          <w:p w:rsidR="001D2E73" w:rsidRDefault="001D2E73">
            <w:pPr>
              <w:spacing w:before="40" w:after="40" w:line="220" w:lineRule="exact"/>
              <w:rPr>
                <w:sz w:val="18"/>
                <w:szCs w:val="18"/>
              </w:rPr>
            </w:pPr>
            <w:r>
              <w:rPr>
                <w:sz w:val="18"/>
                <w:szCs w:val="18"/>
              </w:rPr>
              <w:t xml:space="preserve">   Niños</w:t>
            </w:r>
          </w:p>
        </w:tc>
        <w:tc>
          <w:tcPr>
            <w:tcW w:w="842" w:type="dxa"/>
            <w:tcBorders>
              <w:top w:val="nil"/>
            </w:tcBorders>
            <w:vAlign w:val="bottom"/>
          </w:tcPr>
          <w:p w:rsidR="001D2E73" w:rsidRDefault="001D2E73">
            <w:pPr>
              <w:spacing w:before="40" w:after="40" w:line="220" w:lineRule="exact"/>
              <w:jc w:val="right"/>
              <w:rPr>
                <w:sz w:val="18"/>
                <w:szCs w:val="18"/>
              </w:rPr>
            </w:pPr>
            <w:r>
              <w:rPr>
                <w:sz w:val="18"/>
                <w:szCs w:val="18"/>
              </w:rPr>
              <w:t>57,5</w:t>
            </w:r>
          </w:p>
        </w:tc>
        <w:tc>
          <w:tcPr>
            <w:tcW w:w="842" w:type="dxa"/>
            <w:tcBorders>
              <w:top w:val="nil"/>
            </w:tcBorders>
            <w:vAlign w:val="bottom"/>
          </w:tcPr>
          <w:p w:rsidR="001D2E73" w:rsidRDefault="001D2E73">
            <w:pPr>
              <w:spacing w:before="40" w:after="40" w:line="220" w:lineRule="exact"/>
              <w:jc w:val="right"/>
              <w:rPr>
                <w:sz w:val="18"/>
                <w:szCs w:val="18"/>
              </w:rPr>
            </w:pPr>
            <w:r>
              <w:rPr>
                <w:sz w:val="18"/>
                <w:szCs w:val="18"/>
              </w:rPr>
              <w:t>57,0</w:t>
            </w:r>
          </w:p>
        </w:tc>
        <w:tc>
          <w:tcPr>
            <w:tcW w:w="841" w:type="dxa"/>
            <w:tcBorders>
              <w:top w:val="nil"/>
            </w:tcBorders>
            <w:vAlign w:val="bottom"/>
          </w:tcPr>
          <w:p w:rsidR="001D2E73" w:rsidRDefault="001D2E73">
            <w:pPr>
              <w:spacing w:before="40" w:after="40" w:line="220" w:lineRule="exact"/>
              <w:jc w:val="right"/>
              <w:rPr>
                <w:sz w:val="18"/>
                <w:szCs w:val="18"/>
              </w:rPr>
            </w:pPr>
            <w:r>
              <w:rPr>
                <w:sz w:val="18"/>
                <w:szCs w:val="18"/>
              </w:rPr>
              <w:t>58,0</w:t>
            </w:r>
          </w:p>
        </w:tc>
        <w:tc>
          <w:tcPr>
            <w:tcW w:w="841" w:type="dxa"/>
            <w:tcBorders>
              <w:top w:val="nil"/>
            </w:tcBorders>
            <w:vAlign w:val="bottom"/>
          </w:tcPr>
          <w:p w:rsidR="001D2E73" w:rsidRDefault="001D2E73">
            <w:pPr>
              <w:spacing w:before="40" w:after="40" w:line="220" w:lineRule="exact"/>
              <w:jc w:val="right"/>
              <w:rPr>
                <w:sz w:val="18"/>
                <w:szCs w:val="18"/>
              </w:rPr>
            </w:pPr>
            <w:r>
              <w:rPr>
                <w:sz w:val="18"/>
                <w:szCs w:val="18"/>
              </w:rPr>
              <w:t>58,4</w:t>
            </w:r>
          </w:p>
        </w:tc>
        <w:tc>
          <w:tcPr>
            <w:tcW w:w="841" w:type="dxa"/>
            <w:tcBorders>
              <w:top w:val="nil"/>
            </w:tcBorders>
            <w:vAlign w:val="bottom"/>
          </w:tcPr>
          <w:p w:rsidR="001D2E73" w:rsidRDefault="001D2E73">
            <w:pPr>
              <w:spacing w:before="40" w:after="40" w:line="220" w:lineRule="exact"/>
              <w:jc w:val="right"/>
              <w:rPr>
                <w:sz w:val="18"/>
                <w:szCs w:val="18"/>
              </w:rPr>
            </w:pPr>
            <w:r>
              <w:rPr>
                <w:sz w:val="18"/>
                <w:szCs w:val="18"/>
              </w:rPr>
              <w:t>55,2</w:t>
            </w:r>
          </w:p>
        </w:tc>
        <w:tc>
          <w:tcPr>
            <w:tcW w:w="841" w:type="dxa"/>
            <w:tcBorders>
              <w:top w:val="nil"/>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55,3</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Niñas</w:t>
            </w:r>
          </w:p>
        </w:tc>
        <w:tc>
          <w:tcPr>
            <w:tcW w:w="842"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53,4</w:t>
            </w:r>
          </w:p>
        </w:tc>
        <w:tc>
          <w:tcPr>
            <w:tcW w:w="842"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53,1</w:t>
            </w:r>
          </w:p>
        </w:tc>
        <w:tc>
          <w:tcPr>
            <w:tcW w:w="841"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52,0</w:t>
            </w:r>
          </w:p>
        </w:tc>
        <w:tc>
          <w:tcPr>
            <w:tcW w:w="841"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51,1</w:t>
            </w:r>
          </w:p>
        </w:tc>
        <w:tc>
          <w:tcPr>
            <w:tcW w:w="841"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48,7</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48,3</w:t>
            </w:r>
          </w:p>
        </w:tc>
      </w:tr>
      <w:tr w:rsidR="001D2E73">
        <w:trPr>
          <w:trHeight w:val="794"/>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Niños de 1 a 5 años que estudian en instituciones de enseñanza pre-escolar total, porcentaje</w:t>
            </w:r>
          </w:p>
        </w:tc>
        <w:tc>
          <w:tcPr>
            <w:tcW w:w="842"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19,9</w:t>
            </w:r>
          </w:p>
        </w:tc>
        <w:tc>
          <w:tcPr>
            <w:tcW w:w="842"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19,6</w:t>
            </w:r>
          </w:p>
        </w:tc>
        <w:tc>
          <w:tcPr>
            <w:tcW w:w="841"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19,1</w:t>
            </w:r>
          </w:p>
        </w:tc>
        <w:tc>
          <w:tcPr>
            <w:tcW w:w="841"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18,2</w:t>
            </w:r>
          </w:p>
        </w:tc>
        <w:tc>
          <w:tcPr>
            <w:tcW w:w="841" w:type="dxa"/>
            <w:tcBorders>
              <w:top w:val="single" w:sz="4" w:space="0" w:color="auto"/>
              <w:bottom w:val="single" w:sz="4" w:space="0" w:color="auto"/>
            </w:tcBorders>
            <w:vAlign w:val="bottom"/>
          </w:tcPr>
          <w:p w:rsidR="001D2E73" w:rsidRDefault="001D2E73">
            <w:pPr>
              <w:spacing w:before="80" w:after="80" w:line="220" w:lineRule="exact"/>
              <w:jc w:val="right"/>
              <w:rPr>
                <w:b/>
                <w:sz w:val="18"/>
                <w:szCs w:val="18"/>
              </w:rPr>
            </w:pPr>
            <w:r>
              <w:rPr>
                <w:b/>
                <w:sz w:val="18"/>
                <w:szCs w:val="18"/>
              </w:rPr>
              <w:t>16,3</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16,1</w:t>
            </w:r>
          </w:p>
        </w:tc>
      </w:tr>
      <w:tr w:rsidR="001D2E73">
        <w:trPr>
          <w:trHeight w:val="20"/>
        </w:trPr>
        <w:tc>
          <w:tcPr>
            <w:tcW w:w="3513" w:type="dxa"/>
            <w:tcBorders>
              <w:top w:val="single" w:sz="4" w:space="0" w:color="auto"/>
            </w:tcBorders>
            <w:noWrap/>
            <w:vAlign w:val="bottom"/>
          </w:tcPr>
          <w:p w:rsidR="001D2E73" w:rsidRDefault="001D2E73">
            <w:pPr>
              <w:spacing w:before="40" w:after="40" w:line="220" w:lineRule="exact"/>
              <w:rPr>
                <w:i/>
                <w:sz w:val="18"/>
                <w:szCs w:val="18"/>
              </w:rPr>
            </w:pPr>
            <w:r>
              <w:rPr>
                <w:sz w:val="18"/>
                <w:szCs w:val="18"/>
              </w:rPr>
              <w:t xml:space="preserve">  </w:t>
            </w:r>
            <w:r>
              <w:rPr>
                <w:i/>
                <w:sz w:val="18"/>
                <w:szCs w:val="18"/>
              </w:rPr>
              <w:t xml:space="preserve">De ellos: </w:t>
            </w:r>
          </w:p>
        </w:tc>
        <w:tc>
          <w:tcPr>
            <w:tcW w:w="842"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noWrap/>
            <w:vAlign w:val="bottom"/>
          </w:tcPr>
          <w:p w:rsidR="001D2E73" w:rsidRDefault="001D2E73">
            <w:pPr>
              <w:spacing w:before="40" w:after="40" w:line="220" w:lineRule="exact"/>
              <w:rPr>
                <w:sz w:val="18"/>
                <w:szCs w:val="18"/>
              </w:rPr>
            </w:pPr>
            <w:r>
              <w:rPr>
                <w:sz w:val="18"/>
                <w:szCs w:val="18"/>
              </w:rPr>
              <w:t xml:space="preserve">   Niños</w:t>
            </w:r>
          </w:p>
        </w:tc>
        <w:tc>
          <w:tcPr>
            <w:tcW w:w="842" w:type="dxa"/>
            <w:vAlign w:val="bottom"/>
          </w:tcPr>
          <w:p w:rsidR="001D2E73" w:rsidRDefault="001D2E73">
            <w:pPr>
              <w:spacing w:before="40" w:after="40" w:line="220" w:lineRule="exact"/>
              <w:jc w:val="right"/>
              <w:rPr>
                <w:sz w:val="18"/>
                <w:szCs w:val="18"/>
              </w:rPr>
            </w:pPr>
            <w:r>
              <w:rPr>
                <w:sz w:val="18"/>
                <w:szCs w:val="18"/>
              </w:rPr>
              <w:t>19,3</w:t>
            </w:r>
          </w:p>
        </w:tc>
        <w:tc>
          <w:tcPr>
            <w:tcW w:w="842" w:type="dxa"/>
            <w:vAlign w:val="bottom"/>
          </w:tcPr>
          <w:p w:rsidR="001D2E73" w:rsidRDefault="001D2E73">
            <w:pPr>
              <w:spacing w:before="40" w:after="40" w:line="220" w:lineRule="exact"/>
              <w:jc w:val="right"/>
              <w:rPr>
                <w:sz w:val="18"/>
                <w:szCs w:val="18"/>
              </w:rPr>
            </w:pPr>
            <w:r>
              <w:rPr>
                <w:sz w:val="18"/>
                <w:szCs w:val="18"/>
              </w:rPr>
              <w:t>18,9</w:t>
            </w:r>
          </w:p>
        </w:tc>
        <w:tc>
          <w:tcPr>
            <w:tcW w:w="841" w:type="dxa"/>
            <w:vAlign w:val="bottom"/>
          </w:tcPr>
          <w:p w:rsidR="001D2E73" w:rsidRDefault="001D2E73">
            <w:pPr>
              <w:spacing w:before="40" w:after="40" w:line="220" w:lineRule="exact"/>
              <w:jc w:val="right"/>
              <w:rPr>
                <w:sz w:val="18"/>
                <w:szCs w:val="18"/>
              </w:rPr>
            </w:pPr>
            <w:r>
              <w:rPr>
                <w:sz w:val="18"/>
                <w:szCs w:val="18"/>
              </w:rPr>
              <w:t>18,7</w:t>
            </w:r>
          </w:p>
        </w:tc>
        <w:tc>
          <w:tcPr>
            <w:tcW w:w="841" w:type="dxa"/>
            <w:vAlign w:val="bottom"/>
          </w:tcPr>
          <w:p w:rsidR="001D2E73" w:rsidRDefault="001D2E73">
            <w:pPr>
              <w:spacing w:before="40" w:after="40" w:line="220" w:lineRule="exact"/>
              <w:jc w:val="right"/>
              <w:rPr>
                <w:sz w:val="18"/>
                <w:szCs w:val="18"/>
              </w:rPr>
            </w:pPr>
            <w:r>
              <w:rPr>
                <w:sz w:val="18"/>
                <w:szCs w:val="18"/>
              </w:rPr>
              <w:t>18,1</w:t>
            </w:r>
          </w:p>
        </w:tc>
        <w:tc>
          <w:tcPr>
            <w:tcW w:w="841" w:type="dxa"/>
            <w:vAlign w:val="bottom"/>
          </w:tcPr>
          <w:p w:rsidR="001D2E73" w:rsidRDefault="001D2E73">
            <w:pPr>
              <w:spacing w:before="40" w:after="40" w:line="220" w:lineRule="exact"/>
              <w:jc w:val="right"/>
              <w:rPr>
                <w:sz w:val="18"/>
                <w:szCs w:val="18"/>
              </w:rPr>
            </w:pPr>
            <w:r>
              <w:rPr>
                <w:sz w:val="18"/>
                <w:szCs w:val="18"/>
              </w:rPr>
              <w:t>16,9</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15,9</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Niñas</w:t>
            </w:r>
          </w:p>
        </w:tc>
        <w:tc>
          <w:tcPr>
            <w:tcW w:w="842"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20,6</w:t>
            </w:r>
          </w:p>
        </w:tc>
        <w:tc>
          <w:tcPr>
            <w:tcW w:w="842"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20,4</w:t>
            </w:r>
          </w:p>
        </w:tc>
        <w:tc>
          <w:tcPr>
            <w:tcW w:w="841"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19,6</w:t>
            </w:r>
          </w:p>
        </w:tc>
        <w:tc>
          <w:tcPr>
            <w:tcW w:w="841"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18,4</w:t>
            </w:r>
          </w:p>
        </w:tc>
        <w:tc>
          <w:tcPr>
            <w:tcW w:w="841"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17,5</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16,3</w:t>
            </w:r>
          </w:p>
        </w:tc>
      </w:tr>
      <w:tr w:rsidR="001D2E73">
        <w:trPr>
          <w:trHeight w:val="737"/>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Número de escuelas diurnas de enseñanza general (a principios del curso escolar) – total</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4 553</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4 544</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4 550</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4 529</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4 555</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4 550</w:t>
            </w:r>
          </w:p>
        </w:tc>
      </w:tr>
      <w:tr w:rsidR="001D2E73">
        <w:trPr>
          <w:trHeight w:val="20"/>
        </w:trPr>
        <w:tc>
          <w:tcPr>
            <w:tcW w:w="3513" w:type="dxa"/>
            <w:tcBorders>
              <w:top w:val="single" w:sz="4" w:space="0" w:color="auto"/>
            </w:tcBorders>
            <w:noWrap/>
            <w:vAlign w:val="bottom"/>
          </w:tcPr>
          <w:p w:rsidR="001D2E73" w:rsidRDefault="001D2E73">
            <w:pPr>
              <w:spacing w:before="40" w:after="40" w:line="220" w:lineRule="exact"/>
              <w:rPr>
                <w:i/>
                <w:sz w:val="18"/>
                <w:szCs w:val="18"/>
              </w:rPr>
            </w:pPr>
            <w:r>
              <w:rPr>
                <w:i/>
                <w:sz w:val="18"/>
                <w:szCs w:val="18"/>
              </w:rPr>
              <w:t xml:space="preserve">  De ellas: </w:t>
            </w:r>
          </w:p>
        </w:tc>
        <w:tc>
          <w:tcPr>
            <w:tcW w:w="842" w:type="dxa"/>
            <w:tcBorders>
              <w:top w:val="single" w:sz="4" w:space="0" w:color="auto"/>
            </w:tcBorders>
            <w:noWrap/>
            <w:vAlign w:val="bottom"/>
          </w:tcPr>
          <w:p w:rsidR="001D2E73" w:rsidRDefault="001D2E73">
            <w:pPr>
              <w:spacing w:before="40" w:after="40" w:line="220" w:lineRule="exact"/>
              <w:jc w:val="right"/>
              <w:rPr>
                <w:sz w:val="18"/>
                <w:szCs w:val="18"/>
              </w:rPr>
            </w:pPr>
            <w:r>
              <w:rPr>
                <w:sz w:val="18"/>
                <w:szCs w:val="18"/>
              </w:rPr>
              <w:t xml:space="preserve"> </w:t>
            </w:r>
          </w:p>
        </w:tc>
        <w:tc>
          <w:tcPr>
            <w:tcW w:w="842"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noWrap/>
            <w:vAlign w:val="bottom"/>
          </w:tcPr>
          <w:p w:rsidR="001D2E73" w:rsidRDefault="001D2E73">
            <w:pPr>
              <w:spacing w:before="40" w:after="40" w:line="220" w:lineRule="exact"/>
              <w:rPr>
                <w:sz w:val="18"/>
                <w:szCs w:val="18"/>
              </w:rPr>
            </w:pPr>
            <w:r>
              <w:rPr>
                <w:sz w:val="18"/>
                <w:szCs w:val="18"/>
              </w:rPr>
              <w:t xml:space="preserve">    Estatales</w:t>
            </w:r>
          </w:p>
        </w:tc>
        <w:tc>
          <w:tcPr>
            <w:tcW w:w="842" w:type="dxa"/>
            <w:vAlign w:val="bottom"/>
          </w:tcPr>
          <w:p w:rsidR="001D2E73" w:rsidRDefault="001D2E73">
            <w:pPr>
              <w:spacing w:before="40" w:after="40" w:line="220" w:lineRule="exact"/>
              <w:jc w:val="right"/>
              <w:rPr>
                <w:sz w:val="18"/>
                <w:szCs w:val="18"/>
              </w:rPr>
            </w:pPr>
            <w:r>
              <w:rPr>
                <w:sz w:val="18"/>
                <w:szCs w:val="18"/>
              </w:rPr>
              <w:t>4 542</w:t>
            </w:r>
          </w:p>
        </w:tc>
        <w:tc>
          <w:tcPr>
            <w:tcW w:w="842" w:type="dxa"/>
            <w:vAlign w:val="bottom"/>
          </w:tcPr>
          <w:p w:rsidR="001D2E73" w:rsidRDefault="001D2E73">
            <w:pPr>
              <w:spacing w:before="40" w:after="40" w:line="220" w:lineRule="exact"/>
              <w:jc w:val="right"/>
              <w:rPr>
                <w:sz w:val="18"/>
                <w:szCs w:val="18"/>
              </w:rPr>
            </w:pPr>
            <w:r>
              <w:rPr>
                <w:sz w:val="18"/>
                <w:szCs w:val="18"/>
              </w:rPr>
              <w:t>4 533</w:t>
            </w:r>
          </w:p>
        </w:tc>
        <w:tc>
          <w:tcPr>
            <w:tcW w:w="841" w:type="dxa"/>
            <w:vAlign w:val="bottom"/>
          </w:tcPr>
          <w:p w:rsidR="001D2E73" w:rsidRDefault="001D2E73">
            <w:pPr>
              <w:spacing w:before="40" w:after="40" w:line="220" w:lineRule="exact"/>
              <w:jc w:val="right"/>
              <w:rPr>
                <w:sz w:val="18"/>
                <w:szCs w:val="18"/>
              </w:rPr>
            </w:pPr>
            <w:r>
              <w:rPr>
                <w:sz w:val="18"/>
                <w:szCs w:val="18"/>
              </w:rPr>
              <w:t>4 538</w:t>
            </w:r>
          </w:p>
        </w:tc>
        <w:tc>
          <w:tcPr>
            <w:tcW w:w="841" w:type="dxa"/>
            <w:vAlign w:val="bottom"/>
          </w:tcPr>
          <w:p w:rsidR="001D2E73" w:rsidRDefault="001D2E73">
            <w:pPr>
              <w:spacing w:before="40" w:after="40" w:line="220" w:lineRule="exact"/>
              <w:jc w:val="right"/>
              <w:rPr>
                <w:sz w:val="18"/>
                <w:szCs w:val="18"/>
              </w:rPr>
            </w:pPr>
            <w:r>
              <w:rPr>
                <w:sz w:val="18"/>
                <w:szCs w:val="18"/>
              </w:rPr>
              <w:t>4 516</w:t>
            </w:r>
          </w:p>
        </w:tc>
        <w:tc>
          <w:tcPr>
            <w:tcW w:w="841" w:type="dxa"/>
            <w:vAlign w:val="bottom"/>
          </w:tcPr>
          <w:p w:rsidR="001D2E73" w:rsidRDefault="001D2E73">
            <w:pPr>
              <w:spacing w:before="40" w:after="40" w:line="220" w:lineRule="exact"/>
              <w:jc w:val="right"/>
              <w:rPr>
                <w:sz w:val="18"/>
                <w:szCs w:val="18"/>
              </w:rPr>
            </w:pPr>
            <w:r>
              <w:rPr>
                <w:sz w:val="18"/>
                <w:szCs w:val="18"/>
              </w:rPr>
              <w:t>4 538</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4 533</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No estatales</w:t>
            </w:r>
          </w:p>
        </w:tc>
        <w:tc>
          <w:tcPr>
            <w:tcW w:w="842"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11</w:t>
            </w:r>
          </w:p>
        </w:tc>
        <w:tc>
          <w:tcPr>
            <w:tcW w:w="842"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11</w:t>
            </w:r>
          </w:p>
        </w:tc>
        <w:tc>
          <w:tcPr>
            <w:tcW w:w="841"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12</w:t>
            </w:r>
          </w:p>
        </w:tc>
        <w:tc>
          <w:tcPr>
            <w:tcW w:w="841"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13</w:t>
            </w:r>
          </w:p>
        </w:tc>
        <w:tc>
          <w:tcPr>
            <w:tcW w:w="841" w:type="dxa"/>
            <w:tcBorders>
              <w:bottom w:val="single" w:sz="4" w:space="0" w:color="auto"/>
            </w:tcBorders>
            <w:vAlign w:val="bottom"/>
          </w:tcPr>
          <w:p w:rsidR="001D2E73" w:rsidRDefault="001D2E73">
            <w:pPr>
              <w:spacing w:before="40" w:after="40" w:line="220" w:lineRule="exact"/>
              <w:jc w:val="right"/>
              <w:rPr>
                <w:sz w:val="18"/>
                <w:szCs w:val="18"/>
              </w:rPr>
            </w:pPr>
            <w:r>
              <w:rPr>
                <w:sz w:val="18"/>
                <w:szCs w:val="18"/>
              </w:rPr>
              <w:t>17</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17</w:t>
            </w:r>
            <w:r>
              <w:rPr>
                <w:sz w:val="18"/>
                <w:szCs w:val="18"/>
                <w:vertAlign w:val="superscript"/>
              </w:rPr>
              <w:t>а)</w:t>
            </w:r>
          </w:p>
        </w:tc>
      </w:tr>
      <w:tr w:rsidR="001D2E73">
        <w:trPr>
          <w:trHeight w:val="567"/>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Cantidad de alumnos de las escuelas diurnas de enseñanza general total, miles</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1 680</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1 632</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1 584</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1 535</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1 487</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1 429</w:t>
            </w:r>
          </w:p>
        </w:tc>
      </w:tr>
      <w:tr w:rsidR="001D2E73">
        <w:trPr>
          <w:trHeight w:val="20"/>
        </w:trPr>
        <w:tc>
          <w:tcPr>
            <w:tcW w:w="3513" w:type="dxa"/>
            <w:tcBorders>
              <w:top w:val="single" w:sz="4" w:space="0" w:color="auto"/>
            </w:tcBorders>
            <w:noWrap/>
            <w:vAlign w:val="bottom"/>
          </w:tcPr>
          <w:p w:rsidR="001D2E73" w:rsidRDefault="001D2E73">
            <w:pPr>
              <w:spacing w:before="40" w:after="40" w:line="220" w:lineRule="exact"/>
              <w:rPr>
                <w:i/>
                <w:sz w:val="18"/>
                <w:szCs w:val="18"/>
              </w:rPr>
            </w:pPr>
            <w:r>
              <w:rPr>
                <w:sz w:val="18"/>
                <w:szCs w:val="18"/>
              </w:rPr>
              <w:t xml:space="preserve">  D</w:t>
            </w:r>
            <w:r>
              <w:rPr>
                <w:i/>
                <w:sz w:val="18"/>
                <w:szCs w:val="18"/>
              </w:rPr>
              <w:t xml:space="preserve">e ellos: </w:t>
            </w:r>
          </w:p>
        </w:tc>
        <w:tc>
          <w:tcPr>
            <w:tcW w:w="842"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En las estatales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1 676</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1 627</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1 579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1 529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1 480</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1 422</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En las no estatales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4</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7</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455"/>
        </w:trPr>
        <w:tc>
          <w:tcPr>
            <w:tcW w:w="3513" w:type="dxa"/>
            <w:noWrap/>
            <w:vAlign w:val="bottom"/>
          </w:tcPr>
          <w:p w:rsidR="001D2E73" w:rsidRDefault="001D2E73">
            <w:pPr>
              <w:spacing w:before="40" w:after="40" w:line="220" w:lineRule="exact"/>
              <w:rPr>
                <w:sz w:val="18"/>
                <w:szCs w:val="18"/>
              </w:rPr>
            </w:pPr>
            <w:r>
              <w:rPr>
                <w:sz w:val="18"/>
                <w:szCs w:val="18"/>
              </w:rPr>
              <w:t xml:space="preserve">Del total de alumnos de las escuelas diurnas de enseñanza generalmiles: </w:t>
            </w:r>
          </w:p>
        </w:tc>
        <w:tc>
          <w:tcPr>
            <w:tcW w:w="842" w:type="dxa"/>
            <w:noWrap/>
            <w:vAlign w:val="bottom"/>
          </w:tcPr>
          <w:p w:rsidR="001D2E73" w:rsidRDefault="001D2E73">
            <w:pPr>
              <w:spacing w:before="40" w:after="40" w:line="220" w:lineRule="exact"/>
              <w:jc w:val="right"/>
              <w:rPr>
                <w:sz w:val="18"/>
                <w:szCs w:val="18"/>
              </w:rPr>
            </w:pPr>
          </w:p>
        </w:tc>
        <w:tc>
          <w:tcPr>
            <w:tcW w:w="842"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tcBorders>
              <w:left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Niños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874</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851</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831</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804</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783</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759</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Niñas</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806</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781</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753</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731</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704</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670</w:t>
            </w:r>
          </w:p>
        </w:tc>
      </w:tr>
      <w:tr w:rsidR="001D2E73">
        <w:trPr>
          <w:trHeight w:val="567"/>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 xml:space="preserve">Recibieron certificación de estudios de enseñanza media general total, miles </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95</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121</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122</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115</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113</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106</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Niños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49</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63</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64</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59</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55</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Niñas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46</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58</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58</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54</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51</w:t>
            </w:r>
          </w:p>
        </w:tc>
      </w:tr>
      <w:tr w:rsidR="001D2E73">
        <w:trPr>
          <w:trHeight w:val="454"/>
        </w:trPr>
        <w:tc>
          <w:tcPr>
            <w:tcW w:w="3513" w:type="dxa"/>
            <w:noWrap/>
            <w:vAlign w:val="bottom"/>
          </w:tcPr>
          <w:p w:rsidR="001D2E73" w:rsidRDefault="001D2E73">
            <w:pPr>
              <w:spacing w:before="40" w:after="40" w:line="220" w:lineRule="exact"/>
              <w:rPr>
                <w:sz w:val="18"/>
                <w:szCs w:val="18"/>
              </w:rPr>
            </w:pPr>
            <w:r>
              <w:rPr>
                <w:sz w:val="18"/>
                <w:szCs w:val="18"/>
              </w:rPr>
              <w:t>Número de escuelas nocturnas de enseñanza general (a principios del curso escolar)</w:t>
            </w:r>
          </w:p>
        </w:tc>
        <w:tc>
          <w:tcPr>
            <w:tcW w:w="842" w:type="dxa"/>
            <w:noWrap/>
            <w:vAlign w:val="bottom"/>
          </w:tcPr>
          <w:p w:rsidR="001D2E73" w:rsidRDefault="001D2E73">
            <w:pPr>
              <w:spacing w:before="40" w:after="40" w:line="220" w:lineRule="exact"/>
              <w:jc w:val="right"/>
              <w:rPr>
                <w:sz w:val="18"/>
                <w:szCs w:val="18"/>
              </w:rPr>
            </w:pPr>
            <w:r>
              <w:rPr>
                <w:sz w:val="18"/>
                <w:szCs w:val="18"/>
              </w:rPr>
              <w:t>12</w:t>
            </w:r>
          </w:p>
        </w:tc>
        <w:tc>
          <w:tcPr>
            <w:tcW w:w="842" w:type="dxa"/>
            <w:noWrap/>
            <w:vAlign w:val="bottom"/>
          </w:tcPr>
          <w:p w:rsidR="001D2E73" w:rsidRDefault="001D2E73">
            <w:pPr>
              <w:spacing w:before="40" w:after="40" w:line="220" w:lineRule="exact"/>
              <w:jc w:val="right"/>
              <w:rPr>
                <w:sz w:val="18"/>
                <w:szCs w:val="18"/>
              </w:rPr>
            </w:pPr>
            <w:r>
              <w:rPr>
                <w:sz w:val="18"/>
                <w:szCs w:val="18"/>
              </w:rPr>
              <w:t>9</w:t>
            </w:r>
          </w:p>
        </w:tc>
        <w:tc>
          <w:tcPr>
            <w:tcW w:w="841" w:type="dxa"/>
            <w:noWrap/>
            <w:vAlign w:val="bottom"/>
          </w:tcPr>
          <w:p w:rsidR="001D2E73" w:rsidRDefault="001D2E73">
            <w:pPr>
              <w:spacing w:before="40" w:after="40" w:line="220" w:lineRule="exact"/>
              <w:jc w:val="right"/>
              <w:rPr>
                <w:sz w:val="18"/>
                <w:szCs w:val="18"/>
              </w:rPr>
            </w:pPr>
            <w:r>
              <w:rPr>
                <w:sz w:val="18"/>
                <w:szCs w:val="18"/>
              </w:rPr>
              <w:t>9</w:t>
            </w:r>
          </w:p>
        </w:tc>
        <w:tc>
          <w:tcPr>
            <w:tcW w:w="841" w:type="dxa"/>
            <w:noWrap/>
            <w:vAlign w:val="bottom"/>
          </w:tcPr>
          <w:p w:rsidR="001D2E73" w:rsidRDefault="001D2E73">
            <w:pPr>
              <w:spacing w:before="40" w:after="40" w:line="220" w:lineRule="exact"/>
              <w:jc w:val="right"/>
              <w:rPr>
                <w:sz w:val="18"/>
                <w:szCs w:val="18"/>
              </w:rPr>
            </w:pPr>
            <w:r>
              <w:rPr>
                <w:sz w:val="18"/>
                <w:szCs w:val="18"/>
              </w:rPr>
              <w:t>9</w:t>
            </w:r>
          </w:p>
        </w:tc>
        <w:tc>
          <w:tcPr>
            <w:tcW w:w="841" w:type="dxa"/>
            <w:noWrap/>
            <w:vAlign w:val="bottom"/>
          </w:tcPr>
          <w:p w:rsidR="001D2E73" w:rsidRDefault="001D2E73">
            <w:pPr>
              <w:spacing w:before="40" w:after="40" w:line="220" w:lineRule="exact"/>
              <w:jc w:val="right"/>
              <w:rPr>
                <w:sz w:val="18"/>
                <w:szCs w:val="18"/>
              </w:rPr>
            </w:pPr>
            <w:r>
              <w:rPr>
                <w:sz w:val="18"/>
                <w:szCs w:val="18"/>
              </w:rPr>
              <w:t>7</w:t>
            </w:r>
          </w:p>
        </w:tc>
        <w:tc>
          <w:tcPr>
            <w:tcW w:w="841" w:type="dxa"/>
            <w:tcBorders>
              <w:left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7</w:t>
            </w:r>
          </w:p>
        </w:tc>
      </w:tr>
      <w:tr w:rsidR="001D2E73">
        <w:trPr>
          <w:trHeight w:val="567"/>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Cantidad de alumnos de las escuelas nocturnas de enseñanza general: total, miles</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9</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3</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Niños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5</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2</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Niñas</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1</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1</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1</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1</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w:t>
            </w:r>
          </w:p>
        </w:tc>
      </w:tr>
      <w:tr w:rsidR="001D2E73">
        <w:trPr>
          <w:trHeight w:val="510"/>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 xml:space="preserve">Recibieron certificación de estudios cursados de enseñanza media general total, miles </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5,8</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5,4</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0,7</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0,4</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0,5</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0,3</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Niños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3,2</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2,9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0,5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0,3</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0,4</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0,2</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Niñas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2,6</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2,5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0,2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0,1</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0,1</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0,1</w:t>
            </w:r>
          </w:p>
        </w:tc>
      </w:tr>
      <w:tr w:rsidR="001D2E73">
        <w:trPr>
          <w:trHeight w:val="505"/>
        </w:trPr>
        <w:tc>
          <w:tcPr>
            <w:tcW w:w="3513" w:type="dxa"/>
            <w:noWrap/>
            <w:vAlign w:val="bottom"/>
          </w:tcPr>
          <w:p w:rsidR="001D2E73" w:rsidRDefault="001D2E73">
            <w:pPr>
              <w:spacing w:before="40" w:after="40" w:line="220" w:lineRule="exact"/>
              <w:rPr>
                <w:sz w:val="18"/>
                <w:szCs w:val="18"/>
              </w:rPr>
            </w:pPr>
            <w:r>
              <w:rPr>
                <w:sz w:val="18"/>
                <w:szCs w:val="18"/>
              </w:rPr>
              <w:t xml:space="preserve">Número de escuelas técnicas y de aprendizaje de oficios (al finalizar el curso) </w:t>
            </w:r>
          </w:p>
        </w:tc>
        <w:tc>
          <w:tcPr>
            <w:tcW w:w="842" w:type="dxa"/>
            <w:noWrap/>
            <w:vAlign w:val="bottom"/>
          </w:tcPr>
          <w:p w:rsidR="001D2E73" w:rsidRDefault="001D2E73">
            <w:pPr>
              <w:spacing w:before="40" w:after="40" w:line="220" w:lineRule="exact"/>
              <w:jc w:val="right"/>
              <w:rPr>
                <w:sz w:val="18"/>
                <w:szCs w:val="18"/>
              </w:rPr>
            </w:pPr>
            <w:r>
              <w:rPr>
                <w:sz w:val="18"/>
                <w:szCs w:val="18"/>
              </w:rPr>
              <w:t>110</w:t>
            </w:r>
          </w:p>
        </w:tc>
        <w:tc>
          <w:tcPr>
            <w:tcW w:w="842" w:type="dxa"/>
            <w:noWrap/>
            <w:vAlign w:val="bottom"/>
          </w:tcPr>
          <w:p w:rsidR="001D2E73" w:rsidRDefault="001D2E73">
            <w:pPr>
              <w:spacing w:before="40" w:after="40" w:line="220" w:lineRule="exact"/>
              <w:jc w:val="right"/>
              <w:rPr>
                <w:sz w:val="18"/>
                <w:szCs w:val="18"/>
              </w:rPr>
            </w:pPr>
            <w:r>
              <w:rPr>
                <w:sz w:val="18"/>
                <w:szCs w:val="18"/>
              </w:rPr>
              <w:t>110</w:t>
            </w:r>
          </w:p>
        </w:tc>
        <w:tc>
          <w:tcPr>
            <w:tcW w:w="841" w:type="dxa"/>
            <w:noWrap/>
            <w:vAlign w:val="bottom"/>
          </w:tcPr>
          <w:p w:rsidR="001D2E73" w:rsidRDefault="001D2E73">
            <w:pPr>
              <w:spacing w:before="40" w:after="40" w:line="220" w:lineRule="exact"/>
              <w:jc w:val="right"/>
              <w:rPr>
                <w:sz w:val="18"/>
                <w:szCs w:val="18"/>
              </w:rPr>
            </w:pPr>
            <w:r>
              <w:rPr>
                <w:sz w:val="18"/>
                <w:szCs w:val="18"/>
              </w:rPr>
              <w:t>107</w:t>
            </w:r>
          </w:p>
        </w:tc>
        <w:tc>
          <w:tcPr>
            <w:tcW w:w="841" w:type="dxa"/>
            <w:noWrap/>
            <w:vAlign w:val="bottom"/>
          </w:tcPr>
          <w:p w:rsidR="001D2E73" w:rsidRDefault="001D2E73">
            <w:pPr>
              <w:spacing w:before="40" w:after="40" w:line="220" w:lineRule="exact"/>
              <w:jc w:val="right"/>
              <w:rPr>
                <w:sz w:val="18"/>
                <w:szCs w:val="18"/>
              </w:rPr>
            </w:pPr>
            <w:r>
              <w:rPr>
                <w:sz w:val="18"/>
                <w:szCs w:val="18"/>
              </w:rPr>
              <w:t>107</w:t>
            </w:r>
          </w:p>
        </w:tc>
        <w:tc>
          <w:tcPr>
            <w:tcW w:w="841" w:type="dxa"/>
            <w:noWrap/>
            <w:vAlign w:val="bottom"/>
          </w:tcPr>
          <w:p w:rsidR="001D2E73" w:rsidRDefault="001D2E73">
            <w:pPr>
              <w:spacing w:before="40" w:after="40" w:line="220" w:lineRule="exact"/>
              <w:jc w:val="right"/>
              <w:rPr>
                <w:sz w:val="18"/>
                <w:szCs w:val="18"/>
              </w:rPr>
            </w:pPr>
            <w:r>
              <w:rPr>
                <w:sz w:val="18"/>
                <w:szCs w:val="18"/>
              </w:rPr>
              <w:t>107</w:t>
            </w:r>
          </w:p>
        </w:tc>
        <w:tc>
          <w:tcPr>
            <w:tcW w:w="841" w:type="dxa"/>
            <w:tcBorders>
              <w:left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108</w:t>
            </w:r>
          </w:p>
        </w:tc>
      </w:tr>
      <w:tr w:rsidR="001D2E73">
        <w:trPr>
          <w:trHeight w:val="510"/>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Cantidad de alumnos de las escuelas técnicas y de aprendizaje de oficios total, miles</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22</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22</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23</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23</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24</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25</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Niños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15</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17</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17</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17</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Niñas</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7</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7</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7</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7</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7</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8</w:t>
            </w:r>
          </w:p>
        </w:tc>
      </w:tr>
      <w:tr w:rsidR="001D2E73">
        <w:trPr>
          <w:trHeight w:val="567"/>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Graduados de escuelas técnicas y de aprendizaje de oficios total, miles</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11</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12</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13</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12</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Niños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7</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7</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7</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8</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9</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10</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Niñas</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2</w:t>
            </w:r>
          </w:p>
        </w:tc>
      </w:tr>
      <w:tr w:rsidR="001D2E73">
        <w:trPr>
          <w:trHeight w:val="567"/>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Número de escuelas medias especiales (al comienzo del curso escolar) – total</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60</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59</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60</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60</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60</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60</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De ellas: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Estatales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55</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55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56</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56</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56</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56</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No estatales</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5</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4</w:t>
            </w:r>
          </w:p>
        </w:tc>
      </w:tr>
      <w:tr w:rsidR="001D2E73">
        <w:trPr>
          <w:trHeight w:val="510"/>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Cantidad de estudiantes en las escuelas medias especiales total, miles</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53,7</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55,8</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57,9</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56,9</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53,5</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52,6</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En las estatales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52,3</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54,2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53,8</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51,5</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51,6</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En las no estatales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1,4</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1,6</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3,1</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2,0</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1,0</w:t>
            </w:r>
          </w:p>
        </w:tc>
      </w:tr>
      <w:tr w:rsidR="001D2E73">
        <w:trPr>
          <w:trHeight w:val="600"/>
        </w:trPr>
        <w:tc>
          <w:tcPr>
            <w:tcW w:w="3513" w:type="dxa"/>
            <w:noWrap/>
            <w:vAlign w:val="bottom"/>
          </w:tcPr>
          <w:p w:rsidR="001D2E73" w:rsidRDefault="001D2E73">
            <w:pPr>
              <w:keepNext/>
              <w:keepLines/>
              <w:spacing w:before="40" w:after="40" w:line="220" w:lineRule="exact"/>
              <w:rPr>
                <w:sz w:val="18"/>
                <w:szCs w:val="18"/>
              </w:rPr>
            </w:pPr>
            <w:r>
              <w:rPr>
                <w:sz w:val="18"/>
                <w:szCs w:val="18"/>
              </w:rPr>
              <w:t xml:space="preserve">Del total de estudiantes de las escuelas medias especiales, miles </w:t>
            </w:r>
          </w:p>
        </w:tc>
        <w:tc>
          <w:tcPr>
            <w:tcW w:w="842" w:type="dxa"/>
            <w:noWrap/>
            <w:vAlign w:val="bottom"/>
          </w:tcPr>
          <w:p w:rsidR="001D2E73" w:rsidRDefault="001D2E73">
            <w:pPr>
              <w:spacing w:before="40" w:after="40" w:line="220" w:lineRule="exact"/>
              <w:jc w:val="right"/>
              <w:rPr>
                <w:sz w:val="18"/>
                <w:szCs w:val="18"/>
              </w:rPr>
            </w:pPr>
          </w:p>
        </w:tc>
        <w:tc>
          <w:tcPr>
            <w:tcW w:w="842"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tcBorders>
              <w:left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Hombres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16,4</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16,9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17,5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16,7</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15,9</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16,3</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Mujeres</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37,3</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38,9</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40,4</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40,2</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37,6</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36,3</w:t>
            </w:r>
          </w:p>
        </w:tc>
      </w:tr>
      <w:tr w:rsidR="001D2E73">
        <w:trPr>
          <w:trHeight w:val="600"/>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Graduados de las escuelas medias especiales: total, miles</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15,1</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14,4</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15,8</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16,4</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17,0</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17,3</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Hombres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4,1</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3,9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4,9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5,3</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4,6</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5,1</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Mujeres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11,0</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10,5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10,9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11,1</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12,4</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12,2</w:t>
            </w:r>
          </w:p>
        </w:tc>
      </w:tr>
      <w:tr w:rsidR="001D2E73">
        <w:trPr>
          <w:trHeight w:val="533"/>
        </w:trPr>
        <w:tc>
          <w:tcPr>
            <w:tcW w:w="3513" w:type="dxa"/>
            <w:noWrap/>
            <w:vAlign w:val="bottom"/>
          </w:tcPr>
          <w:p w:rsidR="001D2E73" w:rsidRDefault="001D2E73">
            <w:pPr>
              <w:spacing w:before="40" w:after="40" w:line="220" w:lineRule="exact"/>
              <w:rPr>
                <w:sz w:val="18"/>
                <w:szCs w:val="18"/>
              </w:rPr>
            </w:pPr>
            <w:r>
              <w:rPr>
                <w:sz w:val="18"/>
                <w:szCs w:val="18"/>
              </w:rPr>
              <w:t>Número de centros de enseñanza superior</w:t>
            </w:r>
            <w:r>
              <w:rPr>
                <w:i/>
                <w:sz w:val="18"/>
                <w:szCs w:val="18"/>
                <w:vertAlign w:val="superscript"/>
              </w:rPr>
              <w:t>b</w:t>
            </w:r>
            <w:r>
              <w:rPr>
                <w:sz w:val="18"/>
                <w:szCs w:val="18"/>
              </w:rPr>
              <w:t>) (al comienzo del curso escolar)</w:t>
            </w:r>
          </w:p>
        </w:tc>
        <w:tc>
          <w:tcPr>
            <w:tcW w:w="842" w:type="dxa"/>
            <w:noWrap/>
            <w:vAlign w:val="bottom"/>
          </w:tcPr>
          <w:p w:rsidR="001D2E73" w:rsidRDefault="001D2E73">
            <w:pPr>
              <w:spacing w:before="40" w:after="40" w:line="220" w:lineRule="exact"/>
              <w:jc w:val="right"/>
              <w:rPr>
                <w:sz w:val="18"/>
                <w:szCs w:val="18"/>
              </w:rPr>
            </w:pPr>
            <w:r>
              <w:rPr>
                <w:sz w:val="18"/>
                <w:szCs w:val="18"/>
              </w:rPr>
              <w:t>47</w:t>
            </w:r>
          </w:p>
        </w:tc>
        <w:tc>
          <w:tcPr>
            <w:tcW w:w="842" w:type="dxa"/>
            <w:noWrap/>
            <w:vAlign w:val="bottom"/>
          </w:tcPr>
          <w:p w:rsidR="001D2E73" w:rsidRDefault="001D2E73">
            <w:pPr>
              <w:spacing w:before="40" w:after="40" w:line="220" w:lineRule="exact"/>
              <w:jc w:val="right"/>
              <w:rPr>
                <w:sz w:val="18"/>
                <w:szCs w:val="18"/>
              </w:rPr>
            </w:pPr>
            <w:r>
              <w:rPr>
                <w:sz w:val="18"/>
                <w:szCs w:val="18"/>
              </w:rPr>
              <w:t>47</w:t>
            </w:r>
          </w:p>
        </w:tc>
        <w:tc>
          <w:tcPr>
            <w:tcW w:w="841" w:type="dxa"/>
            <w:noWrap/>
            <w:vAlign w:val="bottom"/>
          </w:tcPr>
          <w:p w:rsidR="001D2E73" w:rsidRDefault="001D2E73">
            <w:pPr>
              <w:spacing w:before="40" w:after="40" w:line="220" w:lineRule="exact"/>
              <w:jc w:val="right"/>
              <w:rPr>
                <w:sz w:val="18"/>
                <w:szCs w:val="18"/>
              </w:rPr>
            </w:pPr>
            <w:r>
              <w:rPr>
                <w:sz w:val="18"/>
                <w:szCs w:val="18"/>
              </w:rPr>
              <w:t>47</w:t>
            </w:r>
          </w:p>
        </w:tc>
        <w:tc>
          <w:tcPr>
            <w:tcW w:w="841" w:type="dxa"/>
            <w:noWrap/>
            <w:vAlign w:val="bottom"/>
          </w:tcPr>
          <w:p w:rsidR="001D2E73" w:rsidRDefault="001D2E73">
            <w:pPr>
              <w:spacing w:before="40" w:after="40" w:line="220" w:lineRule="exact"/>
              <w:jc w:val="right"/>
              <w:rPr>
                <w:sz w:val="18"/>
                <w:szCs w:val="18"/>
              </w:rPr>
            </w:pPr>
            <w:r>
              <w:rPr>
                <w:sz w:val="18"/>
                <w:szCs w:val="18"/>
              </w:rPr>
              <w:t>47</w:t>
            </w:r>
          </w:p>
        </w:tc>
        <w:tc>
          <w:tcPr>
            <w:tcW w:w="841" w:type="dxa"/>
            <w:noWrap/>
            <w:vAlign w:val="bottom"/>
          </w:tcPr>
          <w:p w:rsidR="001D2E73" w:rsidRDefault="001D2E73">
            <w:pPr>
              <w:spacing w:before="40" w:after="40" w:line="220" w:lineRule="exact"/>
              <w:jc w:val="right"/>
              <w:rPr>
                <w:sz w:val="18"/>
                <w:szCs w:val="18"/>
              </w:rPr>
            </w:pPr>
            <w:r>
              <w:rPr>
                <w:sz w:val="18"/>
                <w:szCs w:val="18"/>
              </w:rPr>
              <w:t>48</w:t>
            </w:r>
          </w:p>
        </w:tc>
        <w:tc>
          <w:tcPr>
            <w:tcW w:w="841" w:type="dxa"/>
            <w:tcBorders>
              <w:left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48</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bottom w:val="nil"/>
            </w:tcBorders>
            <w:noWrap/>
            <w:vAlign w:val="bottom"/>
          </w:tcPr>
          <w:p w:rsidR="001D2E73" w:rsidRDefault="001D2E73">
            <w:pPr>
              <w:spacing w:before="40" w:after="40" w:line="220" w:lineRule="exact"/>
              <w:jc w:val="right"/>
              <w:rPr>
                <w:sz w:val="18"/>
                <w:szCs w:val="18"/>
              </w:rPr>
            </w:pPr>
          </w:p>
        </w:tc>
        <w:tc>
          <w:tcPr>
            <w:tcW w:w="842"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Estatales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32</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32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32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33</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34</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34</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No estatales</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15</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15</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15</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14</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14</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14</w:t>
            </w:r>
          </w:p>
        </w:tc>
      </w:tr>
      <w:tr w:rsidR="001D2E73">
        <w:trPr>
          <w:trHeight w:val="567"/>
        </w:trPr>
        <w:tc>
          <w:tcPr>
            <w:tcW w:w="3513" w:type="dxa"/>
            <w:tcBorders>
              <w:top w:val="single" w:sz="4" w:space="0" w:color="auto"/>
              <w:bottom w:val="single" w:sz="4" w:space="0" w:color="auto"/>
            </w:tcBorders>
            <w:noWrap/>
            <w:vAlign w:val="bottom"/>
          </w:tcPr>
          <w:p w:rsidR="001D2E73" w:rsidRDefault="001D2E73" w:rsidP="0094705E">
            <w:pPr>
              <w:keepNext/>
              <w:spacing w:before="80" w:after="80" w:line="220" w:lineRule="exact"/>
              <w:ind w:left="284"/>
              <w:rPr>
                <w:b/>
                <w:sz w:val="18"/>
                <w:szCs w:val="18"/>
              </w:rPr>
            </w:pPr>
            <w:r>
              <w:rPr>
                <w:b/>
                <w:sz w:val="18"/>
                <w:szCs w:val="18"/>
              </w:rPr>
              <w:t>Cantidad de estudiantes de los centros de enseñanza superior total, miles</w:t>
            </w:r>
          </w:p>
        </w:tc>
        <w:tc>
          <w:tcPr>
            <w:tcW w:w="842" w:type="dxa"/>
            <w:tcBorders>
              <w:top w:val="single" w:sz="4" w:space="0" w:color="auto"/>
              <w:bottom w:val="single" w:sz="4" w:space="0" w:color="auto"/>
            </w:tcBorders>
            <w:noWrap/>
            <w:vAlign w:val="bottom"/>
          </w:tcPr>
          <w:p w:rsidR="001D2E73" w:rsidRDefault="001D2E73" w:rsidP="0094705E">
            <w:pPr>
              <w:keepNext/>
              <w:spacing w:before="80" w:after="80" w:line="220" w:lineRule="exact"/>
              <w:jc w:val="right"/>
              <w:rPr>
                <w:b/>
                <w:sz w:val="18"/>
                <w:szCs w:val="18"/>
              </w:rPr>
            </w:pPr>
            <w:r>
              <w:rPr>
                <w:b/>
                <w:sz w:val="18"/>
                <w:szCs w:val="18"/>
              </w:rPr>
              <w:t>121,5</w:t>
            </w:r>
          </w:p>
        </w:tc>
        <w:tc>
          <w:tcPr>
            <w:tcW w:w="842" w:type="dxa"/>
            <w:tcBorders>
              <w:top w:val="single" w:sz="4" w:space="0" w:color="auto"/>
              <w:bottom w:val="single" w:sz="4" w:space="0" w:color="auto"/>
            </w:tcBorders>
            <w:noWrap/>
            <w:vAlign w:val="bottom"/>
          </w:tcPr>
          <w:p w:rsidR="001D2E73" w:rsidRDefault="001D2E73" w:rsidP="0094705E">
            <w:pPr>
              <w:keepNext/>
              <w:spacing w:before="80" w:after="80" w:line="220" w:lineRule="exact"/>
              <w:jc w:val="right"/>
              <w:rPr>
                <w:b/>
                <w:sz w:val="18"/>
                <w:szCs w:val="18"/>
              </w:rPr>
            </w:pPr>
            <w:r>
              <w:rPr>
                <w:b/>
                <w:sz w:val="18"/>
                <w:szCs w:val="18"/>
              </w:rPr>
              <w:t>127,2</w:t>
            </w:r>
          </w:p>
        </w:tc>
        <w:tc>
          <w:tcPr>
            <w:tcW w:w="841" w:type="dxa"/>
            <w:tcBorders>
              <w:top w:val="single" w:sz="4" w:space="0" w:color="auto"/>
              <w:bottom w:val="single" w:sz="4" w:space="0" w:color="auto"/>
            </w:tcBorders>
            <w:noWrap/>
            <w:vAlign w:val="bottom"/>
          </w:tcPr>
          <w:p w:rsidR="001D2E73" w:rsidRDefault="001D2E73" w:rsidP="0094705E">
            <w:pPr>
              <w:keepNext/>
              <w:spacing w:before="80" w:after="80" w:line="220" w:lineRule="exact"/>
              <w:jc w:val="right"/>
              <w:rPr>
                <w:b/>
                <w:sz w:val="18"/>
                <w:szCs w:val="18"/>
              </w:rPr>
            </w:pPr>
            <w:r>
              <w:rPr>
                <w:b/>
                <w:sz w:val="18"/>
                <w:szCs w:val="18"/>
              </w:rPr>
              <w:t>129,9</w:t>
            </w:r>
          </w:p>
        </w:tc>
        <w:tc>
          <w:tcPr>
            <w:tcW w:w="841" w:type="dxa"/>
            <w:tcBorders>
              <w:top w:val="single" w:sz="4" w:space="0" w:color="auto"/>
              <w:bottom w:val="single" w:sz="4" w:space="0" w:color="auto"/>
            </w:tcBorders>
            <w:noWrap/>
            <w:vAlign w:val="bottom"/>
          </w:tcPr>
          <w:p w:rsidR="001D2E73" w:rsidRDefault="001D2E73" w:rsidP="0094705E">
            <w:pPr>
              <w:keepNext/>
              <w:spacing w:before="80" w:after="80" w:line="220" w:lineRule="exact"/>
              <w:jc w:val="right"/>
              <w:rPr>
                <w:b/>
                <w:sz w:val="18"/>
                <w:szCs w:val="18"/>
              </w:rPr>
            </w:pPr>
            <w:r>
              <w:rPr>
                <w:b/>
                <w:sz w:val="18"/>
                <w:szCs w:val="18"/>
              </w:rPr>
              <w:t>129,1</w:t>
            </w:r>
          </w:p>
        </w:tc>
        <w:tc>
          <w:tcPr>
            <w:tcW w:w="841" w:type="dxa"/>
            <w:tcBorders>
              <w:top w:val="single" w:sz="4" w:space="0" w:color="auto"/>
              <w:bottom w:val="single" w:sz="4" w:space="0" w:color="auto"/>
            </w:tcBorders>
            <w:noWrap/>
            <w:vAlign w:val="bottom"/>
          </w:tcPr>
          <w:p w:rsidR="001D2E73" w:rsidRDefault="001D2E73" w:rsidP="0094705E">
            <w:pPr>
              <w:keepNext/>
              <w:spacing w:before="80" w:after="80" w:line="220" w:lineRule="exact"/>
              <w:jc w:val="right"/>
              <w:rPr>
                <w:b/>
                <w:sz w:val="18"/>
                <w:szCs w:val="18"/>
              </w:rPr>
            </w:pPr>
            <w:r>
              <w:rPr>
                <w:b/>
                <w:sz w:val="18"/>
                <w:szCs w:val="18"/>
              </w:rPr>
              <w:t>130,4</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rsidP="0094705E">
            <w:pPr>
              <w:keepNext/>
              <w:spacing w:before="80" w:after="80" w:line="220" w:lineRule="exact"/>
              <w:jc w:val="right"/>
              <w:rPr>
                <w:b/>
                <w:sz w:val="18"/>
                <w:szCs w:val="18"/>
              </w:rPr>
            </w:pPr>
            <w:r>
              <w:rPr>
                <w:b/>
                <w:sz w:val="18"/>
                <w:szCs w:val="18"/>
              </w:rPr>
              <w:t>136,6</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En los estatales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104,0</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106,0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106,0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106,9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108,2</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116,0</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En los no estatales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17,5</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21,2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23,9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22,2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22,2</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20,6</w:t>
            </w:r>
          </w:p>
        </w:tc>
      </w:tr>
      <w:tr w:rsidR="001D2E73">
        <w:trPr>
          <w:trHeight w:val="600"/>
        </w:trPr>
        <w:tc>
          <w:tcPr>
            <w:tcW w:w="3513" w:type="dxa"/>
            <w:noWrap/>
            <w:vAlign w:val="bottom"/>
          </w:tcPr>
          <w:p w:rsidR="001D2E73" w:rsidRDefault="001D2E73">
            <w:pPr>
              <w:spacing w:before="40" w:after="40" w:line="220" w:lineRule="exact"/>
              <w:rPr>
                <w:sz w:val="18"/>
                <w:szCs w:val="18"/>
              </w:rPr>
            </w:pPr>
            <w:r>
              <w:rPr>
                <w:sz w:val="18"/>
                <w:szCs w:val="18"/>
              </w:rPr>
              <w:t xml:space="preserve">Del total de estudiantes de los centros de enseñanza superior, miles </w:t>
            </w:r>
          </w:p>
        </w:tc>
        <w:tc>
          <w:tcPr>
            <w:tcW w:w="842" w:type="dxa"/>
            <w:noWrap/>
            <w:vAlign w:val="bottom"/>
          </w:tcPr>
          <w:p w:rsidR="001D2E73" w:rsidRDefault="001D2E73">
            <w:pPr>
              <w:spacing w:before="40" w:after="40" w:line="220" w:lineRule="exact"/>
              <w:jc w:val="right"/>
              <w:rPr>
                <w:sz w:val="18"/>
                <w:szCs w:val="18"/>
              </w:rPr>
            </w:pPr>
          </w:p>
        </w:tc>
        <w:tc>
          <w:tcPr>
            <w:tcW w:w="842"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tcBorders>
              <w:left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Hombres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65,4</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67,5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67,9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67,9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69,2</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74,2</w:t>
            </w:r>
          </w:p>
        </w:tc>
      </w:tr>
      <w:tr w:rsidR="001D2E73">
        <w:trPr>
          <w:trHeight w:val="20"/>
        </w:trPr>
        <w:tc>
          <w:tcPr>
            <w:tcW w:w="3513" w:type="dxa"/>
            <w:tcBorders>
              <w:bottom w:val="single" w:sz="4" w:space="0" w:color="auto"/>
            </w:tcBorders>
            <w:noWrap/>
            <w:vAlign w:val="bottom"/>
          </w:tcPr>
          <w:p w:rsidR="001D2E73" w:rsidRDefault="001D2E73">
            <w:pPr>
              <w:spacing w:before="40" w:after="40" w:line="220" w:lineRule="exact"/>
              <w:rPr>
                <w:sz w:val="18"/>
                <w:szCs w:val="18"/>
              </w:rPr>
            </w:pPr>
            <w:r>
              <w:rPr>
                <w:sz w:val="18"/>
                <w:szCs w:val="18"/>
              </w:rPr>
              <w:t xml:space="preserve">   Mujeres</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56,1</w:t>
            </w:r>
          </w:p>
        </w:tc>
        <w:tc>
          <w:tcPr>
            <w:tcW w:w="842"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59,7</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62,0</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61,2</w:t>
            </w:r>
          </w:p>
        </w:tc>
        <w:tc>
          <w:tcPr>
            <w:tcW w:w="841" w:type="dxa"/>
            <w:tcBorders>
              <w:bottom w:val="single" w:sz="4" w:space="0" w:color="auto"/>
            </w:tcBorders>
            <w:noWrap/>
            <w:vAlign w:val="bottom"/>
          </w:tcPr>
          <w:p w:rsidR="001D2E73" w:rsidRDefault="001D2E73">
            <w:pPr>
              <w:spacing w:before="40" w:after="40" w:line="220" w:lineRule="exact"/>
              <w:jc w:val="right"/>
              <w:rPr>
                <w:sz w:val="18"/>
                <w:szCs w:val="18"/>
              </w:rPr>
            </w:pPr>
            <w:r>
              <w:rPr>
                <w:sz w:val="18"/>
                <w:szCs w:val="18"/>
              </w:rPr>
              <w:t>61,2</w:t>
            </w:r>
          </w:p>
        </w:tc>
        <w:tc>
          <w:tcPr>
            <w:tcW w:w="841" w:type="dxa"/>
            <w:tcBorders>
              <w:left w:val="nil"/>
              <w:bottom w:val="single" w:sz="4" w:space="0" w:color="auto"/>
              <w:right w:val="nil"/>
              <w:tl2br w:val="nil"/>
              <w:tr2bl w:val="nil"/>
            </w:tcBorders>
            <w:noWrap/>
            <w:vAlign w:val="bottom"/>
          </w:tcPr>
          <w:p w:rsidR="001D2E73" w:rsidRDefault="001D2E73">
            <w:pPr>
              <w:spacing w:before="40" w:after="40" w:line="220" w:lineRule="exact"/>
              <w:jc w:val="right"/>
              <w:rPr>
                <w:sz w:val="18"/>
                <w:szCs w:val="18"/>
              </w:rPr>
            </w:pPr>
            <w:r>
              <w:rPr>
                <w:sz w:val="18"/>
                <w:szCs w:val="18"/>
              </w:rPr>
              <w:t>62,4</w:t>
            </w:r>
          </w:p>
        </w:tc>
      </w:tr>
      <w:tr w:rsidR="001D2E73">
        <w:trPr>
          <w:trHeight w:val="510"/>
        </w:trPr>
        <w:tc>
          <w:tcPr>
            <w:tcW w:w="3513" w:type="dxa"/>
            <w:tcBorders>
              <w:top w:val="single" w:sz="4" w:space="0" w:color="auto"/>
              <w:bottom w:val="single" w:sz="4" w:space="0" w:color="auto"/>
            </w:tcBorders>
            <w:noWrap/>
            <w:vAlign w:val="bottom"/>
          </w:tcPr>
          <w:p w:rsidR="001D2E73" w:rsidRDefault="001D2E73">
            <w:pPr>
              <w:spacing w:before="80" w:after="80" w:line="220" w:lineRule="exact"/>
              <w:ind w:left="284"/>
              <w:rPr>
                <w:b/>
                <w:sz w:val="18"/>
                <w:szCs w:val="18"/>
              </w:rPr>
            </w:pPr>
            <w:r>
              <w:rPr>
                <w:b/>
                <w:sz w:val="18"/>
                <w:szCs w:val="18"/>
              </w:rPr>
              <w:t>Graduados de los centros de enseñanza superior: total, miles:</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28,5</w:t>
            </w:r>
          </w:p>
        </w:tc>
        <w:tc>
          <w:tcPr>
            <w:tcW w:w="842"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31,2</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32,5</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28,1</w:t>
            </w:r>
          </w:p>
        </w:tc>
        <w:tc>
          <w:tcPr>
            <w:tcW w:w="841" w:type="dxa"/>
            <w:tcBorders>
              <w:top w:val="single" w:sz="4" w:space="0" w:color="auto"/>
              <w:bottom w:val="single" w:sz="4" w:space="0" w:color="auto"/>
            </w:tcBorders>
            <w:noWrap/>
            <w:vAlign w:val="bottom"/>
          </w:tcPr>
          <w:p w:rsidR="001D2E73" w:rsidRDefault="001D2E73">
            <w:pPr>
              <w:spacing w:before="80" w:after="80" w:line="220" w:lineRule="exact"/>
              <w:jc w:val="right"/>
              <w:rPr>
                <w:b/>
                <w:sz w:val="18"/>
                <w:szCs w:val="18"/>
              </w:rPr>
            </w:pPr>
            <w:r>
              <w:rPr>
                <w:b/>
                <w:sz w:val="18"/>
                <w:szCs w:val="18"/>
              </w:rPr>
              <w:t>31,3</w:t>
            </w:r>
          </w:p>
        </w:tc>
        <w:tc>
          <w:tcPr>
            <w:tcW w:w="841" w:type="dxa"/>
            <w:tcBorders>
              <w:top w:val="single" w:sz="4" w:space="0" w:color="auto"/>
              <w:left w:val="nil"/>
              <w:bottom w:val="single" w:sz="4" w:space="0" w:color="auto"/>
              <w:right w:val="nil"/>
              <w:tl2br w:val="nil"/>
              <w:tr2bl w:val="nil"/>
            </w:tcBorders>
            <w:noWrap/>
            <w:vAlign w:val="bottom"/>
          </w:tcPr>
          <w:p w:rsidR="001D2E73" w:rsidRDefault="001D2E73">
            <w:pPr>
              <w:spacing w:before="80" w:after="80" w:line="220" w:lineRule="exact"/>
              <w:jc w:val="right"/>
              <w:rPr>
                <w:b/>
                <w:sz w:val="18"/>
                <w:szCs w:val="18"/>
              </w:rPr>
            </w:pPr>
            <w:r>
              <w:rPr>
                <w:b/>
                <w:sz w:val="18"/>
                <w:szCs w:val="18"/>
              </w:rPr>
              <w:t>32,6</w:t>
            </w:r>
          </w:p>
        </w:tc>
      </w:tr>
      <w:tr w:rsidR="001D2E73">
        <w:trPr>
          <w:trHeight w:val="20"/>
        </w:trPr>
        <w:tc>
          <w:tcPr>
            <w:tcW w:w="3513" w:type="dxa"/>
            <w:tcBorders>
              <w:top w:val="single" w:sz="4" w:space="0" w:color="auto"/>
              <w:bottom w:val="nil"/>
            </w:tcBorders>
            <w:noWrap/>
            <w:vAlign w:val="bottom"/>
          </w:tcPr>
          <w:p w:rsidR="001D2E73" w:rsidRDefault="001D2E73">
            <w:pPr>
              <w:spacing w:before="40" w:after="40" w:line="220" w:lineRule="exact"/>
              <w:rPr>
                <w:sz w:val="18"/>
                <w:szCs w:val="18"/>
              </w:rPr>
            </w:pPr>
            <w:r>
              <w:rPr>
                <w:sz w:val="18"/>
                <w:szCs w:val="18"/>
              </w:rPr>
              <w:t xml:space="preserve">  Licenciados</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25,8</w:t>
            </w:r>
          </w:p>
        </w:tc>
        <w:tc>
          <w:tcPr>
            <w:tcW w:w="842"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28,1</w:t>
            </w: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28,5</w:t>
            </w: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23,3</w:t>
            </w:r>
          </w:p>
        </w:tc>
        <w:tc>
          <w:tcPr>
            <w:tcW w:w="841" w:type="dxa"/>
            <w:tcBorders>
              <w:top w:val="single" w:sz="4" w:space="0" w:color="auto"/>
              <w:bottom w:val="nil"/>
            </w:tcBorders>
            <w:noWrap/>
            <w:vAlign w:val="bottom"/>
          </w:tcPr>
          <w:p w:rsidR="001D2E73" w:rsidRDefault="001D2E73">
            <w:pPr>
              <w:spacing w:before="40" w:after="40" w:line="220" w:lineRule="exact"/>
              <w:jc w:val="right"/>
              <w:rPr>
                <w:sz w:val="18"/>
                <w:szCs w:val="18"/>
              </w:rPr>
            </w:pPr>
            <w:r>
              <w:rPr>
                <w:sz w:val="18"/>
                <w:szCs w:val="18"/>
              </w:rPr>
              <w:t>27,3</w:t>
            </w:r>
          </w:p>
        </w:tc>
        <w:tc>
          <w:tcPr>
            <w:tcW w:w="841" w:type="dxa"/>
            <w:tcBorders>
              <w:top w:val="single" w:sz="4" w:space="0" w:color="auto"/>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29,8</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Hombres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15,3</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15,8</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15,5</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12,0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15,4</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16,5</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Mujeres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10,5</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12,3</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13,0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11,3</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11,9</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13,3</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Con título de máster</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2,7</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3,1</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4,0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4,8</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4,0</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2,8</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Hombres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1,5</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1,7</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2,3</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2,6</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2,2</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1,3</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Mujeres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1,2</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1,4</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1,7</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2,2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1,8</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1,5</w:t>
            </w:r>
          </w:p>
        </w:tc>
      </w:tr>
      <w:tr w:rsidR="001D2E73">
        <w:trPr>
          <w:trHeight w:val="792"/>
        </w:trPr>
        <w:tc>
          <w:tcPr>
            <w:tcW w:w="3513" w:type="dxa"/>
            <w:noWrap/>
            <w:vAlign w:val="bottom"/>
          </w:tcPr>
          <w:p w:rsidR="001D2E73" w:rsidRDefault="001D2E73">
            <w:pPr>
              <w:spacing w:before="40" w:after="40" w:line="220" w:lineRule="exact"/>
              <w:rPr>
                <w:sz w:val="18"/>
                <w:szCs w:val="18"/>
              </w:rPr>
            </w:pPr>
            <w:r>
              <w:rPr>
                <w:sz w:val="18"/>
                <w:szCs w:val="18"/>
              </w:rPr>
              <w:t>Cantidad de profesores titulares de los centros de enseñanza superior (no se incluyen los que tienen pluriempleo), personas</w:t>
            </w:r>
          </w:p>
        </w:tc>
        <w:tc>
          <w:tcPr>
            <w:tcW w:w="842" w:type="dxa"/>
            <w:noWrap/>
            <w:vAlign w:val="bottom"/>
          </w:tcPr>
          <w:p w:rsidR="001D2E73" w:rsidRDefault="001D2E73">
            <w:pPr>
              <w:spacing w:before="40" w:after="40" w:line="220" w:lineRule="exact"/>
              <w:jc w:val="right"/>
              <w:rPr>
                <w:sz w:val="18"/>
                <w:szCs w:val="18"/>
              </w:rPr>
            </w:pPr>
            <w:r>
              <w:rPr>
                <w:sz w:val="18"/>
                <w:szCs w:val="18"/>
              </w:rPr>
              <w:t>12 995</w:t>
            </w:r>
          </w:p>
        </w:tc>
        <w:tc>
          <w:tcPr>
            <w:tcW w:w="842" w:type="dxa"/>
            <w:noWrap/>
            <w:vAlign w:val="bottom"/>
          </w:tcPr>
          <w:p w:rsidR="001D2E73" w:rsidRDefault="001D2E73">
            <w:pPr>
              <w:spacing w:before="40" w:after="40" w:line="220" w:lineRule="exact"/>
              <w:jc w:val="right"/>
              <w:rPr>
                <w:sz w:val="18"/>
                <w:szCs w:val="18"/>
              </w:rPr>
            </w:pPr>
            <w:r>
              <w:rPr>
                <w:sz w:val="18"/>
                <w:szCs w:val="18"/>
              </w:rPr>
              <w:t>13 630</w:t>
            </w:r>
          </w:p>
        </w:tc>
        <w:tc>
          <w:tcPr>
            <w:tcW w:w="841" w:type="dxa"/>
            <w:noWrap/>
            <w:vAlign w:val="bottom"/>
          </w:tcPr>
          <w:p w:rsidR="001D2E73" w:rsidRDefault="001D2E73">
            <w:pPr>
              <w:spacing w:before="40" w:after="40" w:line="220" w:lineRule="exact"/>
              <w:jc w:val="right"/>
              <w:rPr>
                <w:sz w:val="18"/>
                <w:szCs w:val="18"/>
              </w:rPr>
            </w:pPr>
            <w:r>
              <w:rPr>
                <w:sz w:val="18"/>
                <w:szCs w:val="18"/>
              </w:rPr>
              <w:t>14 352</w:t>
            </w:r>
          </w:p>
        </w:tc>
        <w:tc>
          <w:tcPr>
            <w:tcW w:w="841" w:type="dxa"/>
            <w:noWrap/>
            <w:vAlign w:val="bottom"/>
          </w:tcPr>
          <w:p w:rsidR="001D2E73" w:rsidRDefault="001D2E73">
            <w:pPr>
              <w:spacing w:before="40" w:after="40" w:line="220" w:lineRule="exact"/>
              <w:jc w:val="right"/>
              <w:rPr>
                <w:sz w:val="18"/>
                <w:szCs w:val="18"/>
              </w:rPr>
            </w:pPr>
            <w:r>
              <w:rPr>
                <w:sz w:val="18"/>
                <w:szCs w:val="18"/>
              </w:rPr>
              <w:t>14 358</w:t>
            </w:r>
          </w:p>
        </w:tc>
        <w:tc>
          <w:tcPr>
            <w:tcW w:w="841" w:type="dxa"/>
            <w:noWrap/>
            <w:vAlign w:val="bottom"/>
          </w:tcPr>
          <w:p w:rsidR="001D2E73" w:rsidRDefault="001D2E73">
            <w:pPr>
              <w:spacing w:before="40" w:after="40" w:line="220" w:lineRule="exact"/>
              <w:jc w:val="right"/>
              <w:rPr>
                <w:sz w:val="18"/>
                <w:szCs w:val="18"/>
              </w:rPr>
            </w:pPr>
            <w:r>
              <w:rPr>
                <w:sz w:val="18"/>
                <w:szCs w:val="18"/>
              </w:rPr>
              <w:t>13 738</w:t>
            </w:r>
          </w:p>
        </w:tc>
        <w:tc>
          <w:tcPr>
            <w:tcW w:w="841" w:type="dxa"/>
            <w:tcBorders>
              <w:left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14 352</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De ellos: </w:t>
            </w:r>
          </w:p>
        </w:tc>
        <w:tc>
          <w:tcPr>
            <w:tcW w:w="842" w:type="dxa"/>
            <w:tcBorders>
              <w:bottom w:val="nil"/>
            </w:tcBorders>
            <w:noWrap/>
            <w:vAlign w:val="bottom"/>
          </w:tcPr>
          <w:p w:rsidR="001D2E73" w:rsidRDefault="001D2E73">
            <w:pPr>
              <w:spacing w:before="40" w:after="40" w:line="220" w:lineRule="exact"/>
              <w:jc w:val="right"/>
              <w:rPr>
                <w:sz w:val="18"/>
                <w:szCs w:val="18"/>
              </w:rPr>
            </w:pPr>
          </w:p>
        </w:tc>
        <w:tc>
          <w:tcPr>
            <w:tcW w:w="842"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Hombres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6 917</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7 567</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8 152</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8 010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7 233</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8 152</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Mujeres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6 078</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6 063</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6 200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6 348</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6 505</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6 200</w:t>
            </w:r>
          </w:p>
        </w:tc>
      </w:tr>
      <w:tr w:rsidR="001D2E73">
        <w:trPr>
          <w:trHeight w:val="567"/>
        </w:trPr>
        <w:tc>
          <w:tcPr>
            <w:tcW w:w="3513" w:type="dxa"/>
            <w:noWrap/>
            <w:vAlign w:val="bottom"/>
          </w:tcPr>
          <w:p w:rsidR="001D2E73" w:rsidRDefault="001D2E73">
            <w:pPr>
              <w:keepNext/>
              <w:keepLines/>
              <w:spacing w:before="40" w:after="40" w:line="220" w:lineRule="exact"/>
              <w:rPr>
                <w:sz w:val="18"/>
                <w:szCs w:val="18"/>
              </w:rPr>
            </w:pPr>
            <w:r>
              <w:rPr>
                <w:sz w:val="18"/>
                <w:szCs w:val="18"/>
              </w:rPr>
              <w:t xml:space="preserve">Del total de profesores titulares de los </w:t>
            </w:r>
          </w:p>
          <w:p w:rsidR="001D2E73" w:rsidRDefault="001D2E73">
            <w:pPr>
              <w:keepNext/>
              <w:keepLines/>
              <w:spacing w:before="40" w:after="40" w:line="220" w:lineRule="exact"/>
              <w:rPr>
                <w:sz w:val="18"/>
                <w:szCs w:val="18"/>
              </w:rPr>
            </w:pPr>
            <w:r>
              <w:rPr>
                <w:sz w:val="18"/>
                <w:szCs w:val="18"/>
              </w:rPr>
              <w:t>centros de enseñanza superior, personas</w:t>
            </w:r>
          </w:p>
        </w:tc>
        <w:tc>
          <w:tcPr>
            <w:tcW w:w="842" w:type="dxa"/>
            <w:noWrap/>
            <w:vAlign w:val="bottom"/>
          </w:tcPr>
          <w:p w:rsidR="001D2E73" w:rsidRDefault="001D2E73">
            <w:pPr>
              <w:spacing w:before="40" w:after="40" w:line="220" w:lineRule="exact"/>
              <w:jc w:val="right"/>
              <w:rPr>
                <w:sz w:val="18"/>
                <w:szCs w:val="18"/>
              </w:rPr>
            </w:pPr>
          </w:p>
        </w:tc>
        <w:tc>
          <w:tcPr>
            <w:tcW w:w="842"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noWrap/>
            <w:vAlign w:val="bottom"/>
          </w:tcPr>
          <w:p w:rsidR="001D2E73" w:rsidRDefault="001D2E73">
            <w:pPr>
              <w:spacing w:before="40" w:after="40" w:line="220" w:lineRule="exact"/>
              <w:jc w:val="right"/>
              <w:rPr>
                <w:sz w:val="18"/>
                <w:szCs w:val="18"/>
              </w:rPr>
            </w:pPr>
          </w:p>
        </w:tc>
        <w:tc>
          <w:tcPr>
            <w:tcW w:w="841" w:type="dxa"/>
            <w:tcBorders>
              <w:left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keepNext/>
              <w:keepLines/>
              <w:spacing w:before="40" w:after="40" w:line="220" w:lineRule="exact"/>
              <w:rPr>
                <w:sz w:val="18"/>
                <w:szCs w:val="18"/>
              </w:rPr>
            </w:pPr>
            <w:r>
              <w:rPr>
                <w:sz w:val="18"/>
                <w:szCs w:val="18"/>
              </w:rPr>
              <w:t xml:space="preserve">   Con grado científico:</w:t>
            </w:r>
          </w:p>
        </w:tc>
        <w:tc>
          <w:tcPr>
            <w:tcW w:w="842" w:type="dxa"/>
            <w:tcBorders>
              <w:bottom w:val="nil"/>
            </w:tcBorders>
            <w:noWrap/>
            <w:vAlign w:val="bottom"/>
          </w:tcPr>
          <w:p w:rsidR="001D2E73" w:rsidRDefault="001D2E73">
            <w:pPr>
              <w:spacing w:before="40" w:after="40" w:line="220" w:lineRule="exact"/>
              <w:jc w:val="right"/>
              <w:rPr>
                <w:sz w:val="18"/>
                <w:szCs w:val="18"/>
              </w:rPr>
            </w:pPr>
          </w:p>
        </w:tc>
        <w:tc>
          <w:tcPr>
            <w:tcW w:w="842"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bottom w:val="nil"/>
            </w:tcBorders>
            <w:noWrap/>
            <w:vAlign w:val="bottom"/>
          </w:tcPr>
          <w:p w:rsidR="001D2E73" w:rsidRDefault="001D2E73">
            <w:pPr>
              <w:spacing w:before="40" w:after="40" w:line="220" w:lineRule="exact"/>
              <w:jc w:val="right"/>
              <w:rPr>
                <w:sz w:val="18"/>
                <w:szCs w:val="18"/>
              </w:rPr>
            </w:pP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keepNext/>
              <w:keepLines/>
              <w:spacing w:before="40" w:after="40" w:line="220" w:lineRule="exact"/>
              <w:rPr>
                <w:sz w:val="18"/>
                <w:szCs w:val="18"/>
              </w:rPr>
            </w:pPr>
            <w:r>
              <w:rPr>
                <w:sz w:val="18"/>
                <w:szCs w:val="18"/>
              </w:rPr>
              <w:t xml:space="preserve">   Doctor en ciencias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1 079</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1 180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1 249</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1 417</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1 268</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1 297</w:t>
            </w:r>
          </w:p>
        </w:tc>
      </w:tr>
      <w:tr w:rsidR="001D2E73">
        <w:trPr>
          <w:trHeight w:val="20"/>
        </w:trPr>
        <w:tc>
          <w:tcPr>
            <w:tcW w:w="3513" w:type="dxa"/>
            <w:tcBorders>
              <w:bottom w:val="nil"/>
            </w:tcBorders>
            <w:noWrap/>
            <w:vAlign w:val="bottom"/>
          </w:tcPr>
          <w:p w:rsidR="001D2E73" w:rsidRDefault="001D2E73">
            <w:pPr>
              <w:spacing w:before="40" w:after="40" w:line="220" w:lineRule="exact"/>
              <w:rPr>
                <w:sz w:val="18"/>
                <w:szCs w:val="18"/>
              </w:rPr>
            </w:pPr>
            <w:r>
              <w:rPr>
                <w:sz w:val="18"/>
                <w:szCs w:val="18"/>
              </w:rPr>
              <w:t xml:space="preserve">   Candidato en ciencias</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5 865</w:t>
            </w:r>
          </w:p>
        </w:tc>
        <w:tc>
          <w:tcPr>
            <w:tcW w:w="842" w:type="dxa"/>
            <w:tcBorders>
              <w:bottom w:val="nil"/>
            </w:tcBorders>
            <w:noWrap/>
            <w:vAlign w:val="bottom"/>
          </w:tcPr>
          <w:p w:rsidR="001D2E73" w:rsidRDefault="001D2E73">
            <w:pPr>
              <w:spacing w:before="40" w:after="40" w:line="220" w:lineRule="exact"/>
              <w:jc w:val="right"/>
              <w:rPr>
                <w:sz w:val="18"/>
                <w:szCs w:val="18"/>
              </w:rPr>
            </w:pPr>
            <w:r>
              <w:rPr>
                <w:sz w:val="18"/>
                <w:szCs w:val="18"/>
              </w:rPr>
              <w:t>5 610</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5 878</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5 831</w:t>
            </w:r>
          </w:p>
        </w:tc>
        <w:tc>
          <w:tcPr>
            <w:tcW w:w="841" w:type="dxa"/>
            <w:tcBorders>
              <w:bottom w:val="nil"/>
            </w:tcBorders>
            <w:noWrap/>
            <w:vAlign w:val="bottom"/>
          </w:tcPr>
          <w:p w:rsidR="001D2E73" w:rsidRDefault="001D2E73">
            <w:pPr>
              <w:spacing w:before="40" w:after="40" w:line="220" w:lineRule="exact"/>
              <w:jc w:val="right"/>
              <w:rPr>
                <w:sz w:val="18"/>
                <w:szCs w:val="18"/>
              </w:rPr>
            </w:pPr>
            <w:r>
              <w:rPr>
                <w:sz w:val="18"/>
                <w:szCs w:val="18"/>
              </w:rPr>
              <w:t>6 241</w:t>
            </w:r>
          </w:p>
        </w:tc>
        <w:tc>
          <w:tcPr>
            <w:tcW w:w="841" w:type="dxa"/>
            <w:tcBorders>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6 533</w:t>
            </w:r>
          </w:p>
        </w:tc>
      </w:tr>
      <w:tr w:rsidR="001D2E73">
        <w:trPr>
          <w:trHeight w:val="20"/>
        </w:trPr>
        <w:tc>
          <w:tcPr>
            <w:tcW w:w="3513" w:type="dxa"/>
            <w:tcBorders>
              <w:bottom w:val="nil"/>
            </w:tcBorders>
            <w:noWrap/>
            <w:vAlign w:val="bottom"/>
          </w:tcPr>
          <w:p w:rsidR="001D2E73" w:rsidRDefault="001D2E73">
            <w:pPr>
              <w:keepNext/>
              <w:keepLines/>
              <w:spacing w:before="40" w:after="40" w:line="220" w:lineRule="exact"/>
              <w:rPr>
                <w:sz w:val="18"/>
                <w:szCs w:val="18"/>
              </w:rPr>
            </w:pPr>
            <w:r>
              <w:rPr>
                <w:sz w:val="18"/>
                <w:szCs w:val="18"/>
              </w:rPr>
              <w:t xml:space="preserve">   Con grado académico:</w:t>
            </w:r>
          </w:p>
        </w:tc>
        <w:tc>
          <w:tcPr>
            <w:tcW w:w="842" w:type="dxa"/>
            <w:tcBorders>
              <w:bottom w:val="nil"/>
            </w:tcBorders>
            <w:noWrap/>
            <w:vAlign w:val="bottom"/>
          </w:tcPr>
          <w:p w:rsidR="001D2E73" w:rsidRDefault="001D2E73">
            <w:pPr>
              <w:keepNext/>
              <w:keepLines/>
              <w:spacing w:before="40" w:after="40" w:line="220" w:lineRule="exact"/>
              <w:jc w:val="right"/>
              <w:rPr>
                <w:sz w:val="18"/>
                <w:szCs w:val="18"/>
              </w:rPr>
            </w:pPr>
          </w:p>
        </w:tc>
        <w:tc>
          <w:tcPr>
            <w:tcW w:w="842" w:type="dxa"/>
            <w:tcBorders>
              <w:bottom w:val="nil"/>
            </w:tcBorders>
            <w:noWrap/>
            <w:vAlign w:val="bottom"/>
          </w:tcPr>
          <w:p w:rsidR="001D2E73" w:rsidRDefault="001D2E73">
            <w:pPr>
              <w:keepNext/>
              <w:keepLines/>
              <w:spacing w:before="40" w:after="40" w:line="220" w:lineRule="exact"/>
              <w:jc w:val="right"/>
              <w:rPr>
                <w:sz w:val="18"/>
                <w:szCs w:val="18"/>
              </w:rPr>
            </w:pPr>
          </w:p>
        </w:tc>
        <w:tc>
          <w:tcPr>
            <w:tcW w:w="841" w:type="dxa"/>
            <w:tcBorders>
              <w:bottom w:val="nil"/>
            </w:tcBorders>
            <w:noWrap/>
            <w:vAlign w:val="bottom"/>
          </w:tcPr>
          <w:p w:rsidR="001D2E73" w:rsidRDefault="001D2E73">
            <w:pPr>
              <w:keepNext/>
              <w:keepLines/>
              <w:spacing w:before="40" w:after="40" w:line="220" w:lineRule="exact"/>
              <w:jc w:val="right"/>
              <w:rPr>
                <w:sz w:val="18"/>
                <w:szCs w:val="18"/>
              </w:rPr>
            </w:pPr>
          </w:p>
        </w:tc>
        <w:tc>
          <w:tcPr>
            <w:tcW w:w="841" w:type="dxa"/>
            <w:tcBorders>
              <w:bottom w:val="nil"/>
            </w:tcBorders>
            <w:noWrap/>
            <w:vAlign w:val="bottom"/>
          </w:tcPr>
          <w:p w:rsidR="001D2E73" w:rsidRDefault="001D2E73">
            <w:pPr>
              <w:keepNext/>
              <w:keepLines/>
              <w:spacing w:before="40" w:after="40" w:line="220" w:lineRule="exact"/>
              <w:jc w:val="right"/>
              <w:rPr>
                <w:sz w:val="18"/>
                <w:szCs w:val="18"/>
              </w:rPr>
            </w:pPr>
          </w:p>
        </w:tc>
        <w:tc>
          <w:tcPr>
            <w:tcW w:w="841" w:type="dxa"/>
            <w:tcBorders>
              <w:bottom w:val="nil"/>
            </w:tcBorders>
            <w:noWrap/>
            <w:vAlign w:val="bottom"/>
          </w:tcPr>
          <w:p w:rsidR="001D2E73" w:rsidRDefault="001D2E73">
            <w:pPr>
              <w:keepNext/>
              <w:keepLines/>
              <w:spacing w:before="40" w:after="40" w:line="220" w:lineRule="exact"/>
              <w:jc w:val="right"/>
              <w:rPr>
                <w:sz w:val="18"/>
                <w:szCs w:val="18"/>
              </w:rPr>
            </w:pPr>
          </w:p>
        </w:tc>
        <w:tc>
          <w:tcPr>
            <w:tcW w:w="841" w:type="dxa"/>
            <w:tcBorders>
              <w:left w:val="nil"/>
              <w:bottom w:val="nil"/>
              <w:right w:val="nil"/>
              <w:tl2br w:val="nil"/>
              <w:tr2bl w:val="nil"/>
            </w:tcBorders>
            <w:noWrap/>
            <w:vAlign w:val="bottom"/>
          </w:tcPr>
          <w:p w:rsidR="001D2E73" w:rsidRDefault="001D2E73">
            <w:pPr>
              <w:keepNext/>
              <w:keepLines/>
              <w:spacing w:before="40" w:after="40" w:line="220" w:lineRule="exact"/>
              <w:jc w:val="right"/>
              <w:rPr>
                <w:sz w:val="18"/>
                <w:szCs w:val="18"/>
              </w:rPr>
            </w:pPr>
          </w:p>
        </w:tc>
      </w:tr>
      <w:tr w:rsidR="001D2E73">
        <w:trPr>
          <w:trHeight w:val="20"/>
        </w:trPr>
        <w:tc>
          <w:tcPr>
            <w:tcW w:w="3513" w:type="dxa"/>
            <w:tcBorders>
              <w:bottom w:val="nil"/>
            </w:tcBorders>
            <w:noWrap/>
            <w:vAlign w:val="bottom"/>
          </w:tcPr>
          <w:p w:rsidR="001D2E73" w:rsidRDefault="001D2E73">
            <w:pPr>
              <w:keepNext/>
              <w:keepLines/>
              <w:spacing w:before="40" w:after="40" w:line="220" w:lineRule="exact"/>
              <w:rPr>
                <w:sz w:val="18"/>
                <w:szCs w:val="18"/>
              </w:rPr>
            </w:pPr>
            <w:r>
              <w:rPr>
                <w:sz w:val="18"/>
                <w:szCs w:val="18"/>
              </w:rPr>
              <w:t xml:space="preserve">   Catedrático</w:t>
            </w:r>
          </w:p>
        </w:tc>
        <w:tc>
          <w:tcPr>
            <w:tcW w:w="842" w:type="dxa"/>
            <w:tcBorders>
              <w:bottom w:val="nil"/>
            </w:tcBorders>
            <w:noWrap/>
            <w:vAlign w:val="bottom"/>
          </w:tcPr>
          <w:p w:rsidR="001D2E73" w:rsidRDefault="001D2E73">
            <w:pPr>
              <w:keepNext/>
              <w:keepLines/>
              <w:spacing w:before="40" w:after="40" w:line="220" w:lineRule="exact"/>
              <w:jc w:val="right"/>
              <w:rPr>
                <w:sz w:val="18"/>
                <w:szCs w:val="18"/>
              </w:rPr>
            </w:pPr>
            <w:r>
              <w:rPr>
                <w:sz w:val="18"/>
                <w:szCs w:val="18"/>
              </w:rPr>
              <w:t>1 113</w:t>
            </w:r>
          </w:p>
        </w:tc>
        <w:tc>
          <w:tcPr>
            <w:tcW w:w="842" w:type="dxa"/>
            <w:tcBorders>
              <w:bottom w:val="nil"/>
            </w:tcBorders>
            <w:noWrap/>
            <w:vAlign w:val="bottom"/>
          </w:tcPr>
          <w:p w:rsidR="001D2E73" w:rsidRDefault="001D2E73">
            <w:pPr>
              <w:keepNext/>
              <w:keepLines/>
              <w:spacing w:before="40" w:after="40" w:line="220" w:lineRule="exact"/>
              <w:jc w:val="right"/>
              <w:rPr>
                <w:sz w:val="18"/>
                <w:szCs w:val="18"/>
              </w:rPr>
            </w:pPr>
            <w:r>
              <w:rPr>
                <w:sz w:val="18"/>
                <w:szCs w:val="18"/>
              </w:rPr>
              <w:t>1 213</w:t>
            </w:r>
          </w:p>
        </w:tc>
        <w:tc>
          <w:tcPr>
            <w:tcW w:w="841" w:type="dxa"/>
            <w:tcBorders>
              <w:bottom w:val="nil"/>
            </w:tcBorders>
            <w:noWrap/>
            <w:vAlign w:val="bottom"/>
          </w:tcPr>
          <w:p w:rsidR="001D2E73" w:rsidRDefault="001D2E73">
            <w:pPr>
              <w:keepNext/>
              <w:keepLines/>
              <w:spacing w:before="40" w:after="40" w:line="220" w:lineRule="exact"/>
              <w:jc w:val="right"/>
              <w:rPr>
                <w:sz w:val="18"/>
                <w:szCs w:val="18"/>
              </w:rPr>
            </w:pPr>
            <w:r>
              <w:rPr>
                <w:sz w:val="18"/>
                <w:szCs w:val="18"/>
              </w:rPr>
              <w:t>1 174</w:t>
            </w:r>
          </w:p>
        </w:tc>
        <w:tc>
          <w:tcPr>
            <w:tcW w:w="841" w:type="dxa"/>
            <w:tcBorders>
              <w:bottom w:val="nil"/>
            </w:tcBorders>
            <w:noWrap/>
            <w:vAlign w:val="bottom"/>
          </w:tcPr>
          <w:p w:rsidR="001D2E73" w:rsidRDefault="001D2E73">
            <w:pPr>
              <w:keepNext/>
              <w:keepLines/>
              <w:spacing w:before="40" w:after="40" w:line="220" w:lineRule="exact"/>
              <w:jc w:val="right"/>
              <w:rPr>
                <w:sz w:val="18"/>
                <w:szCs w:val="18"/>
              </w:rPr>
            </w:pPr>
            <w:r>
              <w:rPr>
                <w:sz w:val="18"/>
                <w:szCs w:val="18"/>
              </w:rPr>
              <w:t>1 454</w:t>
            </w:r>
          </w:p>
        </w:tc>
        <w:tc>
          <w:tcPr>
            <w:tcW w:w="841" w:type="dxa"/>
            <w:tcBorders>
              <w:bottom w:val="nil"/>
            </w:tcBorders>
            <w:noWrap/>
            <w:vAlign w:val="bottom"/>
          </w:tcPr>
          <w:p w:rsidR="001D2E73" w:rsidRDefault="001D2E73">
            <w:pPr>
              <w:keepNext/>
              <w:keepLines/>
              <w:spacing w:before="40" w:after="40" w:line="220" w:lineRule="exact"/>
              <w:jc w:val="right"/>
              <w:rPr>
                <w:sz w:val="18"/>
                <w:szCs w:val="18"/>
              </w:rPr>
            </w:pPr>
            <w:r>
              <w:rPr>
                <w:sz w:val="18"/>
                <w:szCs w:val="18"/>
              </w:rPr>
              <w:t>1 352</w:t>
            </w:r>
          </w:p>
        </w:tc>
        <w:tc>
          <w:tcPr>
            <w:tcW w:w="841" w:type="dxa"/>
            <w:tcBorders>
              <w:left w:val="nil"/>
              <w:bottom w:val="nil"/>
              <w:right w:val="nil"/>
              <w:tl2br w:val="nil"/>
              <w:tr2bl w:val="nil"/>
            </w:tcBorders>
            <w:noWrap/>
            <w:vAlign w:val="bottom"/>
          </w:tcPr>
          <w:p w:rsidR="001D2E73" w:rsidRDefault="001D2E73">
            <w:pPr>
              <w:keepNext/>
              <w:keepLines/>
              <w:spacing w:before="40" w:after="40" w:line="220" w:lineRule="exact"/>
              <w:jc w:val="right"/>
              <w:rPr>
                <w:sz w:val="18"/>
                <w:szCs w:val="18"/>
              </w:rPr>
            </w:pPr>
            <w:r>
              <w:rPr>
                <w:sz w:val="18"/>
                <w:szCs w:val="18"/>
              </w:rPr>
              <w:t>1 326</w:t>
            </w:r>
          </w:p>
        </w:tc>
      </w:tr>
      <w:tr w:rsidR="001D2E73">
        <w:trPr>
          <w:trHeight w:val="20"/>
        </w:trPr>
        <w:tc>
          <w:tcPr>
            <w:tcW w:w="3513" w:type="dxa"/>
            <w:tcBorders>
              <w:bottom w:val="single" w:sz="18" w:space="0" w:color="auto"/>
            </w:tcBorders>
            <w:noWrap/>
            <w:vAlign w:val="bottom"/>
          </w:tcPr>
          <w:p w:rsidR="001D2E73" w:rsidRDefault="001D2E73">
            <w:pPr>
              <w:keepNext/>
              <w:keepLines/>
              <w:spacing w:before="40" w:after="40" w:line="220" w:lineRule="exact"/>
              <w:rPr>
                <w:sz w:val="18"/>
                <w:szCs w:val="18"/>
              </w:rPr>
            </w:pPr>
            <w:r>
              <w:rPr>
                <w:sz w:val="18"/>
                <w:szCs w:val="18"/>
              </w:rPr>
              <w:t xml:space="preserve">   Catedrático auxiliar</w:t>
            </w:r>
          </w:p>
        </w:tc>
        <w:tc>
          <w:tcPr>
            <w:tcW w:w="842" w:type="dxa"/>
            <w:tcBorders>
              <w:bottom w:val="single" w:sz="18" w:space="0" w:color="auto"/>
            </w:tcBorders>
            <w:noWrap/>
            <w:vAlign w:val="bottom"/>
          </w:tcPr>
          <w:p w:rsidR="001D2E73" w:rsidRDefault="001D2E73">
            <w:pPr>
              <w:keepNext/>
              <w:keepLines/>
              <w:spacing w:before="40" w:after="40" w:line="220" w:lineRule="exact"/>
              <w:jc w:val="right"/>
              <w:rPr>
                <w:sz w:val="18"/>
                <w:szCs w:val="18"/>
              </w:rPr>
            </w:pPr>
            <w:r>
              <w:rPr>
                <w:sz w:val="18"/>
                <w:szCs w:val="18"/>
              </w:rPr>
              <w:t>4 173</w:t>
            </w:r>
          </w:p>
        </w:tc>
        <w:tc>
          <w:tcPr>
            <w:tcW w:w="842" w:type="dxa"/>
            <w:tcBorders>
              <w:bottom w:val="single" w:sz="18" w:space="0" w:color="auto"/>
            </w:tcBorders>
            <w:noWrap/>
            <w:vAlign w:val="bottom"/>
          </w:tcPr>
          <w:p w:rsidR="001D2E73" w:rsidRDefault="001D2E73">
            <w:pPr>
              <w:keepNext/>
              <w:keepLines/>
              <w:spacing w:before="40" w:after="40" w:line="220" w:lineRule="exact"/>
              <w:jc w:val="right"/>
              <w:rPr>
                <w:sz w:val="18"/>
                <w:szCs w:val="18"/>
              </w:rPr>
            </w:pPr>
            <w:r>
              <w:rPr>
                <w:sz w:val="18"/>
                <w:szCs w:val="18"/>
              </w:rPr>
              <w:t>3 989</w:t>
            </w:r>
          </w:p>
        </w:tc>
        <w:tc>
          <w:tcPr>
            <w:tcW w:w="841" w:type="dxa"/>
            <w:tcBorders>
              <w:bottom w:val="single" w:sz="18" w:space="0" w:color="auto"/>
            </w:tcBorders>
            <w:noWrap/>
            <w:vAlign w:val="bottom"/>
          </w:tcPr>
          <w:p w:rsidR="001D2E73" w:rsidRDefault="001D2E73">
            <w:pPr>
              <w:keepNext/>
              <w:keepLines/>
              <w:spacing w:before="40" w:after="40" w:line="220" w:lineRule="exact"/>
              <w:jc w:val="right"/>
              <w:rPr>
                <w:sz w:val="18"/>
                <w:szCs w:val="18"/>
              </w:rPr>
            </w:pPr>
            <w:r>
              <w:rPr>
                <w:sz w:val="18"/>
                <w:szCs w:val="18"/>
              </w:rPr>
              <w:t>4 050</w:t>
            </w:r>
          </w:p>
        </w:tc>
        <w:tc>
          <w:tcPr>
            <w:tcW w:w="841" w:type="dxa"/>
            <w:tcBorders>
              <w:bottom w:val="single" w:sz="18" w:space="0" w:color="auto"/>
            </w:tcBorders>
            <w:noWrap/>
            <w:vAlign w:val="bottom"/>
          </w:tcPr>
          <w:p w:rsidR="001D2E73" w:rsidRDefault="001D2E73">
            <w:pPr>
              <w:keepNext/>
              <w:keepLines/>
              <w:spacing w:before="40" w:after="40" w:line="220" w:lineRule="exact"/>
              <w:jc w:val="right"/>
              <w:rPr>
                <w:sz w:val="18"/>
                <w:szCs w:val="18"/>
              </w:rPr>
            </w:pPr>
            <w:r>
              <w:rPr>
                <w:sz w:val="18"/>
                <w:szCs w:val="18"/>
              </w:rPr>
              <w:t>4 185</w:t>
            </w:r>
          </w:p>
        </w:tc>
        <w:tc>
          <w:tcPr>
            <w:tcW w:w="841" w:type="dxa"/>
            <w:tcBorders>
              <w:bottom w:val="single" w:sz="18" w:space="0" w:color="auto"/>
            </w:tcBorders>
            <w:noWrap/>
            <w:vAlign w:val="bottom"/>
          </w:tcPr>
          <w:p w:rsidR="001D2E73" w:rsidRDefault="001D2E73">
            <w:pPr>
              <w:keepNext/>
              <w:keepLines/>
              <w:spacing w:before="40" w:after="40" w:line="220" w:lineRule="exact"/>
              <w:jc w:val="right"/>
              <w:rPr>
                <w:sz w:val="18"/>
                <w:szCs w:val="18"/>
              </w:rPr>
            </w:pPr>
            <w:r>
              <w:rPr>
                <w:sz w:val="18"/>
                <w:szCs w:val="18"/>
              </w:rPr>
              <w:t>4 063</w:t>
            </w:r>
          </w:p>
        </w:tc>
        <w:tc>
          <w:tcPr>
            <w:tcW w:w="841" w:type="dxa"/>
            <w:tcBorders>
              <w:left w:val="nil"/>
              <w:bottom w:val="single" w:sz="18" w:space="0" w:color="auto"/>
              <w:right w:val="nil"/>
              <w:tl2br w:val="nil"/>
              <w:tr2bl w:val="nil"/>
            </w:tcBorders>
            <w:noWrap/>
            <w:vAlign w:val="bottom"/>
          </w:tcPr>
          <w:p w:rsidR="001D2E73" w:rsidRDefault="001D2E73">
            <w:pPr>
              <w:keepNext/>
              <w:keepLines/>
              <w:spacing w:before="40" w:after="40" w:line="220" w:lineRule="exact"/>
              <w:jc w:val="right"/>
              <w:rPr>
                <w:sz w:val="18"/>
                <w:szCs w:val="18"/>
              </w:rPr>
            </w:pPr>
            <w:r>
              <w:rPr>
                <w:sz w:val="18"/>
                <w:szCs w:val="18"/>
              </w:rPr>
              <w:t>4 394</w:t>
            </w:r>
          </w:p>
        </w:tc>
      </w:tr>
    </w:tbl>
    <w:p w:rsidR="001D2E73" w:rsidRDefault="001D2E73">
      <w:pPr>
        <w:pStyle w:val="SingleTxtGR"/>
        <w:keepNext/>
        <w:keepLines/>
        <w:tabs>
          <w:tab w:val="clear" w:pos="1701"/>
          <w:tab w:val="clear" w:pos="2268"/>
          <w:tab w:val="clear" w:pos="2835"/>
          <w:tab w:val="clear" w:pos="3402"/>
          <w:tab w:val="clear" w:pos="3969"/>
        </w:tabs>
        <w:spacing w:before="120" w:after="0"/>
        <w:ind w:left="1304"/>
        <w:rPr>
          <w:spacing w:val="0"/>
          <w:sz w:val="18"/>
          <w:szCs w:val="18"/>
          <w:lang w:val="es-ES"/>
        </w:rPr>
      </w:pPr>
      <w:r>
        <w:rPr>
          <w:i/>
          <w:spacing w:val="0"/>
          <w:sz w:val="18"/>
          <w:szCs w:val="18"/>
          <w:vertAlign w:val="superscript"/>
          <w:lang w:val="es-ES"/>
        </w:rPr>
        <w:t>a</w:t>
      </w:r>
      <w:r w:rsidRPr="0094705E">
        <w:rPr>
          <w:i/>
          <w:spacing w:val="0"/>
          <w:sz w:val="18"/>
          <w:szCs w:val="18"/>
          <w:lang w:val="es-ES"/>
        </w:rPr>
        <w:t xml:space="preserve">  </w:t>
      </w:r>
      <w:r>
        <w:rPr>
          <w:spacing w:val="0"/>
          <w:sz w:val="18"/>
          <w:szCs w:val="18"/>
          <w:lang w:val="es-ES"/>
        </w:rPr>
        <w:t>Además funcionan 6 filiales.</w:t>
      </w:r>
    </w:p>
    <w:p w:rsidR="001D2E73" w:rsidRDefault="001D2E73">
      <w:pPr>
        <w:pStyle w:val="SingleTxtGR"/>
        <w:keepNext/>
        <w:keepLines/>
        <w:tabs>
          <w:tab w:val="clear" w:pos="1701"/>
          <w:tab w:val="clear" w:pos="2268"/>
          <w:tab w:val="clear" w:pos="2835"/>
          <w:tab w:val="clear" w:pos="3402"/>
          <w:tab w:val="clear" w:pos="3969"/>
        </w:tabs>
        <w:ind w:left="1304"/>
        <w:rPr>
          <w:spacing w:val="0"/>
          <w:lang w:val="es-ES"/>
        </w:rPr>
      </w:pPr>
      <w:r>
        <w:rPr>
          <w:i/>
          <w:spacing w:val="0"/>
          <w:sz w:val="18"/>
          <w:szCs w:val="18"/>
          <w:vertAlign w:val="superscript"/>
          <w:lang w:val="es-ES"/>
        </w:rPr>
        <w:t>b</w:t>
      </w:r>
      <w:r w:rsidRPr="0094705E">
        <w:rPr>
          <w:i/>
          <w:spacing w:val="0"/>
          <w:sz w:val="18"/>
          <w:szCs w:val="18"/>
          <w:lang w:val="es-ES"/>
        </w:rPr>
        <w:t xml:space="preserve">  </w:t>
      </w:r>
      <w:r>
        <w:rPr>
          <w:spacing w:val="0"/>
          <w:sz w:val="18"/>
          <w:szCs w:val="18"/>
          <w:lang w:val="es-ES"/>
        </w:rPr>
        <w:t>Incluidos los centros de enseñanza superior especializada.</w:t>
      </w:r>
    </w:p>
    <w:p w:rsidR="001D2E73" w:rsidRDefault="001D2E73">
      <w:pPr>
        <w:pStyle w:val="SingleTxtGR"/>
        <w:spacing w:before="240"/>
        <w:rPr>
          <w:spacing w:val="0"/>
          <w:lang w:val="es-ES"/>
        </w:rPr>
      </w:pPr>
      <w:r>
        <w:rPr>
          <w:spacing w:val="0"/>
          <w:lang w:val="es-ES"/>
        </w:rPr>
        <w:t>Cuadro 25</w:t>
      </w:r>
      <w:r>
        <w:rPr>
          <w:spacing w:val="0"/>
          <w:lang w:val="es-ES"/>
        </w:rPr>
        <w:br/>
      </w:r>
      <w:r>
        <w:rPr>
          <w:b/>
          <w:spacing w:val="0"/>
          <w:lang w:val="es-ES"/>
        </w:rPr>
        <w:t>Internados para niños (a finales del año)</w:t>
      </w:r>
    </w:p>
    <w:tbl>
      <w:tblPr>
        <w:tblW w:w="8561"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284"/>
        <w:gridCol w:w="708"/>
        <w:gridCol w:w="709"/>
        <w:gridCol w:w="709"/>
        <w:gridCol w:w="709"/>
        <w:gridCol w:w="709"/>
        <w:gridCol w:w="733"/>
      </w:tblGrid>
      <w:tr w:rsidR="001D2E73">
        <w:trPr>
          <w:trHeight w:val="390"/>
          <w:tblHeader/>
        </w:trPr>
        <w:tc>
          <w:tcPr>
            <w:tcW w:w="4284"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 </w:t>
            </w:r>
          </w:p>
        </w:tc>
        <w:tc>
          <w:tcPr>
            <w:tcW w:w="708"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2003</w:t>
            </w:r>
          </w:p>
        </w:tc>
        <w:tc>
          <w:tcPr>
            <w:tcW w:w="709"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2004</w:t>
            </w:r>
          </w:p>
        </w:tc>
        <w:tc>
          <w:tcPr>
            <w:tcW w:w="709"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2005</w:t>
            </w:r>
          </w:p>
        </w:tc>
        <w:tc>
          <w:tcPr>
            <w:tcW w:w="709"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2006</w:t>
            </w:r>
          </w:p>
        </w:tc>
        <w:tc>
          <w:tcPr>
            <w:tcW w:w="709"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2007</w:t>
            </w:r>
          </w:p>
        </w:tc>
        <w:tc>
          <w:tcPr>
            <w:tcW w:w="733" w:type="dxa"/>
            <w:tcBorders>
              <w:top w:val="single" w:sz="4" w:space="0" w:color="auto"/>
              <w:left w:val="nil"/>
              <w:bottom w:val="single" w:sz="12" w:space="0" w:color="auto"/>
              <w:right w:val="nil"/>
              <w:tl2br w:val="nil"/>
              <w:tr2bl w:val="nil"/>
            </w:tcBorders>
            <w:shd w:val="clear" w:color="auto" w:fill="auto"/>
            <w:noWrap/>
          </w:tcPr>
          <w:p w:rsidR="001D2E73" w:rsidRDefault="001D2E73">
            <w:pPr>
              <w:spacing w:before="80" w:after="80" w:line="200" w:lineRule="exact"/>
              <w:jc w:val="right"/>
              <w:rPr>
                <w:i/>
                <w:sz w:val="16"/>
              </w:rPr>
            </w:pPr>
            <w:r>
              <w:rPr>
                <w:i/>
                <w:sz w:val="16"/>
              </w:rPr>
              <w:t>2008</w:t>
            </w:r>
            <w:r>
              <w:rPr>
                <w:sz w:val="16"/>
                <w:vertAlign w:val="superscript"/>
              </w:rPr>
              <w:t>a)</w:t>
            </w:r>
          </w:p>
        </w:tc>
      </w:tr>
      <w:tr w:rsidR="001D2E73">
        <w:trPr>
          <w:trHeight w:val="20"/>
        </w:trPr>
        <w:tc>
          <w:tcPr>
            <w:tcW w:w="4284" w:type="dxa"/>
            <w:tcBorders>
              <w:top w:val="single" w:sz="12" w:space="0" w:color="auto"/>
            </w:tcBorders>
            <w:noWrap/>
          </w:tcPr>
          <w:p w:rsidR="001D2E73" w:rsidRDefault="001D2E73">
            <w:pPr>
              <w:spacing w:before="40" w:after="40" w:line="220" w:lineRule="exact"/>
              <w:rPr>
                <w:sz w:val="18"/>
                <w:szCs w:val="18"/>
              </w:rPr>
            </w:pPr>
            <w:r>
              <w:rPr>
                <w:sz w:val="18"/>
                <w:szCs w:val="18"/>
              </w:rPr>
              <w:t>Hogares infantiles</w:t>
            </w:r>
          </w:p>
        </w:tc>
        <w:tc>
          <w:tcPr>
            <w:tcW w:w="708" w:type="dxa"/>
            <w:tcBorders>
              <w:top w:val="single" w:sz="12" w:space="0" w:color="auto"/>
            </w:tcBorders>
            <w:noWrap/>
          </w:tcPr>
          <w:p w:rsidR="001D2E73" w:rsidRDefault="001D2E73">
            <w:pPr>
              <w:spacing w:before="40" w:after="40" w:line="220" w:lineRule="exact"/>
              <w:jc w:val="right"/>
              <w:rPr>
                <w:sz w:val="18"/>
                <w:szCs w:val="18"/>
              </w:rPr>
            </w:pPr>
            <w:r>
              <w:rPr>
                <w:sz w:val="18"/>
                <w:szCs w:val="18"/>
              </w:rPr>
              <w:t>4</w:t>
            </w:r>
          </w:p>
        </w:tc>
        <w:tc>
          <w:tcPr>
            <w:tcW w:w="709" w:type="dxa"/>
            <w:tcBorders>
              <w:top w:val="single" w:sz="12" w:space="0" w:color="auto"/>
            </w:tcBorders>
            <w:noWrap/>
          </w:tcPr>
          <w:p w:rsidR="001D2E73" w:rsidRDefault="001D2E73">
            <w:pPr>
              <w:spacing w:before="40" w:after="40" w:line="220" w:lineRule="exact"/>
              <w:jc w:val="right"/>
              <w:rPr>
                <w:sz w:val="18"/>
                <w:szCs w:val="18"/>
              </w:rPr>
            </w:pPr>
            <w:r>
              <w:rPr>
                <w:sz w:val="18"/>
                <w:szCs w:val="18"/>
              </w:rPr>
              <w:t>4</w:t>
            </w:r>
          </w:p>
        </w:tc>
        <w:tc>
          <w:tcPr>
            <w:tcW w:w="709" w:type="dxa"/>
            <w:tcBorders>
              <w:top w:val="single" w:sz="12" w:space="0" w:color="auto"/>
            </w:tcBorders>
            <w:noWrap/>
          </w:tcPr>
          <w:p w:rsidR="001D2E73" w:rsidRDefault="001D2E73">
            <w:pPr>
              <w:spacing w:before="40" w:after="40" w:line="220" w:lineRule="exact"/>
              <w:jc w:val="right"/>
              <w:rPr>
                <w:sz w:val="18"/>
                <w:szCs w:val="18"/>
              </w:rPr>
            </w:pPr>
            <w:r>
              <w:rPr>
                <w:sz w:val="18"/>
                <w:szCs w:val="18"/>
              </w:rPr>
              <w:t>4</w:t>
            </w:r>
          </w:p>
        </w:tc>
        <w:tc>
          <w:tcPr>
            <w:tcW w:w="709" w:type="dxa"/>
            <w:tcBorders>
              <w:top w:val="single" w:sz="12" w:space="0" w:color="auto"/>
            </w:tcBorders>
            <w:noWrap/>
          </w:tcPr>
          <w:p w:rsidR="001D2E73" w:rsidRDefault="001D2E73">
            <w:pPr>
              <w:spacing w:before="40" w:after="40" w:line="220" w:lineRule="exact"/>
              <w:jc w:val="right"/>
              <w:rPr>
                <w:sz w:val="18"/>
                <w:szCs w:val="18"/>
              </w:rPr>
            </w:pPr>
            <w:r>
              <w:rPr>
                <w:sz w:val="18"/>
                <w:szCs w:val="18"/>
              </w:rPr>
              <w:t>4</w:t>
            </w:r>
          </w:p>
        </w:tc>
        <w:tc>
          <w:tcPr>
            <w:tcW w:w="709" w:type="dxa"/>
            <w:tcBorders>
              <w:top w:val="single" w:sz="12" w:space="0" w:color="auto"/>
            </w:tcBorders>
            <w:noWrap/>
          </w:tcPr>
          <w:p w:rsidR="001D2E73" w:rsidRDefault="001D2E73">
            <w:pPr>
              <w:spacing w:before="40" w:after="40" w:line="220" w:lineRule="exact"/>
              <w:jc w:val="right"/>
              <w:rPr>
                <w:sz w:val="18"/>
                <w:szCs w:val="18"/>
              </w:rPr>
            </w:pPr>
            <w:r>
              <w:rPr>
                <w:sz w:val="18"/>
                <w:szCs w:val="18"/>
              </w:rPr>
              <w:t>4</w:t>
            </w:r>
          </w:p>
        </w:tc>
        <w:tc>
          <w:tcPr>
            <w:tcW w:w="733" w:type="dxa"/>
            <w:tcBorders>
              <w:top w:val="single" w:sz="12" w:space="0" w:color="auto"/>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4</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Cantidad de niños</w:t>
            </w:r>
          </w:p>
        </w:tc>
        <w:tc>
          <w:tcPr>
            <w:tcW w:w="708" w:type="dxa"/>
            <w:noWrap/>
          </w:tcPr>
          <w:p w:rsidR="001D2E73" w:rsidRDefault="001D2E73">
            <w:pPr>
              <w:spacing w:before="40" w:after="40" w:line="220" w:lineRule="exact"/>
              <w:jc w:val="right"/>
              <w:rPr>
                <w:sz w:val="18"/>
                <w:szCs w:val="18"/>
              </w:rPr>
            </w:pPr>
            <w:r>
              <w:rPr>
                <w:sz w:val="18"/>
                <w:szCs w:val="18"/>
              </w:rPr>
              <w:t>152</w:t>
            </w:r>
          </w:p>
        </w:tc>
        <w:tc>
          <w:tcPr>
            <w:tcW w:w="709" w:type="dxa"/>
            <w:noWrap/>
          </w:tcPr>
          <w:p w:rsidR="001D2E73" w:rsidRDefault="001D2E73">
            <w:pPr>
              <w:spacing w:before="40" w:after="40" w:line="220" w:lineRule="exact"/>
              <w:jc w:val="right"/>
              <w:rPr>
                <w:sz w:val="18"/>
                <w:szCs w:val="18"/>
              </w:rPr>
            </w:pPr>
            <w:r>
              <w:rPr>
                <w:sz w:val="18"/>
                <w:szCs w:val="18"/>
              </w:rPr>
              <w:t>144</w:t>
            </w:r>
          </w:p>
        </w:tc>
        <w:tc>
          <w:tcPr>
            <w:tcW w:w="709" w:type="dxa"/>
            <w:noWrap/>
          </w:tcPr>
          <w:p w:rsidR="001D2E73" w:rsidRDefault="001D2E73">
            <w:pPr>
              <w:spacing w:before="40" w:after="40" w:line="220" w:lineRule="exact"/>
              <w:jc w:val="right"/>
              <w:rPr>
                <w:sz w:val="18"/>
                <w:szCs w:val="18"/>
              </w:rPr>
            </w:pPr>
            <w:r>
              <w:rPr>
                <w:sz w:val="18"/>
                <w:szCs w:val="18"/>
              </w:rPr>
              <w:t>156</w:t>
            </w:r>
          </w:p>
        </w:tc>
        <w:tc>
          <w:tcPr>
            <w:tcW w:w="709" w:type="dxa"/>
            <w:noWrap/>
          </w:tcPr>
          <w:p w:rsidR="001D2E73" w:rsidRDefault="001D2E73">
            <w:pPr>
              <w:spacing w:before="40" w:after="40" w:line="220" w:lineRule="exact"/>
              <w:jc w:val="right"/>
              <w:rPr>
                <w:sz w:val="18"/>
                <w:szCs w:val="18"/>
              </w:rPr>
            </w:pPr>
            <w:r>
              <w:rPr>
                <w:sz w:val="18"/>
                <w:szCs w:val="18"/>
              </w:rPr>
              <w:t>142</w:t>
            </w:r>
          </w:p>
        </w:tc>
        <w:tc>
          <w:tcPr>
            <w:tcW w:w="709" w:type="dxa"/>
            <w:noWrap/>
          </w:tcPr>
          <w:p w:rsidR="001D2E73" w:rsidRDefault="001D2E73">
            <w:pPr>
              <w:spacing w:before="40" w:after="40" w:line="220" w:lineRule="exact"/>
              <w:jc w:val="right"/>
              <w:rPr>
                <w:sz w:val="18"/>
                <w:szCs w:val="18"/>
              </w:rPr>
            </w:pPr>
            <w:r>
              <w:rPr>
                <w:sz w:val="18"/>
                <w:szCs w:val="18"/>
              </w:rPr>
              <w:t>105</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100</w:t>
            </w:r>
          </w:p>
        </w:tc>
      </w:tr>
      <w:tr w:rsidR="001D2E73" w:rsidTr="00E95C1B">
        <w:trPr>
          <w:trHeight w:val="20"/>
        </w:trPr>
        <w:tc>
          <w:tcPr>
            <w:tcW w:w="4284" w:type="dxa"/>
            <w:tcBorders>
              <w:bottom w:val="nil"/>
            </w:tcBorders>
            <w:noWrap/>
          </w:tcPr>
          <w:p w:rsidR="001D2E73" w:rsidRDefault="001D2E73">
            <w:pPr>
              <w:spacing w:before="40" w:after="40" w:line="220" w:lineRule="exact"/>
              <w:rPr>
                <w:sz w:val="18"/>
                <w:szCs w:val="18"/>
              </w:rPr>
            </w:pPr>
            <w:r>
              <w:rPr>
                <w:sz w:val="18"/>
                <w:szCs w:val="18"/>
              </w:rPr>
              <w:t xml:space="preserve">  De ellos, huérfanos </w:t>
            </w:r>
          </w:p>
        </w:tc>
        <w:tc>
          <w:tcPr>
            <w:tcW w:w="708" w:type="dxa"/>
            <w:tcBorders>
              <w:bottom w:val="nil"/>
            </w:tcBorders>
            <w:noWrap/>
          </w:tcPr>
          <w:p w:rsidR="001D2E73" w:rsidRDefault="001D2E73">
            <w:pPr>
              <w:spacing w:before="40" w:after="40" w:line="220" w:lineRule="exact"/>
              <w:jc w:val="right"/>
              <w:rPr>
                <w:sz w:val="18"/>
                <w:szCs w:val="18"/>
              </w:rPr>
            </w:pPr>
            <w:r>
              <w:rPr>
                <w:sz w:val="18"/>
                <w:szCs w:val="18"/>
              </w:rPr>
              <w:t>57</w:t>
            </w:r>
          </w:p>
        </w:tc>
        <w:tc>
          <w:tcPr>
            <w:tcW w:w="709" w:type="dxa"/>
            <w:tcBorders>
              <w:bottom w:val="nil"/>
            </w:tcBorders>
            <w:noWrap/>
          </w:tcPr>
          <w:p w:rsidR="001D2E73" w:rsidRDefault="001D2E73">
            <w:pPr>
              <w:spacing w:before="40" w:after="40" w:line="220" w:lineRule="exact"/>
              <w:jc w:val="right"/>
              <w:rPr>
                <w:sz w:val="18"/>
                <w:szCs w:val="18"/>
              </w:rPr>
            </w:pPr>
            <w:r>
              <w:rPr>
                <w:sz w:val="18"/>
                <w:szCs w:val="18"/>
              </w:rPr>
              <w:t>55</w:t>
            </w:r>
          </w:p>
        </w:tc>
        <w:tc>
          <w:tcPr>
            <w:tcW w:w="709" w:type="dxa"/>
            <w:tcBorders>
              <w:bottom w:val="nil"/>
            </w:tcBorders>
            <w:noWrap/>
          </w:tcPr>
          <w:p w:rsidR="001D2E73" w:rsidRDefault="001D2E73">
            <w:pPr>
              <w:spacing w:before="40" w:after="40" w:line="220" w:lineRule="exact"/>
              <w:jc w:val="right"/>
              <w:rPr>
                <w:sz w:val="18"/>
                <w:szCs w:val="18"/>
              </w:rPr>
            </w:pPr>
            <w:r>
              <w:rPr>
                <w:sz w:val="18"/>
                <w:szCs w:val="18"/>
              </w:rPr>
              <w:t>59</w:t>
            </w:r>
          </w:p>
        </w:tc>
        <w:tc>
          <w:tcPr>
            <w:tcW w:w="709" w:type="dxa"/>
            <w:tcBorders>
              <w:bottom w:val="nil"/>
            </w:tcBorders>
            <w:noWrap/>
          </w:tcPr>
          <w:p w:rsidR="001D2E73" w:rsidRDefault="001D2E73">
            <w:pPr>
              <w:spacing w:before="40" w:after="40" w:line="220" w:lineRule="exact"/>
              <w:jc w:val="right"/>
              <w:rPr>
                <w:sz w:val="18"/>
                <w:szCs w:val="18"/>
              </w:rPr>
            </w:pPr>
            <w:r>
              <w:rPr>
                <w:sz w:val="18"/>
                <w:szCs w:val="18"/>
              </w:rPr>
              <w:t>61</w:t>
            </w:r>
          </w:p>
        </w:tc>
        <w:tc>
          <w:tcPr>
            <w:tcW w:w="709" w:type="dxa"/>
            <w:tcBorders>
              <w:bottom w:val="nil"/>
            </w:tcBorders>
            <w:noWrap/>
          </w:tcPr>
          <w:p w:rsidR="001D2E73" w:rsidRDefault="001D2E73">
            <w:pPr>
              <w:spacing w:before="40" w:after="40" w:line="220" w:lineRule="exact"/>
              <w:jc w:val="right"/>
              <w:rPr>
                <w:sz w:val="18"/>
                <w:szCs w:val="18"/>
              </w:rPr>
            </w:pPr>
            <w:r>
              <w:rPr>
                <w:sz w:val="18"/>
                <w:szCs w:val="18"/>
              </w:rPr>
              <w:t>38</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35</w:t>
            </w:r>
          </w:p>
        </w:tc>
      </w:tr>
      <w:tr w:rsidR="001D2E73" w:rsidTr="00E95C1B">
        <w:trPr>
          <w:trHeight w:val="20"/>
        </w:trPr>
        <w:tc>
          <w:tcPr>
            <w:tcW w:w="4284" w:type="dxa"/>
            <w:tcBorders>
              <w:top w:val="nil"/>
              <w:bottom w:val="nil"/>
            </w:tcBorders>
            <w:noWrap/>
          </w:tcPr>
          <w:p w:rsidR="001D2E73" w:rsidRDefault="001D2E73">
            <w:pPr>
              <w:spacing w:before="40" w:after="40" w:line="220" w:lineRule="exact"/>
              <w:rPr>
                <w:sz w:val="18"/>
                <w:szCs w:val="18"/>
              </w:rPr>
            </w:pPr>
            <w:r>
              <w:rPr>
                <w:sz w:val="18"/>
                <w:szCs w:val="18"/>
              </w:rPr>
              <w:t xml:space="preserve">Guarderías </w:t>
            </w:r>
          </w:p>
        </w:tc>
        <w:tc>
          <w:tcPr>
            <w:tcW w:w="708" w:type="dxa"/>
            <w:tcBorders>
              <w:top w:val="nil"/>
              <w:bottom w:val="nil"/>
            </w:tcBorders>
            <w:noWrap/>
          </w:tcPr>
          <w:p w:rsidR="001D2E73" w:rsidRDefault="001D2E73">
            <w:pPr>
              <w:spacing w:before="40" w:after="40" w:line="220" w:lineRule="exact"/>
              <w:jc w:val="right"/>
              <w:rPr>
                <w:sz w:val="18"/>
                <w:szCs w:val="18"/>
              </w:rPr>
            </w:pPr>
            <w:r>
              <w:rPr>
                <w:sz w:val="18"/>
                <w:szCs w:val="18"/>
              </w:rPr>
              <w:t>6</w:t>
            </w:r>
          </w:p>
        </w:tc>
        <w:tc>
          <w:tcPr>
            <w:tcW w:w="709" w:type="dxa"/>
            <w:tcBorders>
              <w:top w:val="nil"/>
              <w:bottom w:val="nil"/>
            </w:tcBorders>
            <w:noWrap/>
          </w:tcPr>
          <w:p w:rsidR="001D2E73" w:rsidRDefault="001D2E73">
            <w:pPr>
              <w:spacing w:before="40" w:after="40" w:line="220" w:lineRule="exact"/>
              <w:jc w:val="right"/>
              <w:rPr>
                <w:sz w:val="18"/>
                <w:szCs w:val="18"/>
              </w:rPr>
            </w:pPr>
            <w:r>
              <w:rPr>
                <w:sz w:val="18"/>
                <w:szCs w:val="18"/>
              </w:rPr>
              <w:t>6</w:t>
            </w:r>
          </w:p>
        </w:tc>
        <w:tc>
          <w:tcPr>
            <w:tcW w:w="709" w:type="dxa"/>
            <w:tcBorders>
              <w:top w:val="nil"/>
              <w:bottom w:val="nil"/>
            </w:tcBorders>
            <w:noWrap/>
          </w:tcPr>
          <w:p w:rsidR="001D2E73" w:rsidRDefault="001D2E73">
            <w:pPr>
              <w:spacing w:before="40" w:after="40" w:line="220" w:lineRule="exact"/>
              <w:jc w:val="right"/>
              <w:rPr>
                <w:sz w:val="18"/>
                <w:szCs w:val="18"/>
              </w:rPr>
            </w:pPr>
            <w:r>
              <w:rPr>
                <w:sz w:val="18"/>
                <w:szCs w:val="18"/>
              </w:rPr>
              <w:t>6</w:t>
            </w:r>
          </w:p>
        </w:tc>
        <w:tc>
          <w:tcPr>
            <w:tcW w:w="709" w:type="dxa"/>
            <w:tcBorders>
              <w:top w:val="nil"/>
              <w:bottom w:val="nil"/>
            </w:tcBorders>
            <w:noWrap/>
          </w:tcPr>
          <w:p w:rsidR="001D2E73" w:rsidRDefault="001D2E73">
            <w:pPr>
              <w:spacing w:before="40" w:after="40" w:line="220" w:lineRule="exact"/>
              <w:jc w:val="right"/>
              <w:rPr>
                <w:sz w:val="18"/>
                <w:szCs w:val="18"/>
              </w:rPr>
            </w:pPr>
            <w:r>
              <w:rPr>
                <w:sz w:val="18"/>
                <w:szCs w:val="18"/>
              </w:rPr>
              <w:t>6</w:t>
            </w:r>
          </w:p>
        </w:tc>
        <w:tc>
          <w:tcPr>
            <w:tcW w:w="709" w:type="dxa"/>
            <w:tcBorders>
              <w:top w:val="nil"/>
              <w:bottom w:val="nil"/>
            </w:tcBorders>
            <w:noWrap/>
          </w:tcPr>
          <w:p w:rsidR="001D2E73" w:rsidRDefault="001D2E73">
            <w:pPr>
              <w:spacing w:before="40" w:after="40" w:line="220" w:lineRule="exact"/>
              <w:jc w:val="right"/>
              <w:rPr>
                <w:sz w:val="18"/>
                <w:szCs w:val="18"/>
              </w:rPr>
            </w:pPr>
            <w:r>
              <w:rPr>
                <w:sz w:val="18"/>
                <w:szCs w:val="18"/>
              </w:rPr>
              <w:t>6</w:t>
            </w:r>
          </w:p>
        </w:tc>
        <w:tc>
          <w:tcPr>
            <w:tcW w:w="733" w:type="dxa"/>
            <w:tcBorders>
              <w:top w:val="nil"/>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6</w:t>
            </w:r>
          </w:p>
        </w:tc>
      </w:tr>
      <w:tr w:rsidR="001D2E73" w:rsidTr="00E95C1B">
        <w:trPr>
          <w:trHeight w:val="20"/>
        </w:trPr>
        <w:tc>
          <w:tcPr>
            <w:tcW w:w="4284" w:type="dxa"/>
            <w:tcBorders>
              <w:top w:val="nil"/>
            </w:tcBorders>
            <w:noWrap/>
          </w:tcPr>
          <w:p w:rsidR="001D2E73" w:rsidRDefault="001D2E73">
            <w:pPr>
              <w:spacing w:before="40" w:after="40" w:line="220" w:lineRule="exact"/>
              <w:rPr>
                <w:sz w:val="18"/>
                <w:szCs w:val="18"/>
              </w:rPr>
            </w:pPr>
            <w:r>
              <w:rPr>
                <w:sz w:val="18"/>
                <w:szCs w:val="18"/>
              </w:rPr>
              <w:t>Cantidad de niños</w:t>
            </w:r>
          </w:p>
        </w:tc>
        <w:tc>
          <w:tcPr>
            <w:tcW w:w="708" w:type="dxa"/>
            <w:tcBorders>
              <w:top w:val="nil"/>
            </w:tcBorders>
            <w:noWrap/>
          </w:tcPr>
          <w:p w:rsidR="001D2E73" w:rsidRDefault="001D2E73">
            <w:pPr>
              <w:spacing w:before="40" w:after="40" w:line="220" w:lineRule="exact"/>
              <w:jc w:val="right"/>
              <w:rPr>
                <w:sz w:val="18"/>
                <w:szCs w:val="18"/>
              </w:rPr>
            </w:pPr>
            <w:r>
              <w:rPr>
                <w:sz w:val="18"/>
                <w:szCs w:val="18"/>
              </w:rPr>
              <w:t>750</w:t>
            </w:r>
          </w:p>
        </w:tc>
        <w:tc>
          <w:tcPr>
            <w:tcW w:w="709" w:type="dxa"/>
            <w:tcBorders>
              <w:top w:val="nil"/>
            </w:tcBorders>
            <w:noWrap/>
          </w:tcPr>
          <w:p w:rsidR="001D2E73" w:rsidRDefault="001D2E73">
            <w:pPr>
              <w:spacing w:before="40" w:after="40" w:line="220" w:lineRule="exact"/>
              <w:jc w:val="right"/>
              <w:rPr>
                <w:sz w:val="18"/>
                <w:szCs w:val="18"/>
              </w:rPr>
            </w:pPr>
            <w:r>
              <w:rPr>
                <w:sz w:val="18"/>
                <w:szCs w:val="18"/>
              </w:rPr>
              <w:t>719</w:t>
            </w:r>
          </w:p>
        </w:tc>
        <w:tc>
          <w:tcPr>
            <w:tcW w:w="709" w:type="dxa"/>
            <w:tcBorders>
              <w:top w:val="nil"/>
            </w:tcBorders>
            <w:noWrap/>
          </w:tcPr>
          <w:p w:rsidR="001D2E73" w:rsidRDefault="001D2E73">
            <w:pPr>
              <w:spacing w:before="40" w:after="40" w:line="220" w:lineRule="exact"/>
              <w:jc w:val="right"/>
              <w:rPr>
                <w:sz w:val="18"/>
                <w:szCs w:val="18"/>
              </w:rPr>
            </w:pPr>
            <w:r>
              <w:rPr>
                <w:sz w:val="18"/>
                <w:szCs w:val="18"/>
              </w:rPr>
              <w:t>734</w:t>
            </w:r>
          </w:p>
        </w:tc>
        <w:tc>
          <w:tcPr>
            <w:tcW w:w="709" w:type="dxa"/>
            <w:tcBorders>
              <w:top w:val="nil"/>
            </w:tcBorders>
            <w:noWrap/>
          </w:tcPr>
          <w:p w:rsidR="001D2E73" w:rsidRDefault="001D2E73">
            <w:pPr>
              <w:spacing w:before="40" w:after="40" w:line="220" w:lineRule="exact"/>
              <w:jc w:val="right"/>
              <w:rPr>
                <w:sz w:val="18"/>
                <w:szCs w:val="18"/>
              </w:rPr>
            </w:pPr>
            <w:r>
              <w:rPr>
                <w:sz w:val="18"/>
                <w:szCs w:val="18"/>
              </w:rPr>
              <w:t>648</w:t>
            </w:r>
          </w:p>
        </w:tc>
        <w:tc>
          <w:tcPr>
            <w:tcW w:w="709" w:type="dxa"/>
            <w:tcBorders>
              <w:top w:val="nil"/>
            </w:tcBorders>
            <w:noWrap/>
          </w:tcPr>
          <w:p w:rsidR="001D2E73" w:rsidRDefault="001D2E73">
            <w:pPr>
              <w:spacing w:before="40" w:after="40" w:line="220" w:lineRule="exact"/>
              <w:jc w:val="right"/>
              <w:rPr>
                <w:sz w:val="18"/>
                <w:szCs w:val="18"/>
              </w:rPr>
            </w:pPr>
            <w:r>
              <w:rPr>
                <w:sz w:val="18"/>
                <w:szCs w:val="18"/>
              </w:rPr>
              <w:t>564</w:t>
            </w:r>
          </w:p>
        </w:tc>
        <w:tc>
          <w:tcPr>
            <w:tcW w:w="733" w:type="dxa"/>
            <w:tcBorders>
              <w:top w:val="nil"/>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550</w:t>
            </w:r>
          </w:p>
        </w:tc>
      </w:tr>
      <w:tr w:rsidR="001D2E73">
        <w:trPr>
          <w:trHeight w:val="20"/>
        </w:trPr>
        <w:tc>
          <w:tcPr>
            <w:tcW w:w="4284" w:type="dxa"/>
            <w:tcBorders>
              <w:bottom w:val="nil"/>
            </w:tcBorders>
            <w:noWrap/>
          </w:tcPr>
          <w:p w:rsidR="001D2E73" w:rsidRDefault="001D2E73">
            <w:pPr>
              <w:spacing w:before="40" w:after="40" w:line="220" w:lineRule="exact"/>
              <w:rPr>
                <w:sz w:val="18"/>
                <w:szCs w:val="18"/>
              </w:rPr>
            </w:pPr>
            <w:r>
              <w:rPr>
                <w:sz w:val="18"/>
                <w:szCs w:val="18"/>
              </w:rPr>
              <w:t xml:space="preserve">  De ellos, huérfanos </w:t>
            </w:r>
          </w:p>
        </w:tc>
        <w:tc>
          <w:tcPr>
            <w:tcW w:w="708" w:type="dxa"/>
            <w:tcBorders>
              <w:bottom w:val="nil"/>
            </w:tcBorders>
            <w:noWrap/>
          </w:tcPr>
          <w:p w:rsidR="001D2E73" w:rsidRDefault="001D2E73">
            <w:pPr>
              <w:spacing w:before="40" w:after="40" w:line="220" w:lineRule="exact"/>
              <w:jc w:val="right"/>
              <w:rPr>
                <w:sz w:val="18"/>
                <w:szCs w:val="18"/>
              </w:rPr>
            </w:pPr>
            <w:r>
              <w:rPr>
                <w:sz w:val="18"/>
                <w:szCs w:val="18"/>
              </w:rPr>
              <w:t>249</w:t>
            </w:r>
          </w:p>
        </w:tc>
        <w:tc>
          <w:tcPr>
            <w:tcW w:w="709" w:type="dxa"/>
            <w:tcBorders>
              <w:bottom w:val="nil"/>
            </w:tcBorders>
            <w:noWrap/>
          </w:tcPr>
          <w:p w:rsidR="001D2E73" w:rsidRDefault="001D2E73">
            <w:pPr>
              <w:spacing w:before="40" w:after="40" w:line="220" w:lineRule="exact"/>
              <w:jc w:val="right"/>
              <w:rPr>
                <w:sz w:val="18"/>
                <w:szCs w:val="18"/>
              </w:rPr>
            </w:pPr>
            <w:r>
              <w:rPr>
                <w:sz w:val="18"/>
                <w:szCs w:val="18"/>
              </w:rPr>
              <w:t>232</w:t>
            </w:r>
          </w:p>
        </w:tc>
        <w:tc>
          <w:tcPr>
            <w:tcW w:w="709" w:type="dxa"/>
            <w:tcBorders>
              <w:bottom w:val="nil"/>
            </w:tcBorders>
            <w:noWrap/>
          </w:tcPr>
          <w:p w:rsidR="001D2E73" w:rsidRDefault="001D2E73">
            <w:pPr>
              <w:spacing w:before="40" w:after="40" w:line="220" w:lineRule="exact"/>
              <w:jc w:val="right"/>
              <w:rPr>
                <w:sz w:val="18"/>
                <w:szCs w:val="18"/>
              </w:rPr>
            </w:pPr>
            <w:r>
              <w:rPr>
                <w:sz w:val="18"/>
                <w:szCs w:val="18"/>
              </w:rPr>
              <w:t>438</w:t>
            </w:r>
          </w:p>
        </w:tc>
        <w:tc>
          <w:tcPr>
            <w:tcW w:w="709" w:type="dxa"/>
            <w:tcBorders>
              <w:bottom w:val="nil"/>
            </w:tcBorders>
            <w:noWrap/>
          </w:tcPr>
          <w:p w:rsidR="001D2E73" w:rsidRDefault="001D2E73">
            <w:pPr>
              <w:spacing w:before="40" w:after="40" w:line="220" w:lineRule="exact"/>
              <w:jc w:val="right"/>
              <w:rPr>
                <w:sz w:val="18"/>
                <w:szCs w:val="18"/>
              </w:rPr>
            </w:pPr>
            <w:r>
              <w:rPr>
                <w:sz w:val="18"/>
                <w:szCs w:val="18"/>
              </w:rPr>
              <w:t>209</w:t>
            </w:r>
          </w:p>
        </w:tc>
        <w:tc>
          <w:tcPr>
            <w:tcW w:w="709" w:type="dxa"/>
            <w:tcBorders>
              <w:bottom w:val="nil"/>
            </w:tcBorders>
            <w:noWrap/>
          </w:tcPr>
          <w:p w:rsidR="001D2E73" w:rsidRDefault="001D2E73">
            <w:pPr>
              <w:spacing w:before="40" w:after="40" w:line="220" w:lineRule="exact"/>
              <w:jc w:val="right"/>
              <w:rPr>
                <w:sz w:val="18"/>
                <w:szCs w:val="18"/>
              </w:rPr>
            </w:pPr>
            <w:r>
              <w:rPr>
                <w:sz w:val="18"/>
                <w:szCs w:val="18"/>
              </w:rPr>
              <w:t>318</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300</w:t>
            </w:r>
          </w:p>
        </w:tc>
      </w:tr>
      <w:tr w:rsidR="001D2E73">
        <w:trPr>
          <w:trHeight w:val="510"/>
        </w:trPr>
        <w:tc>
          <w:tcPr>
            <w:tcW w:w="4284" w:type="dxa"/>
            <w:tcBorders>
              <w:top w:val="nil"/>
              <w:bottom w:val="nil"/>
            </w:tcBorders>
            <w:noWrap/>
            <w:vAlign w:val="bottom"/>
          </w:tcPr>
          <w:p w:rsidR="001D2E73" w:rsidRDefault="001D2E73">
            <w:pPr>
              <w:spacing w:before="40" w:after="40" w:line="220" w:lineRule="exact"/>
              <w:rPr>
                <w:sz w:val="18"/>
                <w:szCs w:val="18"/>
              </w:rPr>
            </w:pPr>
            <w:r>
              <w:rPr>
                <w:sz w:val="18"/>
                <w:szCs w:val="18"/>
              </w:rPr>
              <w:t>Escuelas internado para huérfanos y niños que no están al cuidado de sus padres</w:t>
            </w:r>
          </w:p>
        </w:tc>
        <w:tc>
          <w:tcPr>
            <w:tcW w:w="708"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w:t>
            </w:r>
          </w:p>
        </w:tc>
        <w:tc>
          <w:tcPr>
            <w:tcW w:w="70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w:t>
            </w:r>
          </w:p>
        </w:tc>
        <w:tc>
          <w:tcPr>
            <w:tcW w:w="70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w:t>
            </w:r>
          </w:p>
        </w:tc>
        <w:tc>
          <w:tcPr>
            <w:tcW w:w="70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w:t>
            </w:r>
          </w:p>
        </w:tc>
        <w:tc>
          <w:tcPr>
            <w:tcW w:w="70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w:t>
            </w:r>
          </w:p>
        </w:tc>
        <w:tc>
          <w:tcPr>
            <w:tcW w:w="733" w:type="dxa"/>
            <w:tcBorders>
              <w:top w:val="nil"/>
              <w:left w:val="nil"/>
              <w:bottom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2</w:t>
            </w:r>
          </w:p>
        </w:tc>
      </w:tr>
      <w:tr w:rsidR="001D2E73">
        <w:trPr>
          <w:trHeight w:val="162"/>
        </w:trPr>
        <w:tc>
          <w:tcPr>
            <w:tcW w:w="4284" w:type="dxa"/>
            <w:tcBorders>
              <w:top w:val="nil"/>
            </w:tcBorders>
            <w:noWrap/>
          </w:tcPr>
          <w:p w:rsidR="001D2E73" w:rsidRDefault="001D2E73">
            <w:pPr>
              <w:spacing w:before="40" w:after="40" w:line="220" w:lineRule="exact"/>
              <w:rPr>
                <w:sz w:val="18"/>
                <w:szCs w:val="18"/>
              </w:rPr>
            </w:pPr>
            <w:r>
              <w:rPr>
                <w:sz w:val="18"/>
                <w:szCs w:val="18"/>
              </w:rPr>
              <w:t>Cantidad de niños</w:t>
            </w:r>
          </w:p>
        </w:tc>
        <w:tc>
          <w:tcPr>
            <w:tcW w:w="708" w:type="dxa"/>
            <w:tcBorders>
              <w:top w:val="nil"/>
            </w:tcBorders>
            <w:noWrap/>
          </w:tcPr>
          <w:p w:rsidR="001D2E73" w:rsidRDefault="001D2E73">
            <w:pPr>
              <w:spacing w:before="40" w:after="40" w:line="220" w:lineRule="exact"/>
              <w:jc w:val="right"/>
              <w:rPr>
                <w:sz w:val="18"/>
                <w:szCs w:val="18"/>
              </w:rPr>
            </w:pPr>
            <w:r>
              <w:rPr>
                <w:sz w:val="18"/>
                <w:szCs w:val="18"/>
              </w:rPr>
              <w:t>500</w:t>
            </w:r>
          </w:p>
        </w:tc>
        <w:tc>
          <w:tcPr>
            <w:tcW w:w="709" w:type="dxa"/>
            <w:tcBorders>
              <w:top w:val="nil"/>
            </w:tcBorders>
            <w:noWrap/>
          </w:tcPr>
          <w:p w:rsidR="001D2E73" w:rsidRDefault="001D2E73">
            <w:pPr>
              <w:spacing w:before="40" w:after="40" w:line="220" w:lineRule="exact"/>
              <w:jc w:val="right"/>
              <w:rPr>
                <w:sz w:val="18"/>
                <w:szCs w:val="18"/>
              </w:rPr>
            </w:pPr>
            <w:r>
              <w:rPr>
                <w:sz w:val="18"/>
                <w:szCs w:val="18"/>
              </w:rPr>
              <w:t>494</w:t>
            </w:r>
          </w:p>
        </w:tc>
        <w:tc>
          <w:tcPr>
            <w:tcW w:w="709" w:type="dxa"/>
            <w:tcBorders>
              <w:top w:val="nil"/>
            </w:tcBorders>
            <w:noWrap/>
          </w:tcPr>
          <w:p w:rsidR="001D2E73" w:rsidRDefault="001D2E73">
            <w:pPr>
              <w:spacing w:before="40" w:after="40" w:line="220" w:lineRule="exact"/>
              <w:jc w:val="right"/>
              <w:rPr>
                <w:sz w:val="18"/>
                <w:szCs w:val="18"/>
              </w:rPr>
            </w:pPr>
            <w:r>
              <w:rPr>
                <w:sz w:val="18"/>
                <w:szCs w:val="18"/>
              </w:rPr>
              <w:t>480</w:t>
            </w:r>
          </w:p>
        </w:tc>
        <w:tc>
          <w:tcPr>
            <w:tcW w:w="709" w:type="dxa"/>
            <w:tcBorders>
              <w:top w:val="nil"/>
            </w:tcBorders>
            <w:noWrap/>
          </w:tcPr>
          <w:p w:rsidR="001D2E73" w:rsidRDefault="001D2E73">
            <w:pPr>
              <w:spacing w:before="40" w:after="40" w:line="220" w:lineRule="exact"/>
              <w:jc w:val="right"/>
              <w:rPr>
                <w:sz w:val="18"/>
                <w:szCs w:val="18"/>
              </w:rPr>
            </w:pPr>
            <w:r>
              <w:rPr>
                <w:sz w:val="18"/>
                <w:szCs w:val="18"/>
              </w:rPr>
              <w:t>450</w:t>
            </w:r>
          </w:p>
        </w:tc>
        <w:tc>
          <w:tcPr>
            <w:tcW w:w="709" w:type="dxa"/>
            <w:tcBorders>
              <w:top w:val="nil"/>
            </w:tcBorders>
            <w:noWrap/>
          </w:tcPr>
          <w:p w:rsidR="001D2E73" w:rsidRDefault="001D2E73">
            <w:pPr>
              <w:spacing w:before="40" w:after="40" w:line="220" w:lineRule="exact"/>
              <w:jc w:val="right"/>
              <w:rPr>
                <w:sz w:val="18"/>
                <w:szCs w:val="18"/>
              </w:rPr>
            </w:pPr>
            <w:r>
              <w:rPr>
                <w:sz w:val="18"/>
                <w:szCs w:val="18"/>
              </w:rPr>
              <w:t>449</w:t>
            </w:r>
          </w:p>
        </w:tc>
        <w:tc>
          <w:tcPr>
            <w:tcW w:w="733" w:type="dxa"/>
            <w:tcBorders>
              <w:top w:val="nil"/>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400</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 xml:space="preserve">  De ellos, huérfanos </w:t>
            </w:r>
          </w:p>
        </w:tc>
        <w:tc>
          <w:tcPr>
            <w:tcW w:w="708" w:type="dxa"/>
            <w:noWrap/>
          </w:tcPr>
          <w:p w:rsidR="001D2E73" w:rsidRDefault="001D2E73">
            <w:pPr>
              <w:spacing w:before="40" w:after="40" w:line="220" w:lineRule="exact"/>
              <w:jc w:val="right"/>
              <w:rPr>
                <w:sz w:val="18"/>
                <w:szCs w:val="18"/>
              </w:rPr>
            </w:pPr>
            <w:r>
              <w:rPr>
                <w:sz w:val="18"/>
                <w:szCs w:val="18"/>
              </w:rPr>
              <w:t>348</w:t>
            </w:r>
          </w:p>
        </w:tc>
        <w:tc>
          <w:tcPr>
            <w:tcW w:w="709" w:type="dxa"/>
            <w:noWrap/>
          </w:tcPr>
          <w:p w:rsidR="001D2E73" w:rsidRDefault="001D2E73">
            <w:pPr>
              <w:spacing w:before="40" w:after="40" w:line="220" w:lineRule="exact"/>
              <w:jc w:val="right"/>
              <w:rPr>
                <w:sz w:val="18"/>
                <w:szCs w:val="18"/>
              </w:rPr>
            </w:pPr>
            <w:r>
              <w:rPr>
                <w:sz w:val="18"/>
                <w:szCs w:val="18"/>
              </w:rPr>
              <w:t>341</w:t>
            </w:r>
          </w:p>
        </w:tc>
        <w:tc>
          <w:tcPr>
            <w:tcW w:w="709" w:type="dxa"/>
            <w:noWrap/>
          </w:tcPr>
          <w:p w:rsidR="001D2E73" w:rsidRDefault="001D2E73">
            <w:pPr>
              <w:spacing w:before="40" w:after="40" w:line="220" w:lineRule="exact"/>
              <w:jc w:val="right"/>
              <w:rPr>
                <w:sz w:val="18"/>
                <w:szCs w:val="18"/>
              </w:rPr>
            </w:pPr>
            <w:r>
              <w:rPr>
                <w:sz w:val="18"/>
                <w:szCs w:val="18"/>
              </w:rPr>
              <w:t>330</w:t>
            </w:r>
          </w:p>
        </w:tc>
        <w:tc>
          <w:tcPr>
            <w:tcW w:w="709" w:type="dxa"/>
            <w:noWrap/>
          </w:tcPr>
          <w:p w:rsidR="001D2E73" w:rsidRDefault="001D2E73">
            <w:pPr>
              <w:spacing w:before="40" w:after="40" w:line="220" w:lineRule="exact"/>
              <w:jc w:val="right"/>
              <w:rPr>
                <w:sz w:val="18"/>
                <w:szCs w:val="18"/>
              </w:rPr>
            </w:pPr>
            <w:r>
              <w:rPr>
                <w:sz w:val="18"/>
                <w:szCs w:val="18"/>
              </w:rPr>
              <w:t>289</w:t>
            </w:r>
          </w:p>
        </w:tc>
        <w:tc>
          <w:tcPr>
            <w:tcW w:w="709" w:type="dxa"/>
            <w:noWrap/>
          </w:tcPr>
          <w:p w:rsidR="001D2E73" w:rsidRDefault="001D2E73">
            <w:pPr>
              <w:spacing w:before="40" w:after="40" w:line="220" w:lineRule="exact"/>
              <w:jc w:val="right"/>
              <w:rPr>
                <w:sz w:val="18"/>
                <w:szCs w:val="18"/>
              </w:rPr>
            </w:pPr>
            <w:r>
              <w:rPr>
                <w:sz w:val="18"/>
                <w:szCs w:val="18"/>
              </w:rPr>
              <w:t>232</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200</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Escuelas internado para niños con problemas de salud</w:t>
            </w:r>
          </w:p>
        </w:tc>
        <w:tc>
          <w:tcPr>
            <w:tcW w:w="708" w:type="dxa"/>
            <w:noWrap/>
          </w:tcPr>
          <w:p w:rsidR="001D2E73" w:rsidRDefault="001D2E73">
            <w:pPr>
              <w:spacing w:before="40" w:after="40" w:line="220" w:lineRule="exact"/>
              <w:jc w:val="right"/>
              <w:rPr>
                <w:sz w:val="18"/>
                <w:szCs w:val="18"/>
              </w:rPr>
            </w:pPr>
            <w:r>
              <w:rPr>
                <w:sz w:val="18"/>
                <w:szCs w:val="18"/>
              </w:rPr>
              <w:t>12</w:t>
            </w:r>
          </w:p>
        </w:tc>
        <w:tc>
          <w:tcPr>
            <w:tcW w:w="709" w:type="dxa"/>
            <w:noWrap/>
          </w:tcPr>
          <w:p w:rsidR="001D2E73" w:rsidRDefault="001D2E73">
            <w:pPr>
              <w:spacing w:before="40" w:after="40" w:line="220" w:lineRule="exact"/>
              <w:jc w:val="right"/>
              <w:rPr>
                <w:sz w:val="18"/>
                <w:szCs w:val="18"/>
              </w:rPr>
            </w:pPr>
            <w:r>
              <w:rPr>
                <w:sz w:val="18"/>
                <w:szCs w:val="18"/>
              </w:rPr>
              <w:t>14</w:t>
            </w:r>
          </w:p>
        </w:tc>
        <w:tc>
          <w:tcPr>
            <w:tcW w:w="709" w:type="dxa"/>
            <w:noWrap/>
          </w:tcPr>
          <w:p w:rsidR="001D2E73" w:rsidRDefault="001D2E73">
            <w:pPr>
              <w:spacing w:before="40" w:after="40" w:line="220" w:lineRule="exact"/>
              <w:jc w:val="right"/>
              <w:rPr>
                <w:sz w:val="18"/>
                <w:szCs w:val="18"/>
              </w:rPr>
            </w:pPr>
            <w:r>
              <w:rPr>
                <w:sz w:val="18"/>
                <w:szCs w:val="18"/>
              </w:rPr>
              <w:t>12</w:t>
            </w:r>
          </w:p>
        </w:tc>
        <w:tc>
          <w:tcPr>
            <w:tcW w:w="709" w:type="dxa"/>
            <w:noWrap/>
          </w:tcPr>
          <w:p w:rsidR="001D2E73" w:rsidRDefault="001D2E73">
            <w:pPr>
              <w:spacing w:before="40" w:after="40" w:line="220" w:lineRule="exact"/>
              <w:jc w:val="right"/>
              <w:rPr>
                <w:sz w:val="18"/>
                <w:szCs w:val="18"/>
              </w:rPr>
            </w:pPr>
            <w:r>
              <w:rPr>
                <w:sz w:val="18"/>
                <w:szCs w:val="18"/>
              </w:rPr>
              <w:t>11</w:t>
            </w:r>
          </w:p>
        </w:tc>
        <w:tc>
          <w:tcPr>
            <w:tcW w:w="709" w:type="dxa"/>
            <w:noWrap/>
          </w:tcPr>
          <w:p w:rsidR="001D2E73" w:rsidRDefault="001D2E73">
            <w:pPr>
              <w:spacing w:before="40" w:after="40" w:line="220" w:lineRule="exact"/>
              <w:jc w:val="right"/>
              <w:rPr>
                <w:sz w:val="18"/>
                <w:szCs w:val="18"/>
              </w:rPr>
            </w:pPr>
            <w:r>
              <w:rPr>
                <w:sz w:val="18"/>
                <w:szCs w:val="18"/>
              </w:rPr>
              <w:t>14</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11</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Cantidad de niños</w:t>
            </w:r>
          </w:p>
        </w:tc>
        <w:tc>
          <w:tcPr>
            <w:tcW w:w="708" w:type="dxa"/>
            <w:noWrap/>
          </w:tcPr>
          <w:p w:rsidR="001D2E73" w:rsidRDefault="001D2E73">
            <w:pPr>
              <w:spacing w:before="40" w:after="40" w:line="220" w:lineRule="exact"/>
              <w:jc w:val="right"/>
              <w:rPr>
                <w:sz w:val="18"/>
                <w:szCs w:val="18"/>
              </w:rPr>
            </w:pPr>
            <w:r>
              <w:rPr>
                <w:sz w:val="18"/>
                <w:szCs w:val="18"/>
              </w:rPr>
              <w:t>2 933</w:t>
            </w:r>
          </w:p>
        </w:tc>
        <w:tc>
          <w:tcPr>
            <w:tcW w:w="709" w:type="dxa"/>
            <w:noWrap/>
          </w:tcPr>
          <w:p w:rsidR="001D2E73" w:rsidRDefault="001D2E73">
            <w:pPr>
              <w:spacing w:before="40" w:after="40" w:line="220" w:lineRule="exact"/>
              <w:jc w:val="right"/>
              <w:rPr>
                <w:sz w:val="18"/>
                <w:szCs w:val="18"/>
              </w:rPr>
            </w:pPr>
            <w:r>
              <w:rPr>
                <w:sz w:val="18"/>
                <w:szCs w:val="18"/>
              </w:rPr>
              <w:t>3 324</w:t>
            </w:r>
          </w:p>
        </w:tc>
        <w:tc>
          <w:tcPr>
            <w:tcW w:w="709" w:type="dxa"/>
            <w:noWrap/>
          </w:tcPr>
          <w:p w:rsidR="001D2E73" w:rsidRDefault="001D2E73">
            <w:pPr>
              <w:spacing w:before="40" w:after="40" w:line="220" w:lineRule="exact"/>
              <w:jc w:val="right"/>
              <w:rPr>
                <w:sz w:val="18"/>
                <w:szCs w:val="18"/>
              </w:rPr>
            </w:pPr>
            <w:r>
              <w:rPr>
                <w:sz w:val="18"/>
                <w:szCs w:val="18"/>
              </w:rPr>
              <w:t>2 915</w:t>
            </w:r>
          </w:p>
        </w:tc>
        <w:tc>
          <w:tcPr>
            <w:tcW w:w="709" w:type="dxa"/>
            <w:noWrap/>
          </w:tcPr>
          <w:p w:rsidR="001D2E73" w:rsidRDefault="001D2E73">
            <w:pPr>
              <w:spacing w:before="40" w:after="40" w:line="220" w:lineRule="exact"/>
              <w:jc w:val="right"/>
              <w:rPr>
                <w:sz w:val="18"/>
                <w:szCs w:val="18"/>
              </w:rPr>
            </w:pPr>
            <w:r>
              <w:rPr>
                <w:sz w:val="18"/>
                <w:szCs w:val="18"/>
              </w:rPr>
              <w:t>2 751</w:t>
            </w:r>
          </w:p>
        </w:tc>
        <w:tc>
          <w:tcPr>
            <w:tcW w:w="709" w:type="dxa"/>
            <w:noWrap/>
          </w:tcPr>
          <w:p w:rsidR="001D2E73" w:rsidRDefault="001D2E73">
            <w:pPr>
              <w:spacing w:before="40" w:after="40" w:line="220" w:lineRule="exact"/>
              <w:jc w:val="right"/>
              <w:rPr>
                <w:sz w:val="18"/>
                <w:szCs w:val="18"/>
              </w:rPr>
            </w:pPr>
            <w:r>
              <w:rPr>
                <w:sz w:val="18"/>
                <w:szCs w:val="18"/>
              </w:rPr>
              <w:t>3 984</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2 480</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 xml:space="preserve">  De ellos, huérfanos </w:t>
            </w:r>
          </w:p>
        </w:tc>
        <w:tc>
          <w:tcPr>
            <w:tcW w:w="708" w:type="dxa"/>
            <w:noWrap/>
          </w:tcPr>
          <w:p w:rsidR="001D2E73" w:rsidRDefault="001D2E73">
            <w:pPr>
              <w:spacing w:before="40" w:after="40" w:line="220" w:lineRule="exact"/>
              <w:jc w:val="right"/>
              <w:rPr>
                <w:sz w:val="18"/>
                <w:szCs w:val="18"/>
              </w:rPr>
            </w:pPr>
            <w:r>
              <w:rPr>
                <w:sz w:val="18"/>
                <w:szCs w:val="18"/>
              </w:rPr>
              <w:t>136</w:t>
            </w:r>
          </w:p>
        </w:tc>
        <w:tc>
          <w:tcPr>
            <w:tcW w:w="709" w:type="dxa"/>
            <w:noWrap/>
          </w:tcPr>
          <w:p w:rsidR="001D2E73" w:rsidRDefault="001D2E73">
            <w:pPr>
              <w:spacing w:before="40" w:after="40" w:line="220" w:lineRule="exact"/>
              <w:jc w:val="right"/>
              <w:rPr>
                <w:sz w:val="18"/>
                <w:szCs w:val="18"/>
              </w:rPr>
            </w:pPr>
            <w:r>
              <w:rPr>
                <w:sz w:val="18"/>
                <w:szCs w:val="18"/>
              </w:rPr>
              <w:t>321</w:t>
            </w:r>
          </w:p>
        </w:tc>
        <w:tc>
          <w:tcPr>
            <w:tcW w:w="709" w:type="dxa"/>
            <w:noWrap/>
          </w:tcPr>
          <w:p w:rsidR="001D2E73" w:rsidRDefault="001D2E73">
            <w:pPr>
              <w:spacing w:before="40" w:after="40" w:line="220" w:lineRule="exact"/>
              <w:jc w:val="right"/>
              <w:rPr>
                <w:sz w:val="18"/>
                <w:szCs w:val="18"/>
              </w:rPr>
            </w:pPr>
            <w:r>
              <w:rPr>
                <w:sz w:val="18"/>
                <w:szCs w:val="18"/>
              </w:rPr>
              <w:t>280</w:t>
            </w:r>
          </w:p>
        </w:tc>
        <w:tc>
          <w:tcPr>
            <w:tcW w:w="709" w:type="dxa"/>
            <w:noWrap/>
          </w:tcPr>
          <w:p w:rsidR="001D2E73" w:rsidRDefault="001D2E73">
            <w:pPr>
              <w:spacing w:before="40" w:after="40" w:line="220" w:lineRule="exact"/>
              <w:jc w:val="right"/>
              <w:rPr>
                <w:sz w:val="18"/>
                <w:szCs w:val="18"/>
              </w:rPr>
            </w:pPr>
            <w:r>
              <w:rPr>
                <w:sz w:val="18"/>
                <w:szCs w:val="18"/>
              </w:rPr>
              <w:t>184</w:t>
            </w:r>
          </w:p>
        </w:tc>
        <w:tc>
          <w:tcPr>
            <w:tcW w:w="709" w:type="dxa"/>
            <w:noWrap/>
          </w:tcPr>
          <w:p w:rsidR="001D2E73" w:rsidRDefault="001D2E73">
            <w:pPr>
              <w:spacing w:before="40" w:after="40" w:line="220" w:lineRule="exact"/>
              <w:jc w:val="right"/>
              <w:rPr>
                <w:sz w:val="18"/>
                <w:szCs w:val="18"/>
              </w:rPr>
            </w:pPr>
            <w:r>
              <w:rPr>
                <w:sz w:val="18"/>
                <w:szCs w:val="18"/>
              </w:rPr>
              <w:t>294</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212</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Guarderías-internado para niños retrasados mentales</w:t>
            </w:r>
          </w:p>
        </w:tc>
        <w:tc>
          <w:tcPr>
            <w:tcW w:w="708" w:type="dxa"/>
            <w:noWrap/>
          </w:tcPr>
          <w:p w:rsidR="001D2E73" w:rsidRDefault="001D2E73">
            <w:pPr>
              <w:spacing w:before="40" w:after="40" w:line="220" w:lineRule="exact"/>
              <w:jc w:val="right"/>
              <w:rPr>
                <w:sz w:val="18"/>
                <w:szCs w:val="18"/>
              </w:rPr>
            </w:pPr>
            <w:r>
              <w:rPr>
                <w:sz w:val="18"/>
                <w:szCs w:val="18"/>
              </w:rPr>
              <w:t>2</w:t>
            </w:r>
          </w:p>
        </w:tc>
        <w:tc>
          <w:tcPr>
            <w:tcW w:w="709" w:type="dxa"/>
            <w:noWrap/>
          </w:tcPr>
          <w:p w:rsidR="001D2E73" w:rsidRDefault="001D2E73">
            <w:pPr>
              <w:spacing w:before="40" w:after="40" w:line="220" w:lineRule="exact"/>
              <w:jc w:val="right"/>
              <w:rPr>
                <w:sz w:val="18"/>
                <w:szCs w:val="18"/>
              </w:rPr>
            </w:pPr>
            <w:r>
              <w:rPr>
                <w:sz w:val="18"/>
                <w:szCs w:val="18"/>
              </w:rPr>
              <w:t>2</w:t>
            </w:r>
          </w:p>
        </w:tc>
        <w:tc>
          <w:tcPr>
            <w:tcW w:w="709" w:type="dxa"/>
            <w:noWrap/>
          </w:tcPr>
          <w:p w:rsidR="001D2E73" w:rsidRDefault="001D2E73">
            <w:pPr>
              <w:spacing w:before="40" w:after="40" w:line="220" w:lineRule="exact"/>
              <w:jc w:val="right"/>
              <w:rPr>
                <w:sz w:val="18"/>
                <w:szCs w:val="18"/>
              </w:rPr>
            </w:pPr>
            <w:r>
              <w:rPr>
                <w:sz w:val="18"/>
                <w:szCs w:val="18"/>
              </w:rPr>
              <w:t>2</w:t>
            </w:r>
          </w:p>
        </w:tc>
        <w:tc>
          <w:tcPr>
            <w:tcW w:w="709" w:type="dxa"/>
            <w:noWrap/>
          </w:tcPr>
          <w:p w:rsidR="001D2E73" w:rsidRDefault="001D2E73">
            <w:pPr>
              <w:spacing w:before="40" w:after="40" w:line="220" w:lineRule="exact"/>
              <w:jc w:val="right"/>
              <w:rPr>
                <w:sz w:val="18"/>
                <w:szCs w:val="18"/>
              </w:rPr>
            </w:pPr>
            <w:r>
              <w:rPr>
                <w:sz w:val="18"/>
                <w:szCs w:val="18"/>
              </w:rPr>
              <w:t>2</w:t>
            </w:r>
          </w:p>
        </w:tc>
        <w:tc>
          <w:tcPr>
            <w:tcW w:w="709" w:type="dxa"/>
            <w:noWrap/>
          </w:tcPr>
          <w:p w:rsidR="001D2E73" w:rsidRDefault="001D2E73">
            <w:pPr>
              <w:spacing w:before="40" w:after="40" w:line="220" w:lineRule="exact"/>
              <w:jc w:val="right"/>
              <w:rPr>
                <w:sz w:val="18"/>
                <w:szCs w:val="18"/>
              </w:rPr>
            </w:pPr>
            <w:r>
              <w:rPr>
                <w:sz w:val="18"/>
                <w:szCs w:val="18"/>
              </w:rPr>
              <w:t>2</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Cantidad de niños</w:t>
            </w:r>
          </w:p>
        </w:tc>
        <w:tc>
          <w:tcPr>
            <w:tcW w:w="708" w:type="dxa"/>
            <w:noWrap/>
          </w:tcPr>
          <w:p w:rsidR="001D2E73" w:rsidRDefault="001D2E73">
            <w:pPr>
              <w:spacing w:before="40" w:after="40" w:line="220" w:lineRule="exact"/>
              <w:jc w:val="right"/>
              <w:rPr>
                <w:sz w:val="18"/>
                <w:szCs w:val="18"/>
              </w:rPr>
            </w:pPr>
            <w:r>
              <w:rPr>
                <w:sz w:val="18"/>
                <w:szCs w:val="18"/>
              </w:rPr>
              <w:t>366</w:t>
            </w:r>
          </w:p>
        </w:tc>
        <w:tc>
          <w:tcPr>
            <w:tcW w:w="709" w:type="dxa"/>
            <w:noWrap/>
          </w:tcPr>
          <w:p w:rsidR="001D2E73" w:rsidRDefault="001D2E73">
            <w:pPr>
              <w:spacing w:before="40" w:after="40" w:line="220" w:lineRule="exact"/>
              <w:jc w:val="right"/>
              <w:rPr>
                <w:sz w:val="18"/>
                <w:szCs w:val="18"/>
              </w:rPr>
            </w:pPr>
            <w:r>
              <w:rPr>
                <w:sz w:val="18"/>
                <w:szCs w:val="18"/>
              </w:rPr>
              <w:t>381</w:t>
            </w:r>
          </w:p>
        </w:tc>
        <w:tc>
          <w:tcPr>
            <w:tcW w:w="709" w:type="dxa"/>
            <w:noWrap/>
          </w:tcPr>
          <w:p w:rsidR="001D2E73" w:rsidRDefault="001D2E73">
            <w:pPr>
              <w:spacing w:before="40" w:after="40" w:line="220" w:lineRule="exact"/>
              <w:jc w:val="right"/>
              <w:rPr>
                <w:sz w:val="18"/>
                <w:szCs w:val="18"/>
              </w:rPr>
            </w:pPr>
            <w:r>
              <w:rPr>
                <w:sz w:val="18"/>
                <w:szCs w:val="18"/>
              </w:rPr>
              <w:t>298</w:t>
            </w:r>
          </w:p>
        </w:tc>
        <w:tc>
          <w:tcPr>
            <w:tcW w:w="709" w:type="dxa"/>
            <w:noWrap/>
          </w:tcPr>
          <w:p w:rsidR="001D2E73" w:rsidRDefault="001D2E73">
            <w:pPr>
              <w:spacing w:before="40" w:after="40" w:line="220" w:lineRule="exact"/>
              <w:jc w:val="right"/>
              <w:rPr>
                <w:sz w:val="18"/>
                <w:szCs w:val="18"/>
              </w:rPr>
            </w:pPr>
            <w:r>
              <w:rPr>
                <w:sz w:val="18"/>
                <w:szCs w:val="18"/>
              </w:rPr>
              <w:t>300</w:t>
            </w:r>
          </w:p>
        </w:tc>
        <w:tc>
          <w:tcPr>
            <w:tcW w:w="709" w:type="dxa"/>
            <w:noWrap/>
          </w:tcPr>
          <w:p w:rsidR="001D2E73" w:rsidRDefault="001D2E73">
            <w:pPr>
              <w:spacing w:before="40" w:after="40" w:line="220" w:lineRule="exact"/>
              <w:jc w:val="right"/>
              <w:rPr>
                <w:sz w:val="18"/>
                <w:szCs w:val="18"/>
              </w:rPr>
            </w:pPr>
            <w:r>
              <w:rPr>
                <w:sz w:val="18"/>
                <w:szCs w:val="18"/>
              </w:rPr>
              <w:t>306</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300</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 xml:space="preserve">  De ellos, huérfanos </w:t>
            </w:r>
          </w:p>
        </w:tc>
        <w:tc>
          <w:tcPr>
            <w:tcW w:w="708" w:type="dxa"/>
            <w:noWrap/>
          </w:tcPr>
          <w:p w:rsidR="001D2E73" w:rsidRDefault="001D2E73">
            <w:pPr>
              <w:spacing w:before="40" w:after="40" w:line="220" w:lineRule="exact"/>
              <w:jc w:val="right"/>
              <w:rPr>
                <w:sz w:val="18"/>
                <w:szCs w:val="18"/>
              </w:rPr>
            </w:pPr>
            <w:r>
              <w:rPr>
                <w:sz w:val="18"/>
                <w:szCs w:val="18"/>
              </w:rPr>
              <w:t>154</w:t>
            </w:r>
          </w:p>
        </w:tc>
        <w:tc>
          <w:tcPr>
            <w:tcW w:w="709" w:type="dxa"/>
            <w:noWrap/>
          </w:tcPr>
          <w:p w:rsidR="001D2E73" w:rsidRDefault="001D2E73">
            <w:pPr>
              <w:spacing w:before="40" w:after="40" w:line="220" w:lineRule="exact"/>
              <w:jc w:val="right"/>
              <w:rPr>
                <w:sz w:val="18"/>
                <w:szCs w:val="18"/>
              </w:rPr>
            </w:pPr>
            <w:r>
              <w:rPr>
                <w:sz w:val="18"/>
                <w:szCs w:val="18"/>
              </w:rPr>
              <w:t>112</w:t>
            </w:r>
          </w:p>
        </w:tc>
        <w:tc>
          <w:tcPr>
            <w:tcW w:w="709" w:type="dxa"/>
            <w:noWrap/>
          </w:tcPr>
          <w:p w:rsidR="001D2E73" w:rsidRDefault="001D2E73">
            <w:pPr>
              <w:spacing w:before="40" w:after="40" w:line="220" w:lineRule="exact"/>
              <w:jc w:val="right"/>
              <w:rPr>
                <w:sz w:val="18"/>
                <w:szCs w:val="18"/>
              </w:rPr>
            </w:pPr>
            <w:r>
              <w:rPr>
                <w:sz w:val="18"/>
                <w:szCs w:val="18"/>
              </w:rPr>
              <w:t>61</w:t>
            </w:r>
          </w:p>
        </w:tc>
        <w:tc>
          <w:tcPr>
            <w:tcW w:w="709" w:type="dxa"/>
            <w:noWrap/>
          </w:tcPr>
          <w:p w:rsidR="001D2E73" w:rsidRDefault="001D2E73">
            <w:pPr>
              <w:spacing w:before="40" w:after="40" w:line="220" w:lineRule="exact"/>
              <w:jc w:val="right"/>
              <w:rPr>
                <w:sz w:val="18"/>
                <w:szCs w:val="18"/>
              </w:rPr>
            </w:pPr>
            <w:r>
              <w:rPr>
                <w:sz w:val="18"/>
                <w:szCs w:val="18"/>
              </w:rPr>
              <w:t>68</w:t>
            </w:r>
          </w:p>
        </w:tc>
        <w:tc>
          <w:tcPr>
            <w:tcW w:w="709" w:type="dxa"/>
            <w:noWrap/>
          </w:tcPr>
          <w:p w:rsidR="001D2E73" w:rsidRDefault="001D2E73">
            <w:pPr>
              <w:spacing w:before="40" w:after="40" w:line="220" w:lineRule="exact"/>
              <w:jc w:val="right"/>
              <w:rPr>
                <w:sz w:val="18"/>
                <w:szCs w:val="18"/>
              </w:rPr>
            </w:pPr>
            <w:r>
              <w:rPr>
                <w:sz w:val="18"/>
                <w:szCs w:val="18"/>
              </w:rPr>
              <w:t>30</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30</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Escuelas internado de carácter general</w:t>
            </w:r>
          </w:p>
        </w:tc>
        <w:tc>
          <w:tcPr>
            <w:tcW w:w="708" w:type="dxa"/>
            <w:noWrap/>
          </w:tcPr>
          <w:p w:rsidR="001D2E73" w:rsidRDefault="001D2E73">
            <w:pPr>
              <w:spacing w:before="40" w:after="40" w:line="220" w:lineRule="exact"/>
              <w:jc w:val="right"/>
              <w:rPr>
                <w:sz w:val="18"/>
                <w:szCs w:val="18"/>
              </w:rPr>
            </w:pPr>
            <w:r>
              <w:rPr>
                <w:sz w:val="18"/>
                <w:szCs w:val="18"/>
              </w:rPr>
              <w:t>39</w:t>
            </w:r>
          </w:p>
        </w:tc>
        <w:tc>
          <w:tcPr>
            <w:tcW w:w="709" w:type="dxa"/>
            <w:noWrap/>
          </w:tcPr>
          <w:p w:rsidR="001D2E73" w:rsidRDefault="001D2E73">
            <w:pPr>
              <w:spacing w:before="40" w:after="40" w:line="220" w:lineRule="exact"/>
              <w:jc w:val="right"/>
              <w:rPr>
                <w:sz w:val="18"/>
                <w:szCs w:val="18"/>
              </w:rPr>
            </w:pPr>
            <w:r>
              <w:rPr>
                <w:sz w:val="18"/>
                <w:szCs w:val="18"/>
              </w:rPr>
              <w:t>38</w:t>
            </w:r>
          </w:p>
        </w:tc>
        <w:tc>
          <w:tcPr>
            <w:tcW w:w="709" w:type="dxa"/>
            <w:noWrap/>
          </w:tcPr>
          <w:p w:rsidR="001D2E73" w:rsidRDefault="001D2E73">
            <w:pPr>
              <w:spacing w:before="40" w:after="40" w:line="220" w:lineRule="exact"/>
              <w:jc w:val="right"/>
              <w:rPr>
                <w:sz w:val="18"/>
                <w:szCs w:val="18"/>
              </w:rPr>
            </w:pPr>
            <w:r>
              <w:rPr>
                <w:sz w:val="18"/>
                <w:szCs w:val="18"/>
              </w:rPr>
              <w:t>39</w:t>
            </w:r>
          </w:p>
        </w:tc>
        <w:tc>
          <w:tcPr>
            <w:tcW w:w="709" w:type="dxa"/>
            <w:noWrap/>
          </w:tcPr>
          <w:p w:rsidR="001D2E73" w:rsidRDefault="001D2E73">
            <w:pPr>
              <w:spacing w:before="40" w:after="40" w:line="220" w:lineRule="exact"/>
              <w:jc w:val="right"/>
              <w:rPr>
                <w:sz w:val="18"/>
                <w:szCs w:val="18"/>
              </w:rPr>
            </w:pPr>
            <w:r>
              <w:rPr>
                <w:sz w:val="18"/>
                <w:szCs w:val="18"/>
              </w:rPr>
              <w:t>34</w:t>
            </w:r>
          </w:p>
        </w:tc>
        <w:tc>
          <w:tcPr>
            <w:tcW w:w="709" w:type="dxa"/>
            <w:noWrap/>
          </w:tcPr>
          <w:p w:rsidR="001D2E73" w:rsidRDefault="001D2E73">
            <w:pPr>
              <w:spacing w:before="40" w:after="40" w:line="220" w:lineRule="exact"/>
              <w:jc w:val="right"/>
              <w:rPr>
                <w:sz w:val="18"/>
                <w:szCs w:val="18"/>
              </w:rPr>
            </w:pPr>
            <w:r>
              <w:rPr>
                <w:sz w:val="18"/>
                <w:szCs w:val="18"/>
              </w:rPr>
              <w:t>31</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30</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Cantidad de niños</w:t>
            </w:r>
          </w:p>
        </w:tc>
        <w:tc>
          <w:tcPr>
            <w:tcW w:w="708" w:type="dxa"/>
            <w:noWrap/>
          </w:tcPr>
          <w:p w:rsidR="001D2E73" w:rsidRDefault="001D2E73">
            <w:pPr>
              <w:spacing w:before="40" w:after="40" w:line="220" w:lineRule="exact"/>
              <w:jc w:val="right"/>
              <w:rPr>
                <w:sz w:val="18"/>
                <w:szCs w:val="18"/>
              </w:rPr>
            </w:pPr>
            <w:r>
              <w:rPr>
                <w:sz w:val="18"/>
                <w:szCs w:val="18"/>
              </w:rPr>
              <w:t>18 832</w:t>
            </w:r>
          </w:p>
        </w:tc>
        <w:tc>
          <w:tcPr>
            <w:tcW w:w="709" w:type="dxa"/>
            <w:noWrap/>
          </w:tcPr>
          <w:p w:rsidR="001D2E73" w:rsidRDefault="001D2E73">
            <w:pPr>
              <w:spacing w:before="40" w:after="40" w:line="220" w:lineRule="exact"/>
              <w:jc w:val="right"/>
              <w:rPr>
                <w:sz w:val="18"/>
                <w:szCs w:val="18"/>
              </w:rPr>
            </w:pPr>
            <w:r>
              <w:rPr>
                <w:sz w:val="18"/>
                <w:szCs w:val="18"/>
              </w:rPr>
              <w:t>18 060</w:t>
            </w:r>
          </w:p>
        </w:tc>
        <w:tc>
          <w:tcPr>
            <w:tcW w:w="709" w:type="dxa"/>
            <w:noWrap/>
          </w:tcPr>
          <w:p w:rsidR="001D2E73" w:rsidRDefault="001D2E73">
            <w:pPr>
              <w:spacing w:before="40" w:after="40" w:line="220" w:lineRule="exact"/>
              <w:jc w:val="right"/>
              <w:rPr>
                <w:sz w:val="18"/>
                <w:szCs w:val="18"/>
              </w:rPr>
            </w:pPr>
            <w:r>
              <w:rPr>
                <w:sz w:val="18"/>
                <w:szCs w:val="18"/>
              </w:rPr>
              <w:t>18 664</w:t>
            </w:r>
          </w:p>
        </w:tc>
        <w:tc>
          <w:tcPr>
            <w:tcW w:w="709" w:type="dxa"/>
            <w:noWrap/>
          </w:tcPr>
          <w:p w:rsidR="001D2E73" w:rsidRDefault="001D2E73">
            <w:pPr>
              <w:spacing w:before="40" w:after="40" w:line="220" w:lineRule="exact"/>
              <w:jc w:val="right"/>
              <w:rPr>
                <w:sz w:val="18"/>
                <w:szCs w:val="18"/>
              </w:rPr>
            </w:pPr>
            <w:r>
              <w:rPr>
                <w:sz w:val="18"/>
                <w:szCs w:val="18"/>
              </w:rPr>
              <w:t>12 625</w:t>
            </w:r>
          </w:p>
        </w:tc>
        <w:tc>
          <w:tcPr>
            <w:tcW w:w="709" w:type="dxa"/>
            <w:noWrap/>
          </w:tcPr>
          <w:p w:rsidR="001D2E73" w:rsidRDefault="001D2E73">
            <w:pPr>
              <w:spacing w:before="40" w:after="40" w:line="220" w:lineRule="exact"/>
              <w:jc w:val="right"/>
              <w:rPr>
                <w:sz w:val="18"/>
                <w:szCs w:val="18"/>
              </w:rPr>
            </w:pPr>
            <w:r>
              <w:rPr>
                <w:sz w:val="18"/>
                <w:szCs w:val="18"/>
              </w:rPr>
              <w:t>11 309</w:t>
            </w:r>
          </w:p>
        </w:tc>
        <w:tc>
          <w:tcPr>
            <w:tcW w:w="73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10 119</w:t>
            </w:r>
          </w:p>
        </w:tc>
      </w:tr>
      <w:tr w:rsidR="001D2E73">
        <w:trPr>
          <w:trHeight w:val="20"/>
        </w:trPr>
        <w:tc>
          <w:tcPr>
            <w:tcW w:w="4284" w:type="dxa"/>
            <w:noWrap/>
          </w:tcPr>
          <w:p w:rsidR="001D2E73" w:rsidRDefault="001D2E73">
            <w:pPr>
              <w:spacing w:before="40" w:after="40" w:line="220" w:lineRule="exact"/>
              <w:rPr>
                <w:sz w:val="18"/>
                <w:szCs w:val="18"/>
              </w:rPr>
            </w:pPr>
            <w:r>
              <w:rPr>
                <w:sz w:val="18"/>
                <w:szCs w:val="18"/>
              </w:rPr>
              <w:t xml:space="preserve">  De ellos, huérfanos </w:t>
            </w:r>
          </w:p>
        </w:tc>
        <w:tc>
          <w:tcPr>
            <w:tcW w:w="708" w:type="dxa"/>
            <w:noWrap/>
          </w:tcPr>
          <w:p w:rsidR="001D2E73" w:rsidRDefault="001D2E73">
            <w:pPr>
              <w:spacing w:before="40" w:after="40" w:line="220" w:lineRule="exact"/>
              <w:jc w:val="right"/>
              <w:rPr>
                <w:sz w:val="18"/>
                <w:szCs w:val="18"/>
              </w:rPr>
            </w:pPr>
            <w:r>
              <w:rPr>
                <w:sz w:val="18"/>
                <w:szCs w:val="18"/>
              </w:rPr>
              <w:t>1 586</w:t>
            </w:r>
          </w:p>
        </w:tc>
        <w:tc>
          <w:tcPr>
            <w:tcW w:w="709" w:type="dxa"/>
            <w:noWrap/>
          </w:tcPr>
          <w:p w:rsidR="001D2E73" w:rsidRDefault="001D2E73">
            <w:pPr>
              <w:spacing w:before="40" w:after="40" w:line="220" w:lineRule="exact"/>
              <w:jc w:val="right"/>
              <w:rPr>
                <w:sz w:val="18"/>
                <w:szCs w:val="18"/>
              </w:rPr>
            </w:pPr>
            <w:r>
              <w:rPr>
                <w:sz w:val="18"/>
                <w:szCs w:val="18"/>
              </w:rPr>
              <w:t>1 416</w:t>
            </w:r>
          </w:p>
        </w:tc>
        <w:tc>
          <w:tcPr>
            <w:tcW w:w="709" w:type="dxa"/>
            <w:noWrap/>
          </w:tcPr>
          <w:p w:rsidR="001D2E73" w:rsidRDefault="001D2E73">
            <w:pPr>
              <w:spacing w:before="40" w:after="40" w:line="220" w:lineRule="exact"/>
              <w:jc w:val="right"/>
              <w:rPr>
                <w:sz w:val="18"/>
                <w:szCs w:val="18"/>
              </w:rPr>
            </w:pPr>
            <w:r>
              <w:rPr>
                <w:sz w:val="18"/>
                <w:szCs w:val="18"/>
              </w:rPr>
              <w:t>1 603</w:t>
            </w:r>
          </w:p>
        </w:tc>
        <w:tc>
          <w:tcPr>
            <w:tcW w:w="709" w:type="dxa"/>
            <w:noWrap/>
          </w:tcPr>
          <w:p w:rsidR="001D2E73" w:rsidRDefault="001D2E73">
            <w:pPr>
              <w:spacing w:before="40" w:after="40" w:line="220" w:lineRule="exact"/>
              <w:jc w:val="right"/>
              <w:rPr>
                <w:sz w:val="18"/>
                <w:szCs w:val="18"/>
              </w:rPr>
            </w:pPr>
            <w:r>
              <w:rPr>
                <w:sz w:val="18"/>
                <w:szCs w:val="18"/>
              </w:rPr>
              <w:t>909</w:t>
            </w:r>
          </w:p>
        </w:tc>
        <w:tc>
          <w:tcPr>
            <w:tcW w:w="709" w:type="dxa"/>
            <w:noWrap/>
          </w:tcPr>
          <w:p w:rsidR="001D2E73" w:rsidRDefault="001D2E73">
            <w:pPr>
              <w:spacing w:before="40" w:after="40" w:line="220" w:lineRule="exact"/>
              <w:jc w:val="right"/>
              <w:rPr>
                <w:sz w:val="18"/>
                <w:szCs w:val="18"/>
              </w:rPr>
            </w:pPr>
            <w:r>
              <w:rPr>
                <w:sz w:val="18"/>
                <w:szCs w:val="18"/>
              </w:rPr>
              <w:t>831</w:t>
            </w:r>
          </w:p>
        </w:tc>
        <w:tc>
          <w:tcPr>
            <w:tcW w:w="733"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877</w:t>
            </w:r>
          </w:p>
        </w:tc>
      </w:tr>
    </w:tbl>
    <w:p w:rsidR="001D2E73" w:rsidRDefault="001D2E73">
      <w:pPr>
        <w:pStyle w:val="SingleTxtGR"/>
        <w:tabs>
          <w:tab w:val="clear" w:pos="1701"/>
          <w:tab w:val="clear" w:pos="2268"/>
          <w:tab w:val="clear" w:pos="2835"/>
          <w:tab w:val="clear" w:pos="3402"/>
          <w:tab w:val="clear" w:pos="3969"/>
        </w:tabs>
        <w:spacing w:before="120"/>
        <w:ind w:left="1304"/>
        <w:rPr>
          <w:spacing w:val="0"/>
          <w:sz w:val="18"/>
          <w:szCs w:val="18"/>
          <w:lang w:val="es-ES"/>
        </w:rPr>
      </w:pPr>
      <w:r>
        <w:rPr>
          <w:i/>
          <w:spacing w:val="0"/>
          <w:sz w:val="18"/>
          <w:szCs w:val="18"/>
          <w:vertAlign w:val="superscript"/>
          <w:lang w:val="es-ES"/>
        </w:rPr>
        <w:t>a</w:t>
      </w:r>
      <w:r>
        <w:rPr>
          <w:spacing w:val="0"/>
          <w:sz w:val="18"/>
          <w:szCs w:val="18"/>
          <w:lang w:val="es-ES"/>
        </w:rPr>
        <w:t xml:space="preserve">  Datos preliminares.</w:t>
      </w:r>
    </w:p>
    <w:p w:rsidR="001D2E73" w:rsidRDefault="001D2E73">
      <w:pPr>
        <w:pStyle w:val="SingleTxtGR"/>
        <w:spacing w:before="240"/>
        <w:rPr>
          <w:spacing w:val="0"/>
          <w:lang w:val="es-ES"/>
        </w:rPr>
      </w:pPr>
      <w:r>
        <w:rPr>
          <w:spacing w:val="0"/>
          <w:lang w:val="es-ES"/>
        </w:rPr>
        <w:t>513.</w:t>
      </w:r>
      <w:r>
        <w:rPr>
          <w:spacing w:val="0"/>
          <w:lang w:val="es-ES"/>
        </w:rPr>
        <w:tab/>
        <w:t xml:space="preserve">En el marco del Programa estatal de entrega de niños internados en instituciones infantiles estatales a familias (desinstitucionalización) y de cuidados alternativos (2006-2015) se llevó a cabo la evaluación de 53 instituciones infantiles estatales. Según criterios internacionales, los resultados de la evaluación fueron analizados y se prepararon las correspondientes propuestas para la transformación de esas instituciones en escuelas de enseñanza general, escuelas técnicas o centros de enseñanza pública, así como en centros diurnos y de rehabilitación para niños. Conforme a las propuestas, se prevé transformar durante el primer año a 12 de estas instituciones, en tres años a 20 y en cinco años a 23. </w:t>
      </w:r>
    </w:p>
    <w:p w:rsidR="001D2E73" w:rsidRDefault="001D2E73">
      <w:pPr>
        <w:pStyle w:val="SingleTxtGR"/>
        <w:rPr>
          <w:spacing w:val="0"/>
          <w:lang w:val="es-ES"/>
        </w:rPr>
      </w:pPr>
      <w:r>
        <w:rPr>
          <w:spacing w:val="0"/>
          <w:lang w:val="es-ES"/>
        </w:rPr>
        <w:t>514.</w:t>
      </w:r>
      <w:r>
        <w:rPr>
          <w:spacing w:val="0"/>
          <w:lang w:val="es-ES"/>
        </w:rPr>
        <w:tab/>
        <w:t>También en el marco del programa se prevé la organización de centros de ayuda social, la conversión de parte de las instituciones de educación que son internados para niños con problemas de salud en centros de rehabilitación y la devolución de los niños internados en esas instituciones a sus padres biológicos.</w:t>
      </w:r>
    </w:p>
    <w:p w:rsidR="001D2E73" w:rsidRDefault="001D2E73">
      <w:pPr>
        <w:pStyle w:val="SingleTxtGR"/>
        <w:rPr>
          <w:spacing w:val="0"/>
          <w:lang w:val="es-ES"/>
        </w:rPr>
      </w:pPr>
      <w:r>
        <w:rPr>
          <w:spacing w:val="0"/>
          <w:lang w:val="es-ES"/>
        </w:rPr>
        <w:t>515.</w:t>
      </w:r>
      <w:r>
        <w:rPr>
          <w:spacing w:val="0"/>
          <w:lang w:val="es-ES"/>
        </w:rPr>
        <w:tab/>
        <w:t xml:space="preserve">Durante la ejecución del Programa estatal de organización de la enseñanza de niños que necesitan atención especial (2005-2009) se llevaron a cabo algunos proyectos conjuntos con organizaciones internacionales que beneficiaron a más de 30 instituciones docentes y a más de 200 niños de edad escolar y pre-escolar que necesitan atención especial. </w:t>
      </w:r>
    </w:p>
    <w:p w:rsidR="001D2E73" w:rsidRDefault="001D2E73">
      <w:pPr>
        <w:pStyle w:val="SingleTxtGR"/>
        <w:rPr>
          <w:spacing w:val="0"/>
          <w:lang w:val="es-ES"/>
        </w:rPr>
      </w:pPr>
      <w:r>
        <w:rPr>
          <w:spacing w:val="0"/>
          <w:lang w:val="es-ES"/>
        </w:rPr>
        <w:t>516.</w:t>
      </w:r>
      <w:r>
        <w:rPr>
          <w:spacing w:val="0"/>
          <w:lang w:val="es-ES"/>
        </w:rPr>
        <w:tab/>
        <w:t xml:space="preserve">En cumplimiento de una Instrucción del Presidente de 1º de julio de 2004 relativa a la aprobación del Programa nacional de mejora de las condiciones de vivienda y aumento del porcentaje de empleo entre los refugiados y los desplazados forzosos, se recomienda a los directores de escuelas medias y de enseñanza superior que se preste la ayuda necesaria a los refugiados y desplazados forzosos en cuestiones relacionadas con sus posibilidades de empleo y se les otorguen préstamos en forma monetaria para pagar sus estudios a los que estén matriculados en centros de enseñanza media y superior, se exima del pago de la matrícula también a los desplazados forzosos que estudian en escuelas de enseñanza media general y se les entreguen libros de texto gratuitos. </w:t>
      </w:r>
    </w:p>
    <w:p w:rsidR="001D2E73" w:rsidRDefault="001D2E73">
      <w:pPr>
        <w:pStyle w:val="SingleTxtGR"/>
        <w:keepNext/>
        <w:keepLines/>
        <w:spacing w:before="240"/>
        <w:rPr>
          <w:b/>
          <w:spacing w:val="0"/>
          <w:lang w:val="es-ES"/>
        </w:rPr>
      </w:pPr>
      <w:r>
        <w:rPr>
          <w:spacing w:val="0"/>
          <w:lang w:val="es-ES"/>
        </w:rPr>
        <w:t>Cuadro 26</w:t>
      </w:r>
      <w:r>
        <w:rPr>
          <w:spacing w:val="0"/>
          <w:lang w:val="es-ES"/>
        </w:rPr>
        <w:br/>
      </w:r>
      <w:r>
        <w:rPr>
          <w:b/>
          <w:spacing w:val="0"/>
          <w:lang w:val="es-ES"/>
        </w:rPr>
        <w:t>Escuelas para refugiados</w:t>
      </w:r>
    </w:p>
    <w:tbl>
      <w:tblPr>
        <w:tblW w:w="8561"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626"/>
        <w:gridCol w:w="822"/>
        <w:gridCol w:w="823"/>
        <w:gridCol w:w="822"/>
        <w:gridCol w:w="823"/>
        <w:gridCol w:w="822"/>
        <w:gridCol w:w="823"/>
      </w:tblGrid>
      <w:tr w:rsidR="001D2E73">
        <w:trPr>
          <w:trHeight w:val="331"/>
        </w:trPr>
        <w:tc>
          <w:tcPr>
            <w:tcW w:w="3626"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rPr>
            </w:pPr>
            <w:r>
              <w:rPr>
                <w:i/>
                <w:sz w:val="16"/>
              </w:rPr>
              <w:t> </w:t>
            </w:r>
          </w:p>
        </w:tc>
        <w:tc>
          <w:tcPr>
            <w:tcW w:w="822"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rPr>
            </w:pPr>
            <w:r>
              <w:rPr>
                <w:i/>
                <w:sz w:val="16"/>
              </w:rPr>
              <w:t>2003</w:t>
            </w:r>
          </w:p>
        </w:tc>
        <w:tc>
          <w:tcPr>
            <w:tcW w:w="823"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rPr>
            </w:pPr>
            <w:r>
              <w:rPr>
                <w:i/>
                <w:sz w:val="16"/>
              </w:rPr>
              <w:t>2004</w:t>
            </w:r>
          </w:p>
        </w:tc>
        <w:tc>
          <w:tcPr>
            <w:tcW w:w="822"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rPr>
            </w:pPr>
            <w:r>
              <w:rPr>
                <w:i/>
                <w:sz w:val="16"/>
              </w:rPr>
              <w:t>2005</w:t>
            </w:r>
          </w:p>
        </w:tc>
        <w:tc>
          <w:tcPr>
            <w:tcW w:w="823"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rPr>
            </w:pPr>
            <w:r>
              <w:rPr>
                <w:i/>
                <w:sz w:val="16"/>
              </w:rPr>
              <w:t>2006</w:t>
            </w:r>
          </w:p>
        </w:tc>
        <w:tc>
          <w:tcPr>
            <w:tcW w:w="822" w:type="dxa"/>
            <w:tcBorders>
              <w:top w:val="single" w:sz="4" w:space="0" w:color="auto"/>
              <w:bottom w:val="single" w:sz="12" w:space="0" w:color="auto"/>
            </w:tcBorders>
            <w:shd w:val="clear" w:color="auto" w:fill="auto"/>
            <w:noWrap/>
          </w:tcPr>
          <w:p w:rsidR="001D2E73" w:rsidRDefault="001D2E73">
            <w:pPr>
              <w:keepNext/>
              <w:keepLines/>
              <w:spacing w:before="80" w:after="80" w:line="200" w:lineRule="exact"/>
              <w:jc w:val="right"/>
              <w:rPr>
                <w:i/>
                <w:sz w:val="16"/>
              </w:rPr>
            </w:pPr>
            <w:r>
              <w:rPr>
                <w:i/>
                <w:sz w:val="16"/>
              </w:rPr>
              <w:t>2007</w:t>
            </w:r>
          </w:p>
        </w:tc>
        <w:tc>
          <w:tcPr>
            <w:tcW w:w="823" w:type="dxa"/>
            <w:tcBorders>
              <w:top w:val="single" w:sz="4" w:space="0" w:color="auto"/>
              <w:left w:val="nil"/>
              <w:bottom w:val="single" w:sz="12" w:space="0" w:color="auto"/>
              <w:right w:val="nil"/>
              <w:tl2br w:val="nil"/>
              <w:tr2bl w:val="nil"/>
            </w:tcBorders>
            <w:shd w:val="clear" w:color="auto" w:fill="auto"/>
            <w:noWrap/>
          </w:tcPr>
          <w:p w:rsidR="001D2E73" w:rsidRDefault="001D2E73">
            <w:pPr>
              <w:keepNext/>
              <w:keepLines/>
              <w:spacing w:before="80" w:after="80" w:line="200" w:lineRule="exact"/>
              <w:jc w:val="right"/>
              <w:rPr>
                <w:i/>
                <w:sz w:val="16"/>
              </w:rPr>
            </w:pPr>
            <w:r>
              <w:rPr>
                <w:i/>
                <w:sz w:val="16"/>
              </w:rPr>
              <w:t>2008</w:t>
            </w:r>
          </w:p>
        </w:tc>
      </w:tr>
      <w:tr w:rsidR="001D2E73">
        <w:trPr>
          <w:trHeight w:val="331"/>
        </w:trPr>
        <w:tc>
          <w:tcPr>
            <w:tcW w:w="3626" w:type="dxa"/>
            <w:tcBorders>
              <w:bottom w:val="single" w:sz="4" w:space="0" w:color="auto"/>
            </w:tcBorders>
            <w:noWrap/>
            <w:vAlign w:val="bottom"/>
          </w:tcPr>
          <w:p w:rsidR="001D2E73" w:rsidRDefault="001D2E73">
            <w:pPr>
              <w:keepNext/>
              <w:keepLines/>
              <w:spacing w:before="40" w:after="40" w:line="220" w:lineRule="exact"/>
              <w:rPr>
                <w:sz w:val="18"/>
                <w:szCs w:val="18"/>
              </w:rPr>
            </w:pPr>
            <w:r>
              <w:rPr>
                <w:sz w:val="18"/>
                <w:szCs w:val="18"/>
              </w:rPr>
              <w:t>Cantidad de escuelas estatales diurnas de enseñanza general para refugiados y desplazados forzosos</w:t>
            </w:r>
          </w:p>
        </w:tc>
        <w:tc>
          <w:tcPr>
            <w:tcW w:w="822"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698</w:t>
            </w:r>
          </w:p>
        </w:tc>
        <w:tc>
          <w:tcPr>
            <w:tcW w:w="823"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689</w:t>
            </w:r>
          </w:p>
        </w:tc>
        <w:tc>
          <w:tcPr>
            <w:tcW w:w="822"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684</w:t>
            </w:r>
          </w:p>
        </w:tc>
        <w:tc>
          <w:tcPr>
            <w:tcW w:w="823"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673</w:t>
            </w:r>
          </w:p>
        </w:tc>
        <w:tc>
          <w:tcPr>
            <w:tcW w:w="822" w:type="dxa"/>
            <w:tcBorders>
              <w:bottom w:val="single" w:sz="4" w:space="0" w:color="auto"/>
            </w:tcBorders>
            <w:noWrap/>
            <w:vAlign w:val="bottom"/>
          </w:tcPr>
          <w:p w:rsidR="001D2E73" w:rsidRDefault="001D2E73">
            <w:pPr>
              <w:keepNext/>
              <w:keepLines/>
              <w:spacing w:before="40" w:after="40" w:line="220" w:lineRule="exact"/>
              <w:jc w:val="right"/>
              <w:rPr>
                <w:sz w:val="18"/>
                <w:szCs w:val="18"/>
              </w:rPr>
            </w:pPr>
            <w:r>
              <w:rPr>
                <w:sz w:val="18"/>
                <w:szCs w:val="18"/>
              </w:rPr>
              <w:t>664</w:t>
            </w:r>
          </w:p>
        </w:tc>
        <w:tc>
          <w:tcPr>
            <w:tcW w:w="823" w:type="dxa"/>
            <w:tcBorders>
              <w:left w:val="nil"/>
              <w:bottom w:val="single" w:sz="4" w:space="0" w:color="auto"/>
              <w:right w:val="nil"/>
              <w:tl2br w:val="nil"/>
              <w:tr2bl w:val="nil"/>
            </w:tcBorders>
            <w:noWrap/>
            <w:vAlign w:val="bottom"/>
          </w:tcPr>
          <w:p w:rsidR="001D2E73" w:rsidRDefault="001D2E73">
            <w:pPr>
              <w:keepNext/>
              <w:keepLines/>
              <w:spacing w:before="40" w:after="40" w:line="220" w:lineRule="exact"/>
              <w:jc w:val="right"/>
              <w:rPr>
                <w:sz w:val="18"/>
                <w:szCs w:val="18"/>
              </w:rPr>
            </w:pPr>
            <w:r>
              <w:rPr>
                <w:sz w:val="18"/>
                <w:szCs w:val="18"/>
              </w:rPr>
              <w:t>656</w:t>
            </w:r>
          </w:p>
        </w:tc>
      </w:tr>
      <w:tr w:rsidR="001D2E73">
        <w:trPr>
          <w:trHeight w:val="352"/>
        </w:trPr>
        <w:tc>
          <w:tcPr>
            <w:tcW w:w="3626" w:type="dxa"/>
            <w:tcBorders>
              <w:top w:val="single" w:sz="4" w:space="0" w:color="auto"/>
              <w:bottom w:val="single" w:sz="4" w:space="0" w:color="auto"/>
            </w:tcBorders>
            <w:noWrap/>
          </w:tcPr>
          <w:p w:rsidR="001D2E73" w:rsidRDefault="001D2E73">
            <w:pPr>
              <w:keepNext/>
              <w:keepLines/>
              <w:spacing w:before="80" w:after="80" w:line="220" w:lineRule="exact"/>
              <w:ind w:left="284"/>
              <w:rPr>
                <w:b/>
                <w:sz w:val="18"/>
                <w:szCs w:val="18"/>
              </w:rPr>
            </w:pPr>
            <w:r>
              <w:rPr>
                <w:b/>
                <w:sz w:val="18"/>
                <w:szCs w:val="18"/>
              </w:rPr>
              <w:t>Total de alumnos, miles</w:t>
            </w:r>
          </w:p>
        </w:tc>
        <w:tc>
          <w:tcPr>
            <w:tcW w:w="822" w:type="dxa"/>
            <w:tcBorders>
              <w:top w:val="single" w:sz="4" w:space="0" w:color="auto"/>
              <w:bottom w:val="single" w:sz="4" w:space="0" w:color="auto"/>
            </w:tcBorders>
            <w:noWrap/>
          </w:tcPr>
          <w:p w:rsidR="001D2E73" w:rsidRDefault="001D2E73">
            <w:pPr>
              <w:keepNext/>
              <w:keepLines/>
              <w:spacing w:before="80" w:after="80" w:line="220" w:lineRule="exact"/>
              <w:jc w:val="right"/>
              <w:rPr>
                <w:b/>
                <w:sz w:val="18"/>
                <w:szCs w:val="18"/>
              </w:rPr>
            </w:pPr>
            <w:r>
              <w:rPr>
                <w:b/>
                <w:sz w:val="18"/>
                <w:szCs w:val="18"/>
              </w:rPr>
              <w:t>93,5</w:t>
            </w:r>
          </w:p>
        </w:tc>
        <w:tc>
          <w:tcPr>
            <w:tcW w:w="823" w:type="dxa"/>
            <w:tcBorders>
              <w:top w:val="single" w:sz="4" w:space="0" w:color="auto"/>
              <w:bottom w:val="single" w:sz="4" w:space="0" w:color="auto"/>
            </w:tcBorders>
            <w:noWrap/>
          </w:tcPr>
          <w:p w:rsidR="001D2E73" w:rsidRDefault="001D2E73">
            <w:pPr>
              <w:keepNext/>
              <w:keepLines/>
              <w:spacing w:before="80" w:after="80" w:line="220" w:lineRule="exact"/>
              <w:jc w:val="right"/>
              <w:rPr>
                <w:b/>
                <w:sz w:val="18"/>
                <w:szCs w:val="18"/>
              </w:rPr>
            </w:pPr>
            <w:r>
              <w:rPr>
                <w:b/>
                <w:sz w:val="18"/>
                <w:szCs w:val="18"/>
              </w:rPr>
              <w:t>94,2</w:t>
            </w:r>
          </w:p>
        </w:tc>
        <w:tc>
          <w:tcPr>
            <w:tcW w:w="822" w:type="dxa"/>
            <w:tcBorders>
              <w:top w:val="single" w:sz="4" w:space="0" w:color="auto"/>
              <w:bottom w:val="single" w:sz="4" w:space="0" w:color="auto"/>
            </w:tcBorders>
            <w:noWrap/>
          </w:tcPr>
          <w:p w:rsidR="001D2E73" w:rsidRDefault="001D2E73">
            <w:pPr>
              <w:keepNext/>
              <w:keepLines/>
              <w:spacing w:before="80" w:after="80" w:line="220" w:lineRule="exact"/>
              <w:jc w:val="right"/>
              <w:rPr>
                <w:b/>
                <w:sz w:val="18"/>
                <w:szCs w:val="18"/>
              </w:rPr>
            </w:pPr>
            <w:r>
              <w:rPr>
                <w:b/>
                <w:sz w:val="18"/>
                <w:szCs w:val="18"/>
              </w:rPr>
              <w:t>91,1</w:t>
            </w:r>
          </w:p>
        </w:tc>
        <w:tc>
          <w:tcPr>
            <w:tcW w:w="823" w:type="dxa"/>
            <w:tcBorders>
              <w:top w:val="single" w:sz="4" w:space="0" w:color="auto"/>
              <w:bottom w:val="single" w:sz="4" w:space="0" w:color="auto"/>
            </w:tcBorders>
            <w:noWrap/>
          </w:tcPr>
          <w:p w:rsidR="001D2E73" w:rsidRDefault="001D2E73">
            <w:pPr>
              <w:keepNext/>
              <w:keepLines/>
              <w:spacing w:before="80" w:after="80" w:line="220" w:lineRule="exact"/>
              <w:jc w:val="right"/>
              <w:rPr>
                <w:b/>
                <w:sz w:val="18"/>
                <w:szCs w:val="18"/>
              </w:rPr>
            </w:pPr>
            <w:r>
              <w:rPr>
                <w:b/>
                <w:sz w:val="18"/>
                <w:szCs w:val="18"/>
              </w:rPr>
              <w:t>88,3</w:t>
            </w:r>
          </w:p>
        </w:tc>
        <w:tc>
          <w:tcPr>
            <w:tcW w:w="822" w:type="dxa"/>
            <w:tcBorders>
              <w:top w:val="single" w:sz="4" w:space="0" w:color="auto"/>
              <w:bottom w:val="single" w:sz="4" w:space="0" w:color="auto"/>
            </w:tcBorders>
            <w:noWrap/>
          </w:tcPr>
          <w:p w:rsidR="001D2E73" w:rsidRDefault="001D2E73">
            <w:pPr>
              <w:keepNext/>
              <w:keepLines/>
              <w:spacing w:before="80" w:after="80" w:line="220" w:lineRule="exact"/>
              <w:jc w:val="right"/>
              <w:rPr>
                <w:b/>
                <w:sz w:val="18"/>
                <w:szCs w:val="18"/>
              </w:rPr>
            </w:pPr>
            <w:r>
              <w:rPr>
                <w:b/>
                <w:sz w:val="18"/>
                <w:szCs w:val="18"/>
              </w:rPr>
              <w:t>86,2</w:t>
            </w:r>
          </w:p>
        </w:tc>
        <w:tc>
          <w:tcPr>
            <w:tcW w:w="823" w:type="dxa"/>
            <w:tcBorders>
              <w:top w:val="single" w:sz="4" w:space="0" w:color="auto"/>
              <w:left w:val="nil"/>
              <w:bottom w:val="single" w:sz="4" w:space="0" w:color="auto"/>
              <w:right w:val="nil"/>
              <w:tl2br w:val="nil"/>
              <w:tr2bl w:val="nil"/>
            </w:tcBorders>
            <w:noWrap/>
          </w:tcPr>
          <w:p w:rsidR="001D2E73" w:rsidRDefault="001D2E73">
            <w:pPr>
              <w:keepNext/>
              <w:keepLines/>
              <w:spacing w:before="80" w:after="80" w:line="220" w:lineRule="exact"/>
              <w:jc w:val="right"/>
              <w:rPr>
                <w:b/>
                <w:sz w:val="18"/>
                <w:szCs w:val="18"/>
              </w:rPr>
            </w:pPr>
            <w:r>
              <w:rPr>
                <w:b/>
                <w:sz w:val="18"/>
                <w:szCs w:val="18"/>
              </w:rPr>
              <w:t>82,7</w:t>
            </w:r>
          </w:p>
        </w:tc>
      </w:tr>
      <w:tr w:rsidR="001D2E73">
        <w:trPr>
          <w:trHeight w:val="331"/>
        </w:trPr>
        <w:tc>
          <w:tcPr>
            <w:tcW w:w="3626" w:type="dxa"/>
            <w:tcBorders>
              <w:top w:val="single" w:sz="4" w:space="0" w:color="auto"/>
            </w:tcBorders>
            <w:noWrap/>
          </w:tcPr>
          <w:p w:rsidR="001D2E73" w:rsidRDefault="001D2E73">
            <w:pPr>
              <w:keepNext/>
              <w:keepLines/>
              <w:spacing w:before="40" w:after="40" w:line="220" w:lineRule="exact"/>
              <w:rPr>
                <w:i/>
                <w:sz w:val="18"/>
                <w:szCs w:val="18"/>
              </w:rPr>
            </w:pPr>
            <w:r>
              <w:rPr>
                <w:i/>
                <w:sz w:val="18"/>
                <w:szCs w:val="18"/>
              </w:rPr>
              <w:t xml:space="preserve"> De ellos:</w:t>
            </w:r>
          </w:p>
        </w:tc>
        <w:tc>
          <w:tcPr>
            <w:tcW w:w="822" w:type="dxa"/>
            <w:tcBorders>
              <w:top w:val="single" w:sz="4" w:space="0" w:color="auto"/>
            </w:tcBorders>
            <w:noWrap/>
          </w:tcPr>
          <w:p w:rsidR="001D2E73" w:rsidRDefault="001D2E73">
            <w:pPr>
              <w:keepNext/>
              <w:keepLines/>
              <w:spacing w:before="40" w:after="40" w:line="220" w:lineRule="exact"/>
              <w:jc w:val="right"/>
              <w:rPr>
                <w:sz w:val="18"/>
                <w:szCs w:val="18"/>
              </w:rPr>
            </w:pPr>
          </w:p>
        </w:tc>
        <w:tc>
          <w:tcPr>
            <w:tcW w:w="823" w:type="dxa"/>
            <w:tcBorders>
              <w:top w:val="single" w:sz="4" w:space="0" w:color="auto"/>
            </w:tcBorders>
            <w:noWrap/>
          </w:tcPr>
          <w:p w:rsidR="001D2E73" w:rsidRDefault="001D2E73">
            <w:pPr>
              <w:keepNext/>
              <w:keepLines/>
              <w:spacing w:before="40" w:after="40" w:line="220" w:lineRule="exact"/>
              <w:jc w:val="right"/>
              <w:rPr>
                <w:sz w:val="18"/>
                <w:szCs w:val="18"/>
              </w:rPr>
            </w:pPr>
          </w:p>
        </w:tc>
        <w:tc>
          <w:tcPr>
            <w:tcW w:w="822" w:type="dxa"/>
            <w:tcBorders>
              <w:top w:val="single" w:sz="4" w:space="0" w:color="auto"/>
            </w:tcBorders>
            <w:noWrap/>
          </w:tcPr>
          <w:p w:rsidR="001D2E73" w:rsidRDefault="001D2E73">
            <w:pPr>
              <w:keepNext/>
              <w:keepLines/>
              <w:spacing w:before="40" w:after="40" w:line="220" w:lineRule="exact"/>
              <w:jc w:val="right"/>
              <w:rPr>
                <w:sz w:val="18"/>
                <w:szCs w:val="18"/>
              </w:rPr>
            </w:pPr>
          </w:p>
        </w:tc>
        <w:tc>
          <w:tcPr>
            <w:tcW w:w="823" w:type="dxa"/>
            <w:tcBorders>
              <w:top w:val="single" w:sz="4" w:space="0" w:color="auto"/>
            </w:tcBorders>
            <w:noWrap/>
          </w:tcPr>
          <w:p w:rsidR="001D2E73" w:rsidRDefault="001D2E73">
            <w:pPr>
              <w:keepNext/>
              <w:keepLines/>
              <w:spacing w:before="40" w:after="40" w:line="220" w:lineRule="exact"/>
              <w:jc w:val="right"/>
              <w:rPr>
                <w:sz w:val="18"/>
                <w:szCs w:val="18"/>
              </w:rPr>
            </w:pPr>
          </w:p>
        </w:tc>
        <w:tc>
          <w:tcPr>
            <w:tcW w:w="822" w:type="dxa"/>
            <w:tcBorders>
              <w:top w:val="single" w:sz="4" w:space="0" w:color="auto"/>
            </w:tcBorders>
            <w:noWrap/>
          </w:tcPr>
          <w:p w:rsidR="001D2E73" w:rsidRDefault="001D2E73">
            <w:pPr>
              <w:keepNext/>
              <w:keepLines/>
              <w:spacing w:before="40" w:after="40" w:line="220" w:lineRule="exact"/>
              <w:jc w:val="right"/>
              <w:rPr>
                <w:sz w:val="18"/>
                <w:szCs w:val="18"/>
              </w:rPr>
            </w:pPr>
          </w:p>
        </w:tc>
        <w:tc>
          <w:tcPr>
            <w:tcW w:w="823" w:type="dxa"/>
            <w:tcBorders>
              <w:top w:val="single" w:sz="4" w:space="0" w:color="auto"/>
              <w:left w:val="nil"/>
              <w:bottom w:val="nil"/>
              <w:right w:val="nil"/>
              <w:tl2br w:val="nil"/>
              <w:tr2bl w:val="nil"/>
            </w:tcBorders>
            <w:noWrap/>
          </w:tcPr>
          <w:p w:rsidR="001D2E73" w:rsidRDefault="001D2E73">
            <w:pPr>
              <w:keepNext/>
              <w:keepLines/>
              <w:spacing w:before="40" w:after="40" w:line="220" w:lineRule="exact"/>
              <w:jc w:val="right"/>
              <w:rPr>
                <w:sz w:val="18"/>
                <w:szCs w:val="18"/>
              </w:rPr>
            </w:pPr>
          </w:p>
        </w:tc>
      </w:tr>
      <w:tr w:rsidR="001D2E73">
        <w:trPr>
          <w:trHeight w:val="331"/>
        </w:trPr>
        <w:tc>
          <w:tcPr>
            <w:tcW w:w="3626" w:type="dxa"/>
            <w:noWrap/>
          </w:tcPr>
          <w:p w:rsidR="001D2E73" w:rsidRDefault="001D2E73">
            <w:pPr>
              <w:spacing w:before="40" w:after="40" w:line="220" w:lineRule="exact"/>
              <w:rPr>
                <w:sz w:val="18"/>
                <w:szCs w:val="18"/>
              </w:rPr>
            </w:pPr>
            <w:r>
              <w:rPr>
                <w:sz w:val="18"/>
                <w:szCs w:val="18"/>
              </w:rPr>
              <w:t xml:space="preserve">    Niños</w:t>
            </w:r>
          </w:p>
        </w:tc>
        <w:tc>
          <w:tcPr>
            <w:tcW w:w="822" w:type="dxa"/>
            <w:noWrap/>
          </w:tcPr>
          <w:p w:rsidR="001D2E73" w:rsidRDefault="001D2E73">
            <w:pPr>
              <w:spacing w:before="40" w:after="40" w:line="220" w:lineRule="exact"/>
              <w:jc w:val="right"/>
              <w:rPr>
                <w:sz w:val="18"/>
                <w:szCs w:val="18"/>
              </w:rPr>
            </w:pPr>
            <w:r>
              <w:rPr>
                <w:sz w:val="18"/>
                <w:szCs w:val="18"/>
              </w:rPr>
              <w:t>…</w:t>
            </w:r>
          </w:p>
        </w:tc>
        <w:tc>
          <w:tcPr>
            <w:tcW w:w="823" w:type="dxa"/>
            <w:noWrap/>
          </w:tcPr>
          <w:p w:rsidR="001D2E73" w:rsidRDefault="001D2E73">
            <w:pPr>
              <w:spacing w:before="40" w:after="40" w:line="220" w:lineRule="exact"/>
              <w:jc w:val="right"/>
              <w:rPr>
                <w:sz w:val="18"/>
                <w:szCs w:val="18"/>
              </w:rPr>
            </w:pPr>
            <w:r>
              <w:rPr>
                <w:sz w:val="18"/>
                <w:szCs w:val="18"/>
              </w:rPr>
              <w:t>50,2</w:t>
            </w:r>
          </w:p>
        </w:tc>
        <w:tc>
          <w:tcPr>
            <w:tcW w:w="822" w:type="dxa"/>
            <w:noWrap/>
          </w:tcPr>
          <w:p w:rsidR="001D2E73" w:rsidRDefault="001D2E73">
            <w:pPr>
              <w:spacing w:before="40" w:after="40" w:line="220" w:lineRule="exact"/>
              <w:jc w:val="right"/>
              <w:rPr>
                <w:sz w:val="18"/>
                <w:szCs w:val="18"/>
              </w:rPr>
            </w:pPr>
            <w:r>
              <w:rPr>
                <w:sz w:val="18"/>
                <w:szCs w:val="18"/>
              </w:rPr>
              <w:t>48,7</w:t>
            </w:r>
          </w:p>
        </w:tc>
        <w:tc>
          <w:tcPr>
            <w:tcW w:w="823" w:type="dxa"/>
            <w:noWrap/>
          </w:tcPr>
          <w:p w:rsidR="001D2E73" w:rsidRDefault="001D2E73">
            <w:pPr>
              <w:spacing w:before="40" w:after="40" w:line="220" w:lineRule="exact"/>
              <w:jc w:val="right"/>
              <w:rPr>
                <w:sz w:val="18"/>
                <w:szCs w:val="18"/>
              </w:rPr>
            </w:pPr>
            <w:r>
              <w:rPr>
                <w:sz w:val="18"/>
                <w:szCs w:val="18"/>
              </w:rPr>
              <w:t>47,0</w:t>
            </w:r>
          </w:p>
        </w:tc>
        <w:tc>
          <w:tcPr>
            <w:tcW w:w="822" w:type="dxa"/>
            <w:noWrap/>
          </w:tcPr>
          <w:p w:rsidR="001D2E73" w:rsidRDefault="001D2E73">
            <w:pPr>
              <w:spacing w:before="40" w:after="40" w:line="220" w:lineRule="exact"/>
              <w:jc w:val="right"/>
              <w:rPr>
                <w:sz w:val="18"/>
                <w:szCs w:val="18"/>
              </w:rPr>
            </w:pPr>
            <w:r>
              <w:rPr>
                <w:sz w:val="18"/>
                <w:szCs w:val="18"/>
              </w:rPr>
              <w:t>46,2</w:t>
            </w:r>
          </w:p>
        </w:tc>
        <w:tc>
          <w:tcPr>
            <w:tcW w:w="823"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44,5</w:t>
            </w:r>
          </w:p>
        </w:tc>
      </w:tr>
      <w:tr w:rsidR="001D2E73">
        <w:trPr>
          <w:trHeight w:val="331"/>
        </w:trPr>
        <w:tc>
          <w:tcPr>
            <w:tcW w:w="3626" w:type="dxa"/>
            <w:noWrap/>
          </w:tcPr>
          <w:p w:rsidR="001D2E73" w:rsidRDefault="001D2E73">
            <w:pPr>
              <w:spacing w:before="40" w:after="40" w:line="220" w:lineRule="exact"/>
              <w:rPr>
                <w:sz w:val="18"/>
                <w:szCs w:val="18"/>
              </w:rPr>
            </w:pPr>
            <w:r>
              <w:rPr>
                <w:sz w:val="18"/>
                <w:szCs w:val="18"/>
              </w:rPr>
              <w:t xml:space="preserve">    Niñas</w:t>
            </w:r>
          </w:p>
        </w:tc>
        <w:tc>
          <w:tcPr>
            <w:tcW w:w="822" w:type="dxa"/>
            <w:noWrap/>
          </w:tcPr>
          <w:p w:rsidR="001D2E73" w:rsidRDefault="001D2E73">
            <w:pPr>
              <w:spacing w:before="40" w:after="40" w:line="220" w:lineRule="exact"/>
              <w:jc w:val="right"/>
              <w:rPr>
                <w:sz w:val="18"/>
                <w:szCs w:val="18"/>
              </w:rPr>
            </w:pPr>
            <w:r>
              <w:rPr>
                <w:sz w:val="18"/>
                <w:szCs w:val="18"/>
              </w:rPr>
              <w:t>…</w:t>
            </w:r>
          </w:p>
        </w:tc>
        <w:tc>
          <w:tcPr>
            <w:tcW w:w="823" w:type="dxa"/>
            <w:noWrap/>
          </w:tcPr>
          <w:p w:rsidR="001D2E73" w:rsidRDefault="001D2E73">
            <w:pPr>
              <w:spacing w:before="40" w:after="40" w:line="220" w:lineRule="exact"/>
              <w:jc w:val="right"/>
              <w:rPr>
                <w:sz w:val="18"/>
                <w:szCs w:val="18"/>
              </w:rPr>
            </w:pPr>
            <w:r>
              <w:rPr>
                <w:sz w:val="18"/>
                <w:szCs w:val="18"/>
              </w:rPr>
              <w:t>44,0</w:t>
            </w:r>
          </w:p>
        </w:tc>
        <w:tc>
          <w:tcPr>
            <w:tcW w:w="822" w:type="dxa"/>
            <w:noWrap/>
          </w:tcPr>
          <w:p w:rsidR="001D2E73" w:rsidRDefault="001D2E73">
            <w:pPr>
              <w:spacing w:before="40" w:after="40" w:line="220" w:lineRule="exact"/>
              <w:jc w:val="right"/>
              <w:rPr>
                <w:sz w:val="18"/>
                <w:szCs w:val="18"/>
              </w:rPr>
            </w:pPr>
            <w:r>
              <w:rPr>
                <w:sz w:val="18"/>
                <w:szCs w:val="18"/>
              </w:rPr>
              <w:t>42,4</w:t>
            </w:r>
          </w:p>
        </w:tc>
        <w:tc>
          <w:tcPr>
            <w:tcW w:w="823" w:type="dxa"/>
            <w:noWrap/>
          </w:tcPr>
          <w:p w:rsidR="001D2E73" w:rsidRDefault="001D2E73">
            <w:pPr>
              <w:spacing w:before="40" w:after="40" w:line="220" w:lineRule="exact"/>
              <w:jc w:val="right"/>
              <w:rPr>
                <w:sz w:val="18"/>
                <w:szCs w:val="18"/>
              </w:rPr>
            </w:pPr>
            <w:r>
              <w:rPr>
                <w:sz w:val="18"/>
                <w:szCs w:val="18"/>
              </w:rPr>
              <w:t>41,3</w:t>
            </w:r>
          </w:p>
        </w:tc>
        <w:tc>
          <w:tcPr>
            <w:tcW w:w="822" w:type="dxa"/>
            <w:noWrap/>
          </w:tcPr>
          <w:p w:rsidR="001D2E73" w:rsidRDefault="001D2E73">
            <w:pPr>
              <w:spacing w:before="40" w:after="40" w:line="220" w:lineRule="exact"/>
              <w:jc w:val="right"/>
              <w:rPr>
                <w:sz w:val="18"/>
                <w:szCs w:val="18"/>
              </w:rPr>
            </w:pPr>
            <w:r>
              <w:rPr>
                <w:sz w:val="18"/>
                <w:szCs w:val="18"/>
              </w:rPr>
              <w:t>40,0</w:t>
            </w:r>
          </w:p>
        </w:tc>
        <w:tc>
          <w:tcPr>
            <w:tcW w:w="823"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38,2</w:t>
            </w:r>
          </w:p>
        </w:tc>
      </w:tr>
    </w:tbl>
    <w:p w:rsidR="001D2E73" w:rsidRDefault="001D2E73">
      <w:pPr>
        <w:pStyle w:val="SingleTxtGR"/>
        <w:spacing w:before="240"/>
        <w:rPr>
          <w:spacing w:val="0"/>
          <w:lang w:val="es-ES"/>
        </w:rPr>
      </w:pPr>
      <w:r>
        <w:rPr>
          <w:spacing w:val="0"/>
          <w:lang w:val="es-ES"/>
        </w:rPr>
        <w:t>517.</w:t>
      </w:r>
      <w:r>
        <w:rPr>
          <w:spacing w:val="0"/>
          <w:lang w:val="es-ES"/>
        </w:rPr>
        <w:tab/>
        <w:t>De conformidad con las enmiendas introducidas en 2007 en la Ley del estatuto jurídico de extranjeros y apátridas, los extranjeros y apátridas con residencia pe</w:t>
      </w:r>
      <w:r>
        <w:rPr>
          <w:spacing w:val="0"/>
          <w:lang w:val="es-ES"/>
        </w:rPr>
        <w:t>r</w:t>
      </w:r>
      <w:r>
        <w:rPr>
          <w:spacing w:val="0"/>
          <w:lang w:val="es-ES"/>
        </w:rPr>
        <w:t>manente en Azerbaiyán tienen derecho a recibir educación en igualdad de condiciones con los ciudadanos del país. Los demás extranjeros y apátridas pagan por sus estudios (con excepción de la enseñanza media general obligatoria).</w:t>
      </w:r>
    </w:p>
    <w:p w:rsidR="001D2E73" w:rsidRDefault="001D2E73">
      <w:pPr>
        <w:spacing w:before="240" w:after="120"/>
        <w:cnfStyle w:val="000100000000" w:firstRow="0" w:lastRow="0" w:firstColumn="0" w:lastColumn="1" w:oddVBand="0" w:evenVBand="0" w:oddHBand="0" w:evenHBand="0" w:firstRowFirstColumn="0" w:firstRowLastColumn="0" w:lastRowFirstColumn="0" w:lastRowLastColumn="0"/>
        <w:rPr>
          <w:b/>
        </w:rPr>
      </w:pPr>
      <w:r>
        <w:tab/>
      </w:r>
      <w:r>
        <w:tab/>
        <w:t>Cuadro 27</w:t>
      </w:r>
      <w:r>
        <w:br/>
      </w:r>
      <w:r>
        <w:rPr>
          <w:b/>
        </w:rPr>
        <w:tab/>
      </w:r>
      <w:r>
        <w:rPr>
          <w:b/>
        </w:rPr>
        <w:tab/>
        <w:t>Enseñanza del idioma materno en las escuelas diurnas de enseñanza general</w:t>
      </w:r>
    </w:p>
    <w:tbl>
      <w:tblPr>
        <w:tblW w:w="8497"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304"/>
        <w:gridCol w:w="826"/>
        <w:gridCol w:w="881"/>
        <w:gridCol w:w="882"/>
        <w:gridCol w:w="910"/>
        <w:gridCol w:w="882"/>
        <w:gridCol w:w="812"/>
      </w:tblGrid>
      <w:tr w:rsidR="001D2E73">
        <w:trPr>
          <w:trHeight w:val="311"/>
          <w:tblHeader/>
        </w:trPr>
        <w:tc>
          <w:tcPr>
            <w:tcW w:w="3304"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 </w:t>
            </w:r>
          </w:p>
        </w:tc>
        <w:tc>
          <w:tcPr>
            <w:tcW w:w="826"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2003</w:t>
            </w:r>
          </w:p>
        </w:tc>
        <w:tc>
          <w:tcPr>
            <w:tcW w:w="881"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2004</w:t>
            </w:r>
          </w:p>
        </w:tc>
        <w:tc>
          <w:tcPr>
            <w:tcW w:w="882"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2005</w:t>
            </w:r>
          </w:p>
        </w:tc>
        <w:tc>
          <w:tcPr>
            <w:tcW w:w="910"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2006</w:t>
            </w:r>
          </w:p>
        </w:tc>
        <w:tc>
          <w:tcPr>
            <w:tcW w:w="882" w:type="dxa"/>
            <w:tcBorders>
              <w:top w:val="single" w:sz="4" w:space="0" w:color="auto"/>
              <w:bottom w:val="single" w:sz="12" w:space="0" w:color="auto"/>
            </w:tcBorders>
            <w:shd w:val="clear" w:color="auto" w:fill="auto"/>
            <w:noWrap/>
          </w:tcPr>
          <w:p w:rsidR="001D2E73" w:rsidRDefault="001D2E73">
            <w:pPr>
              <w:spacing w:before="80" w:after="80" w:line="200" w:lineRule="exact"/>
              <w:jc w:val="right"/>
              <w:rPr>
                <w:i/>
                <w:sz w:val="16"/>
              </w:rPr>
            </w:pPr>
            <w:r>
              <w:rPr>
                <w:i/>
                <w:sz w:val="16"/>
              </w:rPr>
              <w:t>2007</w:t>
            </w:r>
          </w:p>
        </w:tc>
        <w:tc>
          <w:tcPr>
            <w:tcW w:w="812" w:type="dxa"/>
            <w:tcBorders>
              <w:top w:val="single" w:sz="4" w:space="0" w:color="auto"/>
              <w:left w:val="nil"/>
              <w:bottom w:val="single" w:sz="12" w:space="0" w:color="auto"/>
              <w:right w:val="nil"/>
              <w:tl2br w:val="nil"/>
              <w:tr2bl w:val="nil"/>
            </w:tcBorders>
            <w:shd w:val="clear" w:color="auto" w:fill="auto"/>
            <w:noWrap/>
          </w:tcPr>
          <w:p w:rsidR="001D2E73" w:rsidRDefault="001D2E73">
            <w:pPr>
              <w:spacing w:before="80" w:after="80" w:line="200" w:lineRule="exact"/>
              <w:jc w:val="right"/>
              <w:rPr>
                <w:i/>
                <w:sz w:val="16"/>
              </w:rPr>
            </w:pPr>
            <w:r>
              <w:rPr>
                <w:i/>
                <w:sz w:val="16"/>
              </w:rPr>
              <w:t>2008</w:t>
            </w:r>
          </w:p>
        </w:tc>
      </w:tr>
      <w:tr w:rsidR="001D2E73">
        <w:trPr>
          <w:trHeight w:val="955"/>
        </w:trPr>
        <w:tc>
          <w:tcPr>
            <w:tcW w:w="3304" w:type="dxa"/>
            <w:tcBorders>
              <w:bottom w:val="nil"/>
            </w:tcBorders>
            <w:noWrap/>
            <w:vAlign w:val="bottom"/>
          </w:tcPr>
          <w:p w:rsidR="001D2E73" w:rsidRDefault="001D2E73">
            <w:pPr>
              <w:spacing w:before="40" w:after="40" w:line="220" w:lineRule="exact"/>
              <w:rPr>
                <w:sz w:val="18"/>
                <w:szCs w:val="18"/>
              </w:rPr>
            </w:pPr>
            <w:r>
              <w:rPr>
                <w:sz w:val="18"/>
                <w:szCs w:val="18"/>
              </w:rPr>
              <w:t>Cantidad de alumnos de las escuelas estatales diurnas de enseñanza general (excepto los alumnos con problemas de salud total de personas</w:t>
            </w:r>
          </w:p>
        </w:tc>
        <w:tc>
          <w:tcPr>
            <w:tcW w:w="826" w:type="dxa"/>
            <w:tcBorders>
              <w:bottom w:val="nil"/>
            </w:tcBorders>
            <w:noWrap/>
            <w:vAlign w:val="bottom"/>
          </w:tcPr>
          <w:p w:rsidR="001D2E73" w:rsidRDefault="001D2E73">
            <w:pPr>
              <w:spacing w:before="40" w:after="40" w:line="220" w:lineRule="exact"/>
              <w:jc w:val="right"/>
              <w:rPr>
                <w:sz w:val="18"/>
                <w:szCs w:val="18"/>
              </w:rPr>
            </w:pPr>
            <w:r>
              <w:rPr>
                <w:sz w:val="18"/>
                <w:szCs w:val="18"/>
              </w:rPr>
              <w:t>1 670 302</w:t>
            </w:r>
          </w:p>
        </w:tc>
        <w:tc>
          <w:tcPr>
            <w:tcW w:w="881" w:type="dxa"/>
            <w:tcBorders>
              <w:bottom w:val="nil"/>
            </w:tcBorders>
            <w:noWrap/>
            <w:vAlign w:val="bottom"/>
          </w:tcPr>
          <w:p w:rsidR="001D2E73" w:rsidRDefault="001D2E73">
            <w:pPr>
              <w:spacing w:before="40" w:after="40" w:line="220" w:lineRule="exact"/>
              <w:jc w:val="right"/>
              <w:rPr>
                <w:sz w:val="18"/>
                <w:szCs w:val="18"/>
              </w:rPr>
            </w:pPr>
            <w:r>
              <w:rPr>
                <w:sz w:val="18"/>
                <w:szCs w:val="18"/>
              </w:rPr>
              <w:t>1 620 371</w:t>
            </w:r>
          </w:p>
        </w:tc>
        <w:tc>
          <w:tcPr>
            <w:tcW w:w="882" w:type="dxa"/>
            <w:tcBorders>
              <w:bottom w:val="nil"/>
            </w:tcBorders>
            <w:noWrap/>
            <w:vAlign w:val="bottom"/>
          </w:tcPr>
          <w:p w:rsidR="001D2E73" w:rsidRDefault="001D2E73">
            <w:pPr>
              <w:spacing w:before="40" w:after="40" w:line="220" w:lineRule="exact"/>
              <w:jc w:val="right"/>
              <w:rPr>
                <w:sz w:val="18"/>
                <w:szCs w:val="18"/>
              </w:rPr>
            </w:pPr>
            <w:r>
              <w:rPr>
                <w:sz w:val="18"/>
                <w:szCs w:val="18"/>
              </w:rPr>
              <w:t>1 571 566</w:t>
            </w:r>
          </w:p>
        </w:tc>
        <w:tc>
          <w:tcPr>
            <w:tcW w:w="910" w:type="dxa"/>
            <w:tcBorders>
              <w:bottom w:val="nil"/>
            </w:tcBorders>
            <w:noWrap/>
            <w:vAlign w:val="bottom"/>
          </w:tcPr>
          <w:p w:rsidR="001D2E73" w:rsidRDefault="001D2E73">
            <w:pPr>
              <w:spacing w:before="40" w:after="40" w:line="220" w:lineRule="exact"/>
              <w:jc w:val="right"/>
              <w:rPr>
                <w:sz w:val="18"/>
                <w:szCs w:val="18"/>
              </w:rPr>
            </w:pPr>
            <w:r>
              <w:rPr>
                <w:sz w:val="18"/>
                <w:szCs w:val="18"/>
              </w:rPr>
              <w:t>1 521 544</w:t>
            </w:r>
          </w:p>
        </w:tc>
        <w:tc>
          <w:tcPr>
            <w:tcW w:w="882" w:type="dxa"/>
            <w:tcBorders>
              <w:bottom w:val="nil"/>
            </w:tcBorders>
            <w:noWrap/>
            <w:vAlign w:val="bottom"/>
          </w:tcPr>
          <w:p w:rsidR="001D2E73" w:rsidRDefault="001D2E73">
            <w:pPr>
              <w:spacing w:before="40" w:after="40" w:line="220" w:lineRule="exact"/>
              <w:jc w:val="right"/>
              <w:rPr>
                <w:sz w:val="18"/>
                <w:szCs w:val="18"/>
              </w:rPr>
            </w:pPr>
            <w:r>
              <w:rPr>
                <w:sz w:val="18"/>
                <w:szCs w:val="18"/>
              </w:rPr>
              <w:t>1 474 186</w:t>
            </w:r>
          </w:p>
        </w:tc>
        <w:tc>
          <w:tcPr>
            <w:tcW w:w="812" w:type="dxa"/>
            <w:tcBorders>
              <w:left w:val="nil"/>
              <w:right w:val="nil"/>
              <w:tl2br w:val="nil"/>
              <w:tr2bl w:val="nil"/>
            </w:tcBorders>
            <w:noWrap/>
            <w:vAlign w:val="bottom"/>
          </w:tcPr>
          <w:p w:rsidR="001D2E73" w:rsidRDefault="001D2E73">
            <w:pPr>
              <w:spacing w:before="40" w:after="40" w:line="220" w:lineRule="exact"/>
              <w:jc w:val="right"/>
              <w:rPr>
                <w:sz w:val="18"/>
                <w:szCs w:val="18"/>
              </w:rPr>
            </w:pPr>
            <w:r>
              <w:rPr>
                <w:sz w:val="18"/>
                <w:szCs w:val="18"/>
              </w:rPr>
              <w:t>1 415 249</w:t>
            </w:r>
          </w:p>
        </w:tc>
      </w:tr>
      <w:tr w:rsidR="001D2E73">
        <w:trPr>
          <w:trHeight w:val="20"/>
        </w:trPr>
        <w:tc>
          <w:tcPr>
            <w:tcW w:w="3304" w:type="dxa"/>
            <w:tcBorders>
              <w:top w:val="nil"/>
              <w:bottom w:val="nil"/>
            </w:tcBorders>
            <w:noWrap/>
          </w:tcPr>
          <w:p w:rsidR="001D2E73" w:rsidRDefault="001D2E73">
            <w:pPr>
              <w:spacing w:before="40" w:after="40" w:line="220" w:lineRule="exact"/>
              <w:rPr>
                <w:i/>
                <w:sz w:val="18"/>
                <w:szCs w:val="18"/>
              </w:rPr>
            </w:pPr>
            <w:r>
              <w:rPr>
                <w:i/>
                <w:sz w:val="18"/>
                <w:szCs w:val="18"/>
              </w:rPr>
              <w:t xml:space="preserve">  De ellos: </w:t>
            </w:r>
          </w:p>
        </w:tc>
        <w:tc>
          <w:tcPr>
            <w:tcW w:w="826" w:type="dxa"/>
            <w:tcBorders>
              <w:top w:val="nil"/>
              <w:bottom w:val="nil"/>
            </w:tcBorders>
            <w:noWrap/>
          </w:tcPr>
          <w:p w:rsidR="001D2E73" w:rsidRDefault="001D2E73">
            <w:pPr>
              <w:spacing w:before="40" w:after="40" w:line="220" w:lineRule="exact"/>
              <w:jc w:val="right"/>
              <w:rPr>
                <w:sz w:val="18"/>
                <w:szCs w:val="18"/>
              </w:rPr>
            </w:pPr>
          </w:p>
        </w:tc>
        <w:tc>
          <w:tcPr>
            <w:tcW w:w="881" w:type="dxa"/>
            <w:tcBorders>
              <w:top w:val="nil"/>
              <w:bottom w:val="nil"/>
            </w:tcBorders>
            <w:noWrap/>
          </w:tcPr>
          <w:p w:rsidR="001D2E73" w:rsidRDefault="001D2E73">
            <w:pPr>
              <w:spacing w:before="40" w:after="40" w:line="220" w:lineRule="exact"/>
              <w:jc w:val="right"/>
              <w:rPr>
                <w:sz w:val="18"/>
                <w:szCs w:val="18"/>
              </w:rPr>
            </w:pPr>
          </w:p>
        </w:tc>
        <w:tc>
          <w:tcPr>
            <w:tcW w:w="882" w:type="dxa"/>
            <w:tcBorders>
              <w:top w:val="nil"/>
              <w:bottom w:val="nil"/>
            </w:tcBorders>
            <w:noWrap/>
          </w:tcPr>
          <w:p w:rsidR="001D2E73" w:rsidRDefault="001D2E73">
            <w:pPr>
              <w:spacing w:before="40" w:after="40" w:line="220" w:lineRule="exact"/>
              <w:jc w:val="right"/>
              <w:rPr>
                <w:sz w:val="18"/>
                <w:szCs w:val="18"/>
              </w:rPr>
            </w:pPr>
          </w:p>
        </w:tc>
        <w:tc>
          <w:tcPr>
            <w:tcW w:w="910" w:type="dxa"/>
            <w:tcBorders>
              <w:top w:val="nil"/>
              <w:bottom w:val="nil"/>
            </w:tcBorders>
            <w:noWrap/>
          </w:tcPr>
          <w:p w:rsidR="001D2E73" w:rsidRDefault="001D2E73">
            <w:pPr>
              <w:spacing w:before="40" w:after="40" w:line="220" w:lineRule="exact"/>
              <w:jc w:val="right"/>
              <w:rPr>
                <w:sz w:val="18"/>
                <w:szCs w:val="18"/>
              </w:rPr>
            </w:pPr>
          </w:p>
        </w:tc>
        <w:tc>
          <w:tcPr>
            <w:tcW w:w="882" w:type="dxa"/>
            <w:tcBorders>
              <w:top w:val="nil"/>
              <w:bottom w:val="nil"/>
            </w:tcBorders>
            <w:noWrap/>
          </w:tcPr>
          <w:p w:rsidR="001D2E73" w:rsidRDefault="001D2E73">
            <w:pPr>
              <w:spacing w:before="40" w:after="40" w:line="220" w:lineRule="exact"/>
              <w:jc w:val="right"/>
              <w:rPr>
                <w:sz w:val="18"/>
                <w:szCs w:val="18"/>
              </w:rPr>
            </w:pPr>
          </w:p>
        </w:tc>
        <w:tc>
          <w:tcPr>
            <w:tcW w:w="812" w:type="dxa"/>
            <w:tcBorders>
              <w:top w:val="nil"/>
              <w:left w:val="nil"/>
              <w:bottom w:val="nil"/>
              <w:right w:val="nil"/>
              <w:tl2br w:val="nil"/>
              <w:tr2bl w:val="nil"/>
            </w:tcBorders>
            <w:noWrap/>
          </w:tcPr>
          <w:p w:rsidR="001D2E73" w:rsidRDefault="001D2E73">
            <w:pPr>
              <w:spacing w:before="40" w:after="40" w:line="220" w:lineRule="exact"/>
              <w:jc w:val="right"/>
              <w:rPr>
                <w:sz w:val="18"/>
                <w:szCs w:val="18"/>
              </w:rPr>
            </w:pPr>
          </w:p>
        </w:tc>
      </w:tr>
      <w:tr w:rsidR="001D2E73">
        <w:trPr>
          <w:trHeight w:val="20"/>
        </w:trPr>
        <w:tc>
          <w:tcPr>
            <w:tcW w:w="3304" w:type="dxa"/>
            <w:tcBorders>
              <w:top w:val="nil"/>
            </w:tcBorders>
            <w:noWrap/>
          </w:tcPr>
          <w:p w:rsidR="001D2E73" w:rsidRDefault="001D2E73">
            <w:pPr>
              <w:spacing w:before="40" w:after="40" w:line="220" w:lineRule="exact"/>
              <w:rPr>
                <w:sz w:val="18"/>
                <w:szCs w:val="18"/>
              </w:rPr>
            </w:pPr>
            <w:r>
              <w:rPr>
                <w:sz w:val="18"/>
                <w:szCs w:val="18"/>
              </w:rPr>
              <w:t xml:space="preserve">  Estudian en idioma:</w:t>
            </w:r>
          </w:p>
        </w:tc>
        <w:tc>
          <w:tcPr>
            <w:tcW w:w="826" w:type="dxa"/>
            <w:tcBorders>
              <w:top w:val="nil"/>
            </w:tcBorders>
            <w:noWrap/>
          </w:tcPr>
          <w:p w:rsidR="001D2E73" w:rsidRDefault="001D2E73">
            <w:pPr>
              <w:spacing w:before="40" w:after="40" w:line="220" w:lineRule="exact"/>
              <w:jc w:val="right"/>
              <w:rPr>
                <w:sz w:val="18"/>
                <w:szCs w:val="18"/>
              </w:rPr>
            </w:pPr>
          </w:p>
        </w:tc>
        <w:tc>
          <w:tcPr>
            <w:tcW w:w="881" w:type="dxa"/>
            <w:tcBorders>
              <w:top w:val="nil"/>
            </w:tcBorders>
            <w:noWrap/>
          </w:tcPr>
          <w:p w:rsidR="001D2E73" w:rsidRDefault="001D2E73">
            <w:pPr>
              <w:spacing w:before="40" w:after="40" w:line="220" w:lineRule="exact"/>
              <w:jc w:val="right"/>
              <w:rPr>
                <w:sz w:val="18"/>
                <w:szCs w:val="18"/>
              </w:rPr>
            </w:pPr>
          </w:p>
        </w:tc>
        <w:tc>
          <w:tcPr>
            <w:tcW w:w="882" w:type="dxa"/>
            <w:tcBorders>
              <w:top w:val="nil"/>
            </w:tcBorders>
            <w:noWrap/>
          </w:tcPr>
          <w:p w:rsidR="001D2E73" w:rsidRDefault="001D2E73">
            <w:pPr>
              <w:spacing w:before="40" w:after="40" w:line="220" w:lineRule="exact"/>
              <w:jc w:val="right"/>
              <w:rPr>
                <w:sz w:val="18"/>
                <w:szCs w:val="18"/>
              </w:rPr>
            </w:pPr>
          </w:p>
        </w:tc>
        <w:tc>
          <w:tcPr>
            <w:tcW w:w="910" w:type="dxa"/>
            <w:tcBorders>
              <w:top w:val="nil"/>
            </w:tcBorders>
            <w:noWrap/>
          </w:tcPr>
          <w:p w:rsidR="001D2E73" w:rsidRDefault="001D2E73">
            <w:pPr>
              <w:spacing w:before="40" w:after="40" w:line="220" w:lineRule="exact"/>
              <w:jc w:val="right"/>
              <w:rPr>
                <w:sz w:val="18"/>
                <w:szCs w:val="18"/>
              </w:rPr>
            </w:pPr>
          </w:p>
        </w:tc>
        <w:tc>
          <w:tcPr>
            <w:tcW w:w="882" w:type="dxa"/>
            <w:tcBorders>
              <w:top w:val="nil"/>
            </w:tcBorders>
            <w:noWrap/>
          </w:tcPr>
          <w:p w:rsidR="001D2E73" w:rsidRDefault="001D2E73">
            <w:pPr>
              <w:spacing w:before="40" w:after="40" w:line="220" w:lineRule="exact"/>
              <w:jc w:val="right"/>
              <w:rPr>
                <w:sz w:val="18"/>
                <w:szCs w:val="18"/>
              </w:rPr>
            </w:pP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p>
        </w:tc>
      </w:tr>
      <w:tr w:rsidR="001D2E73">
        <w:trPr>
          <w:trHeight w:val="20"/>
        </w:trPr>
        <w:tc>
          <w:tcPr>
            <w:tcW w:w="3304" w:type="dxa"/>
            <w:noWrap/>
          </w:tcPr>
          <w:p w:rsidR="001D2E73" w:rsidRDefault="001D2E73">
            <w:pPr>
              <w:spacing w:before="40" w:after="40" w:line="220" w:lineRule="exact"/>
              <w:rPr>
                <w:sz w:val="18"/>
                <w:szCs w:val="18"/>
              </w:rPr>
            </w:pPr>
            <w:r>
              <w:rPr>
                <w:sz w:val="18"/>
                <w:szCs w:val="18"/>
              </w:rPr>
              <w:t xml:space="preserve">      Azerí</w:t>
            </w:r>
          </w:p>
        </w:tc>
        <w:tc>
          <w:tcPr>
            <w:tcW w:w="826" w:type="dxa"/>
            <w:noWrap/>
          </w:tcPr>
          <w:p w:rsidR="001D2E73" w:rsidRDefault="001D2E73">
            <w:pPr>
              <w:spacing w:before="40" w:after="40" w:line="220" w:lineRule="exact"/>
              <w:jc w:val="right"/>
              <w:rPr>
                <w:sz w:val="18"/>
                <w:szCs w:val="18"/>
              </w:rPr>
            </w:pPr>
            <w:r>
              <w:rPr>
                <w:sz w:val="18"/>
                <w:szCs w:val="18"/>
              </w:rPr>
              <w:t>1 557 935</w:t>
            </w:r>
          </w:p>
        </w:tc>
        <w:tc>
          <w:tcPr>
            <w:tcW w:w="881" w:type="dxa"/>
            <w:noWrap/>
          </w:tcPr>
          <w:p w:rsidR="001D2E73" w:rsidRDefault="001D2E73">
            <w:pPr>
              <w:spacing w:before="40" w:after="40" w:line="220" w:lineRule="exact"/>
              <w:jc w:val="right"/>
              <w:rPr>
                <w:sz w:val="18"/>
                <w:szCs w:val="18"/>
              </w:rPr>
            </w:pPr>
            <w:r>
              <w:rPr>
                <w:sz w:val="18"/>
                <w:szCs w:val="18"/>
              </w:rPr>
              <w:t>1 509 482</w:t>
            </w:r>
          </w:p>
        </w:tc>
        <w:tc>
          <w:tcPr>
            <w:tcW w:w="882" w:type="dxa"/>
            <w:noWrap/>
          </w:tcPr>
          <w:p w:rsidR="001D2E73" w:rsidRDefault="001D2E73">
            <w:pPr>
              <w:spacing w:before="40" w:after="40" w:line="220" w:lineRule="exact"/>
              <w:jc w:val="right"/>
              <w:rPr>
                <w:sz w:val="18"/>
                <w:szCs w:val="18"/>
              </w:rPr>
            </w:pPr>
            <w:r>
              <w:rPr>
                <w:sz w:val="18"/>
                <w:szCs w:val="18"/>
              </w:rPr>
              <w:t>1 461 358</w:t>
            </w:r>
          </w:p>
        </w:tc>
        <w:tc>
          <w:tcPr>
            <w:tcW w:w="910" w:type="dxa"/>
            <w:noWrap/>
          </w:tcPr>
          <w:p w:rsidR="001D2E73" w:rsidRDefault="001D2E73">
            <w:pPr>
              <w:spacing w:before="40" w:after="40" w:line="220" w:lineRule="exact"/>
              <w:jc w:val="right"/>
              <w:rPr>
                <w:sz w:val="18"/>
                <w:szCs w:val="18"/>
              </w:rPr>
            </w:pPr>
            <w:r>
              <w:rPr>
                <w:sz w:val="18"/>
                <w:szCs w:val="18"/>
              </w:rPr>
              <w:t>1 412 033</w:t>
            </w:r>
          </w:p>
        </w:tc>
        <w:tc>
          <w:tcPr>
            <w:tcW w:w="882" w:type="dxa"/>
            <w:noWrap/>
          </w:tcPr>
          <w:p w:rsidR="001D2E73" w:rsidRDefault="001D2E73">
            <w:pPr>
              <w:spacing w:before="40" w:after="40" w:line="220" w:lineRule="exact"/>
              <w:jc w:val="right"/>
              <w:rPr>
                <w:sz w:val="18"/>
                <w:szCs w:val="18"/>
              </w:rPr>
            </w:pPr>
            <w:r>
              <w:rPr>
                <w:sz w:val="18"/>
                <w:szCs w:val="18"/>
              </w:rPr>
              <w:t>1 366 888</w:t>
            </w: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1 313 428</w:t>
            </w:r>
          </w:p>
        </w:tc>
      </w:tr>
      <w:tr w:rsidR="001D2E73">
        <w:trPr>
          <w:trHeight w:val="20"/>
        </w:trPr>
        <w:tc>
          <w:tcPr>
            <w:tcW w:w="3304" w:type="dxa"/>
            <w:noWrap/>
          </w:tcPr>
          <w:p w:rsidR="001D2E73" w:rsidRDefault="001D2E73">
            <w:pPr>
              <w:spacing w:before="40" w:after="40" w:line="220" w:lineRule="exact"/>
              <w:rPr>
                <w:sz w:val="18"/>
                <w:szCs w:val="18"/>
              </w:rPr>
            </w:pPr>
            <w:r>
              <w:rPr>
                <w:sz w:val="18"/>
                <w:szCs w:val="18"/>
              </w:rPr>
              <w:t xml:space="preserve">      Ruso</w:t>
            </w:r>
          </w:p>
        </w:tc>
        <w:tc>
          <w:tcPr>
            <w:tcW w:w="826" w:type="dxa"/>
            <w:noWrap/>
          </w:tcPr>
          <w:p w:rsidR="001D2E73" w:rsidRDefault="001D2E73">
            <w:pPr>
              <w:spacing w:before="40" w:after="40" w:line="220" w:lineRule="exact"/>
              <w:jc w:val="right"/>
              <w:rPr>
                <w:sz w:val="18"/>
                <w:szCs w:val="18"/>
              </w:rPr>
            </w:pPr>
            <w:r>
              <w:rPr>
                <w:sz w:val="18"/>
                <w:szCs w:val="18"/>
              </w:rPr>
              <w:t>110 021</w:t>
            </w:r>
          </w:p>
        </w:tc>
        <w:tc>
          <w:tcPr>
            <w:tcW w:w="881" w:type="dxa"/>
            <w:noWrap/>
          </w:tcPr>
          <w:p w:rsidR="001D2E73" w:rsidRDefault="001D2E73">
            <w:pPr>
              <w:spacing w:before="40" w:after="40" w:line="220" w:lineRule="exact"/>
              <w:jc w:val="right"/>
              <w:rPr>
                <w:sz w:val="18"/>
                <w:szCs w:val="18"/>
              </w:rPr>
            </w:pPr>
            <w:r>
              <w:rPr>
                <w:sz w:val="18"/>
                <w:szCs w:val="18"/>
              </w:rPr>
              <w:t>108 692</w:t>
            </w:r>
          </w:p>
        </w:tc>
        <w:tc>
          <w:tcPr>
            <w:tcW w:w="882" w:type="dxa"/>
            <w:noWrap/>
          </w:tcPr>
          <w:p w:rsidR="001D2E73" w:rsidRDefault="001D2E73">
            <w:pPr>
              <w:spacing w:before="40" w:after="40" w:line="220" w:lineRule="exact"/>
              <w:jc w:val="right"/>
              <w:rPr>
                <w:sz w:val="18"/>
                <w:szCs w:val="18"/>
              </w:rPr>
            </w:pPr>
            <w:r>
              <w:rPr>
                <w:sz w:val="18"/>
                <w:szCs w:val="18"/>
              </w:rPr>
              <w:t>108 165</w:t>
            </w:r>
          </w:p>
        </w:tc>
        <w:tc>
          <w:tcPr>
            <w:tcW w:w="910" w:type="dxa"/>
            <w:noWrap/>
          </w:tcPr>
          <w:p w:rsidR="001D2E73" w:rsidRDefault="001D2E73">
            <w:pPr>
              <w:spacing w:before="40" w:after="40" w:line="220" w:lineRule="exact"/>
              <w:jc w:val="right"/>
              <w:rPr>
                <w:sz w:val="18"/>
                <w:szCs w:val="18"/>
              </w:rPr>
            </w:pPr>
            <w:r>
              <w:rPr>
                <w:sz w:val="18"/>
                <w:szCs w:val="18"/>
              </w:rPr>
              <w:t>107 624</w:t>
            </w:r>
          </w:p>
        </w:tc>
        <w:tc>
          <w:tcPr>
            <w:tcW w:w="882" w:type="dxa"/>
            <w:noWrap/>
          </w:tcPr>
          <w:p w:rsidR="001D2E73" w:rsidRDefault="001D2E73">
            <w:pPr>
              <w:spacing w:before="40" w:after="40" w:line="220" w:lineRule="exact"/>
              <w:jc w:val="right"/>
              <w:rPr>
                <w:sz w:val="18"/>
                <w:szCs w:val="18"/>
              </w:rPr>
            </w:pPr>
            <w:r>
              <w:rPr>
                <w:sz w:val="18"/>
                <w:szCs w:val="18"/>
              </w:rPr>
              <w:t>105 534</w:t>
            </w: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100 155</w:t>
            </w:r>
          </w:p>
        </w:tc>
      </w:tr>
      <w:tr w:rsidR="001D2E73">
        <w:trPr>
          <w:trHeight w:val="20"/>
        </w:trPr>
        <w:tc>
          <w:tcPr>
            <w:tcW w:w="3304" w:type="dxa"/>
            <w:tcBorders>
              <w:bottom w:val="nil"/>
            </w:tcBorders>
            <w:noWrap/>
          </w:tcPr>
          <w:p w:rsidR="001D2E73" w:rsidRDefault="001D2E73">
            <w:pPr>
              <w:spacing w:before="40" w:after="40" w:line="220" w:lineRule="exact"/>
              <w:rPr>
                <w:sz w:val="18"/>
                <w:szCs w:val="18"/>
              </w:rPr>
            </w:pPr>
            <w:r>
              <w:rPr>
                <w:sz w:val="18"/>
                <w:szCs w:val="18"/>
              </w:rPr>
              <w:t xml:space="preserve">      Georgiano</w:t>
            </w:r>
          </w:p>
        </w:tc>
        <w:tc>
          <w:tcPr>
            <w:tcW w:w="826" w:type="dxa"/>
            <w:tcBorders>
              <w:bottom w:val="nil"/>
            </w:tcBorders>
            <w:noWrap/>
          </w:tcPr>
          <w:p w:rsidR="001D2E73" w:rsidRDefault="001D2E73">
            <w:pPr>
              <w:spacing w:before="40" w:after="40" w:line="220" w:lineRule="exact"/>
              <w:jc w:val="right"/>
              <w:rPr>
                <w:sz w:val="18"/>
                <w:szCs w:val="18"/>
              </w:rPr>
            </w:pPr>
            <w:r>
              <w:rPr>
                <w:sz w:val="18"/>
                <w:szCs w:val="18"/>
              </w:rPr>
              <w:t>2346</w:t>
            </w:r>
          </w:p>
        </w:tc>
        <w:tc>
          <w:tcPr>
            <w:tcW w:w="881" w:type="dxa"/>
            <w:tcBorders>
              <w:bottom w:val="nil"/>
            </w:tcBorders>
            <w:noWrap/>
          </w:tcPr>
          <w:p w:rsidR="001D2E73" w:rsidRDefault="001D2E73">
            <w:pPr>
              <w:spacing w:before="40" w:after="40" w:line="220" w:lineRule="exact"/>
              <w:jc w:val="right"/>
              <w:rPr>
                <w:sz w:val="18"/>
                <w:szCs w:val="18"/>
              </w:rPr>
            </w:pPr>
            <w:r>
              <w:rPr>
                <w:sz w:val="18"/>
                <w:szCs w:val="18"/>
              </w:rPr>
              <w:t>2 197</w:t>
            </w:r>
          </w:p>
        </w:tc>
        <w:tc>
          <w:tcPr>
            <w:tcW w:w="882" w:type="dxa"/>
            <w:tcBorders>
              <w:bottom w:val="nil"/>
            </w:tcBorders>
            <w:noWrap/>
          </w:tcPr>
          <w:p w:rsidR="001D2E73" w:rsidRDefault="001D2E73">
            <w:pPr>
              <w:spacing w:before="40" w:after="40" w:line="220" w:lineRule="exact"/>
              <w:jc w:val="right"/>
              <w:rPr>
                <w:sz w:val="18"/>
                <w:szCs w:val="18"/>
              </w:rPr>
            </w:pPr>
            <w:r>
              <w:rPr>
                <w:sz w:val="18"/>
                <w:szCs w:val="18"/>
              </w:rPr>
              <w:t>2043</w:t>
            </w:r>
          </w:p>
        </w:tc>
        <w:tc>
          <w:tcPr>
            <w:tcW w:w="910" w:type="dxa"/>
            <w:tcBorders>
              <w:bottom w:val="nil"/>
            </w:tcBorders>
            <w:noWrap/>
          </w:tcPr>
          <w:p w:rsidR="001D2E73" w:rsidRDefault="001D2E73">
            <w:pPr>
              <w:spacing w:before="40" w:after="40" w:line="220" w:lineRule="exact"/>
              <w:jc w:val="right"/>
              <w:rPr>
                <w:sz w:val="18"/>
                <w:szCs w:val="18"/>
              </w:rPr>
            </w:pPr>
            <w:r>
              <w:rPr>
                <w:sz w:val="18"/>
                <w:szCs w:val="18"/>
              </w:rPr>
              <w:t>1 887</w:t>
            </w:r>
          </w:p>
        </w:tc>
        <w:tc>
          <w:tcPr>
            <w:tcW w:w="882" w:type="dxa"/>
            <w:tcBorders>
              <w:bottom w:val="nil"/>
            </w:tcBorders>
            <w:noWrap/>
          </w:tcPr>
          <w:p w:rsidR="001D2E73" w:rsidRDefault="001D2E73">
            <w:pPr>
              <w:spacing w:before="40" w:after="40" w:line="220" w:lineRule="exact"/>
              <w:jc w:val="right"/>
              <w:rPr>
                <w:sz w:val="18"/>
                <w:szCs w:val="18"/>
              </w:rPr>
            </w:pPr>
            <w:r>
              <w:rPr>
                <w:sz w:val="18"/>
                <w:szCs w:val="18"/>
              </w:rPr>
              <w:t>1 764</w:t>
            </w: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1 666</w:t>
            </w:r>
          </w:p>
        </w:tc>
      </w:tr>
      <w:tr w:rsidR="001D2E73">
        <w:trPr>
          <w:trHeight w:val="20"/>
        </w:trPr>
        <w:tc>
          <w:tcPr>
            <w:tcW w:w="3304" w:type="dxa"/>
            <w:tcBorders>
              <w:top w:val="nil"/>
              <w:bottom w:val="nil"/>
            </w:tcBorders>
            <w:noWrap/>
          </w:tcPr>
          <w:p w:rsidR="001D2E73" w:rsidRDefault="001D2E73">
            <w:pPr>
              <w:spacing w:before="40" w:after="40" w:line="220" w:lineRule="exact"/>
              <w:ind w:left="170"/>
              <w:rPr>
                <w:sz w:val="18"/>
                <w:szCs w:val="18"/>
              </w:rPr>
            </w:pPr>
            <w:r>
              <w:rPr>
                <w:sz w:val="18"/>
                <w:szCs w:val="18"/>
              </w:rPr>
              <w:t>Estudian su lengua materna como asignatura independiente</w:t>
            </w:r>
          </w:p>
        </w:tc>
        <w:tc>
          <w:tcPr>
            <w:tcW w:w="826" w:type="dxa"/>
            <w:tcBorders>
              <w:top w:val="nil"/>
              <w:bottom w:val="nil"/>
            </w:tcBorders>
            <w:noWrap/>
          </w:tcPr>
          <w:p w:rsidR="001D2E73" w:rsidRDefault="001D2E73">
            <w:pPr>
              <w:spacing w:before="40" w:after="40" w:line="220" w:lineRule="exact"/>
              <w:jc w:val="right"/>
              <w:rPr>
                <w:sz w:val="18"/>
                <w:szCs w:val="18"/>
              </w:rPr>
            </w:pPr>
          </w:p>
        </w:tc>
        <w:tc>
          <w:tcPr>
            <w:tcW w:w="881" w:type="dxa"/>
            <w:tcBorders>
              <w:top w:val="nil"/>
              <w:bottom w:val="nil"/>
            </w:tcBorders>
            <w:noWrap/>
          </w:tcPr>
          <w:p w:rsidR="001D2E73" w:rsidRDefault="001D2E73">
            <w:pPr>
              <w:spacing w:before="40" w:after="40" w:line="220" w:lineRule="exact"/>
              <w:jc w:val="right"/>
              <w:rPr>
                <w:sz w:val="18"/>
                <w:szCs w:val="18"/>
              </w:rPr>
            </w:pPr>
          </w:p>
        </w:tc>
        <w:tc>
          <w:tcPr>
            <w:tcW w:w="882" w:type="dxa"/>
            <w:tcBorders>
              <w:top w:val="nil"/>
              <w:bottom w:val="nil"/>
            </w:tcBorders>
            <w:noWrap/>
          </w:tcPr>
          <w:p w:rsidR="001D2E73" w:rsidRDefault="001D2E73">
            <w:pPr>
              <w:spacing w:before="40" w:after="40" w:line="220" w:lineRule="exact"/>
              <w:jc w:val="right"/>
              <w:rPr>
                <w:sz w:val="18"/>
                <w:szCs w:val="18"/>
              </w:rPr>
            </w:pPr>
          </w:p>
        </w:tc>
        <w:tc>
          <w:tcPr>
            <w:tcW w:w="910" w:type="dxa"/>
            <w:tcBorders>
              <w:top w:val="nil"/>
              <w:bottom w:val="nil"/>
            </w:tcBorders>
            <w:noWrap/>
          </w:tcPr>
          <w:p w:rsidR="001D2E73" w:rsidRDefault="001D2E73">
            <w:pPr>
              <w:spacing w:before="40" w:after="40" w:line="220" w:lineRule="exact"/>
              <w:jc w:val="right"/>
              <w:rPr>
                <w:sz w:val="18"/>
                <w:szCs w:val="18"/>
              </w:rPr>
            </w:pPr>
          </w:p>
        </w:tc>
        <w:tc>
          <w:tcPr>
            <w:tcW w:w="882" w:type="dxa"/>
            <w:tcBorders>
              <w:top w:val="nil"/>
              <w:bottom w:val="nil"/>
            </w:tcBorders>
            <w:noWrap/>
          </w:tcPr>
          <w:p w:rsidR="001D2E73" w:rsidRDefault="001D2E73">
            <w:pPr>
              <w:spacing w:before="40" w:after="40" w:line="220" w:lineRule="exact"/>
              <w:jc w:val="right"/>
              <w:rPr>
                <w:sz w:val="18"/>
                <w:szCs w:val="18"/>
              </w:rPr>
            </w:pP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p>
        </w:tc>
      </w:tr>
      <w:tr w:rsidR="001D2E73">
        <w:trPr>
          <w:trHeight w:val="20"/>
        </w:trPr>
        <w:tc>
          <w:tcPr>
            <w:tcW w:w="3304" w:type="dxa"/>
            <w:tcBorders>
              <w:top w:val="nil"/>
            </w:tcBorders>
            <w:noWrap/>
          </w:tcPr>
          <w:p w:rsidR="001D2E73" w:rsidRDefault="001D2E73">
            <w:pPr>
              <w:spacing w:before="40" w:after="40" w:line="220" w:lineRule="exact"/>
              <w:rPr>
                <w:sz w:val="18"/>
                <w:szCs w:val="18"/>
              </w:rPr>
            </w:pPr>
            <w:r>
              <w:rPr>
                <w:sz w:val="18"/>
                <w:szCs w:val="18"/>
              </w:rPr>
              <w:t xml:space="preserve">      Talish</w:t>
            </w:r>
          </w:p>
        </w:tc>
        <w:tc>
          <w:tcPr>
            <w:tcW w:w="826" w:type="dxa"/>
            <w:tcBorders>
              <w:top w:val="nil"/>
            </w:tcBorders>
            <w:noWrap/>
          </w:tcPr>
          <w:p w:rsidR="001D2E73" w:rsidRDefault="001D2E73">
            <w:pPr>
              <w:spacing w:before="40" w:after="40" w:line="220" w:lineRule="exact"/>
              <w:jc w:val="right"/>
              <w:rPr>
                <w:sz w:val="18"/>
                <w:szCs w:val="18"/>
              </w:rPr>
            </w:pPr>
            <w:r>
              <w:rPr>
                <w:sz w:val="18"/>
                <w:szCs w:val="18"/>
              </w:rPr>
              <w:t>21 744</w:t>
            </w:r>
          </w:p>
        </w:tc>
        <w:tc>
          <w:tcPr>
            <w:tcW w:w="881" w:type="dxa"/>
            <w:tcBorders>
              <w:top w:val="nil"/>
            </w:tcBorders>
            <w:noWrap/>
          </w:tcPr>
          <w:p w:rsidR="001D2E73" w:rsidRDefault="001D2E73">
            <w:pPr>
              <w:spacing w:before="40" w:after="40" w:line="220" w:lineRule="exact"/>
              <w:jc w:val="right"/>
              <w:rPr>
                <w:sz w:val="18"/>
                <w:szCs w:val="18"/>
              </w:rPr>
            </w:pPr>
            <w:r>
              <w:rPr>
                <w:sz w:val="18"/>
                <w:szCs w:val="18"/>
              </w:rPr>
              <w:t>21 261</w:t>
            </w:r>
          </w:p>
        </w:tc>
        <w:tc>
          <w:tcPr>
            <w:tcW w:w="882" w:type="dxa"/>
            <w:tcBorders>
              <w:top w:val="nil"/>
            </w:tcBorders>
            <w:noWrap/>
          </w:tcPr>
          <w:p w:rsidR="001D2E73" w:rsidRDefault="001D2E73">
            <w:pPr>
              <w:spacing w:before="40" w:after="40" w:line="220" w:lineRule="exact"/>
              <w:jc w:val="right"/>
              <w:rPr>
                <w:sz w:val="18"/>
                <w:szCs w:val="18"/>
              </w:rPr>
            </w:pPr>
            <w:r>
              <w:rPr>
                <w:sz w:val="18"/>
                <w:szCs w:val="18"/>
              </w:rPr>
              <w:t>18 893</w:t>
            </w:r>
          </w:p>
        </w:tc>
        <w:tc>
          <w:tcPr>
            <w:tcW w:w="910" w:type="dxa"/>
            <w:tcBorders>
              <w:top w:val="nil"/>
            </w:tcBorders>
            <w:noWrap/>
          </w:tcPr>
          <w:p w:rsidR="001D2E73" w:rsidRDefault="001D2E73">
            <w:pPr>
              <w:spacing w:before="40" w:after="40" w:line="220" w:lineRule="exact"/>
              <w:jc w:val="right"/>
              <w:rPr>
                <w:sz w:val="18"/>
                <w:szCs w:val="18"/>
              </w:rPr>
            </w:pPr>
            <w:r>
              <w:rPr>
                <w:sz w:val="18"/>
                <w:szCs w:val="18"/>
              </w:rPr>
              <w:t>19 277</w:t>
            </w:r>
          </w:p>
        </w:tc>
        <w:tc>
          <w:tcPr>
            <w:tcW w:w="882" w:type="dxa"/>
            <w:tcBorders>
              <w:top w:val="nil"/>
            </w:tcBorders>
            <w:noWrap/>
          </w:tcPr>
          <w:p w:rsidR="001D2E73" w:rsidRDefault="001D2E73">
            <w:pPr>
              <w:spacing w:before="40" w:after="40" w:line="220" w:lineRule="exact"/>
              <w:jc w:val="right"/>
              <w:rPr>
                <w:sz w:val="18"/>
                <w:szCs w:val="18"/>
              </w:rPr>
            </w:pPr>
            <w:r>
              <w:rPr>
                <w:sz w:val="18"/>
                <w:szCs w:val="18"/>
              </w:rPr>
              <w:t>15 690</w:t>
            </w: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17 478</w:t>
            </w:r>
          </w:p>
        </w:tc>
      </w:tr>
      <w:tr w:rsidR="001D2E73">
        <w:trPr>
          <w:trHeight w:val="20"/>
        </w:trPr>
        <w:tc>
          <w:tcPr>
            <w:tcW w:w="3304" w:type="dxa"/>
            <w:noWrap/>
          </w:tcPr>
          <w:p w:rsidR="001D2E73" w:rsidRDefault="001D2E73">
            <w:pPr>
              <w:spacing w:before="40" w:after="40" w:line="220" w:lineRule="exact"/>
              <w:rPr>
                <w:sz w:val="18"/>
                <w:szCs w:val="18"/>
              </w:rPr>
            </w:pPr>
            <w:r>
              <w:rPr>
                <w:sz w:val="18"/>
                <w:szCs w:val="18"/>
              </w:rPr>
              <w:t xml:space="preserve">      Lezgui</w:t>
            </w:r>
          </w:p>
        </w:tc>
        <w:tc>
          <w:tcPr>
            <w:tcW w:w="826" w:type="dxa"/>
            <w:noWrap/>
          </w:tcPr>
          <w:p w:rsidR="001D2E73" w:rsidRDefault="001D2E73">
            <w:pPr>
              <w:spacing w:before="40" w:after="40" w:line="220" w:lineRule="exact"/>
              <w:jc w:val="right"/>
              <w:rPr>
                <w:sz w:val="18"/>
                <w:szCs w:val="18"/>
              </w:rPr>
            </w:pPr>
            <w:r>
              <w:rPr>
                <w:sz w:val="18"/>
                <w:szCs w:val="18"/>
              </w:rPr>
              <w:t>24 104</w:t>
            </w:r>
          </w:p>
        </w:tc>
        <w:tc>
          <w:tcPr>
            <w:tcW w:w="881" w:type="dxa"/>
            <w:noWrap/>
          </w:tcPr>
          <w:p w:rsidR="001D2E73" w:rsidRDefault="001D2E73">
            <w:pPr>
              <w:spacing w:before="40" w:after="40" w:line="220" w:lineRule="exact"/>
              <w:jc w:val="right"/>
              <w:rPr>
                <w:sz w:val="18"/>
                <w:szCs w:val="18"/>
              </w:rPr>
            </w:pPr>
            <w:r>
              <w:rPr>
                <w:sz w:val="18"/>
                <w:szCs w:val="18"/>
              </w:rPr>
              <w:t>21 221</w:t>
            </w:r>
          </w:p>
        </w:tc>
        <w:tc>
          <w:tcPr>
            <w:tcW w:w="882" w:type="dxa"/>
            <w:noWrap/>
          </w:tcPr>
          <w:p w:rsidR="001D2E73" w:rsidRDefault="001D2E73">
            <w:pPr>
              <w:spacing w:before="40" w:after="40" w:line="220" w:lineRule="exact"/>
              <w:jc w:val="right"/>
              <w:rPr>
                <w:sz w:val="18"/>
                <w:szCs w:val="18"/>
              </w:rPr>
            </w:pPr>
            <w:r>
              <w:rPr>
                <w:sz w:val="18"/>
                <w:szCs w:val="18"/>
              </w:rPr>
              <w:t>21 747</w:t>
            </w:r>
          </w:p>
        </w:tc>
        <w:tc>
          <w:tcPr>
            <w:tcW w:w="910" w:type="dxa"/>
            <w:noWrap/>
          </w:tcPr>
          <w:p w:rsidR="001D2E73" w:rsidRDefault="001D2E73">
            <w:pPr>
              <w:spacing w:before="40" w:after="40" w:line="220" w:lineRule="exact"/>
              <w:jc w:val="right"/>
              <w:rPr>
                <w:sz w:val="18"/>
                <w:szCs w:val="18"/>
              </w:rPr>
            </w:pPr>
            <w:r>
              <w:rPr>
                <w:sz w:val="18"/>
                <w:szCs w:val="18"/>
              </w:rPr>
              <w:t>21 238</w:t>
            </w:r>
          </w:p>
        </w:tc>
        <w:tc>
          <w:tcPr>
            <w:tcW w:w="882" w:type="dxa"/>
            <w:noWrap/>
          </w:tcPr>
          <w:p w:rsidR="001D2E73" w:rsidRDefault="001D2E73">
            <w:pPr>
              <w:spacing w:before="40" w:after="40" w:line="220" w:lineRule="exact"/>
              <w:jc w:val="right"/>
              <w:rPr>
                <w:sz w:val="18"/>
                <w:szCs w:val="18"/>
              </w:rPr>
            </w:pPr>
            <w:r>
              <w:rPr>
                <w:sz w:val="18"/>
                <w:szCs w:val="18"/>
              </w:rPr>
              <w:t>20 569</w:t>
            </w: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18 671</w:t>
            </w:r>
          </w:p>
        </w:tc>
      </w:tr>
      <w:tr w:rsidR="001D2E73">
        <w:trPr>
          <w:trHeight w:val="20"/>
        </w:trPr>
        <w:tc>
          <w:tcPr>
            <w:tcW w:w="3304" w:type="dxa"/>
            <w:noWrap/>
          </w:tcPr>
          <w:p w:rsidR="001D2E73" w:rsidRDefault="001D2E73">
            <w:pPr>
              <w:spacing w:before="40" w:after="40" w:line="220" w:lineRule="exact"/>
              <w:rPr>
                <w:sz w:val="18"/>
                <w:szCs w:val="18"/>
              </w:rPr>
            </w:pPr>
            <w:r>
              <w:rPr>
                <w:sz w:val="18"/>
                <w:szCs w:val="18"/>
              </w:rPr>
              <w:t xml:space="preserve">      Tsajuro</w:t>
            </w:r>
          </w:p>
        </w:tc>
        <w:tc>
          <w:tcPr>
            <w:tcW w:w="826" w:type="dxa"/>
            <w:noWrap/>
          </w:tcPr>
          <w:p w:rsidR="001D2E73" w:rsidRDefault="001D2E73">
            <w:pPr>
              <w:spacing w:before="40" w:after="40" w:line="220" w:lineRule="exact"/>
              <w:jc w:val="right"/>
              <w:rPr>
                <w:sz w:val="18"/>
                <w:szCs w:val="18"/>
              </w:rPr>
            </w:pPr>
            <w:r>
              <w:rPr>
                <w:sz w:val="18"/>
                <w:szCs w:val="18"/>
              </w:rPr>
              <w:t>895</w:t>
            </w:r>
          </w:p>
        </w:tc>
        <w:tc>
          <w:tcPr>
            <w:tcW w:w="881" w:type="dxa"/>
            <w:noWrap/>
          </w:tcPr>
          <w:p w:rsidR="001D2E73" w:rsidRDefault="001D2E73">
            <w:pPr>
              <w:spacing w:before="40" w:after="40" w:line="220" w:lineRule="exact"/>
              <w:jc w:val="right"/>
              <w:rPr>
                <w:sz w:val="18"/>
                <w:szCs w:val="18"/>
              </w:rPr>
            </w:pPr>
            <w:r>
              <w:rPr>
                <w:sz w:val="18"/>
                <w:szCs w:val="18"/>
              </w:rPr>
              <w:t>822</w:t>
            </w:r>
          </w:p>
        </w:tc>
        <w:tc>
          <w:tcPr>
            <w:tcW w:w="882" w:type="dxa"/>
            <w:noWrap/>
          </w:tcPr>
          <w:p w:rsidR="001D2E73" w:rsidRDefault="001D2E73">
            <w:pPr>
              <w:spacing w:before="40" w:after="40" w:line="220" w:lineRule="exact"/>
              <w:jc w:val="right"/>
              <w:rPr>
                <w:sz w:val="18"/>
                <w:szCs w:val="18"/>
              </w:rPr>
            </w:pPr>
            <w:r>
              <w:rPr>
                <w:sz w:val="18"/>
                <w:szCs w:val="18"/>
              </w:rPr>
              <w:t>723</w:t>
            </w:r>
          </w:p>
        </w:tc>
        <w:tc>
          <w:tcPr>
            <w:tcW w:w="910" w:type="dxa"/>
            <w:noWrap/>
          </w:tcPr>
          <w:p w:rsidR="001D2E73" w:rsidRDefault="001D2E73">
            <w:pPr>
              <w:spacing w:before="40" w:after="40" w:line="220" w:lineRule="exact"/>
              <w:jc w:val="right"/>
              <w:rPr>
                <w:sz w:val="18"/>
                <w:szCs w:val="18"/>
              </w:rPr>
            </w:pPr>
            <w:r>
              <w:rPr>
                <w:sz w:val="18"/>
                <w:szCs w:val="18"/>
              </w:rPr>
              <w:t>665</w:t>
            </w:r>
          </w:p>
        </w:tc>
        <w:tc>
          <w:tcPr>
            <w:tcW w:w="882" w:type="dxa"/>
            <w:noWrap/>
          </w:tcPr>
          <w:p w:rsidR="001D2E73" w:rsidRDefault="001D2E73">
            <w:pPr>
              <w:spacing w:before="40" w:after="40" w:line="220" w:lineRule="exact"/>
              <w:jc w:val="right"/>
              <w:rPr>
                <w:sz w:val="18"/>
                <w:szCs w:val="18"/>
              </w:rPr>
            </w:pPr>
            <w:r>
              <w:rPr>
                <w:sz w:val="18"/>
                <w:szCs w:val="18"/>
              </w:rPr>
              <w:t>597</w:t>
            </w: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564</w:t>
            </w:r>
          </w:p>
        </w:tc>
      </w:tr>
      <w:tr w:rsidR="001D2E73">
        <w:trPr>
          <w:trHeight w:val="20"/>
        </w:trPr>
        <w:tc>
          <w:tcPr>
            <w:tcW w:w="3304" w:type="dxa"/>
            <w:noWrap/>
          </w:tcPr>
          <w:p w:rsidR="001D2E73" w:rsidRDefault="001D2E73">
            <w:pPr>
              <w:spacing w:before="40" w:after="40" w:line="220" w:lineRule="exact"/>
              <w:rPr>
                <w:sz w:val="18"/>
                <w:szCs w:val="18"/>
              </w:rPr>
            </w:pPr>
            <w:r>
              <w:rPr>
                <w:sz w:val="18"/>
                <w:szCs w:val="18"/>
              </w:rPr>
              <w:t xml:space="preserve">      Ávaro</w:t>
            </w:r>
          </w:p>
        </w:tc>
        <w:tc>
          <w:tcPr>
            <w:tcW w:w="826" w:type="dxa"/>
            <w:noWrap/>
          </w:tcPr>
          <w:p w:rsidR="001D2E73" w:rsidRDefault="001D2E73">
            <w:pPr>
              <w:spacing w:before="40" w:after="40" w:line="220" w:lineRule="exact"/>
              <w:jc w:val="right"/>
              <w:rPr>
                <w:sz w:val="18"/>
                <w:szCs w:val="18"/>
              </w:rPr>
            </w:pPr>
            <w:r>
              <w:rPr>
                <w:sz w:val="18"/>
                <w:szCs w:val="18"/>
              </w:rPr>
              <w:t>2 771</w:t>
            </w:r>
          </w:p>
        </w:tc>
        <w:tc>
          <w:tcPr>
            <w:tcW w:w="881" w:type="dxa"/>
            <w:noWrap/>
          </w:tcPr>
          <w:p w:rsidR="001D2E73" w:rsidRDefault="001D2E73">
            <w:pPr>
              <w:spacing w:before="40" w:after="40" w:line="220" w:lineRule="exact"/>
              <w:jc w:val="right"/>
              <w:rPr>
                <w:sz w:val="18"/>
                <w:szCs w:val="18"/>
              </w:rPr>
            </w:pPr>
            <w:r>
              <w:rPr>
                <w:sz w:val="18"/>
                <w:szCs w:val="18"/>
              </w:rPr>
              <w:t>2 536</w:t>
            </w:r>
          </w:p>
        </w:tc>
        <w:tc>
          <w:tcPr>
            <w:tcW w:w="882" w:type="dxa"/>
            <w:noWrap/>
          </w:tcPr>
          <w:p w:rsidR="001D2E73" w:rsidRDefault="001D2E73">
            <w:pPr>
              <w:spacing w:before="40" w:after="40" w:line="220" w:lineRule="exact"/>
              <w:jc w:val="right"/>
              <w:rPr>
                <w:sz w:val="18"/>
                <w:szCs w:val="18"/>
              </w:rPr>
            </w:pPr>
            <w:r>
              <w:rPr>
                <w:sz w:val="18"/>
                <w:szCs w:val="18"/>
              </w:rPr>
              <w:t>2 283</w:t>
            </w:r>
          </w:p>
        </w:tc>
        <w:tc>
          <w:tcPr>
            <w:tcW w:w="910" w:type="dxa"/>
            <w:noWrap/>
          </w:tcPr>
          <w:p w:rsidR="001D2E73" w:rsidRDefault="001D2E73">
            <w:pPr>
              <w:spacing w:before="40" w:after="40" w:line="220" w:lineRule="exact"/>
              <w:jc w:val="right"/>
              <w:rPr>
                <w:sz w:val="18"/>
                <w:szCs w:val="18"/>
              </w:rPr>
            </w:pPr>
            <w:r>
              <w:rPr>
                <w:sz w:val="18"/>
                <w:szCs w:val="18"/>
              </w:rPr>
              <w:t>2 087</w:t>
            </w:r>
          </w:p>
        </w:tc>
        <w:tc>
          <w:tcPr>
            <w:tcW w:w="882" w:type="dxa"/>
            <w:noWrap/>
          </w:tcPr>
          <w:p w:rsidR="001D2E73" w:rsidRDefault="001D2E73">
            <w:pPr>
              <w:spacing w:before="40" w:after="40" w:line="220" w:lineRule="exact"/>
              <w:jc w:val="right"/>
              <w:rPr>
                <w:sz w:val="18"/>
                <w:szCs w:val="18"/>
              </w:rPr>
            </w:pPr>
            <w:r>
              <w:rPr>
                <w:sz w:val="18"/>
                <w:szCs w:val="18"/>
              </w:rPr>
              <w:t>2 014</w:t>
            </w: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1 859</w:t>
            </w:r>
          </w:p>
        </w:tc>
      </w:tr>
      <w:tr w:rsidR="001D2E73">
        <w:trPr>
          <w:trHeight w:val="20"/>
        </w:trPr>
        <w:tc>
          <w:tcPr>
            <w:tcW w:w="3304" w:type="dxa"/>
            <w:noWrap/>
          </w:tcPr>
          <w:p w:rsidR="001D2E73" w:rsidRDefault="001D2E73">
            <w:pPr>
              <w:spacing w:before="40" w:after="40" w:line="220" w:lineRule="exact"/>
              <w:rPr>
                <w:sz w:val="18"/>
                <w:szCs w:val="18"/>
              </w:rPr>
            </w:pPr>
            <w:r>
              <w:rPr>
                <w:sz w:val="18"/>
                <w:szCs w:val="18"/>
              </w:rPr>
              <w:t xml:space="preserve">      Udi</w:t>
            </w:r>
          </w:p>
        </w:tc>
        <w:tc>
          <w:tcPr>
            <w:tcW w:w="826" w:type="dxa"/>
            <w:noWrap/>
          </w:tcPr>
          <w:p w:rsidR="001D2E73" w:rsidRDefault="001D2E73">
            <w:pPr>
              <w:spacing w:before="40" w:after="40" w:line="220" w:lineRule="exact"/>
              <w:jc w:val="right"/>
              <w:rPr>
                <w:sz w:val="18"/>
                <w:szCs w:val="18"/>
              </w:rPr>
            </w:pPr>
            <w:r>
              <w:rPr>
                <w:sz w:val="18"/>
                <w:szCs w:val="18"/>
              </w:rPr>
              <w:t>364</w:t>
            </w:r>
          </w:p>
        </w:tc>
        <w:tc>
          <w:tcPr>
            <w:tcW w:w="881" w:type="dxa"/>
            <w:noWrap/>
          </w:tcPr>
          <w:p w:rsidR="001D2E73" w:rsidRDefault="001D2E73">
            <w:pPr>
              <w:spacing w:before="40" w:after="40" w:line="220" w:lineRule="exact"/>
              <w:jc w:val="right"/>
              <w:rPr>
                <w:sz w:val="18"/>
                <w:szCs w:val="18"/>
              </w:rPr>
            </w:pPr>
            <w:r>
              <w:rPr>
                <w:sz w:val="18"/>
                <w:szCs w:val="18"/>
              </w:rPr>
              <w:t>281</w:t>
            </w:r>
          </w:p>
        </w:tc>
        <w:tc>
          <w:tcPr>
            <w:tcW w:w="882" w:type="dxa"/>
            <w:noWrap/>
          </w:tcPr>
          <w:p w:rsidR="001D2E73" w:rsidRDefault="001D2E73">
            <w:pPr>
              <w:spacing w:before="40" w:after="40" w:line="220" w:lineRule="exact"/>
              <w:jc w:val="right"/>
              <w:rPr>
                <w:sz w:val="18"/>
                <w:szCs w:val="18"/>
              </w:rPr>
            </w:pPr>
            <w:r>
              <w:rPr>
                <w:sz w:val="18"/>
                <w:szCs w:val="18"/>
              </w:rPr>
              <w:t>288</w:t>
            </w:r>
          </w:p>
        </w:tc>
        <w:tc>
          <w:tcPr>
            <w:tcW w:w="910" w:type="dxa"/>
            <w:noWrap/>
          </w:tcPr>
          <w:p w:rsidR="001D2E73" w:rsidRDefault="001D2E73">
            <w:pPr>
              <w:spacing w:before="40" w:after="40" w:line="220" w:lineRule="exact"/>
              <w:jc w:val="right"/>
              <w:rPr>
                <w:sz w:val="18"/>
                <w:szCs w:val="18"/>
              </w:rPr>
            </w:pPr>
            <w:r>
              <w:rPr>
                <w:sz w:val="18"/>
                <w:szCs w:val="18"/>
              </w:rPr>
              <w:t>226</w:t>
            </w:r>
          </w:p>
        </w:tc>
        <w:tc>
          <w:tcPr>
            <w:tcW w:w="882" w:type="dxa"/>
            <w:noWrap/>
          </w:tcPr>
          <w:p w:rsidR="001D2E73" w:rsidRDefault="001D2E73">
            <w:pPr>
              <w:spacing w:before="40" w:after="40" w:line="220" w:lineRule="exact"/>
              <w:jc w:val="right"/>
              <w:rPr>
                <w:sz w:val="18"/>
                <w:szCs w:val="18"/>
              </w:rPr>
            </w:pPr>
            <w:r>
              <w:rPr>
                <w:sz w:val="18"/>
                <w:szCs w:val="18"/>
              </w:rPr>
              <w:t>251</w:t>
            </w: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223</w:t>
            </w:r>
          </w:p>
        </w:tc>
      </w:tr>
      <w:tr w:rsidR="001D2E73">
        <w:trPr>
          <w:trHeight w:val="20"/>
        </w:trPr>
        <w:tc>
          <w:tcPr>
            <w:tcW w:w="3304" w:type="dxa"/>
            <w:noWrap/>
          </w:tcPr>
          <w:p w:rsidR="001D2E73" w:rsidRDefault="001D2E73">
            <w:pPr>
              <w:spacing w:before="40" w:after="40" w:line="220" w:lineRule="exact"/>
              <w:rPr>
                <w:sz w:val="18"/>
                <w:szCs w:val="18"/>
              </w:rPr>
            </w:pPr>
            <w:r>
              <w:rPr>
                <w:sz w:val="18"/>
                <w:szCs w:val="18"/>
              </w:rPr>
              <w:t xml:space="preserve">      Jynaly</w:t>
            </w:r>
          </w:p>
        </w:tc>
        <w:tc>
          <w:tcPr>
            <w:tcW w:w="826" w:type="dxa"/>
            <w:noWrap/>
          </w:tcPr>
          <w:p w:rsidR="001D2E73" w:rsidRDefault="001D2E73">
            <w:pPr>
              <w:spacing w:before="40" w:after="40" w:line="220" w:lineRule="exact"/>
              <w:jc w:val="right"/>
              <w:rPr>
                <w:sz w:val="18"/>
                <w:szCs w:val="18"/>
              </w:rPr>
            </w:pPr>
            <w:r>
              <w:rPr>
                <w:sz w:val="18"/>
                <w:szCs w:val="18"/>
              </w:rPr>
              <w:t>98</w:t>
            </w:r>
          </w:p>
        </w:tc>
        <w:tc>
          <w:tcPr>
            <w:tcW w:w="881" w:type="dxa"/>
            <w:noWrap/>
          </w:tcPr>
          <w:p w:rsidR="001D2E73" w:rsidRDefault="001D2E73">
            <w:pPr>
              <w:spacing w:before="40" w:after="40" w:line="220" w:lineRule="exact"/>
              <w:jc w:val="right"/>
              <w:rPr>
                <w:sz w:val="18"/>
                <w:szCs w:val="18"/>
              </w:rPr>
            </w:pPr>
            <w:r>
              <w:rPr>
                <w:sz w:val="18"/>
                <w:szCs w:val="18"/>
              </w:rPr>
              <w:t>96</w:t>
            </w:r>
          </w:p>
        </w:tc>
        <w:tc>
          <w:tcPr>
            <w:tcW w:w="882" w:type="dxa"/>
            <w:noWrap/>
          </w:tcPr>
          <w:p w:rsidR="001D2E73" w:rsidRDefault="001D2E73">
            <w:pPr>
              <w:spacing w:before="40" w:after="40" w:line="220" w:lineRule="exact"/>
              <w:jc w:val="right"/>
              <w:rPr>
                <w:sz w:val="18"/>
                <w:szCs w:val="18"/>
              </w:rPr>
            </w:pPr>
            <w:r>
              <w:rPr>
                <w:sz w:val="18"/>
                <w:szCs w:val="18"/>
              </w:rPr>
              <w:t>92</w:t>
            </w:r>
          </w:p>
        </w:tc>
        <w:tc>
          <w:tcPr>
            <w:tcW w:w="910" w:type="dxa"/>
            <w:noWrap/>
          </w:tcPr>
          <w:p w:rsidR="001D2E73" w:rsidRDefault="001D2E73">
            <w:pPr>
              <w:spacing w:before="40" w:after="40" w:line="220" w:lineRule="exact"/>
              <w:jc w:val="right"/>
              <w:rPr>
                <w:sz w:val="18"/>
                <w:szCs w:val="18"/>
              </w:rPr>
            </w:pPr>
            <w:r>
              <w:rPr>
                <w:sz w:val="18"/>
                <w:szCs w:val="18"/>
              </w:rPr>
              <w:t>80</w:t>
            </w:r>
          </w:p>
        </w:tc>
        <w:tc>
          <w:tcPr>
            <w:tcW w:w="882" w:type="dxa"/>
            <w:noWrap/>
          </w:tcPr>
          <w:p w:rsidR="001D2E73" w:rsidRDefault="001D2E73">
            <w:pPr>
              <w:spacing w:before="40" w:after="40" w:line="220" w:lineRule="exact"/>
              <w:jc w:val="right"/>
              <w:rPr>
                <w:sz w:val="18"/>
                <w:szCs w:val="18"/>
              </w:rPr>
            </w:pPr>
            <w:r>
              <w:rPr>
                <w:sz w:val="18"/>
                <w:szCs w:val="18"/>
              </w:rPr>
              <w:t>83</w:t>
            </w:r>
          </w:p>
        </w:tc>
        <w:tc>
          <w:tcPr>
            <w:tcW w:w="812" w:type="dxa"/>
            <w:tcBorders>
              <w:left w:val="nil"/>
              <w:bottom w:val="nil"/>
              <w:right w:val="nil"/>
              <w:tl2br w:val="nil"/>
              <w:tr2bl w:val="nil"/>
            </w:tcBorders>
            <w:noWrap/>
          </w:tcPr>
          <w:p w:rsidR="001D2E73" w:rsidRDefault="001D2E73">
            <w:pPr>
              <w:spacing w:before="40" w:after="40" w:line="220" w:lineRule="exact"/>
              <w:jc w:val="right"/>
              <w:rPr>
                <w:sz w:val="18"/>
                <w:szCs w:val="18"/>
              </w:rPr>
            </w:pPr>
            <w:r>
              <w:rPr>
                <w:sz w:val="18"/>
                <w:szCs w:val="18"/>
              </w:rPr>
              <w:t>113</w:t>
            </w:r>
          </w:p>
        </w:tc>
      </w:tr>
      <w:tr w:rsidR="001D2E73">
        <w:trPr>
          <w:trHeight w:val="20"/>
        </w:trPr>
        <w:tc>
          <w:tcPr>
            <w:tcW w:w="3304" w:type="dxa"/>
            <w:noWrap/>
          </w:tcPr>
          <w:p w:rsidR="001D2E73" w:rsidRDefault="001D2E73">
            <w:pPr>
              <w:spacing w:before="40" w:after="40" w:line="220" w:lineRule="exact"/>
              <w:rPr>
                <w:sz w:val="18"/>
                <w:szCs w:val="18"/>
              </w:rPr>
            </w:pPr>
            <w:r>
              <w:rPr>
                <w:sz w:val="18"/>
                <w:szCs w:val="18"/>
              </w:rPr>
              <w:t xml:space="preserve">      Hebreo </w:t>
            </w:r>
          </w:p>
        </w:tc>
        <w:tc>
          <w:tcPr>
            <w:tcW w:w="826" w:type="dxa"/>
            <w:noWrap/>
          </w:tcPr>
          <w:p w:rsidR="001D2E73" w:rsidRDefault="001D2E73">
            <w:pPr>
              <w:spacing w:before="40" w:after="40" w:line="220" w:lineRule="exact"/>
              <w:jc w:val="right"/>
              <w:rPr>
                <w:sz w:val="18"/>
                <w:szCs w:val="18"/>
              </w:rPr>
            </w:pPr>
            <w:r>
              <w:rPr>
                <w:sz w:val="18"/>
                <w:szCs w:val="18"/>
              </w:rPr>
              <w:t>102</w:t>
            </w:r>
          </w:p>
        </w:tc>
        <w:tc>
          <w:tcPr>
            <w:tcW w:w="881" w:type="dxa"/>
            <w:noWrap/>
          </w:tcPr>
          <w:p w:rsidR="001D2E73" w:rsidRDefault="001D2E73">
            <w:pPr>
              <w:spacing w:before="40" w:after="40" w:line="220" w:lineRule="exact"/>
              <w:jc w:val="right"/>
              <w:rPr>
                <w:sz w:val="18"/>
                <w:szCs w:val="18"/>
              </w:rPr>
            </w:pPr>
            <w:r>
              <w:rPr>
                <w:sz w:val="18"/>
                <w:szCs w:val="18"/>
              </w:rPr>
              <w:t>73</w:t>
            </w:r>
          </w:p>
        </w:tc>
        <w:tc>
          <w:tcPr>
            <w:tcW w:w="882" w:type="dxa"/>
            <w:noWrap/>
          </w:tcPr>
          <w:p w:rsidR="001D2E73" w:rsidRDefault="001D2E73">
            <w:pPr>
              <w:spacing w:before="40" w:after="40" w:line="220" w:lineRule="exact"/>
              <w:jc w:val="right"/>
              <w:rPr>
                <w:sz w:val="18"/>
                <w:szCs w:val="18"/>
              </w:rPr>
            </w:pPr>
            <w:r>
              <w:rPr>
                <w:sz w:val="18"/>
                <w:szCs w:val="18"/>
              </w:rPr>
              <w:t>79</w:t>
            </w:r>
          </w:p>
        </w:tc>
        <w:tc>
          <w:tcPr>
            <w:tcW w:w="910" w:type="dxa"/>
            <w:noWrap/>
          </w:tcPr>
          <w:p w:rsidR="001D2E73" w:rsidRDefault="001D2E73">
            <w:pPr>
              <w:spacing w:before="40" w:after="40" w:line="220" w:lineRule="exact"/>
              <w:jc w:val="right"/>
              <w:rPr>
                <w:sz w:val="18"/>
                <w:szCs w:val="18"/>
              </w:rPr>
            </w:pPr>
            <w:r>
              <w:rPr>
                <w:sz w:val="18"/>
                <w:szCs w:val="18"/>
              </w:rPr>
              <w:t>62</w:t>
            </w:r>
          </w:p>
        </w:tc>
        <w:tc>
          <w:tcPr>
            <w:tcW w:w="882" w:type="dxa"/>
            <w:noWrap/>
          </w:tcPr>
          <w:p w:rsidR="001D2E73" w:rsidRDefault="001D2E73">
            <w:pPr>
              <w:spacing w:before="40" w:after="40" w:line="220" w:lineRule="exact"/>
              <w:jc w:val="right"/>
              <w:rPr>
                <w:sz w:val="18"/>
                <w:szCs w:val="18"/>
              </w:rPr>
            </w:pPr>
            <w:r>
              <w:rPr>
                <w:sz w:val="18"/>
                <w:szCs w:val="18"/>
              </w:rPr>
              <w:t>64</w:t>
            </w:r>
          </w:p>
        </w:tc>
        <w:tc>
          <w:tcPr>
            <w:tcW w:w="812" w:type="dxa"/>
            <w:tcBorders>
              <w:left w:val="nil"/>
              <w:bottom w:val="single" w:sz="12" w:space="0" w:color="auto"/>
              <w:right w:val="nil"/>
              <w:tl2br w:val="nil"/>
              <w:tr2bl w:val="nil"/>
            </w:tcBorders>
            <w:noWrap/>
          </w:tcPr>
          <w:p w:rsidR="001D2E73" w:rsidRDefault="001D2E73">
            <w:pPr>
              <w:spacing w:before="40" w:after="40" w:line="220" w:lineRule="exact"/>
              <w:jc w:val="right"/>
              <w:rPr>
                <w:sz w:val="18"/>
                <w:szCs w:val="18"/>
              </w:rPr>
            </w:pPr>
            <w:r>
              <w:rPr>
                <w:sz w:val="18"/>
                <w:szCs w:val="18"/>
              </w:rPr>
              <w:t>159</w:t>
            </w:r>
          </w:p>
        </w:tc>
      </w:tr>
    </w:tbl>
    <w:p w:rsidR="001D2E73" w:rsidRDefault="001D2E73">
      <w:pPr>
        <w:pStyle w:val="H1G"/>
        <w:rPr>
          <w:lang w:val="es-ES"/>
        </w:rPr>
      </w:pPr>
      <w:r>
        <w:rPr>
          <w:lang w:val="es-ES"/>
        </w:rPr>
        <w:tab/>
      </w:r>
      <w:r>
        <w:rPr>
          <w:lang w:val="es-ES"/>
        </w:rPr>
        <w:tab/>
        <w:t>Artículo 15</w:t>
      </w:r>
    </w:p>
    <w:p w:rsidR="001D2E73" w:rsidRDefault="001D2E73">
      <w:pPr>
        <w:pStyle w:val="SingleTxtGR"/>
        <w:rPr>
          <w:spacing w:val="0"/>
          <w:lang w:val="es-ES"/>
        </w:rPr>
      </w:pPr>
      <w:r>
        <w:rPr>
          <w:spacing w:val="0"/>
          <w:lang w:val="es-ES"/>
        </w:rPr>
        <w:t>518.</w:t>
      </w:r>
      <w:r>
        <w:rPr>
          <w:spacing w:val="0"/>
          <w:lang w:val="es-ES"/>
        </w:rPr>
        <w:tab/>
        <w:t>La política cultural nacional en Azerbaiyán se basa en los principios de la igualdad de posibilidades de creación y utilización de los valores culturales y en la protección del patrimonio en Azerbaiyán. Toda persona tiene derecho a crear, utilizar y divulgar los valores culturales, independientemente de su posición social y mat</w:t>
      </w:r>
      <w:r>
        <w:rPr>
          <w:spacing w:val="0"/>
          <w:lang w:val="es-ES"/>
        </w:rPr>
        <w:t>e</w:t>
      </w:r>
      <w:r>
        <w:rPr>
          <w:spacing w:val="0"/>
          <w:lang w:val="es-ES"/>
        </w:rPr>
        <w:t xml:space="preserve">rial, su nacionalidad, raza, religión y sexo. </w:t>
      </w:r>
    </w:p>
    <w:p w:rsidR="001D2E73" w:rsidRDefault="001D2E73">
      <w:pPr>
        <w:pStyle w:val="SingleTxtGR"/>
        <w:rPr>
          <w:spacing w:val="0"/>
          <w:lang w:val="es-ES"/>
        </w:rPr>
      </w:pPr>
      <w:r>
        <w:rPr>
          <w:spacing w:val="0"/>
          <w:lang w:val="es-ES"/>
        </w:rPr>
        <w:t>519.</w:t>
      </w:r>
      <w:r>
        <w:rPr>
          <w:spacing w:val="0"/>
          <w:lang w:val="es-ES"/>
        </w:rPr>
        <w:tab/>
        <w:t>De conformidad con la legislación nacional, se garantiza la libertad de expr</w:t>
      </w:r>
      <w:r>
        <w:rPr>
          <w:spacing w:val="0"/>
          <w:lang w:val="es-ES"/>
        </w:rPr>
        <w:t>e</w:t>
      </w:r>
      <w:r>
        <w:rPr>
          <w:spacing w:val="0"/>
          <w:lang w:val="es-ES"/>
        </w:rPr>
        <w:t>sión intelectual y artística.</w:t>
      </w:r>
    </w:p>
    <w:p w:rsidR="001D2E73" w:rsidRDefault="001D2E73">
      <w:pPr>
        <w:pStyle w:val="SingleTxtGR"/>
        <w:rPr>
          <w:spacing w:val="0"/>
          <w:lang w:val="es-ES"/>
        </w:rPr>
      </w:pPr>
      <w:r>
        <w:rPr>
          <w:iCs/>
          <w:spacing w:val="0"/>
          <w:lang w:val="es-ES"/>
        </w:rPr>
        <w:t>520.</w:t>
      </w:r>
      <w:r>
        <w:rPr>
          <w:iCs/>
          <w:spacing w:val="0"/>
          <w:lang w:val="es-ES"/>
        </w:rPr>
        <w:tab/>
        <w:t xml:space="preserve">El artículo 2 de la Ley de cultura, de </w:t>
      </w:r>
      <w:r>
        <w:rPr>
          <w:spacing w:val="0"/>
          <w:lang w:val="es-ES"/>
        </w:rPr>
        <w:t>6 de febrero de 1998, define la actividad cultural como la creación, reunión, investigación, divulgación popular, distribución, demostración y protección de la riqueza cultural.</w:t>
      </w:r>
    </w:p>
    <w:p w:rsidR="001D2E73" w:rsidRDefault="001D2E73">
      <w:pPr>
        <w:pStyle w:val="SingleTxtGR"/>
        <w:rPr>
          <w:spacing w:val="0"/>
          <w:lang w:val="es-ES"/>
        </w:rPr>
      </w:pPr>
      <w:r>
        <w:rPr>
          <w:spacing w:val="0"/>
          <w:lang w:val="es-ES"/>
        </w:rPr>
        <w:t>521.</w:t>
      </w:r>
      <w:r>
        <w:rPr>
          <w:spacing w:val="0"/>
          <w:lang w:val="es-ES"/>
        </w:rPr>
        <w:tab/>
        <w:t xml:space="preserve">Según el artículo 33 de esa Ley se entiende por riqueza cultural: "los ideales espirituales y estéticos, las normas y reglas de conducta, los idiomas, los dialectos, las tradiciones y costumbres nacionales y étnicas, los topónimos históricos, el folclor, las artes aplicadas populares, las obras de arte y de la cultura, los resultados y métodos de la investigación científica de la actividad cultural, los edificios, las obras y los objetos de importancia histórica y cultural, los territorios y sitios de importancia histórica y cultural". </w:t>
      </w:r>
    </w:p>
    <w:p w:rsidR="001D2E73" w:rsidRDefault="001D2E73">
      <w:pPr>
        <w:pStyle w:val="SingleTxtGR"/>
        <w:rPr>
          <w:spacing w:val="0"/>
          <w:lang w:val="es-ES"/>
        </w:rPr>
      </w:pPr>
      <w:r>
        <w:rPr>
          <w:spacing w:val="0"/>
          <w:lang w:val="es-ES"/>
        </w:rPr>
        <w:t>522.</w:t>
      </w:r>
      <w:r>
        <w:rPr>
          <w:spacing w:val="0"/>
          <w:lang w:val="es-ES"/>
        </w:rPr>
        <w:tab/>
        <w:t>Según un proyecto elaborado por el Ministerio de Cultura y Turismo, Concepto de la Cultura de Azerbaiyán, se han establecido siete objetivos generales de la política cultural de Azerbaiyán a mediano plazo:</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a)</w:t>
      </w:r>
      <w:r>
        <w:rPr>
          <w:spacing w:val="0"/>
          <w:lang w:val="es-ES"/>
        </w:rPr>
        <w:tab/>
        <w:t xml:space="preserve">La implementación de métodos modernos de gestión de la cultura y el arte: </w:t>
      </w:r>
    </w:p>
    <w:p w:rsidR="001D2E73" w:rsidRDefault="001D2E73">
      <w:pPr>
        <w:pStyle w:val="SingleTxtGR"/>
        <w:tabs>
          <w:tab w:val="clear" w:pos="1701"/>
          <w:tab w:val="clear" w:pos="2268"/>
          <w:tab w:val="clear" w:pos="2835"/>
          <w:tab w:val="clear" w:pos="3402"/>
          <w:tab w:val="clear" w:pos="3969"/>
          <w:tab w:val="left" w:pos="-3600"/>
        </w:tabs>
        <w:ind w:left="1701"/>
        <w:rPr>
          <w:spacing w:val="0"/>
          <w:lang w:val="es-ES"/>
        </w:rPr>
      </w:pPr>
      <w:r>
        <w:rPr>
          <w:spacing w:val="0"/>
          <w:lang w:val="es-ES"/>
        </w:rPr>
        <w:t>i)</w:t>
      </w:r>
      <w:r>
        <w:rPr>
          <w:spacing w:val="0"/>
          <w:lang w:val="es-ES"/>
        </w:rPr>
        <w:tab/>
        <w:t>Continuación de los procesos de descentralización a nivel de dirección procurando un equilibrio entre los órganos de poder ejecutivo a nivel central y local;</w:t>
      </w:r>
    </w:p>
    <w:p w:rsidR="001D2E73" w:rsidRDefault="001D2E73">
      <w:pPr>
        <w:pStyle w:val="SingleTxtGR"/>
        <w:tabs>
          <w:tab w:val="clear" w:pos="1701"/>
          <w:tab w:val="clear" w:pos="2268"/>
          <w:tab w:val="clear" w:pos="2835"/>
          <w:tab w:val="clear" w:pos="3402"/>
          <w:tab w:val="clear" w:pos="3969"/>
          <w:tab w:val="left" w:pos="-3600"/>
        </w:tabs>
        <w:ind w:left="1701"/>
        <w:rPr>
          <w:spacing w:val="0"/>
          <w:lang w:val="es-ES"/>
        </w:rPr>
      </w:pPr>
      <w:r>
        <w:rPr>
          <w:spacing w:val="0"/>
          <w:lang w:val="es-ES"/>
        </w:rPr>
        <w:t>ii)</w:t>
      </w:r>
      <w:r>
        <w:rPr>
          <w:spacing w:val="0"/>
          <w:lang w:val="es-ES"/>
        </w:rPr>
        <w:tab/>
        <w:t>La desmonopolización mediante la institución de la gestión del arte, la creación del instituto de producción y la promoción de formas de administración modernas; y</w:t>
      </w:r>
    </w:p>
    <w:p w:rsidR="001D2E73" w:rsidRDefault="001D2E73">
      <w:pPr>
        <w:pStyle w:val="SingleTxtGR"/>
        <w:tabs>
          <w:tab w:val="clear" w:pos="1701"/>
          <w:tab w:val="clear" w:pos="2268"/>
          <w:tab w:val="clear" w:pos="2835"/>
          <w:tab w:val="clear" w:pos="3402"/>
          <w:tab w:val="clear" w:pos="3969"/>
          <w:tab w:val="left" w:pos="-3600"/>
        </w:tabs>
        <w:ind w:left="1701"/>
        <w:rPr>
          <w:spacing w:val="0"/>
          <w:lang w:val="es-ES"/>
        </w:rPr>
      </w:pPr>
      <w:r>
        <w:rPr>
          <w:spacing w:val="0"/>
          <w:lang w:val="es-ES"/>
        </w:rPr>
        <w:t>iii)</w:t>
      </w:r>
      <w:r>
        <w:rPr>
          <w:spacing w:val="0"/>
          <w:lang w:val="es-ES"/>
        </w:rPr>
        <w:tab/>
        <w:t>La constante democratización con el fin de crear una sociedad civil, proteger la identidad nacional y las manifestaciones de la iniciativa privada.</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b)</w:t>
      </w:r>
      <w:r>
        <w:rPr>
          <w:spacing w:val="0"/>
          <w:lang w:val="es-ES"/>
        </w:rPr>
        <w:tab/>
        <w:t>Desarrollo de las garantías jurídicas:</w:t>
      </w:r>
    </w:p>
    <w:p w:rsidR="001D2E73" w:rsidRDefault="001D2E73">
      <w:pPr>
        <w:pStyle w:val="SingleTxtGR"/>
        <w:tabs>
          <w:tab w:val="clear" w:pos="1701"/>
          <w:tab w:val="clear" w:pos="2268"/>
          <w:tab w:val="clear" w:pos="2835"/>
          <w:tab w:val="clear" w:pos="3402"/>
          <w:tab w:val="clear" w:pos="3969"/>
          <w:tab w:val="left" w:pos="-2430"/>
        </w:tabs>
        <w:ind w:left="1701"/>
        <w:rPr>
          <w:spacing w:val="0"/>
          <w:lang w:val="es-ES"/>
        </w:rPr>
      </w:pPr>
      <w:r>
        <w:rPr>
          <w:spacing w:val="0"/>
          <w:lang w:val="es-ES"/>
        </w:rPr>
        <w:t>i)</w:t>
      </w:r>
      <w:r>
        <w:rPr>
          <w:spacing w:val="0"/>
          <w:lang w:val="es-ES"/>
        </w:rPr>
        <w:tab/>
        <w:t>Perfeccionamiento general de la legislación nacional sobre política cultural;</w:t>
      </w:r>
    </w:p>
    <w:p w:rsidR="001D2E73" w:rsidRDefault="001D2E73">
      <w:pPr>
        <w:pStyle w:val="SingleTxtGR"/>
        <w:tabs>
          <w:tab w:val="clear" w:pos="1701"/>
          <w:tab w:val="clear" w:pos="2268"/>
          <w:tab w:val="clear" w:pos="2835"/>
          <w:tab w:val="clear" w:pos="3402"/>
          <w:tab w:val="clear" w:pos="3969"/>
          <w:tab w:val="left" w:pos="-2430"/>
        </w:tabs>
        <w:ind w:left="1701"/>
        <w:rPr>
          <w:spacing w:val="0"/>
          <w:lang w:val="es-ES"/>
        </w:rPr>
      </w:pPr>
      <w:r>
        <w:rPr>
          <w:spacing w:val="0"/>
          <w:lang w:val="es-ES"/>
        </w:rPr>
        <w:t>ii)</w:t>
      </w:r>
      <w:r>
        <w:rPr>
          <w:spacing w:val="0"/>
          <w:lang w:val="es-ES"/>
        </w:rPr>
        <w:tab/>
        <w:t>Ampliación de la colaboración en el marco de los convenios internacionales y los acuerdos bilaterales; y</w:t>
      </w:r>
    </w:p>
    <w:p w:rsidR="001D2E73" w:rsidRDefault="001D2E73">
      <w:pPr>
        <w:pStyle w:val="SingleTxtGR"/>
        <w:tabs>
          <w:tab w:val="clear" w:pos="1701"/>
          <w:tab w:val="clear" w:pos="2268"/>
          <w:tab w:val="clear" w:pos="2835"/>
          <w:tab w:val="clear" w:pos="3402"/>
          <w:tab w:val="clear" w:pos="3969"/>
          <w:tab w:val="left" w:pos="-2430"/>
        </w:tabs>
        <w:ind w:left="1701"/>
        <w:rPr>
          <w:spacing w:val="0"/>
          <w:lang w:val="es-ES"/>
        </w:rPr>
      </w:pPr>
      <w:r>
        <w:rPr>
          <w:spacing w:val="0"/>
          <w:lang w:val="es-ES"/>
        </w:rPr>
        <w:t>iii)</w:t>
      </w:r>
      <w:r>
        <w:rPr>
          <w:spacing w:val="0"/>
          <w:lang w:val="es-ES"/>
        </w:rPr>
        <w:tab/>
        <w:t>Aumento de la experiencia adquirida en la protección de los derechos de autor.</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c)</w:t>
      </w:r>
      <w:r>
        <w:rPr>
          <w:spacing w:val="0"/>
          <w:lang w:val="es-ES"/>
        </w:rPr>
        <w:tab/>
        <w:t>Diversificación de las fuentes de financiación:</w:t>
      </w:r>
    </w:p>
    <w:p w:rsidR="001D2E73" w:rsidRDefault="001D2E73">
      <w:pPr>
        <w:pStyle w:val="SingleTxtGR"/>
        <w:tabs>
          <w:tab w:val="clear" w:pos="1701"/>
          <w:tab w:val="clear" w:pos="2268"/>
          <w:tab w:val="clear" w:pos="2835"/>
          <w:tab w:val="clear" w:pos="3402"/>
          <w:tab w:val="clear" w:pos="3969"/>
          <w:tab w:val="left" w:pos="-3510"/>
        </w:tabs>
        <w:ind w:left="1701"/>
        <w:rPr>
          <w:spacing w:val="0"/>
          <w:lang w:val="es-ES"/>
        </w:rPr>
      </w:pPr>
      <w:r>
        <w:rPr>
          <w:spacing w:val="0"/>
          <w:lang w:val="es-ES"/>
        </w:rPr>
        <w:t>i)</w:t>
      </w:r>
      <w:r>
        <w:rPr>
          <w:spacing w:val="0"/>
          <w:lang w:val="es-ES"/>
        </w:rPr>
        <w:tab/>
        <w:t>Evaluación de la proporción óptima del presupuesto estatal para el arte y la cultura;</w:t>
      </w:r>
    </w:p>
    <w:p w:rsidR="001D2E73" w:rsidRDefault="001D2E73">
      <w:pPr>
        <w:pStyle w:val="SingleTxtGR"/>
        <w:tabs>
          <w:tab w:val="clear" w:pos="1701"/>
          <w:tab w:val="clear" w:pos="2268"/>
          <w:tab w:val="clear" w:pos="2835"/>
          <w:tab w:val="clear" w:pos="3402"/>
          <w:tab w:val="clear" w:pos="3969"/>
          <w:tab w:val="left" w:pos="-3510"/>
        </w:tabs>
        <w:ind w:left="1701"/>
        <w:rPr>
          <w:spacing w:val="0"/>
          <w:lang w:val="es-ES"/>
        </w:rPr>
      </w:pPr>
      <w:r>
        <w:rPr>
          <w:spacing w:val="0"/>
          <w:lang w:val="es-ES"/>
        </w:rPr>
        <w:t>ii)</w:t>
      </w:r>
      <w:r>
        <w:rPr>
          <w:spacing w:val="0"/>
          <w:lang w:val="es-ES"/>
        </w:rPr>
        <w:tab/>
        <w:t>Captación de otras fuentes de financiación (patrocinadores, donantes, colaboración, etc.); e</w:t>
      </w:r>
    </w:p>
    <w:p w:rsidR="001D2E73" w:rsidRDefault="001D2E73">
      <w:pPr>
        <w:pStyle w:val="SingleTxtGR"/>
        <w:tabs>
          <w:tab w:val="clear" w:pos="1701"/>
          <w:tab w:val="clear" w:pos="2268"/>
          <w:tab w:val="clear" w:pos="2835"/>
          <w:tab w:val="clear" w:pos="3402"/>
          <w:tab w:val="clear" w:pos="3969"/>
          <w:tab w:val="left" w:pos="-3510"/>
        </w:tabs>
        <w:ind w:left="1701"/>
        <w:rPr>
          <w:spacing w:val="0"/>
          <w:lang w:val="es-ES"/>
        </w:rPr>
      </w:pPr>
      <w:r>
        <w:rPr>
          <w:spacing w:val="0"/>
          <w:lang w:val="es-ES"/>
        </w:rPr>
        <w:t>iii)</w:t>
      </w:r>
      <w:r>
        <w:rPr>
          <w:spacing w:val="0"/>
          <w:lang w:val="es-ES"/>
        </w:rPr>
        <w:tab/>
        <w:t>Implementación de las técnicas modernas de comercialización con el fin de mejorar el sistema de servicios culturales pagados.</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d)</w:t>
      </w:r>
      <w:r>
        <w:rPr>
          <w:spacing w:val="0"/>
          <w:lang w:val="es-ES"/>
        </w:rPr>
        <w:tab/>
        <w:t>Ampliación del apoyo conceptual e informativo:</w:t>
      </w:r>
    </w:p>
    <w:p w:rsidR="001D2E73" w:rsidRDefault="001D2E73">
      <w:pPr>
        <w:pStyle w:val="SingleTxtGR"/>
        <w:tabs>
          <w:tab w:val="clear" w:pos="1701"/>
          <w:tab w:val="clear" w:pos="2268"/>
          <w:tab w:val="clear" w:pos="2835"/>
          <w:tab w:val="clear" w:pos="3402"/>
          <w:tab w:val="clear" w:pos="3969"/>
        </w:tabs>
        <w:ind w:left="1701"/>
        <w:rPr>
          <w:spacing w:val="0"/>
          <w:lang w:val="es-ES"/>
        </w:rPr>
      </w:pPr>
      <w:r>
        <w:rPr>
          <w:spacing w:val="0"/>
          <w:lang w:val="es-ES"/>
        </w:rPr>
        <w:t>i)</w:t>
      </w:r>
      <w:r>
        <w:rPr>
          <w:spacing w:val="0"/>
          <w:lang w:val="es-ES"/>
        </w:rPr>
        <w:tab/>
        <w:t>Realización de investigaciones metodológicas y sondeos de la opinión pública, organización de conferencias y seminarios especializados, etc.;</w:t>
      </w:r>
    </w:p>
    <w:p w:rsidR="001D2E73" w:rsidRDefault="001D2E73">
      <w:pPr>
        <w:pStyle w:val="SingleTxtGR"/>
        <w:tabs>
          <w:tab w:val="clear" w:pos="1701"/>
          <w:tab w:val="clear" w:pos="2268"/>
          <w:tab w:val="clear" w:pos="2835"/>
          <w:tab w:val="clear" w:pos="3402"/>
          <w:tab w:val="clear" w:pos="3969"/>
        </w:tabs>
        <w:ind w:left="1701"/>
        <w:rPr>
          <w:spacing w:val="0"/>
          <w:lang w:val="es-ES"/>
        </w:rPr>
      </w:pPr>
      <w:r>
        <w:rPr>
          <w:spacing w:val="0"/>
          <w:lang w:val="es-ES"/>
        </w:rPr>
        <w:t>ii)</w:t>
      </w:r>
      <w:r>
        <w:rPr>
          <w:spacing w:val="0"/>
          <w:lang w:val="es-ES"/>
        </w:rPr>
        <w:tab/>
        <w:t>Creación de bases de datos, planificación y ejecución de los correspondientes programas y proyectos;</w:t>
      </w:r>
    </w:p>
    <w:p w:rsidR="001D2E73" w:rsidRDefault="001D2E73">
      <w:pPr>
        <w:pStyle w:val="SingleTxtGR"/>
        <w:tabs>
          <w:tab w:val="clear" w:pos="1701"/>
          <w:tab w:val="clear" w:pos="2268"/>
          <w:tab w:val="clear" w:pos="2835"/>
          <w:tab w:val="clear" w:pos="3402"/>
          <w:tab w:val="clear" w:pos="3969"/>
        </w:tabs>
        <w:ind w:left="1701"/>
        <w:rPr>
          <w:spacing w:val="0"/>
          <w:lang w:val="es-ES"/>
        </w:rPr>
      </w:pPr>
      <w:r>
        <w:rPr>
          <w:spacing w:val="0"/>
          <w:lang w:val="es-ES"/>
        </w:rPr>
        <w:t>iii)</w:t>
      </w:r>
      <w:r>
        <w:rPr>
          <w:spacing w:val="0"/>
          <w:lang w:val="es-ES"/>
        </w:rPr>
        <w:tab/>
        <w:t>Presentación de la información sobre el arte y la cultura nacionales en los medios de información y en Internet.</w:t>
      </w:r>
    </w:p>
    <w:p w:rsidR="001D2E73" w:rsidRDefault="001D2E73">
      <w:pPr>
        <w:pStyle w:val="SingleTxtGR"/>
        <w:tabs>
          <w:tab w:val="clear" w:pos="1701"/>
          <w:tab w:val="clear" w:pos="2268"/>
          <w:tab w:val="clear" w:pos="2835"/>
          <w:tab w:val="clear" w:pos="3402"/>
          <w:tab w:val="clear" w:pos="3969"/>
        </w:tabs>
        <w:ind w:left="1701" w:hanging="567"/>
        <w:rPr>
          <w:spacing w:val="0"/>
          <w:lang w:val="es-ES"/>
        </w:rPr>
      </w:pPr>
      <w:r>
        <w:rPr>
          <w:spacing w:val="0"/>
          <w:lang w:val="es-ES"/>
        </w:rPr>
        <w:tab/>
        <w:t>e)</w:t>
      </w:r>
      <w:r>
        <w:rPr>
          <w:spacing w:val="0"/>
          <w:lang w:val="es-ES"/>
        </w:rPr>
        <w:tab/>
        <w:t>Desarrollo de los recursos humanos:</w:t>
      </w:r>
    </w:p>
    <w:p w:rsidR="001D2E73" w:rsidRDefault="001D2E73">
      <w:pPr>
        <w:pStyle w:val="SingleTxtGR"/>
        <w:tabs>
          <w:tab w:val="clear" w:pos="1701"/>
          <w:tab w:val="clear" w:pos="2268"/>
          <w:tab w:val="clear" w:pos="2835"/>
          <w:tab w:val="clear" w:pos="3402"/>
          <w:tab w:val="clear" w:pos="3969"/>
        </w:tabs>
        <w:ind w:left="1701"/>
        <w:rPr>
          <w:spacing w:val="0"/>
          <w:lang w:val="es-ES"/>
        </w:rPr>
      </w:pPr>
      <w:r>
        <w:rPr>
          <w:spacing w:val="0"/>
          <w:lang w:val="es-ES"/>
        </w:rPr>
        <w:t>i)</w:t>
      </w:r>
      <w:r>
        <w:rPr>
          <w:spacing w:val="0"/>
          <w:lang w:val="es-ES"/>
        </w:rPr>
        <w:tab/>
        <w:t>Atención de las necesidades morales y materiales de los trabajadores de la cultura;</w:t>
      </w:r>
    </w:p>
    <w:p w:rsidR="001D2E73" w:rsidRDefault="001D2E73">
      <w:pPr>
        <w:pStyle w:val="SingleTxtGR"/>
        <w:tabs>
          <w:tab w:val="clear" w:pos="1701"/>
          <w:tab w:val="clear" w:pos="2268"/>
          <w:tab w:val="clear" w:pos="2835"/>
          <w:tab w:val="clear" w:pos="3402"/>
          <w:tab w:val="clear" w:pos="3969"/>
        </w:tabs>
        <w:ind w:left="1701"/>
        <w:rPr>
          <w:spacing w:val="0"/>
          <w:lang w:val="es-ES"/>
        </w:rPr>
      </w:pPr>
      <w:r>
        <w:rPr>
          <w:spacing w:val="0"/>
          <w:lang w:val="es-ES"/>
        </w:rPr>
        <w:t>ii)</w:t>
      </w:r>
      <w:r>
        <w:rPr>
          <w:spacing w:val="0"/>
          <w:lang w:val="es-ES"/>
        </w:rPr>
        <w:tab/>
        <w:t>Perfeccionamiento del sistema de aprendizaje y enseñanza profesional;</w:t>
      </w:r>
    </w:p>
    <w:p w:rsidR="001D2E73" w:rsidRDefault="001D2E73">
      <w:pPr>
        <w:pStyle w:val="SingleTxtGR"/>
        <w:tabs>
          <w:tab w:val="clear" w:pos="1701"/>
          <w:tab w:val="clear" w:pos="2268"/>
          <w:tab w:val="clear" w:pos="2835"/>
          <w:tab w:val="clear" w:pos="3402"/>
          <w:tab w:val="clear" w:pos="3969"/>
        </w:tabs>
        <w:ind w:left="1701"/>
        <w:rPr>
          <w:spacing w:val="0"/>
          <w:lang w:val="es-ES"/>
        </w:rPr>
      </w:pPr>
      <w:r>
        <w:rPr>
          <w:spacing w:val="0"/>
          <w:lang w:val="es-ES"/>
        </w:rPr>
        <w:t>iii)</w:t>
      </w:r>
      <w:r>
        <w:rPr>
          <w:spacing w:val="0"/>
          <w:lang w:val="es-ES"/>
        </w:rPr>
        <w:tab/>
        <w:t>Descubrimiento de nuevos talentos mediante la celebración de concursos especializados, exposiciones, festivales, etc.</w:t>
      </w:r>
    </w:p>
    <w:p w:rsidR="001D2E73" w:rsidRDefault="001D2E73">
      <w:pPr>
        <w:pStyle w:val="SingleTxtGR"/>
        <w:tabs>
          <w:tab w:val="clear" w:pos="1701"/>
          <w:tab w:val="clear" w:pos="2268"/>
          <w:tab w:val="clear" w:pos="2835"/>
          <w:tab w:val="clear" w:pos="3402"/>
          <w:tab w:val="clear" w:pos="3969"/>
        </w:tabs>
        <w:ind w:left="1701" w:hanging="567"/>
        <w:rPr>
          <w:spacing w:val="0"/>
          <w:lang w:val="es-ES"/>
        </w:rPr>
      </w:pPr>
      <w:r>
        <w:rPr>
          <w:spacing w:val="0"/>
          <w:lang w:val="es-ES"/>
        </w:rPr>
        <w:tab/>
        <w:t>f)</w:t>
      </w:r>
      <w:r>
        <w:rPr>
          <w:spacing w:val="0"/>
          <w:lang w:val="es-ES"/>
        </w:rPr>
        <w:tab/>
        <w:t>Modernización de la infraestructura material y técnica:</w:t>
      </w:r>
    </w:p>
    <w:p w:rsidR="001D2E73" w:rsidRDefault="001D2E73">
      <w:pPr>
        <w:pStyle w:val="SingleTxtGR"/>
        <w:tabs>
          <w:tab w:val="clear" w:pos="1701"/>
          <w:tab w:val="clear" w:pos="2268"/>
          <w:tab w:val="clear" w:pos="2835"/>
          <w:tab w:val="clear" w:pos="3402"/>
          <w:tab w:val="clear" w:pos="3969"/>
          <w:tab w:val="left" w:pos="-2700"/>
        </w:tabs>
        <w:ind w:left="1701"/>
        <w:rPr>
          <w:spacing w:val="0"/>
          <w:lang w:val="es-ES"/>
        </w:rPr>
      </w:pPr>
      <w:r>
        <w:rPr>
          <w:spacing w:val="0"/>
          <w:lang w:val="es-ES"/>
        </w:rPr>
        <w:t>i)</w:t>
      </w:r>
      <w:r>
        <w:rPr>
          <w:spacing w:val="0"/>
          <w:lang w:val="es-ES"/>
        </w:rPr>
        <w:tab/>
        <w:t>Construcción de edificios especializados para las empresas de arte y cultura;</w:t>
      </w:r>
    </w:p>
    <w:p w:rsidR="001D2E73" w:rsidRDefault="001D2E73">
      <w:pPr>
        <w:pStyle w:val="SingleTxtGR"/>
        <w:tabs>
          <w:tab w:val="clear" w:pos="1701"/>
          <w:tab w:val="clear" w:pos="2268"/>
          <w:tab w:val="clear" w:pos="2835"/>
          <w:tab w:val="clear" w:pos="3402"/>
          <w:tab w:val="clear" w:pos="3969"/>
          <w:tab w:val="left" w:pos="-2700"/>
        </w:tabs>
        <w:ind w:left="1701"/>
        <w:rPr>
          <w:spacing w:val="0"/>
          <w:lang w:val="es-ES"/>
        </w:rPr>
      </w:pPr>
      <w:r>
        <w:rPr>
          <w:spacing w:val="0"/>
          <w:lang w:val="es-ES"/>
        </w:rPr>
        <w:t>ii)</w:t>
      </w:r>
      <w:r>
        <w:rPr>
          <w:spacing w:val="0"/>
          <w:lang w:val="es-ES"/>
        </w:rPr>
        <w:tab/>
        <w:t>Reparación de obras de la cultura;</w:t>
      </w:r>
    </w:p>
    <w:p w:rsidR="001D2E73" w:rsidRDefault="001D2E73">
      <w:pPr>
        <w:pStyle w:val="SingleTxtGR"/>
        <w:tabs>
          <w:tab w:val="clear" w:pos="1701"/>
          <w:tab w:val="clear" w:pos="2268"/>
          <w:tab w:val="clear" w:pos="2835"/>
          <w:tab w:val="clear" w:pos="3402"/>
          <w:tab w:val="clear" w:pos="3969"/>
          <w:tab w:val="left" w:pos="-2700"/>
        </w:tabs>
        <w:ind w:left="1701"/>
        <w:rPr>
          <w:spacing w:val="0"/>
          <w:lang w:val="es-ES"/>
        </w:rPr>
      </w:pPr>
      <w:r>
        <w:rPr>
          <w:spacing w:val="0"/>
          <w:lang w:val="es-ES"/>
        </w:rPr>
        <w:t>iii)</w:t>
      </w:r>
      <w:r>
        <w:rPr>
          <w:spacing w:val="0"/>
          <w:lang w:val="es-ES"/>
        </w:rPr>
        <w:tab/>
        <w:t>Equipamiento de las empresas de cultura con técnica moderna y tecnología de la información y las comunicaciones.</w:t>
      </w:r>
    </w:p>
    <w:p w:rsidR="001D2E73" w:rsidRDefault="001D2E73">
      <w:pPr>
        <w:pStyle w:val="SingleTxtGR"/>
        <w:tabs>
          <w:tab w:val="clear" w:pos="1701"/>
          <w:tab w:val="clear" w:pos="2268"/>
          <w:tab w:val="clear" w:pos="2835"/>
          <w:tab w:val="clear" w:pos="3402"/>
          <w:tab w:val="clear" w:pos="3969"/>
        </w:tabs>
        <w:ind w:left="1701" w:hanging="567"/>
        <w:rPr>
          <w:spacing w:val="0"/>
          <w:lang w:val="es-ES"/>
        </w:rPr>
      </w:pPr>
      <w:r>
        <w:rPr>
          <w:spacing w:val="0"/>
          <w:lang w:val="es-ES"/>
        </w:rPr>
        <w:tab/>
        <w:t>g)</w:t>
      </w:r>
      <w:r>
        <w:rPr>
          <w:spacing w:val="0"/>
          <w:lang w:val="es-ES"/>
        </w:rPr>
        <w:tab/>
        <w:t>Desarrollo de la colaboración internacional:</w:t>
      </w:r>
    </w:p>
    <w:p w:rsidR="001D2E73" w:rsidRDefault="001D2E73">
      <w:pPr>
        <w:pStyle w:val="SingleTxtGR"/>
        <w:tabs>
          <w:tab w:val="clear" w:pos="1701"/>
          <w:tab w:val="clear" w:pos="2268"/>
          <w:tab w:val="clear" w:pos="2835"/>
          <w:tab w:val="clear" w:pos="3402"/>
          <w:tab w:val="clear" w:pos="3969"/>
        </w:tabs>
        <w:ind w:left="1701"/>
        <w:rPr>
          <w:spacing w:val="0"/>
          <w:lang w:val="es-ES"/>
        </w:rPr>
      </w:pPr>
      <w:r>
        <w:rPr>
          <w:spacing w:val="0"/>
          <w:lang w:val="es-ES"/>
        </w:rPr>
        <w:t>i)</w:t>
      </w:r>
      <w:r>
        <w:rPr>
          <w:spacing w:val="0"/>
          <w:lang w:val="es-ES"/>
        </w:rPr>
        <w:tab/>
        <w:t>Desarrollo de la colaboración multilateral en el marco de las organizaciones internacionales;</w:t>
      </w:r>
    </w:p>
    <w:p w:rsidR="001D2E73" w:rsidRDefault="001D2E73">
      <w:pPr>
        <w:pStyle w:val="SingleTxtGR"/>
        <w:tabs>
          <w:tab w:val="clear" w:pos="1701"/>
          <w:tab w:val="clear" w:pos="2268"/>
          <w:tab w:val="clear" w:pos="2835"/>
          <w:tab w:val="clear" w:pos="3402"/>
          <w:tab w:val="clear" w:pos="3969"/>
        </w:tabs>
        <w:ind w:left="1701"/>
        <w:rPr>
          <w:spacing w:val="0"/>
          <w:lang w:val="es-ES"/>
        </w:rPr>
      </w:pPr>
      <w:r>
        <w:rPr>
          <w:spacing w:val="0"/>
          <w:lang w:val="es-ES"/>
        </w:rPr>
        <w:t>ii)</w:t>
      </w:r>
      <w:r>
        <w:rPr>
          <w:spacing w:val="0"/>
          <w:lang w:val="es-ES"/>
        </w:rPr>
        <w:tab/>
        <w:t>Fortalecimiento de las relaciones bilaterales con los principales Estados de Europa, América, Asia y África;</w:t>
      </w:r>
    </w:p>
    <w:p w:rsidR="001D2E73" w:rsidRDefault="001D2E73">
      <w:pPr>
        <w:pStyle w:val="SingleTxtGR"/>
        <w:tabs>
          <w:tab w:val="clear" w:pos="1701"/>
          <w:tab w:val="clear" w:pos="2268"/>
          <w:tab w:val="clear" w:pos="2835"/>
          <w:tab w:val="clear" w:pos="3402"/>
          <w:tab w:val="clear" w:pos="3969"/>
        </w:tabs>
        <w:ind w:left="1701"/>
        <w:rPr>
          <w:spacing w:val="0"/>
          <w:lang w:val="es-ES"/>
        </w:rPr>
      </w:pPr>
      <w:r>
        <w:rPr>
          <w:spacing w:val="0"/>
          <w:lang w:val="es-ES"/>
        </w:rPr>
        <w:t>iii)</w:t>
      </w:r>
      <w:r>
        <w:rPr>
          <w:spacing w:val="0"/>
          <w:lang w:val="es-ES"/>
        </w:rPr>
        <w:tab/>
        <w:t>Apoyo a los centros de la cultura nacional azerbaiyana que funcionan en el exterior.</w:t>
      </w:r>
    </w:p>
    <w:p w:rsidR="001D2E73" w:rsidRDefault="001D2E73">
      <w:pPr>
        <w:pStyle w:val="SingleTxtGR"/>
        <w:rPr>
          <w:spacing w:val="0"/>
          <w:lang w:val="es-ES"/>
        </w:rPr>
      </w:pPr>
      <w:r>
        <w:rPr>
          <w:spacing w:val="0"/>
          <w:lang w:val="es-ES"/>
        </w:rPr>
        <w:t>523.</w:t>
      </w:r>
      <w:r>
        <w:rPr>
          <w:spacing w:val="0"/>
          <w:lang w:val="es-ES"/>
        </w:rPr>
        <w:tab/>
        <w:t xml:space="preserve">Las características históricas, económicas y culturales específicas de Azerbaiyán han contribuido a que la población haya vivido durante siglos en condiciones de tolerancia y respeto de las culturas de otros pueblos y minorías nacionales. </w:t>
      </w:r>
    </w:p>
    <w:p w:rsidR="001D2E73" w:rsidRDefault="001D2E73">
      <w:pPr>
        <w:pStyle w:val="SingleTxtGR"/>
        <w:rPr>
          <w:spacing w:val="0"/>
          <w:lang w:val="es-ES"/>
        </w:rPr>
      </w:pPr>
      <w:r>
        <w:rPr>
          <w:spacing w:val="0"/>
          <w:lang w:val="es-ES"/>
        </w:rPr>
        <w:t>524.</w:t>
      </w:r>
      <w:r>
        <w:rPr>
          <w:spacing w:val="0"/>
          <w:lang w:val="es-ES"/>
        </w:rPr>
        <w:tab/>
        <w:t xml:space="preserve">Existen más de 20 asociaciones culturales distintas que funcionan en Bakú, a saber rusa, ucrania, curda, lak, lezguina, eslava, tat, tártara, georgiana, ingiloy, talish, ávara, turco-meskh, hebrea, alemana, griega y otras. Los representantes de tres confesiones religiosas, islam, cristianismo y judaísmo, participan con carácter permanente en todas las iniciativas y actividades estatales. </w:t>
      </w:r>
    </w:p>
    <w:p w:rsidR="001D2E73" w:rsidRDefault="001D2E73">
      <w:pPr>
        <w:pStyle w:val="SingleTxtGR"/>
        <w:rPr>
          <w:iCs/>
          <w:spacing w:val="0"/>
          <w:lang w:val="es-ES"/>
        </w:rPr>
      </w:pPr>
      <w:r>
        <w:rPr>
          <w:iCs/>
          <w:spacing w:val="0"/>
          <w:lang w:val="es-ES"/>
        </w:rPr>
        <w:t>525.</w:t>
      </w:r>
      <w:r>
        <w:rPr>
          <w:iCs/>
          <w:spacing w:val="0"/>
          <w:lang w:val="es-ES"/>
        </w:rPr>
        <w:tab/>
        <w:t xml:space="preserve">Las minorías étnicas de Azerbaiyán tienen igualdad de derechos culturales e igual acceso al patrimonio cultural, junto con la población autóctona de Azerbaiyán. </w:t>
      </w:r>
    </w:p>
    <w:p w:rsidR="001D2E73" w:rsidRDefault="001D2E73">
      <w:pPr>
        <w:pStyle w:val="SingleTxtGR"/>
        <w:rPr>
          <w:spacing w:val="0"/>
          <w:lang w:val="es-ES"/>
        </w:rPr>
      </w:pPr>
      <w:r>
        <w:rPr>
          <w:spacing w:val="0"/>
          <w:lang w:val="es-ES"/>
        </w:rPr>
        <w:t>526.</w:t>
      </w:r>
      <w:r>
        <w:rPr>
          <w:spacing w:val="0"/>
          <w:lang w:val="es-ES"/>
        </w:rPr>
        <w:tab/>
        <w:t xml:space="preserve">De conformidad con el artículo 8 de la Ley de la cultura, toda persona tiene derecho a conservar su identidad cultural y nacional y a elegir libremente los valores espirituales, estéticos y de otra índole. El Estado garantiza ese derecho a la identidad como parte de la idiosincrasia cultural. </w:t>
      </w:r>
    </w:p>
    <w:p w:rsidR="001D2E73" w:rsidRDefault="001D2E73">
      <w:pPr>
        <w:pStyle w:val="SingleTxtGR"/>
        <w:rPr>
          <w:iCs/>
          <w:spacing w:val="0"/>
          <w:lang w:val="es-ES"/>
        </w:rPr>
      </w:pPr>
      <w:r>
        <w:rPr>
          <w:spacing w:val="0"/>
          <w:lang w:val="es-ES"/>
        </w:rPr>
        <w:t>527.</w:t>
      </w:r>
      <w:r>
        <w:rPr>
          <w:spacing w:val="0"/>
          <w:lang w:val="es-ES"/>
        </w:rPr>
        <w:tab/>
        <w:t xml:space="preserve">Con arreglo a los artículos 48, 49 y 50 de dicha Ley, las minorías culturales tienen la posibilidad de mantener y desarrollar contactos internacionales con su patria histórica. </w:t>
      </w:r>
    </w:p>
    <w:p w:rsidR="001D2E73" w:rsidRDefault="001D2E73">
      <w:pPr>
        <w:pStyle w:val="SingleTxtGR"/>
        <w:rPr>
          <w:spacing w:val="0"/>
          <w:lang w:val="es-ES"/>
        </w:rPr>
      </w:pPr>
      <w:r>
        <w:rPr>
          <w:spacing w:val="0"/>
          <w:lang w:val="es-ES"/>
        </w:rPr>
        <w:t>528.</w:t>
      </w:r>
      <w:r>
        <w:rPr>
          <w:spacing w:val="0"/>
          <w:lang w:val="es-ES"/>
        </w:rPr>
        <w:tab/>
        <w:t>El Gobierno de Azerbaiyán ejecuta programas concretos relacionados con la conservación y el desarrollo de los valores culturales de las minorías nacionales y los grupos étnicos que viven en el país, en los que se prevé la colaboración con asociaciones culturales y centros de las minorías étnicas; giras de los conjuntos artísticos de minorías nacionales por el país y en el extranjero; la organización de exposiciones que pongan de relieve la etnografía, el arte y las costumbres de pueblos poco numerosos; el fomento de la creación y realización de obras de arte que mantienen las costumbres y tradiciones de grupos étnicos; y la distribución a los colectivos de aficionados de trajes folklóricos, instrumentos musicales y otros recursos.</w:t>
      </w:r>
    </w:p>
    <w:p w:rsidR="001D2E73" w:rsidRDefault="001D2E73">
      <w:pPr>
        <w:pStyle w:val="SingleTxtGR"/>
        <w:rPr>
          <w:spacing w:val="0"/>
          <w:lang w:val="es-ES"/>
        </w:rPr>
      </w:pPr>
      <w:r>
        <w:rPr>
          <w:spacing w:val="0"/>
          <w:lang w:val="es-ES"/>
        </w:rPr>
        <w:t>529.</w:t>
      </w:r>
      <w:r>
        <w:rPr>
          <w:spacing w:val="0"/>
          <w:lang w:val="es-ES"/>
        </w:rPr>
        <w:tab/>
        <w:t>El carácter multinacional y pluriconfesional de la población de Azerbaiyán es un aspecto importante del diálogo intercultural, que es una de las prioridades de la política nacional en materia de cultura.</w:t>
      </w:r>
    </w:p>
    <w:p w:rsidR="001D2E73" w:rsidRDefault="001D2E73">
      <w:pPr>
        <w:pStyle w:val="SingleTxtGR"/>
        <w:rPr>
          <w:spacing w:val="0"/>
          <w:lang w:val="es-ES"/>
        </w:rPr>
      </w:pPr>
      <w:r>
        <w:rPr>
          <w:spacing w:val="0"/>
          <w:lang w:val="es-ES"/>
        </w:rPr>
        <w:t>530.</w:t>
      </w:r>
      <w:r>
        <w:rPr>
          <w:spacing w:val="0"/>
          <w:lang w:val="es-ES"/>
        </w:rPr>
        <w:tab/>
        <w:t xml:space="preserve">En este contexto, cabe mencionar al festival tradicional </w:t>
      </w:r>
      <w:r>
        <w:rPr>
          <w:i/>
          <w:spacing w:val="0"/>
          <w:lang w:val="es-ES"/>
        </w:rPr>
        <w:t>Azerbaiyán, patria mía</w:t>
      </w:r>
      <w:r>
        <w:rPr>
          <w:spacing w:val="0"/>
          <w:lang w:val="es-ES"/>
        </w:rPr>
        <w:t>, organizado por el Ministerio de Cultura y Turismo en noviembre de 2006 y octubre de 2008. Las conferencias científicas, las exposiciones de fotografía, los preestrenos y los conciertos de gala celebrados en el marco de festivales han atraído a miles de participantes que representan prácticamente a todas las minorías nacionales y los grupos étnicos que viven en distintas regiones de Azerbaiyán.</w:t>
      </w:r>
    </w:p>
    <w:p w:rsidR="001D2E73" w:rsidRDefault="001D2E73">
      <w:pPr>
        <w:pStyle w:val="SingleTxtGR"/>
        <w:rPr>
          <w:spacing w:val="0"/>
          <w:lang w:val="es-ES"/>
        </w:rPr>
      </w:pPr>
      <w:r>
        <w:rPr>
          <w:spacing w:val="0"/>
          <w:lang w:val="es-ES"/>
        </w:rPr>
        <w:t>531.</w:t>
      </w:r>
      <w:r>
        <w:rPr>
          <w:spacing w:val="0"/>
          <w:lang w:val="es-ES"/>
        </w:rPr>
        <w:tab/>
        <w:t>Azerbaiyán atribuye suma importancia a la conservación y el desarrollo del patrimonio cultural de las minorías nacionales y los grupos étnicos que viven en el territorio del país y al fortalecimiento de la comprensión mutua y las relaciones amistosas entre los pueblos.</w:t>
      </w:r>
    </w:p>
    <w:p w:rsidR="001D2E73" w:rsidRDefault="001D2E73">
      <w:pPr>
        <w:pStyle w:val="SingleTxtGR"/>
        <w:rPr>
          <w:spacing w:val="0"/>
          <w:lang w:val="es-ES"/>
        </w:rPr>
      </w:pPr>
      <w:r>
        <w:rPr>
          <w:spacing w:val="0"/>
          <w:lang w:val="es-ES"/>
        </w:rPr>
        <w:t>532.</w:t>
      </w:r>
      <w:r>
        <w:rPr>
          <w:spacing w:val="0"/>
          <w:lang w:val="es-ES"/>
        </w:rPr>
        <w:tab/>
        <w:t>Las minorías étnicas de Azerbaiyán tienen garantizados distintos derechos culturales y gozan de un acceso excepcional a la herencia cultural del país. Las leyes del país en la esfera de la cultural consagran esos derechos. Cabe destacar que en muchas leyes relacionadas con la cultura se consagran los principios del respeto de los derechos humanos, entre ellos el der</w:t>
      </w:r>
      <w:r>
        <w:rPr>
          <w:spacing w:val="0"/>
          <w:lang w:val="es-ES"/>
        </w:rPr>
        <w:t>e</w:t>
      </w:r>
      <w:r>
        <w:rPr>
          <w:spacing w:val="0"/>
          <w:lang w:val="es-ES"/>
        </w:rPr>
        <w:t>cho a la cultura de las minorías étnicas. Entre esas leyes cabe destacar la Ley de la cultura, la Ley de protección de los monumentos históricos y artísticos, la Ley de bibliotecas y la Ley de museos.</w:t>
      </w:r>
    </w:p>
    <w:p w:rsidR="001D2E73" w:rsidRDefault="001D2E73">
      <w:pPr>
        <w:pStyle w:val="SingleTxtGR"/>
        <w:rPr>
          <w:spacing w:val="0"/>
          <w:lang w:val="es-ES"/>
        </w:rPr>
      </w:pPr>
      <w:r>
        <w:rPr>
          <w:spacing w:val="0"/>
          <w:lang w:val="es-ES"/>
        </w:rPr>
        <w:t>533.</w:t>
      </w:r>
      <w:r>
        <w:rPr>
          <w:spacing w:val="0"/>
          <w:lang w:val="es-ES"/>
        </w:rPr>
        <w:tab/>
        <w:t xml:space="preserve">El Gobierno de la República de Azerbaiyán lleva a cabo tareas concretas relacionadas con la conservación y el desarrollo de los valores culturales de las minorías nacionales y los grupos étnicos que viven en el país. A este respecto se elaboró un plan de acción que se está llevando a </w:t>
      </w:r>
      <w:smartTag w:uri="urn:schemas-microsoft-com:office:smarttags" w:element="PersonName">
        <w:smartTagPr>
          <w:attr w:name="ProductID" w:val="la pr￡ctica. Con"/>
        </w:smartTagPr>
        <w:r>
          <w:rPr>
            <w:spacing w:val="0"/>
            <w:lang w:val="es-ES"/>
          </w:rPr>
          <w:t>la práctica. Con</w:t>
        </w:r>
      </w:smartTag>
      <w:r>
        <w:rPr>
          <w:spacing w:val="0"/>
          <w:lang w:val="es-ES"/>
        </w:rPr>
        <w:t xml:space="preserve"> ese fin se ha previsto:</w:t>
      </w:r>
    </w:p>
    <w:p w:rsidR="001D2E73" w:rsidRDefault="001D2E73">
      <w:pPr>
        <w:pStyle w:val="Bullet1G"/>
        <w:rPr>
          <w:lang w:val="es-ES"/>
        </w:rPr>
      </w:pPr>
      <w:r>
        <w:rPr>
          <w:lang w:val="es-ES"/>
        </w:rPr>
        <w:t>Trabajado con las embajadas y representaciones de los países que son la patria histórica de grupos étnicos que viven en Azerbaiyán;</w:t>
      </w:r>
    </w:p>
    <w:p w:rsidR="001D2E73" w:rsidRDefault="001D2E73">
      <w:pPr>
        <w:pStyle w:val="Bullet1G"/>
        <w:rPr>
          <w:lang w:val="es-ES"/>
        </w:rPr>
      </w:pPr>
      <w:r>
        <w:rPr>
          <w:lang w:val="es-ES"/>
        </w:rPr>
        <w:t>Colaborar con centros y asociaciones culturales que representan en estos momentos a pueblos poco numerosos;</w:t>
      </w:r>
    </w:p>
    <w:p w:rsidR="001D2E73" w:rsidRDefault="001D2E73">
      <w:pPr>
        <w:pStyle w:val="Bullet1G"/>
        <w:rPr>
          <w:lang w:val="es-ES"/>
        </w:rPr>
      </w:pPr>
      <w:r>
        <w:rPr>
          <w:lang w:val="es-ES"/>
        </w:rPr>
        <w:t>Celebrar conferencias científicas y prácticas de carácter internacional y mesas redondas a nivel de país dedicadas a los derechos de las minorías culturales;</w:t>
      </w:r>
    </w:p>
    <w:p w:rsidR="001D2E73" w:rsidRDefault="001D2E73">
      <w:pPr>
        <w:pStyle w:val="Bullet1G"/>
        <w:rPr>
          <w:lang w:val="es-ES"/>
        </w:rPr>
      </w:pPr>
      <w:r>
        <w:rPr>
          <w:lang w:val="es-ES"/>
        </w:rPr>
        <w:t>Celebrar encuentros y seminarios con trabajadores de la cultura que trabajan en esta esfera;</w:t>
      </w:r>
    </w:p>
    <w:p w:rsidR="001D2E73" w:rsidRDefault="001D2E73">
      <w:pPr>
        <w:pStyle w:val="Bullet1G"/>
        <w:rPr>
          <w:lang w:val="es-ES"/>
        </w:rPr>
      </w:pPr>
      <w:r>
        <w:rPr>
          <w:lang w:val="es-ES"/>
        </w:rPr>
        <w:t>Organizar exposiciones que reflejen la etnografía, el arte y las costumbres de pueblos poco numerosos;</w:t>
      </w:r>
    </w:p>
    <w:p w:rsidR="001D2E73" w:rsidRDefault="001D2E73">
      <w:pPr>
        <w:pStyle w:val="Bullet1G"/>
        <w:rPr>
          <w:lang w:val="es-ES"/>
        </w:rPr>
      </w:pPr>
      <w:r>
        <w:rPr>
          <w:lang w:val="es-ES"/>
        </w:rPr>
        <w:t>Organizar giras de conjuntos artísticos de las minorías nacionales por la república y en el exterior;</w:t>
      </w:r>
    </w:p>
    <w:p w:rsidR="001D2E73" w:rsidRDefault="001D2E73">
      <w:pPr>
        <w:pStyle w:val="Bullet1G"/>
        <w:rPr>
          <w:lang w:val="es-ES"/>
        </w:rPr>
      </w:pPr>
      <w:r>
        <w:rPr>
          <w:lang w:val="es-ES"/>
        </w:rPr>
        <w:t>Lograr la participación activa de los colectivos que representan a pueblos poco numerosos no solo en actividades culturales de distrito, sino también en todo el país;</w:t>
      </w:r>
    </w:p>
    <w:p w:rsidR="001D2E73" w:rsidRDefault="001D2E73">
      <w:pPr>
        <w:pStyle w:val="Bullet1G"/>
        <w:rPr>
          <w:lang w:val="es-ES"/>
        </w:rPr>
      </w:pPr>
      <w:r>
        <w:rPr>
          <w:lang w:val="es-ES"/>
        </w:rPr>
        <w:t>Celebrar aniversarios de destacados representantes del arte y la cultura de las minorías;</w:t>
      </w:r>
    </w:p>
    <w:p w:rsidR="001D2E73" w:rsidRDefault="001D2E73">
      <w:pPr>
        <w:pStyle w:val="Bullet1G"/>
        <w:rPr>
          <w:lang w:val="es-ES"/>
        </w:rPr>
      </w:pPr>
      <w:r>
        <w:rPr>
          <w:lang w:val="es-ES"/>
        </w:rPr>
        <w:t>Otorgar títulos honoríficos a los directores y miembros de los conjuntos artísticos de aficionados;</w:t>
      </w:r>
    </w:p>
    <w:p w:rsidR="001D2E73" w:rsidRDefault="001D2E73">
      <w:pPr>
        <w:pStyle w:val="Bullet1G"/>
        <w:rPr>
          <w:lang w:val="es-ES"/>
        </w:rPr>
      </w:pPr>
      <w:r>
        <w:rPr>
          <w:lang w:val="es-ES"/>
        </w:rPr>
        <w:t>Entregar trajes folklóricos, instrumentos musicales y medios técnicos a los conjuntos de aficionados.</w:t>
      </w:r>
    </w:p>
    <w:p w:rsidR="001D2E73" w:rsidRDefault="001D2E73">
      <w:pPr>
        <w:pStyle w:val="SingleTxtGR"/>
        <w:rPr>
          <w:spacing w:val="0"/>
          <w:lang w:val="es-ES"/>
        </w:rPr>
      </w:pPr>
      <w:r>
        <w:rPr>
          <w:spacing w:val="0"/>
          <w:lang w:val="es-ES"/>
        </w:rPr>
        <w:t>534.</w:t>
      </w:r>
      <w:r>
        <w:rPr>
          <w:spacing w:val="0"/>
          <w:lang w:val="es-ES"/>
        </w:rPr>
        <w:tab/>
        <w:t>Además, el Ministerio de Cultura y Turismo elaboró el proyecto Diversidad cultural de Azerbaiyán, que se está llevando a cabo en el marco del progr</w:t>
      </w:r>
      <w:r>
        <w:rPr>
          <w:spacing w:val="0"/>
          <w:lang w:val="es-ES"/>
        </w:rPr>
        <w:t>a</w:t>
      </w:r>
      <w:r>
        <w:rPr>
          <w:spacing w:val="0"/>
          <w:lang w:val="es-ES"/>
        </w:rPr>
        <w:t xml:space="preserve">ma de Diversidad cultural de la UNESCO. </w:t>
      </w:r>
    </w:p>
    <w:p w:rsidR="001D2E73" w:rsidRDefault="001D2E73">
      <w:pPr>
        <w:pStyle w:val="SingleTxtGR"/>
        <w:rPr>
          <w:spacing w:val="0"/>
          <w:lang w:val="es-ES"/>
        </w:rPr>
      </w:pPr>
      <w:r>
        <w:rPr>
          <w:spacing w:val="0"/>
          <w:lang w:val="es-ES"/>
        </w:rPr>
        <w:t>535.</w:t>
      </w:r>
      <w:r>
        <w:rPr>
          <w:spacing w:val="0"/>
          <w:lang w:val="es-ES"/>
        </w:rPr>
        <w:tab/>
        <w:t xml:space="preserve">En el marco de este programa, en diciembre de 2006 el Gobierno organizó el festival </w:t>
      </w:r>
      <w:r>
        <w:rPr>
          <w:i/>
          <w:spacing w:val="0"/>
          <w:lang w:val="es-ES"/>
        </w:rPr>
        <w:t>Azerbaiyán, patria mía</w:t>
      </w:r>
      <w:r>
        <w:rPr>
          <w:spacing w:val="0"/>
          <w:lang w:val="es-ES"/>
        </w:rPr>
        <w:t xml:space="preserve">, dedicado al arte de las minorías nacionales. Las interpretaciones de 800 artistas de más de 40 conjuntos artísticos de la ciudad de Bakú y de 14 distritos en representación de prácticamente todas las minorías nacionales y los grupos étnicos que viven en Azerbaiyán fueron acogidas con enorme interés y atención. </w:t>
      </w:r>
    </w:p>
    <w:p w:rsidR="001D2E73" w:rsidRDefault="001D2E73">
      <w:pPr>
        <w:pStyle w:val="SingleTxtGR"/>
        <w:rPr>
          <w:spacing w:val="0"/>
          <w:lang w:val="es-ES"/>
        </w:rPr>
      </w:pPr>
      <w:r>
        <w:rPr>
          <w:bCs/>
          <w:spacing w:val="0"/>
          <w:lang w:val="es-ES"/>
        </w:rPr>
        <w:t>536.</w:t>
      </w:r>
      <w:r>
        <w:rPr>
          <w:bCs/>
          <w:spacing w:val="0"/>
          <w:lang w:val="es-ES"/>
        </w:rPr>
        <w:tab/>
        <w:t xml:space="preserve">El 19 de octubre de 2006, en la sede de la UNESCO, como parte de la celebración del sexagésimo aniversario de la organización, se organizó una gala y la exposición de fotografías </w:t>
      </w:r>
      <w:r>
        <w:rPr>
          <w:i/>
          <w:spacing w:val="0"/>
          <w:lang w:val="es-ES"/>
        </w:rPr>
        <w:t>Azerbaiyán, encrucijada de civilizaciones y culturas</w:t>
      </w:r>
      <w:r>
        <w:rPr>
          <w:spacing w:val="0"/>
          <w:lang w:val="es-ES"/>
        </w:rPr>
        <w:t>, con la que se quiso demostrar a la comunidad mundial las posibilidades excepcionales y la experiencia de la cultura azerbaiyana en la celebración del diálogo entre civilizaciones y entre cu</w:t>
      </w:r>
      <w:r>
        <w:rPr>
          <w:spacing w:val="0"/>
          <w:lang w:val="es-ES"/>
        </w:rPr>
        <w:t>l</w:t>
      </w:r>
      <w:r>
        <w:rPr>
          <w:spacing w:val="0"/>
          <w:lang w:val="es-ES"/>
        </w:rPr>
        <w:t xml:space="preserve">turas. </w:t>
      </w:r>
    </w:p>
    <w:p w:rsidR="001D2E73" w:rsidRDefault="001D2E73">
      <w:pPr>
        <w:pStyle w:val="SingleTxtGR"/>
        <w:rPr>
          <w:spacing w:val="0"/>
          <w:lang w:val="es-ES"/>
        </w:rPr>
      </w:pPr>
      <w:r>
        <w:rPr>
          <w:spacing w:val="0"/>
          <w:lang w:val="es-ES"/>
        </w:rPr>
        <w:t>537.</w:t>
      </w:r>
      <w:r>
        <w:rPr>
          <w:spacing w:val="0"/>
          <w:lang w:val="es-ES"/>
        </w:rPr>
        <w:tab/>
        <w:t xml:space="preserve">En el Ministerio de Cultura y Turismo funcionan departamentos que se encargan especialmente de los problemas de </w:t>
      </w:r>
      <w:smartTag w:uri="urn:schemas-microsoft-com:office:smarttags" w:element="PersonName">
        <w:smartTagPr>
          <w:attr w:name="ProductID" w:val="la infancia. Mediante"/>
        </w:smartTagPr>
        <w:r>
          <w:rPr>
            <w:spacing w:val="0"/>
            <w:lang w:val="es-ES"/>
          </w:rPr>
          <w:t>la infancia. Mediante</w:t>
        </w:r>
      </w:smartTag>
      <w:r>
        <w:rPr>
          <w:spacing w:val="0"/>
          <w:lang w:val="es-ES"/>
        </w:rPr>
        <w:t xml:space="preserve"> la correspondiente instrucción del Ministro, los organismos regionales del Ministerio y las direcciones de cultura y arte quedaron encargados de organizar una amplia labor de divulgación de la Convención sobre los Derechos del Niño, se formularon y remitieron recomendaciones al Ministerio de Cultura y Turismo de </w:t>
      </w:r>
      <w:smartTag w:uri="urn:schemas-microsoft-com:office:smarttags" w:element="PersonName">
        <w:smartTagPr>
          <w:attr w:name="ProductID" w:val="la Rep￺blica Aut￳noma"/>
        </w:smartTagPr>
        <w:r>
          <w:rPr>
            <w:spacing w:val="0"/>
            <w:lang w:val="es-ES"/>
          </w:rPr>
          <w:t>la República Autónoma</w:t>
        </w:r>
      </w:smartTag>
      <w:r>
        <w:rPr>
          <w:spacing w:val="0"/>
          <w:lang w:val="es-ES"/>
        </w:rPr>
        <w:t xml:space="preserve"> de Najicheván, a las direcciones administrativas y departamentos de cultura y turismo de las ciudades y distritos del país, donde se encargaron tareas a los clubes, las bibliotecas, las escuelas de música y pintura para niños y otras instituciones culturales encargadas de la protección de la infancia, se determinaron las medidas encaminadas a mejorar la situación de la infancia y a crear las condiciones para que reciban educación musical, artística y danzaría. </w:t>
      </w:r>
    </w:p>
    <w:p w:rsidR="001D2E73" w:rsidRDefault="001D2E73">
      <w:pPr>
        <w:pStyle w:val="SingleTxtGR"/>
        <w:rPr>
          <w:spacing w:val="0"/>
          <w:lang w:val="es-ES"/>
        </w:rPr>
      </w:pPr>
      <w:r>
        <w:rPr>
          <w:spacing w:val="0"/>
          <w:lang w:val="es-ES"/>
        </w:rPr>
        <w:t>538.</w:t>
      </w:r>
      <w:r>
        <w:rPr>
          <w:spacing w:val="0"/>
          <w:lang w:val="es-ES"/>
        </w:rPr>
        <w:tab/>
        <w:t xml:space="preserve">Actualmente en el país funcionan 235 escuelas de música y pintura para niños y escuelas de arte, donde estudian más de 70.000 niños. Estas escuelas imparten clases de música, pintura y baile a los alumnos, dan a conocer la cultura a los niños, desarrollan su gusto estético por las mejores obras de la cultura nacional y mundial, educan a los miembros de los conjuntos de aficionados y preparan a los niños con más talento para el ingreso en los correspondientes centros de enseñanza especializada. Las escuelas de música de las ciudades y distritos de los territorios ocupados funcionan en lugares donde se han asentado los refugiados. </w:t>
      </w:r>
    </w:p>
    <w:p w:rsidR="001D2E73" w:rsidRDefault="001D2E73">
      <w:pPr>
        <w:pStyle w:val="SingleTxtGR"/>
        <w:rPr>
          <w:spacing w:val="0"/>
          <w:lang w:val="es-ES"/>
        </w:rPr>
      </w:pPr>
      <w:r>
        <w:rPr>
          <w:spacing w:val="0"/>
          <w:lang w:val="es-ES"/>
        </w:rPr>
        <w:t>539.</w:t>
      </w:r>
      <w:r>
        <w:rPr>
          <w:spacing w:val="0"/>
          <w:lang w:val="es-ES"/>
        </w:rPr>
        <w:tab/>
        <w:t>Los hijos de familias de refugiados tienen libre acceso a los servicios en la e</w:t>
      </w:r>
      <w:r>
        <w:rPr>
          <w:spacing w:val="0"/>
          <w:lang w:val="es-ES"/>
        </w:rPr>
        <w:t>s</w:t>
      </w:r>
      <w:r>
        <w:rPr>
          <w:spacing w:val="0"/>
          <w:lang w:val="es-ES"/>
        </w:rPr>
        <w:t xml:space="preserve">fera de la educación y la cultura. </w:t>
      </w:r>
    </w:p>
    <w:p w:rsidR="001D2E73" w:rsidRDefault="001D2E73">
      <w:pPr>
        <w:pStyle w:val="SingleTxtGR"/>
        <w:rPr>
          <w:spacing w:val="0"/>
          <w:lang w:val="es-ES"/>
        </w:rPr>
      </w:pPr>
      <w:r>
        <w:rPr>
          <w:spacing w:val="0"/>
          <w:lang w:val="es-ES"/>
        </w:rPr>
        <w:t>540.</w:t>
      </w:r>
      <w:r>
        <w:rPr>
          <w:spacing w:val="0"/>
          <w:lang w:val="es-ES"/>
        </w:rPr>
        <w:tab/>
        <w:t>En Bakú funciona una Escuela de Música para niños ciegos. Los niños con discapacidad pueden realizar libremente sus actividades en los clubes e instituciones y utilizar los servicios de las bibliotecas.</w:t>
      </w:r>
    </w:p>
    <w:p w:rsidR="001D2E73" w:rsidRDefault="001D2E73">
      <w:pPr>
        <w:pStyle w:val="SingleTxtGR"/>
        <w:rPr>
          <w:spacing w:val="0"/>
          <w:lang w:val="es-ES"/>
        </w:rPr>
      </w:pPr>
      <w:r>
        <w:rPr>
          <w:spacing w:val="0"/>
          <w:lang w:val="es-ES"/>
        </w:rPr>
        <w:t>541.</w:t>
      </w:r>
      <w:r>
        <w:rPr>
          <w:spacing w:val="0"/>
          <w:lang w:val="es-ES"/>
        </w:rPr>
        <w:tab/>
        <w:t>Para descubrir a los niños con talento, el Ministerio de Cultura y Turismo o</w:t>
      </w:r>
      <w:r>
        <w:rPr>
          <w:spacing w:val="0"/>
          <w:lang w:val="es-ES"/>
        </w:rPr>
        <w:t>r</w:t>
      </w:r>
      <w:r>
        <w:rPr>
          <w:spacing w:val="0"/>
          <w:lang w:val="es-ES"/>
        </w:rPr>
        <w:t>ganiza periódicamente distintos festivales y concursos. Los niños actúan en las mejores salas de teatro y conciertos, en actividades oficiales. Algunos festivales y concursos son ya una tradición, entre ellos el festival musical Goncha, el co</w:t>
      </w:r>
      <w:r>
        <w:rPr>
          <w:spacing w:val="0"/>
          <w:lang w:val="es-ES"/>
        </w:rPr>
        <w:t>n</w:t>
      </w:r>
      <w:r>
        <w:rPr>
          <w:spacing w:val="0"/>
          <w:lang w:val="es-ES"/>
        </w:rPr>
        <w:t xml:space="preserve">curso Gadji Mamedov para ejecutantes de instrumentos nacionales, el concurso Gara Garaev para jóvenes pianistas, el concurso nacional para niños ejecutantes del </w:t>
      </w:r>
      <w:r>
        <w:rPr>
          <w:i/>
          <w:spacing w:val="0"/>
          <w:lang w:val="es-ES"/>
        </w:rPr>
        <w:t>mugam</w:t>
      </w:r>
      <w:r>
        <w:rPr>
          <w:spacing w:val="0"/>
          <w:lang w:val="es-ES"/>
        </w:rPr>
        <w:t xml:space="preserve">, el concurso nacional de jóvenes </w:t>
      </w:r>
      <w:r>
        <w:rPr>
          <w:i/>
          <w:spacing w:val="0"/>
          <w:lang w:val="es-ES"/>
        </w:rPr>
        <w:t>ashug</w:t>
      </w:r>
      <w:r>
        <w:rPr>
          <w:spacing w:val="0"/>
          <w:lang w:val="es-ES"/>
        </w:rPr>
        <w:t xml:space="preserve"> (improvisadores), el concurso nacional de coros infantiles, así como concursos nacionales de ejecutantes de instrumentos de viento, cuerdas y percusión. Todos los años en los concursos y festivales participan cerca de 15.000 estudiantes de las escuelas de música y arte de todos los rincones del país.</w:t>
      </w:r>
    </w:p>
    <w:p w:rsidR="001D2E73" w:rsidRDefault="001D2E73">
      <w:pPr>
        <w:pStyle w:val="SingleTxtGR"/>
        <w:rPr>
          <w:spacing w:val="0"/>
          <w:lang w:val="es-ES"/>
        </w:rPr>
      </w:pPr>
      <w:r>
        <w:rPr>
          <w:spacing w:val="0"/>
          <w:lang w:val="es-ES"/>
        </w:rPr>
        <w:t>542.</w:t>
      </w:r>
      <w:r>
        <w:rPr>
          <w:spacing w:val="0"/>
          <w:lang w:val="es-ES"/>
        </w:rPr>
        <w:tab/>
        <w:t>Los alumnos de las escuelas de música y de pintura para niños participan con gran éxito en distintos festivales y concursos celebrados en otros países.</w:t>
      </w:r>
    </w:p>
    <w:p w:rsidR="001D2E73" w:rsidRDefault="001D2E73">
      <w:pPr>
        <w:pStyle w:val="SingleTxtGR"/>
        <w:rPr>
          <w:spacing w:val="0"/>
          <w:lang w:val="es-ES"/>
        </w:rPr>
      </w:pPr>
      <w:r>
        <w:rPr>
          <w:spacing w:val="0"/>
          <w:lang w:val="es-ES"/>
        </w:rPr>
        <w:t>543.</w:t>
      </w:r>
      <w:r>
        <w:rPr>
          <w:spacing w:val="0"/>
          <w:lang w:val="es-ES"/>
        </w:rPr>
        <w:tab/>
        <w:t xml:space="preserve">Por ejemplo, en los conciertos infantiles dedicados al 90ª aniversario de </w:t>
      </w:r>
      <w:smartTag w:uri="urn:schemas-microsoft-com:office:smarttags" w:element="PersonName">
        <w:smartTagPr>
          <w:attr w:name="ProductID" w:val=""/>
        </w:smartTagPr>
        <w:r>
          <w:rPr>
            <w:spacing w:val="0"/>
            <w:lang w:val="es-ES"/>
          </w:rPr>
          <w:t>la República Democrática</w:t>
        </w:r>
      </w:smartTag>
      <w:r>
        <w:rPr>
          <w:spacing w:val="0"/>
          <w:lang w:val="es-ES"/>
        </w:rPr>
        <w:t xml:space="preserve"> de Azerbaiyán, que se celebraron con todo éxito en París, en la sede de la UNESCO, del 20 al 27 de mayo de 2008, así como en la sede del Co</w:t>
      </w:r>
      <w:r>
        <w:rPr>
          <w:spacing w:val="0"/>
          <w:lang w:val="es-ES"/>
        </w:rPr>
        <w:t>n</w:t>
      </w:r>
      <w:r>
        <w:rPr>
          <w:spacing w:val="0"/>
          <w:lang w:val="es-ES"/>
        </w:rPr>
        <w:t xml:space="preserve">sejo de Europa en el Palacio de la Catedral de Estrasburgo y en la mayor sala de conciertos de esa ciudad, el Palais des Congrès, además de en Bruselas, donde se encuentra la sede de </w:t>
      </w:r>
      <w:smartTag w:uri="urn:schemas-microsoft-com:office:smarttags" w:element="PersonName">
        <w:smartTagPr>
          <w:attr w:name="ProductID" w:val="la Uni￳n Europea"/>
        </w:smartTagPr>
        <w:r>
          <w:rPr>
            <w:spacing w:val="0"/>
            <w:lang w:val="es-ES"/>
          </w:rPr>
          <w:t>la Unión Europea</w:t>
        </w:r>
      </w:smartTag>
      <w:r>
        <w:rPr>
          <w:spacing w:val="0"/>
          <w:lang w:val="es-ES"/>
        </w:rPr>
        <w:t>, participaron la orquesta sinfónica estatal infantil de Azerbaiyán, el Coro infantil a cappella, estudiantes del Instituto Estatal Coreográfico de Bakú y de las escuelas de música Bakú con un programa denominado Ángeles de Buena Voluntad. Estos conciertos se celebraron con el apoyo del Fondo Gaidar Aliev.</w:t>
      </w:r>
    </w:p>
    <w:p w:rsidR="001D2E73" w:rsidRDefault="001D2E73">
      <w:pPr>
        <w:pStyle w:val="SingleTxtGR"/>
        <w:rPr>
          <w:spacing w:val="0"/>
          <w:lang w:val="es-ES"/>
        </w:rPr>
      </w:pPr>
      <w:r>
        <w:rPr>
          <w:spacing w:val="0"/>
          <w:lang w:val="es-ES"/>
        </w:rPr>
        <w:t>544.</w:t>
      </w:r>
      <w:r>
        <w:rPr>
          <w:spacing w:val="0"/>
          <w:lang w:val="es-ES"/>
        </w:rPr>
        <w:tab/>
        <w:t xml:space="preserve">Se presta atención especial al desarrollo de la creación artística de los niños. Los jóvenes pintores han participado en exposiciones internacionales de pintura infantil en los Estados Unidos, Francia, Israel, Japón, Irán, Rusia, Chequia, Egipto y otros países del mundo. </w:t>
      </w:r>
    </w:p>
    <w:p w:rsidR="001D2E73" w:rsidRDefault="001D2E73">
      <w:pPr>
        <w:pStyle w:val="SingleTxtGR"/>
        <w:rPr>
          <w:spacing w:val="0"/>
          <w:lang w:val="es-ES"/>
        </w:rPr>
      </w:pPr>
      <w:r>
        <w:rPr>
          <w:spacing w:val="0"/>
          <w:lang w:val="es-ES"/>
        </w:rPr>
        <w:t>545.</w:t>
      </w:r>
      <w:r>
        <w:rPr>
          <w:spacing w:val="0"/>
          <w:lang w:val="es-ES"/>
        </w:rPr>
        <w:tab/>
        <w:t xml:space="preserve">Actualmente en el sistema del Ministerio de Cultura y Turismo funcionan 3.442 círculos, colectivos y asociaciones infantiles, en los que participan 46.239 niños y adolescentes. </w:t>
      </w:r>
    </w:p>
    <w:p w:rsidR="001D2E73" w:rsidRDefault="001D2E73">
      <w:pPr>
        <w:pStyle w:val="SingleTxtGR"/>
        <w:rPr>
          <w:spacing w:val="0"/>
          <w:lang w:val="es-ES"/>
        </w:rPr>
      </w:pPr>
      <w:r>
        <w:rPr>
          <w:spacing w:val="0"/>
          <w:lang w:val="es-ES"/>
        </w:rPr>
        <w:t>546.</w:t>
      </w:r>
      <w:r>
        <w:rPr>
          <w:spacing w:val="0"/>
          <w:lang w:val="es-ES"/>
        </w:rPr>
        <w:tab/>
        <w:t xml:space="preserve">En relación con el Plan de acción nacional para la protección de los derechos humanos, el Ministerio de Cultura y Turismo creó un Centro de información jurídica para el público en la biblioteca nacional de </w:t>
      </w:r>
      <w:smartTag w:uri="urn:schemas-microsoft-com:office:smarttags" w:element="PersonName">
        <w:smartTagPr>
          <w:attr w:name="ProductID" w:val="la juventud J. Jabbarly."/>
        </w:smartTagPr>
        <w:r>
          <w:rPr>
            <w:spacing w:val="0"/>
            <w:lang w:val="es-ES"/>
          </w:rPr>
          <w:t>la juventud J. Jabbarly.</w:t>
        </w:r>
      </w:smartTag>
      <w:r>
        <w:rPr>
          <w:spacing w:val="0"/>
          <w:lang w:val="es-ES"/>
        </w:rPr>
        <w:t xml:space="preserve"> </w:t>
      </w:r>
    </w:p>
    <w:p w:rsidR="001D2E73" w:rsidRDefault="001D2E73">
      <w:pPr>
        <w:pStyle w:val="SingleTxtGR"/>
        <w:rPr>
          <w:spacing w:val="0"/>
          <w:lang w:val="es-ES"/>
        </w:rPr>
      </w:pPr>
      <w:r>
        <w:rPr>
          <w:spacing w:val="0"/>
          <w:lang w:val="es-ES"/>
        </w:rPr>
        <w:t>547.</w:t>
      </w:r>
      <w:r>
        <w:rPr>
          <w:spacing w:val="0"/>
          <w:lang w:val="es-ES"/>
        </w:rPr>
        <w:tab/>
        <w:t>Se han inaugurado centros de esta índole en la Biblioteca nacional M.F. Ajundov, en la Biblioteca urbana central V. Korolenko y en otras bibliotecas centrales de algunas ciudades y distritos (Gandja, Zakatal, Samukh, Goranboy). Los centros de información jurídica al público también se crearon en otras bibliotecas, que no forman parte de la red de bibliotecas del Ministerio (Biblioteca Presidencial, Biblioteca del Pa</w:t>
      </w:r>
      <w:r>
        <w:rPr>
          <w:spacing w:val="0"/>
          <w:lang w:val="es-ES"/>
        </w:rPr>
        <w:t>r</w:t>
      </w:r>
      <w:r>
        <w:rPr>
          <w:spacing w:val="0"/>
          <w:lang w:val="es-ES"/>
        </w:rPr>
        <w:t>lamento, bibliotecas de la oficina del Ombudsman, del Tribunal Supremo, de la Academia de Policía, el centro de enseñanza del Ministerio de Justicia, etc.). Actua</w:t>
      </w:r>
      <w:r>
        <w:rPr>
          <w:spacing w:val="0"/>
          <w:lang w:val="es-ES"/>
        </w:rPr>
        <w:t>l</w:t>
      </w:r>
      <w:r>
        <w:rPr>
          <w:spacing w:val="0"/>
          <w:lang w:val="es-ES"/>
        </w:rPr>
        <w:t xml:space="preserve">mente existen 35 de estos centros. </w:t>
      </w:r>
    </w:p>
    <w:p w:rsidR="001D2E73" w:rsidRDefault="001D2E73">
      <w:pPr>
        <w:pStyle w:val="SingleTxtGR"/>
        <w:rPr>
          <w:spacing w:val="0"/>
          <w:lang w:val="es-ES"/>
        </w:rPr>
      </w:pPr>
      <w:r>
        <w:rPr>
          <w:spacing w:val="0"/>
          <w:lang w:val="es-ES"/>
        </w:rPr>
        <w:t>548.</w:t>
      </w:r>
      <w:r>
        <w:rPr>
          <w:spacing w:val="0"/>
          <w:lang w:val="es-ES"/>
        </w:rPr>
        <w:tab/>
        <w:t xml:space="preserve">En el marco del Programa estatal de reducción de la pobreza y desarrollo económico para 2003-2005, los problemas de la política cultural se agruparon conforme a tres direcciones principales: </w:t>
      </w:r>
    </w:p>
    <w:p w:rsidR="001D2E73" w:rsidRDefault="001D2E73">
      <w:pPr>
        <w:pStyle w:val="SingleTxtGR"/>
        <w:tabs>
          <w:tab w:val="clear" w:pos="1701"/>
          <w:tab w:val="clear" w:pos="2268"/>
          <w:tab w:val="clear" w:pos="2835"/>
          <w:tab w:val="clear" w:pos="3402"/>
          <w:tab w:val="clear" w:pos="3969"/>
        </w:tabs>
        <w:rPr>
          <w:spacing w:val="0"/>
          <w:lang w:val="es-ES"/>
        </w:rPr>
      </w:pPr>
      <w:r>
        <w:rPr>
          <w:i/>
          <w:spacing w:val="0"/>
          <w:lang w:val="es-ES"/>
        </w:rPr>
        <w:tab/>
      </w:r>
      <w:r>
        <w:rPr>
          <w:spacing w:val="0"/>
          <w:lang w:val="es-ES"/>
        </w:rPr>
        <w:t>a)</w:t>
      </w:r>
      <w:r>
        <w:rPr>
          <w:spacing w:val="0"/>
          <w:lang w:val="es-ES"/>
        </w:rPr>
        <w:tab/>
        <w:t>Estímulo a los trabajadores de la cultura, aumento de su profesionalismo y divulgación de información;</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b)</w:t>
      </w:r>
      <w:r>
        <w:rPr>
          <w:spacing w:val="0"/>
          <w:lang w:val="es-ES"/>
        </w:rPr>
        <w:tab/>
        <w:t>Desarrollo de la infraestructura de las instituciones de cultura y arte, con el fin de garantizar el acceso de la población en condiciones de igualdad; y</w:t>
      </w:r>
    </w:p>
    <w:p w:rsidR="001D2E73" w:rsidRDefault="001D2E73">
      <w:pPr>
        <w:pStyle w:val="SingleTxtGR"/>
        <w:tabs>
          <w:tab w:val="clear" w:pos="1701"/>
          <w:tab w:val="clear" w:pos="2268"/>
          <w:tab w:val="clear" w:pos="2835"/>
          <w:tab w:val="clear" w:pos="3402"/>
          <w:tab w:val="clear" w:pos="3969"/>
        </w:tabs>
        <w:rPr>
          <w:spacing w:val="0"/>
          <w:lang w:val="es-ES"/>
        </w:rPr>
      </w:pPr>
      <w:r>
        <w:rPr>
          <w:spacing w:val="0"/>
          <w:lang w:val="es-ES"/>
        </w:rPr>
        <w:tab/>
        <w:t>c)</w:t>
      </w:r>
      <w:r>
        <w:rPr>
          <w:spacing w:val="0"/>
          <w:lang w:val="es-ES"/>
        </w:rPr>
        <w:tab/>
        <w:t xml:space="preserve">Mantenimiento del patrimonio cultural y desarrollo del turismo cultural con el fin de crear nuevos puestos de trabajo. </w:t>
      </w:r>
    </w:p>
    <w:p w:rsidR="001D2E73" w:rsidRDefault="001D2E73">
      <w:pPr>
        <w:pStyle w:val="SingleTxtGR"/>
        <w:rPr>
          <w:spacing w:val="0"/>
          <w:lang w:val="es-ES"/>
        </w:rPr>
      </w:pPr>
      <w:r>
        <w:rPr>
          <w:spacing w:val="0"/>
          <w:lang w:val="es-ES"/>
        </w:rPr>
        <w:t>549.</w:t>
      </w:r>
      <w:r>
        <w:rPr>
          <w:spacing w:val="0"/>
          <w:lang w:val="es-ES"/>
        </w:rPr>
        <w:tab/>
        <w:t xml:space="preserve">Actualmente 48.187 personas trabajan en la esfera de la cultura en Azerbaiyán. </w:t>
      </w:r>
    </w:p>
    <w:p w:rsidR="001D2E73" w:rsidRDefault="001D2E73">
      <w:pPr>
        <w:pStyle w:val="SingleTxtGR"/>
        <w:rPr>
          <w:spacing w:val="0"/>
          <w:lang w:val="es-ES"/>
        </w:rPr>
      </w:pPr>
      <w:r>
        <w:rPr>
          <w:spacing w:val="0"/>
          <w:lang w:val="es-ES"/>
        </w:rPr>
        <w:t>550.</w:t>
      </w:r>
      <w:r>
        <w:rPr>
          <w:spacing w:val="0"/>
          <w:lang w:val="es-ES"/>
        </w:rPr>
        <w:tab/>
        <w:t xml:space="preserve">En estos momentos no hay un programa especial de estímulo al empleo en el sector de </w:t>
      </w:r>
      <w:smartTag w:uri="urn:schemas-microsoft-com:office:smarttags" w:element="PersonName">
        <w:smartTagPr>
          <w:attr w:name="ProductID" w:val="la cultura. Ello"/>
        </w:smartTagPr>
        <w:r>
          <w:rPr>
            <w:spacing w:val="0"/>
            <w:lang w:val="es-ES"/>
          </w:rPr>
          <w:t>la cultura. Ello</w:t>
        </w:r>
      </w:smartTag>
      <w:r>
        <w:rPr>
          <w:spacing w:val="0"/>
          <w:lang w:val="es-ES"/>
        </w:rPr>
        <w:t xml:space="preserve"> obedece a que el porcentaje de desempleo en la cultura es más bajo que en otros sectores. El problema no es tanto el desempleo como el bajo nivel de ingresos y la cuestión de la posición social de los trabajadores de la cultura, así como la disminución de la demanda del consumidor de productos de </w:t>
      </w:r>
      <w:smartTag w:uri="urn:schemas-microsoft-com:office:smarttags" w:element="PersonName">
        <w:smartTagPr>
          <w:attr w:name="ProductID" w:val="la cultura. El"/>
        </w:smartTagPr>
        <w:r>
          <w:rPr>
            <w:spacing w:val="0"/>
            <w:lang w:val="es-ES"/>
          </w:rPr>
          <w:t>la cultura. El</w:t>
        </w:r>
      </w:smartTag>
      <w:r>
        <w:rPr>
          <w:spacing w:val="0"/>
          <w:lang w:val="es-ES"/>
        </w:rPr>
        <w:t xml:space="preserve"> salario medio de los empleados de las instituciones culturales ronda los 148 manat mensuales (185 dólares de los Estados Unidos).</w:t>
      </w:r>
    </w:p>
    <w:p w:rsidR="001D2E73" w:rsidRDefault="001D2E73">
      <w:pPr>
        <w:pStyle w:val="SingleTxtGR"/>
        <w:rPr>
          <w:spacing w:val="0"/>
          <w:lang w:val="es-ES"/>
        </w:rPr>
      </w:pPr>
      <w:r>
        <w:rPr>
          <w:spacing w:val="0"/>
          <w:lang w:val="es-ES"/>
        </w:rPr>
        <w:t>551.</w:t>
      </w:r>
      <w:r>
        <w:rPr>
          <w:spacing w:val="0"/>
          <w:lang w:val="es-ES"/>
        </w:rPr>
        <w:tab/>
        <w:t>En cuanto al aspecto de género en cuestiones de la igualdad en Azerbaiyán, cabe señ</w:t>
      </w:r>
      <w:r>
        <w:rPr>
          <w:spacing w:val="0"/>
          <w:lang w:val="es-ES"/>
        </w:rPr>
        <w:t>a</w:t>
      </w:r>
      <w:r>
        <w:rPr>
          <w:spacing w:val="0"/>
          <w:lang w:val="es-ES"/>
        </w:rPr>
        <w:t>lar que la cultura, al igual que la educación, tradicionalmente registra un porcentaje mayor de mujeres. La mayoría de los empleados en bibliotecas, museos, archivos, escuelas de música, teatros, etc. son mujeres, que también participan activamente en la dirección de esta esfera. El 70% de los trabajadores de la cultura en el Ministerio de Cultura y Turismo son mujeres. La representación de la mujer en puestos clave de las instituciones culturales y en puestos que determinan la política cultural es también muy alta. La Viceministra de cultura y turismo, algunos jefes de departamentos y secciones del Ministerio, jefes de direcciones locales y departamentos de cultura y turismo, los directores de muchas instituciones culturales y organizaciones de artes son mujeres.</w:t>
      </w:r>
    </w:p>
    <w:p w:rsidR="001D2E73" w:rsidRDefault="001D2E73">
      <w:pPr>
        <w:pStyle w:val="SingleTxtGR"/>
        <w:rPr>
          <w:spacing w:val="0"/>
          <w:lang w:val="es-ES"/>
        </w:rPr>
      </w:pPr>
      <w:r>
        <w:rPr>
          <w:spacing w:val="0"/>
          <w:lang w:val="es-ES"/>
        </w:rPr>
        <w:t>552.</w:t>
      </w:r>
      <w:r>
        <w:rPr>
          <w:spacing w:val="0"/>
          <w:lang w:val="es-ES"/>
        </w:rPr>
        <w:tab/>
        <w:t>En la esfera de la cultura funcionan organizaciones no gubernamentales esp</w:t>
      </w:r>
      <w:r>
        <w:rPr>
          <w:spacing w:val="0"/>
          <w:lang w:val="es-ES"/>
        </w:rPr>
        <w:t>e</w:t>
      </w:r>
      <w:r>
        <w:rPr>
          <w:spacing w:val="0"/>
          <w:lang w:val="es-ES"/>
        </w:rPr>
        <w:t>cializadas como Mujeres en la Música, Asociación de Mujeres Creadoras y otras. Se publican algunas revistas para la mujer o sobre la mujer.</w:t>
      </w:r>
    </w:p>
    <w:p w:rsidR="001D2E73" w:rsidRDefault="001D2E73">
      <w:pPr>
        <w:pStyle w:val="SingleTxtGR"/>
        <w:rPr>
          <w:bCs/>
          <w:spacing w:val="0"/>
          <w:lang w:val="es-ES"/>
        </w:rPr>
      </w:pPr>
      <w:r>
        <w:rPr>
          <w:spacing w:val="0"/>
          <w:lang w:val="es-ES"/>
        </w:rPr>
        <w:t>553.</w:t>
      </w:r>
      <w:r>
        <w:rPr>
          <w:spacing w:val="0"/>
          <w:lang w:val="es-ES"/>
        </w:rPr>
        <w:tab/>
        <w:t>Cabe señalar que, como resultado de la descentralización de los gastos pres</w:t>
      </w:r>
      <w:r>
        <w:rPr>
          <w:spacing w:val="0"/>
          <w:lang w:val="es-ES"/>
        </w:rPr>
        <w:t>u</w:t>
      </w:r>
      <w:r>
        <w:rPr>
          <w:spacing w:val="0"/>
          <w:lang w:val="es-ES"/>
        </w:rPr>
        <w:t xml:space="preserve">puestarios destinados a la cultura, 54,7% de los fondos se distribuyen a nivel local. En estos momentos, el gobierno y los departamentos de cultura de cada lugar determinan la estructura de los gastos en cultura de las regiones. Cabe señalar también que a nivel local cobran mucha importancia los factores subjetivos, ya que mucho depende de que haya personas responsables y, como demuestra la supervisión realizada, la actitud ante la cultura varía mucho. </w:t>
      </w:r>
    </w:p>
    <w:p w:rsidR="001D2E73" w:rsidRDefault="001D2E73">
      <w:pPr>
        <w:pStyle w:val="SingleTxtGR"/>
        <w:rPr>
          <w:bCs/>
          <w:spacing w:val="0"/>
          <w:lang w:val="es-ES"/>
        </w:rPr>
      </w:pPr>
      <w:r>
        <w:rPr>
          <w:spacing w:val="0"/>
          <w:lang w:val="es-ES"/>
        </w:rPr>
        <w:t>554.</w:t>
      </w:r>
      <w:r>
        <w:rPr>
          <w:spacing w:val="0"/>
          <w:lang w:val="es-ES"/>
        </w:rPr>
        <w:tab/>
        <w:t xml:space="preserve">Los gastos centralizados en la cultura en gran medida se concentran en Bakú. La cultura exige una financiación constante; sin embargo, se da preferencia a las organizaciones de importancia nacional, la mayoría de las cuales se encuentran en la capital. </w:t>
      </w:r>
    </w:p>
    <w:p w:rsidR="001D2E73" w:rsidRDefault="001D2E73">
      <w:pPr>
        <w:pStyle w:val="SingleTxtGR"/>
        <w:rPr>
          <w:bCs/>
          <w:spacing w:val="0"/>
          <w:lang w:val="es-ES"/>
        </w:rPr>
      </w:pPr>
      <w:r>
        <w:rPr>
          <w:spacing w:val="0"/>
          <w:lang w:val="es-ES"/>
        </w:rPr>
        <w:t>555.</w:t>
      </w:r>
      <w:r>
        <w:rPr>
          <w:spacing w:val="0"/>
          <w:lang w:val="es-ES"/>
        </w:rPr>
        <w:tab/>
        <w:t>Los gastos en actividades culturales representan no más del 3% del pres</w:t>
      </w:r>
      <w:r>
        <w:rPr>
          <w:spacing w:val="0"/>
          <w:lang w:val="es-ES"/>
        </w:rPr>
        <w:t>u</w:t>
      </w:r>
      <w:r>
        <w:rPr>
          <w:spacing w:val="0"/>
          <w:lang w:val="es-ES"/>
        </w:rPr>
        <w:t xml:space="preserve">puesto general de una familia promedio. </w:t>
      </w:r>
    </w:p>
    <w:p w:rsidR="001D2E73" w:rsidRDefault="001D2E73">
      <w:pPr>
        <w:pStyle w:val="SingleTxtGR"/>
        <w:rPr>
          <w:spacing w:val="0"/>
          <w:lang w:val="es-ES"/>
        </w:rPr>
      </w:pPr>
      <w:r>
        <w:rPr>
          <w:spacing w:val="0"/>
          <w:lang w:val="es-ES"/>
        </w:rPr>
        <w:t>556.</w:t>
      </w:r>
      <w:r>
        <w:rPr>
          <w:spacing w:val="0"/>
          <w:lang w:val="es-ES"/>
        </w:rPr>
        <w:tab/>
        <w:t xml:space="preserve">El rápido desarrollo económico de Azerbaiyán influye en el aumento anual ininterrumpido del nivel de gastos públicos en </w:t>
      </w:r>
      <w:smartTag w:uri="urn:schemas-microsoft-com:office:smarttags" w:element="PersonName">
        <w:smartTagPr>
          <w:attr w:name="ProductID" w:val="la cultura. En"/>
        </w:smartTagPr>
        <w:r>
          <w:rPr>
            <w:spacing w:val="0"/>
            <w:lang w:val="es-ES"/>
          </w:rPr>
          <w:t>la cultura. En</w:t>
        </w:r>
      </w:smartTag>
      <w:r>
        <w:rPr>
          <w:spacing w:val="0"/>
          <w:lang w:val="es-ES"/>
        </w:rPr>
        <w:t xml:space="preserve"> 2008 los gastos per cápita en cultura fueron de 39,4 AZM (1 manat = 1,25 dólar</w:t>
      </w:r>
      <w:r w:rsidR="0094705E">
        <w:rPr>
          <w:spacing w:val="0"/>
          <w:lang w:val="es-ES"/>
        </w:rPr>
        <w:t>es</w:t>
      </w:r>
      <w:r>
        <w:rPr>
          <w:spacing w:val="0"/>
          <w:lang w:val="es-ES"/>
        </w:rPr>
        <w:t xml:space="preserve"> de los Estados Unidos), lo que representó 3% del total de gastos per cápita.</w:t>
      </w:r>
    </w:p>
    <w:p w:rsidR="001D2E73" w:rsidRDefault="001D2E73">
      <w:pPr>
        <w:pStyle w:val="SingleTxtGR"/>
        <w:spacing w:after="0"/>
        <w:rPr>
          <w:spacing w:val="0"/>
          <w:lang w:val="es-ES"/>
        </w:rPr>
      </w:pPr>
      <w:r>
        <w:rPr>
          <w:bCs/>
          <w:spacing w:val="0"/>
          <w:lang w:val="es-ES"/>
        </w:rPr>
        <w:t>557.</w:t>
      </w:r>
      <w:r>
        <w:rPr>
          <w:bCs/>
          <w:spacing w:val="0"/>
          <w:lang w:val="es-ES"/>
        </w:rPr>
        <w:tab/>
        <w:t xml:space="preserve">En el cuadro 28 se indican los gastos del Estado en cultura, arte, cine y restitución de monumentos por niveles de dirección, en miles de nuevos manat para 2004-2008 </w:t>
      </w:r>
      <w:r>
        <w:rPr>
          <w:spacing w:val="0"/>
          <w:lang w:val="es-ES"/>
        </w:rPr>
        <w:t>(1 manat = 1,25 dólares de los Estados Unidos).</w:t>
      </w:r>
    </w:p>
    <w:p w:rsidR="001D2E73" w:rsidRDefault="001D2E73">
      <w:pPr>
        <w:pStyle w:val="SingleTxtGR"/>
        <w:spacing w:before="240"/>
        <w:rPr>
          <w:spacing w:val="0"/>
          <w:lang w:val="es-ES"/>
        </w:rPr>
      </w:pPr>
      <w:r>
        <w:rPr>
          <w:spacing w:val="0"/>
          <w:lang w:val="es-ES"/>
        </w:rPr>
        <w:t>Cuadro 28</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328"/>
        <w:gridCol w:w="1047"/>
        <w:gridCol w:w="888"/>
        <w:gridCol w:w="1047"/>
        <w:gridCol w:w="1047"/>
        <w:gridCol w:w="1124"/>
        <w:gridCol w:w="889"/>
      </w:tblGrid>
      <w:tr w:rsidR="001D2E73">
        <w:tc>
          <w:tcPr>
            <w:tcW w:w="1328" w:type="dxa"/>
            <w:tcBorders>
              <w:top w:val="single" w:sz="4" w:space="0" w:color="auto"/>
              <w:bottom w:val="single" w:sz="12" w:space="0" w:color="auto"/>
            </w:tcBorders>
            <w:shd w:val="clear" w:color="auto" w:fill="auto"/>
          </w:tcPr>
          <w:p w:rsidR="001D2E73" w:rsidRDefault="001D2E73">
            <w:pPr>
              <w:spacing w:before="80" w:after="80" w:line="200" w:lineRule="exact"/>
              <w:rPr>
                <w:i/>
                <w:sz w:val="16"/>
              </w:rPr>
            </w:pPr>
            <w:r>
              <w:rPr>
                <w:i/>
                <w:sz w:val="16"/>
              </w:rPr>
              <w:t xml:space="preserve">Nivel </w:t>
            </w:r>
          </w:p>
        </w:tc>
        <w:tc>
          <w:tcPr>
            <w:tcW w:w="1047"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2004</w:t>
            </w:r>
          </w:p>
        </w:tc>
        <w:tc>
          <w:tcPr>
            <w:tcW w:w="888"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2005</w:t>
            </w:r>
          </w:p>
        </w:tc>
        <w:tc>
          <w:tcPr>
            <w:tcW w:w="1047"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2006</w:t>
            </w:r>
          </w:p>
        </w:tc>
        <w:tc>
          <w:tcPr>
            <w:tcW w:w="1047"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rPr>
            </w:pPr>
            <w:r>
              <w:rPr>
                <w:i/>
                <w:sz w:val="16"/>
              </w:rPr>
              <w:t>2007</w:t>
            </w:r>
          </w:p>
        </w:tc>
        <w:tc>
          <w:tcPr>
            <w:tcW w:w="2013" w:type="dxa"/>
            <w:gridSpan w:val="2"/>
            <w:tcBorders>
              <w:top w:val="single" w:sz="4" w:space="0" w:color="auto"/>
              <w:left w:val="nil"/>
              <w:bottom w:val="single" w:sz="12" w:space="0" w:color="auto"/>
              <w:right w:val="nil"/>
              <w:tl2br w:val="nil"/>
              <w:tr2bl w:val="nil"/>
            </w:tcBorders>
            <w:shd w:val="clear" w:color="auto" w:fill="auto"/>
          </w:tcPr>
          <w:p w:rsidR="001D2E73" w:rsidRDefault="001D2E73">
            <w:pPr>
              <w:spacing w:before="80" w:after="80" w:line="200" w:lineRule="exact"/>
              <w:jc w:val="right"/>
              <w:rPr>
                <w:i/>
                <w:sz w:val="16"/>
              </w:rPr>
            </w:pPr>
            <w:r>
              <w:rPr>
                <w:i/>
                <w:sz w:val="16"/>
              </w:rPr>
              <w:t>2008</w:t>
            </w:r>
          </w:p>
        </w:tc>
      </w:tr>
      <w:tr w:rsidR="001D2E73">
        <w:tc>
          <w:tcPr>
            <w:tcW w:w="1328" w:type="dxa"/>
            <w:tcBorders>
              <w:top w:val="single" w:sz="12" w:space="0" w:color="auto"/>
            </w:tcBorders>
          </w:tcPr>
          <w:p w:rsidR="001D2E73" w:rsidRDefault="001D2E73">
            <w:pPr>
              <w:spacing w:before="40" w:after="40" w:line="220" w:lineRule="exact"/>
              <w:rPr>
                <w:sz w:val="18"/>
                <w:szCs w:val="18"/>
              </w:rPr>
            </w:pPr>
            <w:r>
              <w:rPr>
                <w:sz w:val="18"/>
                <w:szCs w:val="18"/>
              </w:rPr>
              <w:t>Central</w:t>
            </w:r>
          </w:p>
        </w:tc>
        <w:tc>
          <w:tcPr>
            <w:tcW w:w="1047" w:type="dxa"/>
            <w:tcBorders>
              <w:top w:val="single" w:sz="12" w:space="0" w:color="auto"/>
            </w:tcBorders>
          </w:tcPr>
          <w:p w:rsidR="001D2E73" w:rsidRDefault="001D2E73">
            <w:pPr>
              <w:spacing w:before="40" w:after="40" w:line="220" w:lineRule="exact"/>
              <w:jc w:val="right"/>
              <w:rPr>
                <w:sz w:val="18"/>
                <w:szCs w:val="18"/>
              </w:rPr>
            </w:pPr>
            <w:r>
              <w:rPr>
                <w:sz w:val="18"/>
                <w:szCs w:val="18"/>
              </w:rPr>
              <w:t>6 852</w:t>
            </w:r>
          </w:p>
        </w:tc>
        <w:tc>
          <w:tcPr>
            <w:tcW w:w="888" w:type="dxa"/>
            <w:tcBorders>
              <w:top w:val="single" w:sz="12" w:space="0" w:color="auto"/>
            </w:tcBorders>
          </w:tcPr>
          <w:p w:rsidR="001D2E73" w:rsidRDefault="001D2E73">
            <w:pPr>
              <w:spacing w:before="40" w:after="40" w:line="220" w:lineRule="exact"/>
              <w:jc w:val="right"/>
              <w:rPr>
                <w:sz w:val="18"/>
                <w:szCs w:val="18"/>
              </w:rPr>
            </w:pPr>
            <w:r>
              <w:rPr>
                <w:sz w:val="18"/>
                <w:szCs w:val="18"/>
              </w:rPr>
              <w:t>10 245</w:t>
            </w:r>
          </w:p>
        </w:tc>
        <w:tc>
          <w:tcPr>
            <w:tcW w:w="1047" w:type="dxa"/>
            <w:tcBorders>
              <w:top w:val="single" w:sz="12" w:space="0" w:color="auto"/>
            </w:tcBorders>
          </w:tcPr>
          <w:p w:rsidR="001D2E73" w:rsidRDefault="001D2E73">
            <w:pPr>
              <w:spacing w:before="40" w:after="40" w:line="220" w:lineRule="exact"/>
              <w:jc w:val="right"/>
              <w:rPr>
                <w:sz w:val="18"/>
                <w:szCs w:val="18"/>
              </w:rPr>
            </w:pPr>
            <w:r>
              <w:rPr>
                <w:sz w:val="18"/>
                <w:szCs w:val="18"/>
              </w:rPr>
              <w:t>12 968,1</w:t>
            </w:r>
          </w:p>
        </w:tc>
        <w:tc>
          <w:tcPr>
            <w:tcW w:w="1047" w:type="dxa"/>
            <w:tcBorders>
              <w:top w:val="single" w:sz="12" w:space="0" w:color="auto"/>
            </w:tcBorders>
          </w:tcPr>
          <w:p w:rsidR="001D2E73" w:rsidRDefault="001D2E73">
            <w:pPr>
              <w:spacing w:before="40" w:after="40" w:line="220" w:lineRule="exact"/>
              <w:jc w:val="right"/>
              <w:rPr>
                <w:sz w:val="18"/>
                <w:szCs w:val="18"/>
              </w:rPr>
            </w:pPr>
            <w:r>
              <w:rPr>
                <w:sz w:val="18"/>
                <w:szCs w:val="18"/>
              </w:rPr>
              <w:t>20 395,4</w:t>
            </w:r>
          </w:p>
        </w:tc>
        <w:tc>
          <w:tcPr>
            <w:tcW w:w="1124" w:type="dxa"/>
            <w:tcBorders>
              <w:top w:val="single" w:sz="12" w:space="0" w:color="auto"/>
            </w:tcBorders>
          </w:tcPr>
          <w:p w:rsidR="001D2E73" w:rsidRDefault="001D2E73">
            <w:pPr>
              <w:spacing w:before="40" w:after="40" w:line="220" w:lineRule="exact"/>
              <w:jc w:val="right"/>
              <w:rPr>
                <w:sz w:val="18"/>
                <w:szCs w:val="18"/>
              </w:rPr>
            </w:pPr>
            <w:r>
              <w:rPr>
                <w:sz w:val="18"/>
                <w:szCs w:val="18"/>
              </w:rPr>
              <w:t>31 191,247</w:t>
            </w:r>
          </w:p>
        </w:tc>
        <w:tc>
          <w:tcPr>
            <w:tcW w:w="889" w:type="dxa"/>
            <w:tcBorders>
              <w:top w:val="single" w:sz="12" w:space="0" w:color="auto"/>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45,3%</w:t>
            </w:r>
          </w:p>
        </w:tc>
      </w:tr>
      <w:tr w:rsidR="001D2E73">
        <w:tc>
          <w:tcPr>
            <w:tcW w:w="1328" w:type="dxa"/>
          </w:tcPr>
          <w:p w:rsidR="001D2E73" w:rsidRDefault="001D2E73">
            <w:pPr>
              <w:spacing w:before="40" w:after="40" w:line="220" w:lineRule="exact"/>
              <w:rPr>
                <w:sz w:val="18"/>
                <w:szCs w:val="18"/>
              </w:rPr>
            </w:pPr>
            <w:r>
              <w:rPr>
                <w:sz w:val="18"/>
                <w:szCs w:val="18"/>
              </w:rPr>
              <w:t>Local</w:t>
            </w:r>
          </w:p>
        </w:tc>
        <w:tc>
          <w:tcPr>
            <w:tcW w:w="1047" w:type="dxa"/>
          </w:tcPr>
          <w:p w:rsidR="001D2E73" w:rsidRDefault="001D2E73">
            <w:pPr>
              <w:spacing w:before="40" w:after="40" w:line="220" w:lineRule="exact"/>
              <w:jc w:val="right"/>
              <w:rPr>
                <w:sz w:val="18"/>
                <w:szCs w:val="18"/>
              </w:rPr>
            </w:pPr>
            <w:r>
              <w:rPr>
                <w:sz w:val="18"/>
                <w:szCs w:val="18"/>
              </w:rPr>
              <w:t>10 199,6</w:t>
            </w:r>
          </w:p>
        </w:tc>
        <w:tc>
          <w:tcPr>
            <w:tcW w:w="888" w:type="dxa"/>
          </w:tcPr>
          <w:p w:rsidR="001D2E73" w:rsidRDefault="001D2E73">
            <w:pPr>
              <w:spacing w:before="40" w:after="40" w:line="220" w:lineRule="exact"/>
              <w:jc w:val="right"/>
              <w:rPr>
                <w:sz w:val="18"/>
                <w:szCs w:val="18"/>
              </w:rPr>
            </w:pPr>
            <w:r>
              <w:rPr>
                <w:sz w:val="18"/>
                <w:szCs w:val="18"/>
              </w:rPr>
              <w:t>15,5</w:t>
            </w:r>
          </w:p>
        </w:tc>
        <w:tc>
          <w:tcPr>
            <w:tcW w:w="1047" w:type="dxa"/>
          </w:tcPr>
          <w:p w:rsidR="001D2E73" w:rsidRDefault="001D2E73">
            <w:pPr>
              <w:spacing w:before="40" w:after="40" w:line="220" w:lineRule="exact"/>
              <w:jc w:val="right"/>
              <w:rPr>
                <w:sz w:val="18"/>
                <w:szCs w:val="18"/>
              </w:rPr>
            </w:pPr>
            <w:r>
              <w:rPr>
                <w:sz w:val="18"/>
                <w:szCs w:val="18"/>
              </w:rPr>
              <w:t>20 572</w:t>
            </w:r>
          </w:p>
        </w:tc>
        <w:tc>
          <w:tcPr>
            <w:tcW w:w="1047" w:type="dxa"/>
          </w:tcPr>
          <w:p w:rsidR="001D2E73" w:rsidRDefault="001D2E73">
            <w:pPr>
              <w:spacing w:before="40" w:after="40" w:line="220" w:lineRule="exact"/>
              <w:jc w:val="right"/>
              <w:rPr>
                <w:sz w:val="18"/>
                <w:szCs w:val="18"/>
              </w:rPr>
            </w:pPr>
            <w:r>
              <w:rPr>
                <w:sz w:val="18"/>
                <w:szCs w:val="18"/>
              </w:rPr>
              <w:t>30 378,1</w:t>
            </w:r>
          </w:p>
        </w:tc>
        <w:tc>
          <w:tcPr>
            <w:tcW w:w="1124" w:type="dxa"/>
          </w:tcPr>
          <w:p w:rsidR="001D2E73" w:rsidRDefault="001D2E73">
            <w:pPr>
              <w:spacing w:before="40" w:after="40" w:line="220" w:lineRule="exact"/>
              <w:jc w:val="right"/>
              <w:rPr>
                <w:sz w:val="18"/>
                <w:szCs w:val="18"/>
              </w:rPr>
            </w:pPr>
            <w:r>
              <w:rPr>
                <w:sz w:val="18"/>
                <w:szCs w:val="18"/>
              </w:rPr>
              <w:t>37 571,127</w:t>
            </w:r>
          </w:p>
        </w:tc>
        <w:tc>
          <w:tcPr>
            <w:tcW w:w="889" w:type="dxa"/>
            <w:tcBorders>
              <w:left w:val="nil"/>
              <w:bottom w:val="nil"/>
              <w:right w:val="nil"/>
              <w:tl2br w:val="nil"/>
              <w:tr2bl w:val="nil"/>
            </w:tcBorders>
          </w:tcPr>
          <w:p w:rsidR="001D2E73" w:rsidRDefault="001D2E73">
            <w:pPr>
              <w:spacing w:before="40" w:after="40" w:line="220" w:lineRule="exact"/>
              <w:jc w:val="right"/>
              <w:rPr>
                <w:sz w:val="18"/>
                <w:szCs w:val="18"/>
              </w:rPr>
            </w:pPr>
            <w:r>
              <w:rPr>
                <w:sz w:val="18"/>
                <w:szCs w:val="18"/>
              </w:rPr>
              <w:t>54,7%</w:t>
            </w:r>
          </w:p>
        </w:tc>
      </w:tr>
      <w:tr w:rsidR="001D2E73">
        <w:tc>
          <w:tcPr>
            <w:tcW w:w="1328" w:type="dxa"/>
          </w:tcPr>
          <w:p w:rsidR="001D2E73" w:rsidRDefault="001D2E73">
            <w:pPr>
              <w:spacing w:before="40" w:after="40" w:line="220" w:lineRule="exact"/>
              <w:rPr>
                <w:sz w:val="18"/>
                <w:szCs w:val="18"/>
              </w:rPr>
            </w:pPr>
            <w:r>
              <w:rPr>
                <w:sz w:val="18"/>
                <w:szCs w:val="18"/>
              </w:rPr>
              <w:t>General</w:t>
            </w:r>
          </w:p>
        </w:tc>
        <w:tc>
          <w:tcPr>
            <w:tcW w:w="1047" w:type="dxa"/>
          </w:tcPr>
          <w:p w:rsidR="001D2E73" w:rsidRDefault="001D2E73">
            <w:pPr>
              <w:spacing w:before="40" w:after="40" w:line="220" w:lineRule="exact"/>
              <w:jc w:val="right"/>
              <w:rPr>
                <w:sz w:val="18"/>
                <w:szCs w:val="18"/>
              </w:rPr>
            </w:pPr>
            <w:r>
              <w:rPr>
                <w:sz w:val="18"/>
                <w:szCs w:val="18"/>
              </w:rPr>
              <w:t>17 031,6</w:t>
            </w:r>
          </w:p>
        </w:tc>
        <w:tc>
          <w:tcPr>
            <w:tcW w:w="888" w:type="dxa"/>
          </w:tcPr>
          <w:p w:rsidR="001D2E73" w:rsidRDefault="001D2E73">
            <w:pPr>
              <w:spacing w:before="40" w:after="40" w:line="220" w:lineRule="exact"/>
              <w:jc w:val="right"/>
              <w:rPr>
                <w:sz w:val="18"/>
                <w:szCs w:val="18"/>
              </w:rPr>
            </w:pPr>
            <w:r>
              <w:rPr>
                <w:sz w:val="18"/>
                <w:szCs w:val="18"/>
              </w:rPr>
              <w:t>25 745</w:t>
            </w:r>
          </w:p>
        </w:tc>
        <w:tc>
          <w:tcPr>
            <w:tcW w:w="1047" w:type="dxa"/>
          </w:tcPr>
          <w:p w:rsidR="001D2E73" w:rsidRDefault="001D2E73">
            <w:pPr>
              <w:spacing w:before="40" w:after="40" w:line="220" w:lineRule="exact"/>
              <w:jc w:val="right"/>
              <w:rPr>
                <w:sz w:val="18"/>
                <w:szCs w:val="18"/>
              </w:rPr>
            </w:pPr>
            <w:r>
              <w:rPr>
                <w:sz w:val="18"/>
                <w:szCs w:val="18"/>
              </w:rPr>
              <w:t>33 540,1</w:t>
            </w:r>
          </w:p>
        </w:tc>
        <w:tc>
          <w:tcPr>
            <w:tcW w:w="1047" w:type="dxa"/>
          </w:tcPr>
          <w:p w:rsidR="001D2E73" w:rsidRDefault="001D2E73">
            <w:pPr>
              <w:spacing w:before="40" w:after="40" w:line="220" w:lineRule="exact"/>
              <w:jc w:val="right"/>
              <w:rPr>
                <w:sz w:val="18"/>
                <w:szCs w:val="18"/>
              </w:rPr>
            </w:pPr>
            <w:r>
              <w:rPr>
                <w:sz w:val="18"/>
                <w:szCs w:val="18"/>
              </w:rPr>
              <w:t>50 773,5</w:t>
            </w:r>
          </w:p>
        </w:tc>
        <w:tc>
          <w:tcPr>
            <w:tcW w:w="1124" w:type="dxa"/>
          </w:tcPr>
          <w:p w:rsidR="001D2E73" w:rsidRDefault="001D2E73">
            <w:pPr>
              <w:spacing w:before="40" w:after="40" w:line="220" w:lineRule="exact"/>
              <w:jc w:val="right"/>
              <w:rPr>
                <w:sz w:val="18"/>
                <w:szCs w:val="18"/>
              </w:rPr>
            </w:pPr>
            <w:r>
              <w:rPr>
                <w:sz w:val="18"/>
                <w:szCs w:val="18"/>
              </w:rPr>
              <w:t>68 762,374</w:t>
            </w:r>
          </w:p>
        </w:tc>
        <w:tc>
          <w:tcPr>
            <w:tcW w:w="889" w:type="dxa"/>
            <w:tcBorders>
              <w:left w:val="nil"/>
              <w:bottom w:val="single" w:sz="12" w:space="0" w:color="auto"/>
              <w:right w:val="nil"/>
              <w:tl2br w:val="nil"/>
              <w:tr2bl w:val="nil"/>
            </w:tcBorders>
          </w:tcPr>
          <w:p w:rsidR="001D2E73" w:rsidRDefault="001D2E73">
            <w:pPr>
              <w:spacing w:before="40" w:after="40" w:line="220" w:lineRule="exact"/>
              <w:jc w:val="right"/>
              <w:rPr>
                <w:sz w:val="18"/>
                <w:szCs w:val="18"/>
              </w:rPr>
            </w:pPr>
            <w:r>
              <w:rPr>
                <w:sz w:val="18"/>
                <w:szCs w:val="18"/>
              </w:rPr>
              <w:t>100%</w:t>
            </w:r>
          </w:p>
        </w:tc>
      </w:tr>
    </w:tbl>
    <w:p w:rsidR="001D2E73" w:rsidRDefault="001D2E73">
      <w:pPr>
        <w:pStyle w:val="SingleTxtGR"/>
        <w:spacing w:before="240"/>
        <w:rPr>
          <w:spacing w:val="0"/>
          <w:lang w:val="es-ES"/>
        </w:rPr>
      </w:pPr>
      <w:r>
        <w:rPr>
          <w:spacing w:val="0"/>
          <w:lang w:val="es-ES"/>
        </w:rPr>
        <w:t>558.</w:t>
      </w:r>
      <w:r>
        <w:rPr>
          <w:spacing w:val="0"/>
          <w:lang w:val="es-ES"/>
        </w:rPr>
        <w:tab/>
        <w:t>Como se demuestra en el cuadro, los gastos centrales ascendieron a 45,3% en los últimos años debido a que se incorporó la esfera del turismo; si no se tiene esto en cuenta, el porcentaje de gastos a nivel central y local sería 40% y 60% respectivamente.</w:t>
      </w:r>
    </w:p>
    <w:p w:rsidR="001D2E73" w:rsidRDefault="001D2E73">
      <w:pPr>
        <w:pStyle w:val="SingleTxtGR"/>
        <w:rPr>
          <w:bCs/>
          <w:spacing w:val="0"/>
          <w:lang w:val="es-ES"/>
        </w:rPr>
      </w:pPr>
      <w:r>
        <w:rPr>
          <w:spacing w:val="0"/>
          <w:lang w:val="es-ES"/>
        </w:rPr>
        <w:t>559.</w:t>
      </w:r>
      <w:r>
        <w:rPr>
          <w:spacing w:val="0"/>
          <w:lang w:val="es-ES"/>
        </w:rPr>
        <w:tab/>
        <w:t>Cabe señalar que las inversiones centrales complementarias en la infraestructura de la cultura y el turismo arrojaron un total de 220.150.000 AZN (276.250 dólares de los Estados Unidos) en 2008.</w:t>
      </w:r>
    </w:p>
    <w:p w:rsidR="001D2E73" w:rsidRDefault="001D2E73">
      <w:pPr>
        <w:pStyle w:val="SingleTxtGR"/>
        <w:spacing w:before="240"/>
        <w:jc w:val="left"/>
        <w:rPr>
          <w:b/>
          <w:spacing w:val="0"/>
          <w:lang w:val="es-ES"/>
        </w:rPr>
      </w:pPr>
      <w:r>
        <w:rPr>
          <w:spacing w:val="0"/>
          <w:lang w:val="es-ES"/>
        </w:rPr>
        <w:t>Cuadro 29</w:t>
      </w:r>
      <w:r>
        <w:rPr>
          <w:spacing w:val="0"/>
          <w:lang w:val="es-ES"/>
        </w:rPr>
        <w:br/>
      </w:r>
      <w:r>
        <w:rPr>
          <w:b/>
          <w:spacing w:val="0"/>
          <w:lang w:val="es-ES"/>
        </w:rPr>
        <w:t>Inversiones centralizadas complementarias en la infraestructura de la cultura y el turismo, en miles de nuevos manat AZN, 2004-2008</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2494"/>
        <w:gridCol w:w="900"/>
        <w:gridCol w:w="1080"/>
        <w:gridCol w:w="900"/>
        <w:gridCol w:w="900"/>
        <w:gridCol w:w="1096"/>
      </w:tblGrid>
      <w:tr w:rsidR="001D2E73">
        <w:tc>
          <w:tcPr>
            <w:tcW w:w="2494" w:type="dxa"/>
            <w:tcBorders>
              <w:top w:val="single" w:sz="4" w:space="0" w:color="auto"/>
              <w:bottom w:val="single" w:sz="12" w:space="0" w:color="auto"/>
            </w:tcBorders>
            <w:shd w:val="clear" w:color="auto" w:fill="auto"/>
          </w:tcPr>
          <w:p w:rsidR="001D2E73" w:rsidRDefault="001D2E73">
            <w:pPr>
              <w:spacing w:before="80" w:after="80" w:line="200" w:lineRule="exact"/>
              <w:rPr>
                <w:i/>
                <w:sz w:val="16"/>
                <w:szCs w:val="16"/>
              </w:rPr>
            </w:pPr>
            <w:r>
              <w:rPr>
                <w:i/>
                <w:sz w:val="16"/>
                <w:szCs w:val="16"/>
              </w:rPr>
              <w:t>Cultura y turismo</w:t>
            </w:r>
          </w:p>
        </w:tc>
        <w:tc>
          <w:tcPr>
            <w:tcW w:w="900"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6"/>
              </w:rPr>
            </w:pPr>
            <w:r>
              <w:rPr>
                <w:i/>
                <w:sz w:val="16"/>
                <w:szCs w:val="16"/>
              </w:rPr>
              <w:t>2004</w:t>
            </w:r>
          </w:p>
        </w:tc>
        <w:tc>
          <w:tcPr>
            <w:tcW w:w="1080"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6"/>
              </w:rPr>
            </w:pPr>
            <w:r>
              <w:rPr>
                <w:i/>
                <w:sz w:val="16"/>
                <w:szCs w:val="16"/>
              </w:rPr>
              <w:t>2005</w:t>
            </w:r>
          </w:p>
        </w:tc>
        <w:tc>
          <w:tcPr>
            <w:tcW w:w="900"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6"/>
              </w:rPr>
            </w:pPr>
            <w:r>
              <w:rPr>
                <w:i/>
                <w:sz w:val="16"/>
                <w:szCs w:val="16"/>
              </w:rPr>
              <w:t>2006</w:t>
            </w:r>
          </w:p>
        </w:tc>
        <w:tc>
          <w:tcPr>
            <w:tcW w:w="900" w:type="dxa"/>
            <w:tcBorders>
              <w:top w:val="single" w:sz="4" w:space="0" w:color="auto"/>
              <w:bottom w:val="single" w:sz="12" w:space="0" w:color="auto"/>
            </w:tcBorders>
            <w:shd w:val="clear" w:color="auto" w:fill="auto"/>
          </w:tcPr>
          <w:p w:rsidR="001D2E73" w:rsidRDefault="001D2E73">
            <w:pPr>
              <w:spacing w:before="80" w:after="80" w:line="200" w:lineRule="exact"/>
              <w:jc w:val="right"/>
              <w:rPr>
                <w:i/>
                <w:sz w:val="16"/>
                <w:szCs w:val="16"/>
              </w:rPr>
            </w:pPr>
            <w:r>
              <w:rPr>
                <w:i/>
                <w:sz w:val="16"/>
                <w:szCs w:val="16"/>
              </w:rPr>
              <w:t>2007</w:t>
            </w:r>
          </w:p>
        </w:tc>
        <w:tc>
          <w:tcPr>
            <w:tcW w:w="1096" w:type="dxa"/>
            <w:tcBorders>
              <w:top w:val="single" w:sz="4" w:space="0" w:color="auto"/>
              <w:left w:val="nil"/>
              <w:bottom w:val="single" w:sz="12" w:space="0" w:color="auto"/>
              <w:right w:val="nil"/>
              <w:tl2br w:val="nil"/>
              <w:tr2bl w:val="nil"/>
            </w:tcBorders>
            <w:shd w:val="clear" w:color="auto" w:fill="auto"/>
          </w:tcPr>
          <w:p w:rsidR="001D2E73" w:rsidRDefault="001D2E73">
            <w:pPr>
              <w:spacing w:before="80" w:after="80" w:line="200" w:lineRule="exact"/>
              <w:jc w:val="right"/>
              <w:rPr>
                <w:i/>
                <w:sz w:val="16"/>
                <w:szCs w:val="16"/>
              </w:rPr>
            </w:pPr>
            <w:r>
              <w:rPr>
                <w:i/>
                <w:sz w:val="16"/>
                <w:szCs w:val="16"/>
              </w:rPr>
              <w:t>2008</w:t>
            </w:r>
          </w:p>
        </w:tc>
      </w:tr>
      <w:tr w:rsidR="001D2E73">
        <w:tc>
          <w:tcPr>
            <w:tcW w:w="2494" w:type="dxa"/>
            <w:tcBorders>
              <w:top w:val="single" w:sz="12" w:space="0" w:color="auto"/>
            </w:tcBorders>
          </w:tcPr>
          <w:p w:rsidR="001D2E73" w:rsidRDefault="001D2E73">
            <w:pPr>
              <w:spacing w:before="40" w:after="40" w:line="220" w:lineRule="exact"/>
              <w:rPr>
                <w:sz w:val="18"/>
                <w:szCs w:val="18"/>
              </w:rPr>
            </w:pPr>
            <w:r>
              <w:rPr>
                <w:sz w:val="18"/>
                <w:szCs w:val="18"/>
              </w:rPr>
              <w:t>Inversiones</w:t>
            </w:r>
          </w:p>
        </w:tc>
        <w:tc>
          <w:tcPr>
            <w:tcW w:w="900" w:type="dxa"/>
            <w:tcBorders>
              <w:top w:val="single" w:sz="12" w:space="0" w:color="auto"/>
            </w:tcBorders>
          </w:tcPr>
          <w:p w:rsidR="001D2E73" w:rsidRDefault="001D2E73">
            <w:pPr>
              <w:spacing w:before="40" w:after="40" w:line="220" w:lineRule="exact"/>
              <w:jc w:val="right"/>
              <w:rPr>
                <w:sz w:val="18"/>
                <w:szCs w:val="18"/>
              </w:rPr>
            </w:pPr>
            <w:r>
              <w:rPr>
                <w:sz w:val="18"/>
                <w:szCs w:val="18"/>
              </w:rPr>
              <w:t>950</w:t>
            </w:r>
          </w:p>
        </w:tc>
        <w:tc>
          <w:tcPr>
            <w:tcW w:w="1080" w:type="dxa"/>
            <w:tcBorders>
              <w:top w:val="single" w:sz="12" w:space="0" w:color="auto"/>
            </w:tcBorders>
          </w:tcPr>
          <w:p w:rsidR="001D2E73" w:rsidRDefault="001D2E73">
            <w:pPr>
              <w:spacing w:before="40" w:after="40" w:line="220" w:lineRule="exact"/>
              <w:jc w:val="right"/>
              <w:rPr>
                <w:sz w:val="18"/>
                <w:szCs w:val="18"/>
              </w:rPr>
            </w:pPr>
            <w:r>
              <w:rPr>
                <w:sz w:val="18"/>
                <w:szCs w:val="18"/>
              </w:rPr>
              <w:t>1 807,8</w:t>
            </w:r>
          </w:p>
        </w:tc>
        <w:tc>
          <w:tcPr>
            <w:tcW w:w="900" w:type="dxa"/>
            <w:tcBorders>
              <w:top w:val="single" w:sz="12" w:space="0" w:color="auto"/>
            </w:tcBorders>
          </w:tcPr>
          <w:p w:rsidR="001D2E73" w:rsidRDefault="001D2E73">
            <w:pPr>
              <w:spacing w:before="40" w:after="40" w:line="220" w:lineRule="exact"/>
              <w:jc w:val="right"/>
              <w:rPr>
                <w:sz w:val="18"/>
                <w:szCs w:val="18"/>
              </w:rPr>
            </w:pPr>
            <w:r>
              <w:rPr>
                <w:sz w:val="18"/>
                <w:szCs w:val="18"/>
              </w:rPr>
              <w:t>12 004</w:t>
            </w:r>
          </w:p>
        </w:tc>
        <w:tc>
          <w:tcPr>
            <w:tcW w:w="900" w:type="dxa"/>
            <w:tcBorders>
              <w:top w:val="single" w:sz="12" w:space="0" w:color="auto"/>
            </w:tcBorders>
          </w:tcPr>
          <w:p w:rsidR="001D2E73" w:rsidRDefault="001D2E73">
            <w:pPr>
              <w:spacing w:before="40" w:after="40" w:line="220" w:lineRule="exact"/>
              <w:jc w:val="right"/>
              <w:rPr>
                <w:sz w:val="18"/>
                <w:szCs w:val="18"/>
              </w:rPr>
            </w:pPr>
            <w:r>
              <w:rPr>
                <w:sz w:val="18"/>
                <w:szCs w:val="18"/>
              </w:rPr>
              <w:t>67 548</w:t>
            </w:r>
          </w:p>
        </w:tc>
        <w:tc>
          <w:tcPr>
            <w:tcW w:w="1096" w:type="dxa"/>
            <w:tcBorders>
              <w:top w:val="single" w:sz="12" w:space="0" w:color="auto"/>
              <w:left w:val="nil"/>
              <w:bottom w:val="single" w:sz="12" w:space="0" w:color="auto"/>
              <w:right w:val="nil"/>
              <w:tl2br w:val="nil"/>
              <w:tr2bl w:val="nil"/>
            </w:tcBorders>
          </w:tcPr>
          <w:p w:rsidR="001D2E73" w:rsidRDefault="001D2E73">
            <w:pPr>
              <w:spacing w:before="40" w:after="40" w:line="220" w:lineRule="exact"/>
              <w:jc w:val="right"/>
              <w:rPr>
                <w:sz w:val="18"/>
                <w:szCs w:val="18"/>
              </w:rPr>
            </w:pPr>
            <w:r>
              <w:rPr>
                <w:sz w:val="18"/>
                <w:szCs w:val="18"/>
              </w:rPr>
              <w:t>220 150</w:t>
            </w:r>
          </w:p>
        </w:tc>
      </w:tr>
    </w:tbl>
    <w:p w:rsidR="001D2E73" w:rsidRDefault="001D2E73">
      <w:pPr>
        <w:pStyle w:val="SingleTxtGR"/>
        <w:spacing w:before="240"/>
        <w:rPr>
          <w:spacing w:val="0"/>
          <w:lang w:val="es-ES"/>
        </w:rPr>
      </w:pPr>
      <w:r>
        <w:rPr>
          <w:spacing w:val="0"/>
          <w:lang w:val="es-ES"/>
        </w:rPr>
        <w:t>560.</w:t>
      </w:r>
      <w:r>
        <w:rPr>
          <w:spacing w:val="0"/>
          <w:lang w:val="es-ES"/>
        </w:rPr>
        <w:tab/>
        <w:t>A continuación en el cuadro 30 se indican las inversiones centrales y locales adicionales en la cultura y el turismo: (con excepción de la educación especializada y superior) en 2008 por un monto de 39.760.800 manat (49.701.000 dólares de los Estados Unidos).</w:t>
      </w:r>
    </w:p>
    <w:p w:rsidR="001D2E73" w:rsidRDefault="001D2E73">
      <w:pPr>
        <w:pStyle w:val="SingleTxtGR"/>
        <w:keepNext/>
        <w:keepLines/>
        <w:spacing w:before="240"/>
        <w:rPr>
          <w:spacing w:val="0"/>
          <w:lang w:val="es-ES"/>
        </w:rPr>
      </w:pPr>
      <w:r>
        <w:rPr>
          <w:spacing w:val="0"/>
          <w:lang w:val="es-ES"/>
        </w:rPr>
        <w:t>Cuadro 30</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620"/>
        <w:gridCol w:w="1150"/>
        <w:gridCol w:w="1150"/>
        <w:gridCol w:w="1150"/>
        <w:gridCol w:w="1150"/>
        <w:gridCol w:w="1150"/>
      </w:tblGrid>
      <w:tr w:rsidR="001D2E73">
        <w:tc>
          <w:tcPr>
            <w:tcW w:w="1656" w:type="dxa"/>
            <w:tcBorders>
              <w:top w:val="single" w:sz="4" w:space="0" w:color="auto"/>
              <w:bottom w:val="single" w:sz="12" w:space="0" w:color="auto"/>
            </w:tcBorders>
            <w:shd w:val="clear" w:color="auto" w:fill="auto"/>
          </w:tcPr>
          <w:p w:rsidR="001D2E73" w:rsidRDefault="001D2E73">
            <w:pPr>
              <w:keepNext/>
              <w:keepLines/>
              <w:spacing w:before="80" w:after="80" w:line="200" w:lineRule="exact"/>
              <w:rPr>
                <w:i/>
                <w:sz w:val="16"/>
              </w:rPr>
            </w:pPr>
            <w:r>
              <w:rPr>
                <w:i/>
                <w:sz w:val="16"/>
              </w:rPr>
              <w:t>Educación</w:t>
            </w:r>
          </w:p>
        </w:tc>
        <w:tc>
          <w:tcPr>
            <w:tcW w:w="1176"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rPr>
            </w:pPr>
            <w:r>
              <w:rPr>
                <w:i/>
                <w:sz w:val="16"/>
              </w:rPr>
              <w:t>2004</w:t>
            </w:r>
          </w:p>
        </w:tc>
        <w:tc>
          <w:tcPr>
            <w:tcW w:w="1176"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rPr>
            </w:pPr>
            <w:r>
              <w:rPr>
                <w:i/>
                <w:sz w:val="16"/>
              </w:rPr>
              <w:t>2005</w:t>
            </w:r>
          </w:p>
        </w:tc>
        <w:tc>
          <w:tcPr>
            <w:tcW w:w="1176"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rPr>
            </w:pPr>
            <w:r>
              <w:rPr>
                <w:i/>
                <w:sz w:val="16"/>
              </w:rPr>
              <w:t>2006</w:t>
            </w:r>
          </w:p>
        </w:tc>
        <w:tc>
          <w:tcPr>
            <w:tcW w:w="1176" w:type="dxa"/>
            <w:tcBorders>
              <w:top w:val="single" w:sz="4" w:space="0" w:color="auto"/>
              <w:bottom w:val="single" w:sz="12" w:space="0" w:color="auto"/>
            </w:tcBorders>
            <w:shd w:val="clear" w:color="auto" w:fill="auto"/>
          </w:tcPr>
          <w:p w:rsidR="001D2E73" w:rsidRDefault="001D2E73">
            <w:pPr>
              <w:keepNext/>
              <w:keepLines/>
              <w:spacing w:before="80" w:after="80" w:line="200" w:lineRule="exact"/>
              <w:jc w:val="right"/>
              <w:rPr>
                <w:i/>
                <w:sz w:val="16"/>
              </w:rPr>
            </w:pPr>
            <w:r>
              <w:rPr>
                <w:i/>
                <w:sz w:val="16"/>
              </w:rPr>
              <w:t>2007</w:t>
            </w:r>
          </w:p>
        </w:tc>
        <w:tc>
          <w:tcPr>
            <w:tcW w:w="1176" w:type="dxa"/>
            <w:tcBorders>
              <w:top w:val="single" w:sz="4" w:space="0" w:color="auto"/>
              <w:left w:val="nil"/>
              <w:bottom w:val="single" w:sz="12" w:space="0" w:color="auto"/>
              <w:right w:val="nil"/>
              <w:tl2br w:val="nil"/>
              <w:tr2bl w:val="nil"/>
            </w:tcBorders>
            <w:shd w:val="clear" w:color="auto" w:fill="auto"/>
          </w:tcPr>
          <w:p w:rsidR="001D2E73" w:rsidRDefault="001D2E73">
            <w:pPr>
              <w:keepNext/>
              <w:keepLines/>
              <w:spacing w:before="80" w:after="80" w:line="200" w:lineRule="exact"/>
              <w:jc w:val="right"/>
              <w:rPr>
                <w:i/>
                <w:sz w:val="16"/>
              </w:rPr>
            </w:pPr>
            <w:r>
              <w:rPr>
                <w:i/>
                <w:sz w:val="16"/>
              </w:rPr>
              <w:t>2008</w:t>
            </w:r>
          </w:p>
        </w:tc>
      </w:tr>
      <w:tr w:rsidR="001D2E73">
        <w:tc>
          <w:tcPr>
            <w:tcW w:w="1656" w:type="dxa"/>
            <w:tcBorders>
              <w:top w:val="single" w:sz="12" w:space="0" w:color="auto"/>
            </w:tcBorders>
          </w:tcPr>
          <w:p w:rsidR="001D2E73" w:rsidRDefault="001D2E73">
            <w:pPr>
              <w:keepNext/>
              <w:keepLines/>
              <w:spacing w:before="40" w:after="40" w:line="220" w:lineRule="exact"/>
              <w:rPr>
                <w:sz w:val="18"/>
                <w:szCs w:val="18"/>
              </w:rPr>
            </w:pPr>
            <w:r>
              <w:rPr>
                <w:sz w:val="18"/>
                <w:szCs w:val="18"/>
              </w:rPr>
              <w:t>Central</w:t>
            </w:r>
          </w:p>
        </w:tc>
        <w:tc>
          <w:tcPr>
            <w:tcW w:w="1176" w:type="dxa"/>
            <w:tcBorders>
              <w:top w:val="single" w:sz="12" w:space="0" w:color="auto"/>
            </w:tcBorders>
          </w:tcPr>
          <w:p w:rsidR="001D2E73" w:rsidRDefault="001D2E73">
            <w:pPr>
              <w:keepNext/>
              <w:keepLines/>
              <w:spacing w:before="40" w:after="40" w:line="220" w:lineRule="exact"/>
              <w:jc w:val="right"/>
              <w:rPr>
                <w:sz w:val="18"/>
                <w:szCs w:val="18"/>
              </w:rPr>
            </w:pPr>
            <w:r>
              <w:rPr>
                <w:sz w:val="18"/>
                <w:szCs w:val="18"/>
              </w:rPr>
              <w:t>294,3</w:t>
            </w:r>
          </w:p>
        </w:tc>
        <w:tc>
          <w:tcPr>
            <w:tcW w:w="1176" w:type="dxa"/>
            <w:tcBorders>
              <w:top w:val="single" w:sz="12" w:space="0" w:color="auto"/>
            </w:tcBorders>
          </w:tcPr>
          <w:p w:rsidR="001D2E73" w:rsidRDefault="001D2E73">
            <w:pPr>
              <w:keepNext/>
              <w:keepLines/>
              <w:spacing w:before="40" w:after="40" w:line="220" w:lineRule="exact"/>
              <w:jc w:val="right"/>
              <w:rPr>
                <w:sz w:val="18"/>
                <w:szCs w:val="18"/>
              </w:rPr>
            </w:pPr>
            <w:r>
              <w:rPr>
                <w:sz w:val="18"/>
                <w:szCs w:val="18"/>
              </w:rPr>
              <w:t>363,2</w:t>
            </w:r>
          </w:p>
        </w:tc>
        <w:tc>
          <w:tcPr>
            <w:tcW w:w="1176" w:type="dxa"/>
            <w:tcBorders>
              <w:top w:val="single" w:sz="12" w:space="0" w:color="auto"/>
            </w:tcBorders>
          </w:tcPr>
          <w:p w:rsidR="001D2E73" w:rsidRDefault="001D2E73">
            <w:pPr>
              <w:keepNext/>
              <w:keepLines/>
              <w:spacing w:before="40" w:after="40" w:line="220" w:lineRule="exact"/>
              <w:jc w:val="right"/>
              <w:rPr>
                <w:sz w:val="18"/>
                <w:szCs w:val="18"/>
              </w:rPr>
            </w:pPr>
            <w:r>
              <w:rPr>
                <w:sz w:val="18"/>
                <w:szCs w:val="18"/>
              </w:rPr>
              <w:t>755,2</w:t>
            </w:r>
          </w:p>
        </w:tc>
        <w:tc>
          <w:tcPr>
            <w:tcW w:w="1176" w:type="dxa"/>
            <w:tcBorders>
              <w:top w:val="single" w:sz="12" w:space="0" w:color="auto"/>
            </w:tcBorders>
          </w:tcPr>
          <w:p w:rsidR="001D2E73" w:rsidRDefault="001D2E73">
            <w:pPr>
              <w:keepNext/>
              <w:keepLines/>
              <w:spacing w:before="40" w:after="40" w:line="220" w:lineRule="exact"/>
              <w:jc w:val="right"/>
              <w:rPr>
                <w:sz w:val="18"/>
                <w:szCs w:val="18"/>
              </w:rPr>
            </w:pPr>
            <w:r>
              <w:rPr>
                <w:sz w:val="18"/>
                <w:szCs w:val="18"/>
              </w:rPr>
              <w:t>2 093,7</w:t>
            </w:r>
          </w:p>
        </w:tc>
        <w:tc>
          <w:tcPr>
            <w:tcW w:w="1176" w:type="dxa"/>
            <w:tcBorders>
              <w:top w:val="single" w:sz="12" w:space="0" w:color="auto"/>
              <w:left w:val="nil"/>
              <w:bottom w:val="nil"/>
              <w:right w:val="nil"/>
              <w:tl2br w:val="nil"/>
              <w:tr2bl w:val="nil"/>
            </w:tcBorders>
          </w:tcPr>
          <w:p w:rsidR="001D2E73" w:rsidRDefault="001D2E73">
            <w:pPr>
              <w:keepNext/>
              <w:keepLines/>
              <w:spacing w:before="40" w:after="40" w:line="220" w:lineRule="exact"/>
              <w:jc w:val="right"/>
              <w:rPr>
                <w:sz w:val="18"/>
                <w:szCs w:val="18"/>
              </w:rPr>
            </w:pPr>
            <w:r>
              <w:rPr>
                <w:sz w:val="18"/>
                <w:szCs w:val="18"/>
              </w:rPr>
              <w:t>2 160,4</w:t>
            </w:r>
          </w:p>
        </w:tc>
      </w:tr>
      <w:tr w:rsidR="001D2E73">
        <w:tc>
          <w:tcPr>
            <w:tcW w:w="1656" w:type="dxa"/>
          </w:tcPr>
          <w:p w:rsidR="001D2E73" w:rsidRDefault="001D2E73">
            <w:pPr>
              <w:keepNext/>
              <w:keepLines/>
              <w:spacing w:before="40" w:after="40" w:line="220" w:lineRule="exact"/>
              <w:rPr>
                <w:sz w:val="18"/>
                <w:szCs w:val="18"/>
              </w:rPr>
            </w:pPr>
            <w:r>
              <w:rPr>
                <w:sz w:val="18"/>
                <w:szCs w:val="18"/>
              </w:rPr>
              <w:t>Local</w:t>
            </w:r>
          </w:p>
        </w:tc>
        <w:tc>
          <w:tcPr>
            <w:tcW w:w="1176" w:type="dxa"/>
          </w:tcPr>
          <w:p w:rsidR="001D2E73" w:rsidRDefault="001D2E73">
            <w:pPr>
              <w:keepNext/>
              <w:keepLines/>
              <w:spacing w:before="40" w:after="40" w:line="220" w:lineRule="exact"/>
              <w:jc w:val="right"/>
              <w:rPr>
                <w:sz w:val="18"/>
                <w:szCs w:val="18"/>
              </w:rPr>
            </w:pPr>
            <w:r>
              <w:rPr>
                <w:sz w:val="18"/>
                <w:szCs w:val="18"/>
              </w:rPr>
              <w:t>12 524,1</w:t>
            </w:r>
          </w:p>
        </w:tc>
        <w:tc>
          <w:tcPr>
            <w:tcW w:w="1176" w:type="dxa"/>
          </w:tcPr>
          <w:p w:rsidR="001D2E73" w:rsidRDefault="001D2E73">
            <w:pPr>
              <w:keepNext/>
              <w:keepLines/>
              <w:spacing w:before="40" w:after="40" w:line="220" w:lineRule="exact"/>
              <w:jc w:val="right"/>
              <w:rPr>
                <w:sz w:val="18"/>
                <w:szCs w:val="18"/>
              </w:rPr>
            </w:pPr>
            <w:r>
              <w:rPr>
                <w:sz w:val="18"/>
                <w:szCs w:val="18"/>
              </w:rPr>
              <w:t>13 870</w:t>
            </w:r>
          </w:p>
        </w:tc>
        <w:tc>
          <w:tcPr>
            <w:tcW w:w="1176" w:type="dxa"/>
          </w:tcPr>
          <w:p w:rsidR="001D2E73" w:rsidRDefault="001D2E73">
            <w:pPr>
              <w:keepNext/>
              <w:keepLines/>
              <w:spacing w:before="40" w:after="40" w:line="220" w:lineRule="exact"/>
              <w:jc w:val="right"/>
              <w:rPr>
                <w:sz w:val="18"/>
                <w:szCs w:val="18"/>
              </w:rPr>
            </w:pPr>
            <w:r>
              <w:rPr>
                <w:sz w:val="18"/>
                <w:szCs w:val="18"/>
              </w:rPr>
              <w:t>20 762,7</w:t>
            </w:r>
          </w:p>
        </w:tc>
        <w:tc>
          <w:tcPr>
            <w:tcW w:w="1176" w:type="dxa"/>
          </w:tcPr>
          <w:p w:rsidR="001D2E73" w:rsidRDefault="001D2E73">
            <w:pPr>
              <w:keepNext/>
              <w:keepLines/>
              <w:spacing w:before="40" w:after="40" w:line="220" w:lineRule="exact"/>
              <w:jc w:val="right"/>
              <w:rPr>
                <w:sz w:val="18"/>
                <w:szCs w:val="18"/>
              </w:rPr>
            </w:pPr>
            <w:r>
              <w:rPr>
                <w:sz w:val="18"/>
                <w:szCs w:val="18"/>
              </w:rPr>
              <w:t>32 673</w:t>
            </w:r>
          </w:p>
        </w:tc>
        <w:tc>
          <w:tcPr>
            <w:tcW w:w="1176" w:type="dxa"/>
            <w:tcBorders>
              <w:left w:val="nil"/>
              <w:bottom w:val="nil"/>
              <w:right w:val="nil"/>
              <w:tl2br w:val="nil"/>
              <w:tr2bl w:val="nil"/>
            </w:tcBorders>
          </w:tcPr>
          <w:p w:rsidR="001D2E73" w:rsidRDefault="001D2E73">
            <w:pPr>
              <w:keepNext/>
              <w:keepLines/>
              <w:spacing w:before="40" w:after="40" w:line="220" w:lineRule="exact"/>
              <w:jc w:val="right"/>
              <w:rPr>
                <w:sz w:val="18"/>
                <w:szCs w:val="18"/>
              </w:rPr>
            </w:pPr>
            <w:r>
              <w:rPr>
                <w:sz w:val="18"/>
                <w:szCs w:val="18"/>
              </w:rPr>
              <w:t>37 600</w:t>
            </w:r>
          </w:p>
        </w:tc>
      </w:tr>
      <w:tr w:rsidR="001D2E73">
        <w:tc>
          <w:tcPr>
            <w:tcW w:w="1656" w:type="dxa"/>
          </w:tcPr>
          <w:p w:rsidR="001D2E73" w:rsidRDefault="001D2E73">
            <w:pPr>
              <w:keepNext/>
              <w:keepLines/>
              <w:spacing w:before="40" w:after="40" w:line="220" w:lineRule="exact"/>
              <w:rPr>
                <w:sz w:val="18"/>
                <w:szCs w:val="18"/>
              </w:rPr>
            </w:pPr>
            <w:r>
              <w:rPr>
                <w:sz w:val="18"/>
                <w:szCs w:val="18"/>
              </w:rPr>
              <w:t>General</w:t>
            </w:r>
          </w:p>
        </w:tc>
        <w:tc>
          <w:tcPr>
            <w:tcW w:w="1176" w:type="dxa"/>
          </w:tcPr>
          <w:p w:rsidR="001D2E73" w:rsidRDefault="001D2E73">
            <w:pPr>
              <w:keepNext/>
              <w:keepLines/>
              <w:spacing w:before="40" w:after="40" w:line="220" w:lineRule="exact"/>
              <w:jc w:val="right"/>
              <w:rPr>
                <w:sz w:val="18"/>
                <w:szCs w:val="18"/>
              </w:rPr>
            </w:pPr>
            <w:r>
              <w:rPr>
                <w:sz w:val="18"/>
                <w:szCs w:val="18"/>
              </w:rPr>
              <w:t>12 818,4</w:t>
            </w:r>
          </w:p>
        </w:tc>
        <w:tc>
          <w:tcPr>
            <w:tcW w:w="1176" w:type="dxa"/>
          </w:tcPr>
          <w:p w:rsidR="001D2E73" w:rsidRDefault="001D2E73">
            <w:pPr>
              <w:keepNext/>
              <w:keepLines/>
              <w:spacing w:before="40" w:after="40" w:line="220" w:lineRule="exact"/>
              <w:jc w:val="right"/>
              <w:rPr>
                <w:sz w:val="18"/>
                <w:szCs w:val="18"/>
              </w:rPr>
            </w:pPr>
            <w:r>
              <w:rPr>
                <w:sz w:val="18"/>
                <w:szCs w:val="18"/>
              </w:rPr>
              <w:t>14 235,2</w:t>
            </w:r>
          </w:p>
        </w:tc>
        <w:tc>
          <w:tcPr>
            <w:tcW w:w="1176" w:type="dxa"/>
          </w:tcPr>
          <w:p w:rsidR="001D2E73" w:rsidRDefault="001D2E73">
            <w:pPr>
              <w:keepNext/>
              <w:keepLines/>
              <w:spacing w:before="40" w:after="40" w:line="220" w:lineRule="exact"/>
              <w:jc w:val="right"/>
              <w:rPr>
                <w:sz w:val="18"/>
                <w:szCs w:val="18"/>
              </w:rPr>
            </w:pPr>
            <w:r>
              <w:rPr>
                <w:sz w:val="18"/>
                <w:szCs w:val="18"/>
              </w:rPr>
              <w:t>21 517,9</w:t>
            </w:r>
          </w:p>
        </w:tc>
        <w:tc>
          <w:tcPr>
            <w:tcW w:w="1176" w:type="dxa"/>
          </w:tcPr>
          <w:p w:rsidR="001D2E73" w:rsidRDefault="001D2E73">
            <w:pPr>
              <w:keepNext/>
              <w:keepLines/>
              <w:spacing w:before="40" w:after="40" w:line="220" w:lineRule="exact"/>
              <w:jc w:val="right"/>
              <w:rPr>
                <w:sz w:val="18"/>
                <w:szCs w:val="18"/>
              </w:rPr>
            </w:pPr>
            <w:r>
              <w:rPr>
                <w:sz w:val="18"/>
                <w:szCs w:val="18"/>
              </w:rPr>
              <w:t>34 766,7</w:t>
            </w:r>
          </w:p>
        </w:tc>
        <w:tc>
          <w:tcPr>
            <w:tcW w:w="1176" w:type="dxa"/>
            <w:tcBorders>
              <w:left w:val="nil"/>
              <w:bottom w:val="single" w:sz="12" w:space="0" w:color="auto"/>
              <w:right w:val="nil"/>
              <w:tl2br w:val="nil"/>
              <w:tr2bl w:val="nil"/>
            </w:tcBorders>
          </w:tcPr>
          <w:p w:rsidR="001D2E73" w:rsidRDefault="001D2E73">
            <w:pPr>
              <w:keepNext/>
              <w:keepLines/>
              <w:spacing w:before="40" w:after="40" w:line="220" w:lineRule="exact"/>
              <w:jc w:val="right"/>
              <w:rPr>
                <w:sz w:val="18"/>
                <w:szCs w:val="18"/>
              </w:rPr>
            </w:pPr>
            <w:r>
              <w:rPr>
                <w:sz w:val="18"/>
                <w:szCs w:val="18"/>
              </w:rPr>
              <w:t>39 760,8</w:t>
            </w:r>
          </w:p>
        </w:tc>
      </w:tr>
    </w:tbl>
    <w:p w:rsidR="001D2E73" w:rsidRDefault="001D2E73">
      <w:pPr>
        <w:pStyle w:val="SingleTxtGR"/>
        <w:spacing w:before="240"/>
        <w:rPr>
          <w:spacing w:val="0"/>
          <w:lang w:val="es-ES"/>
        </w:rPr>
      </w:pPr>
      <w:r>
        <w:rPr>
          <w:spacing w:val="0"/>
          <w:lang w:val="es-ES"/>
        </w:rPr>
        <w:t>561.</w:t>
      </w:r>
      <w:r>
        <w:rPr>
          <w:spacing w:val="0"/>
          <w:lang w:val="es-ES"/>
        </w:rPr>
        <w:tab/>
        <w:t xml:space="preserve">Los gastos generales del Estado en cultura, arte, educación cultural y turística, inversiones centralizadas y medios de información ascendieron a 47.523.400 AZN en 2004 y 340.161.129 AZN en 2008, respectivamente, lo que demuestra un aumento de 715% en los cinco años transcurridos. </w:t>
      </w:r>
    </w:p>
    <w:p w:rsidR="001D2E73" w:rsidRDefault="001D2E73">
      <w:pPr>
        <w:pStyle w:val="SingleTxtGR"/>
        <w:spacing w:before="240"/>
        <w:jc w:val="left"/>
        <w:rPr>
          <w:b/>
          <w:spacing w:val="0"/>
          <w:lang w:val="es-ES"/>
        </w:rPr>
      </w:pPr>
      <w:r>
        <w:rPr>
          <w:spacing w:val="0"/>
          <w:lang w:val="es-ES"/>
        </w:rPr>
        <w:t>Cuadro 31</w:t>
      </w:r>
      <w:r>
        <w:rPr>
          <w:spacing w:val="0"/>
          <w:lang w:val="es-ES"/>
        </w:rPr>
        <w:br/>
      </w:r>
      <w:r>
        <w:rPr>
          <w:b/>
          <w:spacing w:val="0"/>
          <w:lang w:val="es-ES"/>
        </w:rPr>
        <w:t>Gastos generales del Estado en la cultura: por sectores, en miles de nuevos m</w:t>
      </w:r>
      <w:r>
        <w:rPr>
          <w:b/>
          <w:spacing w:val="0"/>
          <w:lang w:val="es-ES"/>
        </w:rPr>
        <w:t>a</w:t>
      </w:r>
      <w:r>
        <w:rPr>
          <w:b/>
          <w:spacing w:val="0"/>
          <w:lang w:val="es-ES"/>
        </w:rPr>
        <w:t>nat (1 manat = 1.25 dólar de los Estados Unidos), 2008</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682"/>
        <w:gridCol w:w="1644"/>
        <w:gridCol w:w="1869"/>
        <w:gridCol w:w="1175"/>
      </w:tblGrid>
      <w:tr w:rsidR="001D2E73">
        <w:trPr>
          <w:tblHeader/>
        </w:trPr>
        <w:tc>
          <w:tcPr>
            <w:tcW w:w="3455" w:type="dxa"/>
            <w:tcBorders>
              <w:top w:val="single" w:sz="4" w:space="0" w:color="auto"/>
              <w:bottom w:val="single" w:sz="12" w:space="0" w:color="auto"/>
            </w:tcBorders>
            <w:shd w:val="clear" w:color="auto" w:fill="auto"/>
            <w:vAlign w:val="bottom"/>
          </w:tcPr>
          <w:p w:rsidR="001D2E73" w:rsidRDefault="001D2E73">
            <w:pPr>
              <w:spacing w:before="80" w:after="80" w:line="200" w:lineRule="exact"/>
              <w:rPr>
                <w:i/>
                <w:sz w:val="16"/>
                <w:szCs w:val="16"/>
              </w:rPr>
            </w:pPr>
            <w:r>
              <w:rPr>
                <w:i/>
                <w:sz w:val="16"/>
                <w:szCs w:val="16"/>
              </w:rPr>
              <w:t>Sector/orientación</w:t>
            </w:r>
          </w:p>
        </w:tc>
        <w:tc>
          <w:tcPr>
            <w:tcW w:w="2108"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szCs w:val="16"/>
              </w:rPr>
            </w:pPr>
            <w:r>
              <w:rPr>
                <w:i/>
                <w:sz w:val="16"/>
                <w:szCs w:val="16"/>
              </w:rPr>
              <w:t xml:space="preserve">Gastos directos </w:t>
            </w:r>
          </w:p>
        </w:tc>
        <w:tc>
          <w:tcPr>
            <w:tcW w:w="2400" w:type="dxa"/>
            <w:tcBorders>
              <w:top w:val="single" w:sz="4" w:space="0" w:color="auto"/>
              <w:bottom w:val="single" w:sz="12" w:space="0" w:color="auto"/>
            </w:tcBorders>
            <w:shd w:val="clear" w:color="auto" w:fill="auto"/>
            <w:vAlign w:val="bottom"/>
          </w:tcPr>
          <w:p w:rsidR="001D2E73" w:rsidRDefault="001D2E73">
            <w:pPr>
              <w:spacing w:before="80" w:after="80" w:line="200" w:lineRule="exact"/>
              <w:jc w:val="right"/>
              <w:rPr>
                <w:i/>
                <w:sz w:val="16"/>
                <w:szCs w:val="16"/>
              </w:rPr>
            </w:pPr>
            <w:r>
              <w:rPr>
                <w:i/>
                <w:sz w:val="16"/>
                <w:szCs w:val="16"/>
              </w:rPr>
              <w:t>Transferencias</w:t>
            </w:r>
            <w:r>
              <w:rPr>
                <w:i/>
                <w:sz w:val="16"/>
                <w:szCs w:val="16"/>
              </w:rPr>
              <w:br/>
              <w:t>(a nivel local)</w:t>
            </w:r>
          </w:p>
        </w:tc>
        <w:tc>
          <w:tcPr>
            <w:tcW w:w="1500" w:type="dxa"/>
            <w:tcBorders>
              <w:top w:val="single" w:sz="4" w:space="0" w:color="auto"/>
              <w:left w:val="nil"/>
              <w:bottom w:val="single" w:sz="12" w:space="0" w:color="auto"/>
              <w:right w:val="nil"/>
              <w:tl2br w:val="nil"/>
              <w:tr2bl w:val="nil"/>
            </w:tcBorders>
            <w:shd w:val="clear" w:color="auto" w:fill="auto"/>
            <w:vAlign w:val="bottom"/>
          </w:tcPr>
          <w:p w:rsidR="001D2E73" w:rsidRDefault="001D2E73">
            <w:pPr>
              <w:spacing w:before="80" w:after="80" w:line="200" w:lineRule="exact"/>
              <w:jc w:val="right"/>
              <w:rPr>
                <w:i/>
                <w:sz w:val="16"/>
                <w:szCs w:val="16"/>
              </w:rPr>
            </w:pPr>
            <w:r>
              <w:rPr>
                <w:i/>
                <w:sz w:val="16"/>
                <w:szCs w:val="16"/>
              </w:rPr>
              <w:t>Total general</w:t>
            </w:r>
          </w:p>
        </w:tc>
      </w:tr>
      <w:tr w:rsidR="001D2E73">
        <w:tc>
          <w:tcPr>
            <w:tcW w:w="3455" w:type="dxa"/>
            <w:tcBorders>
              <w:top w:val="single" w:sz="12" w:space="0" w:color="auto"/>
            </w:tcBorders>
          </w:tcPr>
          <w:p w:rsidR="001D2E73" w:rsidRDefault="001D2E73">
            <w:pPr>
              <w:spacing w:before="40" w:after="40" w:line="220" w:lineRule="exact"/>
              <w:rPr>
                <w:sz w:val="18"/>
                <w:szCs w:val="18"/>
              </w:rPr>
            </w:pPr>
            <w:r>
              <w:rPr>
                <w:sz w:val="18"/>
                <w:szCs w:val="18"/>
              </w:rPr>
              <w:t>Monumentos históricos</w:t>
            </w:r>
          </w:p>
        </w:tc>
        <w:tc>
          <w:tcPr>
            <w:tcW w:w="2108" w:type="dxa"/>
            <w:tcBorders>
              <w:top w:val="single" w:sz="12" w:space="0" w:color="auto"/>
            </w:tcBorders>
          </w:tcPr>
          <w:p w:rsidR="001D2E73" w:rsidRDefault="001D2E73">
            <w:pPr>
              <w:spacing w:before="40" w:after="40" w:line="220" w:lineRule="exact"/>
              <w:jc w:val="right"/>
              <w:rPr>
                <w:sz w:val="18"/>
                <w:szCs w:val="18"/>
              </w:rPr>
            </w:pPr>
            <w:r>
              <w:rPr>
                <w:sz w:val="18"/>
                <w:szCs w:val="18"/>
              </w:rPr>
              <w:t>2 040</w:t>
            </w:r>
          </w:p>
        </w:tc>
        <w:tc>
          <w:tcPr>
            <w:tcW w:w="2400" w:type="dxa"/>
            <w:tcBorders>
              <w:top w:val="single" w:sz="12" w:space="0" w:color="auto"/>
            </w:tcBorders>
          </w:tcPr>
          <w:p w:rsidR="001D2E73" w:rsidRDefault="001D2E73">
            <w:pPr>
              <w:spacing w:before="40" w:after="40" w:line="220" w:lineRule="exact"/>
              <w:jc w:val="right"/>
              <w:rPr>
                <w:sz w:val="18"/>
                <w:szCs w:val="18"/>
              </w:rPr>
            </w:pPr>
          </w:p>
        </w:tc>
        <w:tc>
          <w:tcPr>
            <w:tcW w:w="1500" w:type="dxa"/>
            <w:tcBorders>
              <w:top w:val="single" w:sz="12" w:space="0" w:color="auto"/>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Pr>
          <w:p w:rsidR="001D2E73" w:rsidRDefault="001D2E73">
            <w:pPr>
              <w:spacing w:before="40" w:after="40" w:line="220" w:lineRule="exact"/>
              <w:rPr>
                <w:sz w:val="18"/>
                <w:szCs w:val="18"/>
              </w:rPr>
            </w:pPr>
            <w:r>
              <w:rPr>
                <w:sz w:val="18"/>
                <w:szCs w:val="18"/>
              </w:rPr>
              <w:t>Museos</w:t>
            </w:r>
          </w:p>
        </w:tc>
        <w:tc>
          <w:tcPr>
            <w:tcW w:w="2108" w:type="dxa"/>
          </w:tcPr>
          <w:p w:rsidR="001D2E73" w:rsidRDefault="001D2E73">
            <w:pPr>
              <w:spacing w:before="40" w:after="40" w:line="220" w:lineRule="exact"/>
              <w:jc w:val="right"/>
              <w:rPr>
                <w:sz w:val="18"/>
                <w:szCs w:val="18"/>
              </w:rPr>
            </w:pPr>
            <w:r>
              <w:rPr>
                <w:sz w:val="18"/>
                <w:szCs w:val="18"/>
              </w:rPr>
              <w:t>2 569,061</w:t>
            </w:r>
          </w:p>
        </w:tc>
        <w:tc>
          <w:tcPr>
            <w:tcW w:w="2400" w:type="dxa"/>
          </w:tcPr>
          <w:p w:rsidR="001D2E73" w:rsidRDefault="001D2E73">
            <w:pPr>
              <w:spacing w:before="40" w:after="40" w:line="220" w:lineRule="exact"/>
              <w:jc w:val="right"/>
              <w:rPr>
                <w:sz w:val="18"/>
                <w:szCs w:val="18"/>
              </w:rPr>
            </w:pP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Borders>
              <w:bottom w:val="nil"/>
            </w:tcBorders>
          </w:tcPr>
          <w:p w:rsidR="001D2E73" w:rsidRDefault="001D2E73">
            <w:pPr>
              <w:spacing w:before="40" w:after="40" w:line="220" w:lineRule="exact"/>
              <w:rPr>
                <w:sz w:val="18"/>
                <w:szCs w:val="18"/>
              </w:rPr>
            </w:pPr>
            <w:r>
              <w:rPr>
                <w:sz w:val="18"/>
                <w:szCs w:val="18"/>
              </w:rPr>
              <w:t>Bibliotecas</w:t>
            </w:r>
          </w:p>
        </w:tc>
        <w:tc>
          <w:tcPr>
            <w:tcW w:w="2108" w:type="dxa"/>
            <w:tcBorders>
              <w:bottom w:val="nil"/>
            </w:tcBorders>
          </w:tcPr>
          <w:p w:rsidR="001D2E73" w:rsidRDefault="001D2E73">
            <w:pPr>
              <w:spacing w:before="40" w:after="40" w:line="220" w:lineRule="exact"/>
              <w:jc w:val="right"/>
              <w:rPr>
                <w:sz w:val="18"/>
                <w:szCs w:val="18"/>
              </w:rPr>
            </w:pPr>
            <w:r>
              <w:rPr>
                <w:sz w:val="18"/>
                <w:szCs w:val="18"/>
              </w:rPr>
              <w:t>3 219,421</w:t>
            </w:r>
          </w:p>
        </w:tc>
        <w:tc>
          <w:tcPr>
            <w:tcW w:w="2400" w:type="dxa"/>
            <w:tcBorders>
              <w:bottom w:val="nil"/>
            </w:tcBorders>
          </w:tcPr>
          <w:p w:rsidR="001D2E73" w:rsidRDefault="001D2E73">
            <w:pPr>
              <w:spacing w:before="40" w:after="40" w:line="220" w:lineRule="exact"/>
              <w:jc w:val="right"/>
              <w:rPr>
                <w:sz w:val="18"/>
                <w:szCs w:val="18"/>
              </w:rPr>
            </w:pP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Borders>
              <w:top w:val="nil"/>
              <w:bottom w:val="nil"/>
            </w:tcBorders>
          </w:tcPr>
          <w:p w:rsidR="001D2E73" w:rsidRDefault="001D2E73">
            <w:pPr>
              <w:spacing w:before="40" w:after="40" w:line="220" w:lineRule="exact"/>
              <w:rPr>
                <w:sz w:val="18"/>
                <w:szCs w:val="18"/>
              </w:rPr>
            </w:pPr>
            <w:r>
              <w:rPr>
                <w:sz w:val="18"/>
                <w:szCs w:val="18"/>
              </w:rPr>
              <w:t>Conciertos, actividades teatrales</w:t>
            </w:r>
          </w:p>
        </w:tc>
        <w:tc>
          <w:tcPr>
            <w:tcW w:w="2108" w:type="dxa"/>
            <w:tcBorders>
              <w:top w:val="nil"/>
              <w:bottom w:val="nil"/>
            </w:tcBorders>
          </w:tcPr>
          <w:p w:rsidR="001D2E73" w:rsidRDefault="001D2E73">
            <w:pPr>
              <w:spacing w:before="40" w:after="40" w:line="220" w:lineRule="exact"/>
              <w:jc w:val="right"/>
              <w:rPr>
                <w:sz w:val="18"/>
                <w:szCs w:val="18"/>
              </w:rPr>
            </w:pPr>
            <w:r>
              <w:rPr>
                <w:sz w:val="18"/>
                <w:szCs w:val="18"/>
              </w:rPr>
              <w:t>10 267,27</w:t>
            </w:r>
          </w:p>
        </w:tc>
        <w:tc>
          <w:tcPr>
            <w:tcW w:w="2400" w:type="dxa"/>
            <w:tcBorders>
              <w:top w:val="nil"/>
              <w:bottom w:val="nil"/>
            </w:tcBorders>
          </w:tcPr>
          <w:p w:rsidR="001D2E73" w:rsidRDefault="001D2E73">
            <w:pPr>
              <w:spacing w:before="40" w:after="40" w:line="220" w:lineRule="exact"/>
              <w:jc w:val="right"/>
              <w:rPr>
                <w:sz w:val="18"/>
                <w:szCs w:val="18"/>
              </w:rPr>
            </w:pP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Borders>
              <w:top w:val="nil"/>
            </w:tcBorders>
          </w:tcPr>
          <w:p w:rsidR="001D2E73" w:rsidRDefault="001D2E73">
            <w:pPr>
              <w:spacing w:before="40" w:after="40" w:line="220" w:lineRule="exact"/>
              <w:rPr>
                <w:sz w:val="18"/>
                <w:szCs w:val="18"/>
              </w:rPr>
            </w:pPr>
            <w:r>
              <w:rPr>
                <w:sz w:val="18"/>
                <w:szCs w:val="18"/>
              </w:rPr>
              <w:t>Cine</w:t>
            </w:r>
          </w:p>
        </w:tc>
        <w:tc>
          <w:tcPr>
            <w:tcW w:w="2108" w:type="dxa"/>
            <w:tcBorders>
              <w:top w:val="nil"/>
            </w:tcBorders>
          </w:tcPr>
          <w:p w:rsidR="001D2E73" w:rsidRDefault="001D2E73">
            <w:pPr>
              <w:spacing w:before="40" w:after="40" w:line="220" w:lineRule="exact"/>
              <w:jc w:val="right"/>
              <w:rPr>
                <w:sz w:val="18"/>
                <w:szCs w:val="18"/>
              </w:rPr>
            </w:pPr>
            <w:r>
              <w:rPr>
                <w:sz w:val="18"/>
                <w:szCs w:val="18"/>
              </w:rPr>
              <w:t>6 308,537</w:t>
            </w:r>
          </w:p>
        </w:tc>
        <w:tc>
          <w:tcPr>
            <w:tcW w:w="2400" w:type="dxa"/>
            <w:tcBorders>
              <w:top w:val="nil"/>
            </w:tcBorders>
          </w:tcPr>
          <w:p w:rsidR="001D2E73" w:rsidRDefault="001D2E73">
            <w:pPr>
              <w:spacing w:before="40" w:after="40" w:line="220" w:lineRule="exact"/>
              <w:jc w:val="right"/>
              <w:rPr>
                <w:sz w:val="18"/>
                <w:szCs w:val="18"/>
              </w:rPr>
            </w:pP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Pr>
          <w:p w:rsidR="001D2E73" w:rsidRDefault="001D2E73">
            <w:pPr>
              <w:spacing w:before="40" w:after="40" w:line="220" w:lineRule="exact"/>
              <w:rPr>
                <w:sz w:val="18"/>
                <w:szCs w:val="18"/>
              </w:rPr>
            </w:pPr>
            <w:r>
              <w:rPr>
                <w:sz w:val="18"/>
                <w:szCs w:val="18"/>
              </w:rPr>
              <w:t>Actividades culturales</w:t>
            </w:r>
          </w:p>
        </w:tc>
        <w:tc>
          <w:tcPr>
            <w:tcW w:w="2108" w:type="dxa"/>
          </w:tcPr>
          <w:p w:rsidR="001D2E73" w:rsidRDefault="001D2E73">
            <w:pPr>
              <w:spacing w:before="40" w:after="40" w:line="220" w:lineRule="exact"/>
              <w:jc w:val="right"/>
              <w:rPr>
                <w:sz w:val="18"/>
                <w:szCs w:val="18"/>
              </w:rPr>
            </w:pPr>
            <w:r>
              <w:rPr>
                <w:sz w:val="18"/>
                <w:szCs w:val="18"/>
              </w:rPr>
              <w:t>8 123,422</w:t>
            </w:r>
          </w:p>
        </w:tc>
        <w:tc>
          <w:tcPr>
            <w:tcW w:w="2400" w:type="dxa"/>
          </w:tcPr>
          <w:p w:rsidR="001D2E73" w:rsidRDefault="001D2E73">
            <w:pPr>
              <w:spacing w:before="40" w:after="40" w:line="220" w:lineRule="exact"/>
              <w:jc w:val="right"/>
              <w:rPr>
                <w:sz w:val="18"/>
                <w:szCs w:val="18"/>
              </w:rPr>
            </w:pP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Pr>
          <w:p w:rsidR="001D2E73" w:rsidRDefault="001D2E73">
            <w:pPr>
              <w:spacing w:before="40" w:after="40" w:line="220" w:lineRule="exact"/>
              <w:rPr>
                <w:sz w:val="18"/>
                <w:szCs w:val="18"/>
              </w:rPr>
            </w:pPr>
            <w:r>
              <w:rPr>
                <w:sz w:val="18"/>
                <w:szCs w:val="18"/>
              </w:rPr>
              <w:t>Generales (en la cultura local)</w:t>
            </w:r>
          </w:p>
        </w:tc>
        <w:tc>
          <w:tcPr>
            <w:tcW w:w="2108" w:type="dxa"/>
          </w:tcPr>
          <w:p w:rsidR="001D2E73" w:rsidRDefault="001D2E73">
            <w:pPr>
              <w:spacing w:before="40" w:after="40" w:line="220" w:lineRule="exact"/>
              <w:jc w:val="right"/>
              <w:rPr>
                <w:sz w:val="18"/>
                <w:szCs w:val="18"/>
              </w:rPr>
            </w:pPr>
          </w:p>
        </w:tc>
        <w:tc>
          <w:tcPr>
            <w:tcW w:w="2400" w:type="dxa"/>
          </w:tcPr>
          <w:p w:rsidR="001D2E73" w:rsidRDefault="001D2E73">
            <w:pPr>
              <w:spacing w:before="40" w:after="40" w:line="220" w:lineRule="exact"/>
              <w:jc w:val="right"/>
              <w:rPr>
                <w:sz w:val="18"/>
                <w:szCs w:val="18"/>
              </w:rPr>
            </w:pPr>
            <w:r>
              <w:rPr>
                <w:sz w:val="18"/>
                <w:szCs w:val="18"/>
              </w:rPr>
              <w:t>37 571,127</w:t>
            </w: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Pr>
          <w:p w:rsidR="001D2E73" w:rsidRDefault="001D2E73">
            <w:pPr>
              <w:spacing w:before="40" w:after="40" w:line="220" w:lineRule="exact"/>
              <w:rPr>
                <w:sz w:val="18"/>
                <w:szCs w:val="18"/>
              </w:rPr>
            </w:pPr>
            <w:r>
              <w:rPr>
                <w:sz w:val="18"/>
                <w:szCs w:val="18"/>
              </w:rPr>
              <w:t>Actividades de la UNESCO</w:t>
            </w:r>
          </w:p>
        </w:tc>
        <w:tc>
          <w:tcPr>
            <w:tcW w:w="2108" w:type="dxa"/>
          </w:tcPr>
          <w:p w:rsidR="001D2E73" w:rsidRDefault="001D2E73">
            <w:pPr>
              <w:spacing w:before="40" w:after="40" w:line="220" w:lineRule="exact"/>
              <w:jc w:val="right"/>
              <w:rPr>
                <w:sz w:val="18"/>
                <w:szCs w:val="18"/>
              </w:rPr>
            </w:pPr>
            <w:r>
              <w:rPr>
                <w:sz w:val="18"/>
                <w:szCs w:val="18"/>
              </w:rPr>
              <w:t>233,3</w:t>
            </w:r>
          </w:p>
        </w:tc>
        <w:tc>
          <w:tcPr>
            <w:tcW w:w="2400" w:type="dxa"/>
          </w:tcPr>
          <w:p w:rsidR="001D2E73" w:rsidRDefault="001D2E73">
            <w:pPr>
              <w:spacing w:before="40" w:after="40" w:line="220" w:lineRule="exact"/>
              <w:jc w:val="right"/>
              <w:rPr>
                <w:sz w:val="18"/>
                <w:szCs w:val="18"/>
              </w:rPr>
            </w:pP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Pr>
          <w:p w:rsidR="001D2E73" w:rsidRDefault="001D2E73">
            <w:pPr>
              <w:spacing w:before="40" w:after="40" w:line="220" w:lineRule="exact"/>
              <w:rPr>
                <w:sz w:val="18"/>
                <w:szCs w:val="18"/>
              </w:rPr>
            </w:pPr>
            <w:r>
              <w:rPr>
                <w:sz w:val="18"/>
                <w:szCs w:val="18"/>
              </w:rPr>
              <w:t>Turismo cultural</w:t>
            </w:r>
          </w:p>
        </w:tc>
        <w:tc>
          <w:tcPr>
            <w:tcW w:w="2108" w:type="dxa"/>
          </w:tcPr>
          <w:p w:rsidR="001D2E73" w:rsidRDefault="001D2E73">
            <w:pPr>
              <w:spacing w:before="40" w:after="40" w:line="220" w:lineRule="exact"/>
              <w:jc w:val="right"/>
              <w:rPr>
                <w:sz w:val="18"/>
                <w:szCs w:val="18"/>
              </w:rPr>
            </w:pPr>
            <w:r>
              <w:rPr>
                <w:sz w:val="18"/>
                <w:szCs w:val="18"/>
              </w:rPr>
              <w:t>6 295</w:t>
            </w:r>
          </w:p>
        </w:tc>
        <w:tc>
          <w:tcPr>
            <w:tcW w:w="2400" w:type="dxa"/>
          </w:tcPr>
          <w:p w:rsidR="001D2E73" w:rsidRDefault="001D2E73">
            <w:pPr>
              <w:spacing w:before="40" w:after="40" w:line="220" w:lineRule="exact"/>
              <w:jc w:val="right"/>
              <w:rPr>
                <w:sz w:val="18"/>
                <w:szCs w:val="18"/>
              </w:rPr>
            </w:pP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Pr>
          <w:p w:rsidR="001D2E73" w:rsidRDefault="001D2E73">
            <w:pPr>
              <w:spacing w:before="40" w:after="40" w:line="220" w:lineRule="exact"/>
              <w:rPr>
                <w:sz w:val="18"/>
                <w:szCs w:val="18"/>
              </w:rPr>
            </w:pPr>
            <w:r>
              <w:rPr>
                <w:sz w:val="18"/>
                <w:szCs w:val="18"/>
              </w:rPr>
              <w:t>Centro Nacional de Cocina</w:t>
            </w:r>
          </w:p>
        </w:tc>
        <w:tc>
          <w:tcPr>
            <w:tcW w:w="2108" w:type="dxa"/>
          </w:tcPr>
          <w:p w:rsidR="001D2E73" w:rsidRDefault="001D2E73">
            <w:pPr>
              <w:spacing w:before="40" w:after="40" w:line="220" w:lineRule="exact"/>
              <w:jc w:val="right"/>
              <w:rPr>
                <w:sz w:val="18"/>
                <w:szCs w:val="18"/>
              </w:rPr>
            </w:pPr>
            <w:r>
              <w:rPr>
                <w:sz w:val="18"/>
                <w:szCs w:val="18"/>
              </w:rPr>
              <w:t>99 423</w:t>
            </w:r>
          </w:p>
        </w:tc>
        <w:tc>
          <w:tcPr>
            <w:tcW w:w="2400" w:type="dxa"/>
          </w:tcPr>
          <w:p w:rsidR="001D2E73" w:rsidRDefault="001D2E73">
            <w:pPr>
              <w:spacing w:before="40" w:after="40" w:line="220" w:lineRule="exact"/>
              <w:jc w:val="right"/>
              <w:rPr>
                <w:sz w:val="18"/>
                <w:szCs w:val="18"/>
              </w:rPr>
            </w:pP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Pr>
          <w:p w:rsidR="001D2E73" w:rsidRDefault="001D2E73">
            <w:pPr>
              <w:spacing w:before="40" w:after="40" w:line="220" w:lineRule="exact"/>
              <w:rPr>
                <w:sz w:val="18"/>
                <w:szCs w:val="18"/>
              </w:rPr>
            </w:pPr>
            <w:r>
              <w:rPr>
                <w:sz w:val="18"/>
                <w:szCs w:val="18"/>
              </w:rPr>
              <w:t>Subsidios a trabajadores de la cultura</w:t>
            </w:r>
          </w:p>
        </w:tc>
        <w:tc>
          <w:tcPr>
            <w:tcW w:w="2108" w:type="dxa"/>
          </w:tcPr>
          <w:p w:rsidR="001D2E73" w:rsidRDefault="001D2E73">
            <w:pPr>
              <w:spacing w:before="40" w:after="40" w:line="220" w:lineRule="exact"/>
              <w:jc w:val="right"/>
              <w:rPr>
                <w:sz w:val="18"/>
                <w:szCs w:val="18"/>
              </w:rPr>
            </w:pPr>
            <w:r>
              <w:rPr>
                <w:sz w:val="18"/>
                <w:szCs w:val="18"/>
              </w:rPr>
              <w:t>601 92</w:t>
            </w:r>
          </w:p>
        </w:tc>
        <w:tc>
          <w:tcPr>
            <w:tcW w:w="2400" w:type="dxa"/>
          </w:tcPr>
          <w:p w:rsidR="001D2E73" w:rsidRDefault="001D2E73">
            <w:pPr>
              <w:spacing w:before="40" w:after="40" w:line="220" w:lineRule="exact"/>
              <w:jc w:val="right"/>
              <w:rPr>
                <w:sz w:val="18"/>
                <w:szCs w:val="18"/>
              </w:rPr>
            </w:pP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Borders>
              <w:bottom w:val="nil"/>
            </w:tcBorders>
          </w:tcPr>
          <w:p w:rsidR="001D2E73" w:rsidRDefault="001D2E73">
            <w:pPr>
              <w:spacing w:before="40" w:after="40" w:line="220" w:lineRule="exact"/>
              <w:rPr>
                <w:sz w:val="18"/>
                <w:szCs w:val="18"/>
              </w:rPr>
            </w:pPr>
            <w:r>
              <w:rPr>
                <w:sz w:val="18"/>
                <w:szCs w:val="18"/>
              </w:rPr>
              <w:t>Educación</w:t>
            </w:r>
          </w:p>
        </w:tc>
        <w:tc>
          <w:tcPr>
            <w:tcW w:w="2108" w:type="dxa"/>
            <w:tcBorders>
              <w:bottom w:val="nil"/>
            </w:tcBorders>
          </w:tcPr>
          <w:p w:rsidR="001D2E73" w:rsidRDefault="001D2E73">
            <w:pPr>
              <w:spacing w:before="40" w:after="40" w:line="220" w:lineRule="exact"/>
              <w:jc w:val="right"/>
              <w:rPr>
                <w:sz w:val="18"/>
                <w:szCs w:val="18"/>
              </w:rPr>
            </w:pPr>
            <w:r>
              <w:rPr>
                <w:sz w:val="18"/>
                <w:szCs w:val="18"/>
              </w:rPr>
              <w:t>2 168,422</w:t>
            </w:r>
          </w:p>
        </w:tc>
        <w:tc>
          <w:tcPr>
            <w:tcW w:w="2400" w:type="dxa"/>
            <w:tcBorders>
              <w:bottom w:val="nil"/>
            </w:tcBorders>
          </w:tcPr>
          <w:p w:rsidR="001D2E73" w:rsidRDefault="001D2E73">
            <w:pPr>
              <w:spacing w:before="40" w:after="40" w:line="220" w:lineRule="exact"/>
              <w:jc w:val="right"/>
              <w:rPr>
                <w:sz w:val="18"/>
                <w:szCs w:val="18"/>
              </w:rPr>
            </w:pPr>
            <w:r>
              <w:rPr>
                <w:sz w:val="18"/>
                <w:szCs w:val="18"/>
              </w:rPr>
              <w:t>37 592,415</w:t>
            </w:r>
          </w:p>
        </w:tc>
        <w:tc>
          <w:tcPr>
            <w:tcW w:w="1500" w:type="dxa"/>
            <w:tcBorders>
              <w:left w:val="nil"/>
              <w:bottom w:val="nil"/>
              <w:right w:val="nil"/>
              <w:tl2br w:val="nil"/>
              <w:tr2bl w:val="nil"/>
            </w:tcBorders>
          </w:tcPr>
          <w:p w:rsidR="001D2E73" w:rsidRDefault="001D2E73">
            <w:pPr>
              <w:spacing w:before="40" w:after="40" w:line="220" w:lineRule="exact"/>
              <w:jc w:val="right"/>
              <w:rPr>
                <w:sz w:val="18"/>
                <w:szCs w:val="18"/>
              </w:rPr>
            </w:pPr>
          </w:p>
        </w:tc>
      </w:tr>
      <w:tr w:rsidR="001D2E73">
        <w:tc>
          <w:tcPr>
            <w:tcW w:w="3455" w:type="dxa"/>
            <w:tcBorders>
              <w:top w:val="nil"/>
              <w:bottom w:val="nil"/>
            </w:tcBorders>
          </w:tcPr>
          <w:p w:rsidR="001D2E73" w:rsidRDefault="001D2E73">
            <w:pPr>
              <w:spacing w:before="40" w:after="40" w:line="220" w:lineRule="exact"/>
              <w:rPr>
                <w:sz w:val="18"/>
                <w:szCs w:val="18"/>
              </w:rPr>
            </w:pPr>
            <w:r>
              <w:rPr>
                <w:sz w:val="18"/>
                <w:szCs w:val="18"/>
              </w:rPr>
              <w:t>Administración</w:t>
            </w:r>
          </w:p>
        </w:tc>
        <w:tc>
          <w:tcPr>
            <w:tcW w:w="2108" w:type="dxa"/>
            <w:tcBorders>
              <w:top w:val="nil"/>
              <w:bottom w:val="nil"/>
            </w:tcBorders>
          </w:tcPr>
          <w:p w:rsidR="001D2E73" w:rsidRDefault="001D2E73">
            <w:pPr>
              <w:spacing w:before="40" w:after="40" w:line="220" w:lineRule="exact"/>
              <w:jc w:val="right"/>
              <w:rPr>
                <w:sz w:val="18"/>
                <w:szCs w:val="18"/>
              </w:rPr>
            </w:pPr>
            <w:r>
              <w:rPr>
                <w:sz w:val="18"/>
                <w:szCs w:val="18"/>
              </w:rPr>
              <w:t>1 559,718</w:t>
            </w:r>
          </w:p>
        </w:tc>
        <w:tc>
          <w:tcPr>
            <w:tcW w:w="2400" w:type="dxa"/>
            <w:tcBorders>
              <w:top w:val="nil"/>
              <w:bottom w:val="nil"/>
            </w:tcBorders>
          </w:tcPr>
          <w:p w:rsidR="001D2E73" w:rsidRDefault="001D2E73">
            <w:pPr>
              <w:spacing w:before="40" w:after="40" w:line="220" w:lineRule="exact"/>
              <w:jc w:val="right"/>
              <w:rPr>
                <w:sz w:val="18"/>
                <w:szCs w:val="18"/>
              </w:rPr>
            </w:pPr>
            <w:r>
              <w:rPr>
                <w:sz w:val="18"/>
                <w:szCs w:val="18"/>
              </w:rPr>
              <w:t>655,15</w:t>
            </w:r>
          </w:p>
        </w:tc>
        <w:tc>
          <w:tcPr>
            <w:tcW w:w="1500" w:type="dxa"/>
            <w:tcBorders>
              <w:top w:val="nil"/>
              <w:left w:val="nil"/>
              <w:bottom w:val="nil"/>
              <w:right w:val="nil"/>
              <w:tl2br w:val="nil"/>
              <w:tr2bl w:val="nil"/>
            </w:tcBorders>
          </w:tcPr>
          <w:p w:rsidR="001D2E73" w:rsidRDefault="001D2E73">
            <w:pPr>
              <w:spacing w:before="40" w:after="40" w:line="220" w:lineRule="exact"/>
              <w:jc w:val="right"/>
              <w:rPr>
                <w:sz w:val="18"/>
                <w:szCs w:val="18"/>
              </w:rPr>
            </w:pPr>
          </w:p>
        </w:tc>
      </w:tr>
      <w:tr w:rsidR="001D2E73">
        <w:trPr>
          <w:trHeight w:val="70"/>
        </w:trPr>
        <w:tc>
          <w:tcPr>
            <w:tcW w:w="3455" w:type="dxa"/>
            <w:tcBorders>
              <w:top w:val="nil"/>
            </w:tcBorders>
          </w:tcPr>
          <w:p w:rsidR="001D2E73" w:rsidRDefault="001D2E73">
            <w:pPr>
              <w:spacing w:before="40" w:after="40" w:line="220" w:lineRule="exact"/>
              <w:rPr>
                <w:sz w:val="18"/>
                <w:szCs w:val="18"/>
              </w:rPr>
            </w:pPr>
            <w:r>
              <w:rPr>
                <w:sz w:val="18"/>
                <w:szCs w:val="18"/>
              </w:rPr>
              <w:t>Inversiones de capital</w:t>
            </w:r>
          </w:p>
        </w:tc>
        <w:tc>
          <w:tcPr>
            <w:tcW w:w="2108" w:type="dxa"/>
            <w:tcBorders>
              <w:top w:val="nil"/>
            </w:tcBorders>
          </w:tcPr>
          <w:p w:rsidR="001D2E73" w:rsidRDefault="001D2E73">
            <w:pPr>
              <w:spacing w:before="40" w:after="40" w:line="220" w:lineRule="exact"/>
              <w:jc w:val="right"/>
              <w:rPr>
                <w:sz w:val="18"/>
                <w:szCs w:val="18"/>
              </w:rPr>
            </w:pPr>
            <w:r>
              <w:rPr>
                <w:sz w:val="18"/>
                <w:szCs w:val="18"/>
              </w:rPr>
              <w:t>220 150</w:t>
            </w:r>
          </w:p>
        </w:tc>
        <w:tc>
          <w:tcPr>
            <w:tcW w:w="2400" w:type="dxa"/>
            <w:tcBorders>
              <w:top w:val="nil"/>
            </w:tcBorders>
          </w:tcPr>
          <w:p w:rsidR="001D2E73" w:rsidRDefault="001D2E73">
            <w:pPr>
              <w:spacing w:before="40" w:after="40" w:line="220" w:lineRule="exact"/>
              <w:jc w:val="right"/>
              <w:rPr>
                <w:sz w:val="18"/>
                <w:szCs w:val="18"/>
              </w:rPr>
            </w:pPr>
          </w:p>
        </w:tc>
        <w:tc>
          <w:tcPr>
            <w:tcW w:w="1500" w:type="dxa"/>
            <w:tcBorders>
              <w:top w:val="nil"/>
              <w:left w:val="nil"/>
              <w:bottom w:val="nil"/>
              <w:right w:val="nil"/>
              <w:tl2br w:val="nil"/>
              <w:tr2bl w:val="nil"/>
            </w:tcBorders>
          </w:tcPr>
          <w:p w:rsidR="001D2E73" w:rsidRDefault="001D2E73">
            <w:pPr>
              <w:spacing w:before="40" w:after="40" w:line="220" w:lineRule="exact"/>
              <w:jc w:val="right"/>
              <w:rPr>
                <w:sz w:val="18"/>
                <w:szCs w:val="18"/>
              </w:rPr>
            </w:pPr>
          </w:p>
        </w:tc>
      </w:tr>
      <w:tr w:rsidR="001D2E73">
        <w:trPr>
          <w:trHeight w:val="70"/>
        </w:trPr>
        <w:tc>
          <w:tcPr>
            <w:tcW w:w="3455" w:type="dxa"/>
            <w:tcBorders>
              <w:bottom w:val="single" w:sz="4" w:space="0" w:color="auto"/>
            </w:tcBorders>
          </w:tcPr>
          <w:p w:rsidR="001D2E73" w:rsidRDefault="001D2E73">
            <w:pPr>
              <w:spacing w:before="40" w:after="40" w:line="220" w:lineRule="exact"/>
              <w:rPr>
                <w:sz w:val="18"/>
                <w:szCs w:val="18"/>
              </w:rPr>
            </w:pPr>
            <w:r>
              <w:rPr>
                <w:sz w:val="18"/>
                <w:szCs w:val="18"/>
              </w:rPr>
              <w:t xml:space="preserve">Otros </w:t>
            </w:r>
          </w:p>
        </w:tc>
        <w:tc>
          <w:tcPr>
            <w:tcW w:w="2108" w:type="dxa"/>
            <w:tcBorders>
              <w:bottom w:val="single" w:sz="4" w:space="0" w:color="auto"/>
            </w:tcBorders>
          </w:tcPr>
          <w:p w:rsidR="001D2E73" w:rsidRDefault="001D2E73">
            <w:pPr>
              <w:spacing w:before="40" w:after="40" w:line="220" w:lineRule="exact"/>
              <w:jc w:val="right"/>
              <w:rPr>
                <w:sz w:val="18"/>
                <w:szCs w:val="18"/>
              </w:rPr>
            </w:pPr>
            <w:r>
              <w:rPr>
                <w:sz w:val="18"/>
                <w:szCs w:val="18"/>
              </w:rPr>
              <w:t>707 243</w:t>
            </w:r>
          </w:p>
        </w:tc>
        <w:tc>
          <w:tcPr>
            <w:tcW w:w="2400" w:type="dxa"/>
            <w:tcBorders>
              <w:bottom w:val="single" w:sz="4" w:space="0" w:color="auto"/>
            </w:tcBorders>
          </w:tcPr>
          <w:p w:rsidR="001D2E73" w:rsidRDefault="001D2E73">
            <w:pPr>
              <w:spacing w:before="40" w:after="40" w:line="220" w:lineRule="exact"/>
              <w:jc w:val="right"/>
              <w:rPr>
                <w:sz w:val="18"/>
                <w:szCs w:val="18"/>
              </w:rPr>
            </w:pPr>
          </w:p>
        </w:tc>
        <w:tc>
          <w:tcPr>
            <w:tcW w:w="1500" w:type="dxa"/>
            <w:tcBorders>
              <w:left w:val="nil"/>
              <w:bottom w:val="single" w:sz="4" w:space="0" w:color="auto"/>
              <w:right w:val="nil"/>
              <w:tl2br w:val="nil"/>
              <w:tr2bl w:val="nil"/>
            </w:tcBorders>
          </w:tcPr>
          <w:p w:rsidR="001D2E73" w:rsidRDefault="001D2E73">
            <w:pPr>
              <w:spacing w:before="40" w:after="40" w:line="220" w:lineRule="exact"/>
              <w:jc w:val="right"/>
              <w:rPr>
                <w:sz w:val="18"/>
                <w:szCs w:val="18"/>
              </w:rPr>
            </w:pPr>
          </w:p>
        </w:tc>
      </w:tr>
      <w:tr w:rsidR="001D2E73">
        <w:tc>
          <w:tcPr>
            <w:tcW w:w="3455" w:type="dxa"/>
            <w:tcBorders>
              <w:top w:val="single" w:sz="4" w:space="0" w:color="auto"/>
              <w:bottom w:val="single" w:sz="12" w:space="0" w:color="auto"/>
            </w:tcBorders>
          </w:tcPr>
          <w:p w:rsidR="001D2E73" w:rsidRDefault="001D2E73">
            <w:pPr>
              <w:spacing w:before="80" w:after="80" w:line="200" w:lineRule="exact"/>
              <w:ind w:left="284"/>
              <w:rPr>
                <w:b/>
                <w:sz w:val="18"/>
                <w:szCs w:val="18"/>
              </w:rPr>
            </w:pPr>
            <w:r>
              <w:rPr>
                <w:b/>
                <w:sz w:val="18"/>
                <w:szCs w:val="18"/>
              </w:rPr>
              <w:t>Total general</w:t>
            </w:r>
          </w:p>
        </w:tc>
        <w:tc>
          <w:tcPr>
            <w:tcW w:w="2108" w:type="dxa"/>
            <w:tcBorders>
              <w:top w:val="single" w:sz="4" w:space="0" w:color="auto"/>
              <w:bottom w:val="single" w:sz="12" w:space="0" w:color="auto"/>
            </w:tcBorders>
          </w:tcPr>
          <w:p w:rsidR="001D2E73" w:rsidRDefault="001D2E73">
            <w:pPr>
              <w:spacing w:before="80" w:after="80" w:line="200" w:lineRule="exact"/>
              <w:jc w:val="right"/>
              <w:rPr>
                <w:b/>
                <w:sz w:val="18"/>
                <w:szCs w:val="18"/>
              </w:rPr>
            </w:pPr>
            <w:r>
              <w:rPr>
                <w:b/>
                <w:sz w:val="18"/>
                <w:szCs w:val="18"/>
              </w:rPr>
              <w:t>264 342,437</w:t>
            </w:r>
          </w:p>
        </w:tc>
        <w:tc>
          <w:tcPr>
            <w:tcW w:w="2400" w:type="dxa"/>
            <w:tcBorders>
              <w:top w:val="single" w:sz="4" w:space="0" w:color="auto"/>
              <w:bottom w:val="single" w:sz="12" w:space="0" w:color="auto"/>
            </w:tcBorders>
          </w:tcPr>
          <w:p w:rsidR="001D2E73" w:rsidRDefault="001D2E73">
            <w:pPr>
              <w:spacing w:before="80" w:after="80" w:line="200" w:lineRule="exact"/>
              <w:jc w:val="right"/>
              <w:rPr>
                <w:b/>
                <w:sz w:val="18"/>
                <w:szCs w:val="18"/>
              </w:rPr>
            </w:pPr>
            <w:r>
              <w:rPr>
                <w:b/>
                <w:sz w:val="18"/>
                <w:szCs w:val="18"/>
              </w:rPr>
              <w:t>75 818,692</w:t>
            </w:r>
          </w:p>
        </w:tc>
        <w:tc>
          <w:tcPr>
            <w:tcW w:w="1500" w:type="dxa"/>
            <w:tcBorders>
              <w:top w:val="single" w:sz="4" w:space="0" w:color="auto"/>
              <w:left w:val="nil"/>
              <w:bottom w:val="single" w:sz="12" w:space="0" w:color="auto"/>
              <w:right w:val="nil"/>
              <w:tl2br w:val="nil"/>
              <w:tr2bl w:val="nil"/>
            </w:tcBorders>
          </w:tcPr>
          <w:p w:rsidR="001D2E73" w:rsidRDefault="001D2E73">
            <w:pPr>
              <w:spacing w:before="80" w:after="80" w:line="200" w:lineRule="exact"/>
              <w:jc w:val="right"/>
              <w:rPr>
                <w:b/>
                <w:sz w:val="18"/>
                <w:szCs w:val="18"/>
              </w:rPr>
            </w:pPr>
            <w:r>
              <w:rPr>
                <w:b/>
                <w:sz w:val="18"/>
                <w:szCs w:val="18"/>
              </w:rPr>
              <w:t>340 161,129</w:t>
            </w:r>
          </w:p>
        </w:tc>
      </w:tr>
    </w:tbl>
    <w:p w:rsidR="001D2E73" w:rsidRDefault="001D2E73">
      <w:pPr>
        <w:pStyle w:val="SingleTxtGR"/>
        <w:spacing w:before="240"/>
        <w:rPr>
          <w:spacing w:val="0"/>
          <w:lang w:val="es-ES"/>
        </w:rPr>
      </w:pPr>
      <w:r>
        <w:rPr>
          <w:spacing w:val="0"/>
          <w:lang w:val="es-ES"/>
        </w:rPr>
        <w:t>562.</w:t>
      </w:r>
      <w:r>
        <w:rPr>
          <w:spacing w:val="0"/>
          <w:lang w:val="es-ES"/>
        </w:rPr>
        <w:tab/>
        <w:t xml:space="preserve">Los presupuestos central y locales apoyan la creación cultural y a los creadores y garantizan, en lo fundamental, las condiciones propicias para apoyar a las instituciones culturales, los sueldos, honorarios, las pensiones y los boletines. Otra manera en que el Estado apoya la capacidad creadora es incorporando a los creadores en la ejecución de programas y proyectos, prestando apoyo en la organización y financiación de proyectos e iniciativas del sector privado, celebrando festivales y concursos de distintos tipos de arte (teatro, música, artes plásticas), delegando actividades internacionales y garantizando la enseñanza especializada gratuita en los niveles primario, secundario y superior. </w:t>
      </w:r>
    </w:p>
    <w:p w:rsidR="001D2E73" w:rsidRDefault="001D2E73">
      <w:pPr>
        <w:pStyle w:val="SingleTxtGR"/>
        <w:rPr>
          <w:b/>
          <w:bCs/>
          <w:spacing w:val="0"/>
          <w:lang w:val="es-ES"/>
        </w:rPr>
      </w:pPr>
      <w:r>
        <w:rPr>
          <w:spacing w:val="0"/>
          <w:lang w:val="es-ES"/>
        </w:rPr>
        <w:t>563.</w:t>
      </w:r>
      <w:r>
        <w:rPr>
          <w:spacing w:val="0"/>
          <w:lang w:val="es-ES"/>
        </w:rPr>
        <w:tab/>
        <w:t>Se garantiza el acceso libre y en condiciones favorables a los museos, los bosques nacionales y los monumentos a los participantes en la guerra de Nagorno-Karabaj, a los familiares de los caídos, a las personas con discapacidad y jubilados, a los huérfanos y a los alumnos de enseñanza media y a estudiantes y otras personas, al igual que a todo visitante en los días de fiesta oficiales del Estado, los días internacionales en los museos y a los turistas. Todas estas medidas están destinadas a contribuir al desarrollo de la conciencia social y de la unidad nacional, y a intensificar la participación en la vida cultural de la sociedad.</w:t>
      </w:r>
    </w:p>
    <w:p w:rsidR="001D2E73" w:rsidRDefault="001D2E73">
      <w:pPr>
        <w:pStyle w:val="SingleTxtGR"/>
        <w:rPr>
          <w:spacing w:val="0"/>
          <w:lang w:val="es-ES"/>
        </w:rPr>
      </w:pPr>
      <w:r>
        <w:rPr>
          <w:spacing w:val="0"/>
          <w:lang w:val="es-ES"/>
        </w:rPr>
        <w:t>564.</w:t>
      </w:r>
      <w:r>
        <w:rPr>
          <w:spacing w:val="0"/>
          <w:lang w:val="es-ES"/>
        </w:rPr>
        <w:tab/>
        <w:t>Según datos de 2008, en Azerbaiyán funcionan más de 12.000 bibliotecas que pertenecen a distintas administraciones (organiz</w:t>
      </w:r>
      <w:r>
        <w:rPr>
          <w:spacing w:val="0"/>
          <w:lang w:val="es-ES"/>
        </w:rPr>
        <w:t>a</w:t>
      </w:r>
      <w:r>
        <w:rPr>
          <w:spacing w:val="0"/>
          <w:lang w:val="es-ES"/>
        </w:rPr>
        <w:t>ciones e instituciones estatales y no estatales), de ellas más de 4.200 bibliotecas y sus filiales (públicas, juveniles, infantiles, bibliotecas de museos, escuelas de música, teatros y otras instituciones culturales) que pertenecen al M</w:t>
      </w:r>
      <w:r>
        <w:rPr>
          <w:spacing w:val="0"/>
          <w:lang w:val="es-ES"/>
        </w:rPr>
        <w:t>i</w:t>
      </w:r>
      <w:r>
        <w:rPr>
          <w:spacing w:val="0"/>
          <w:lang w:val="es-ES"/>
        </w:rPr>
        <w:t>nisterio de Cultura y Turismo.</w:t>
      </w:r>
    </w:p>
    <w:p w:rsidR="001D2E73" w:rsidRDefault="001D2E73">
      <w:pPr>
        <w:pStyle w:val="SingleTxtGR"/>
        <w:rPr>
          <w:spacing w:val="0"/>
          <w:lang w:val="es-ES"/>
        </w:rPr>
      </w:pPr>
      <w:r>
        <w:rPr>
          <w:spacing w:val="0"/>
          <w:lang w:val="es-ES"/>
        </w:rPr>
        <w:t>565.</w:t>
      </w:r>
      <w:r>
        <w:rPr>
          <w:spacing w:val="0"/>
          <w:lang w:val="es-ES"/>
        </w:rPr>
        <w:tab/>
        <w:t xml:space="preserve">Entre las más grandes bibliotecas del país cabe mencionar </w:t>
      </w:r>
      <w:smartTag w:uri="urn:schemas-microsoft-com:office:smarttags" w:element="PersonName">
        <w:smartTagPr>
          <w:attr w:name="ProductID" w:val="la Biblioteca Cient￭fico-T￩cnica"/>
        </w:smartTagPr>
        <w:r>
          <w:rPr>
            <w:spacing w:val="0"/>
            <w:lang w:val="es-ES"/>
          </w:rPr>
          <w:t>la Biblioteca Científico-Técnica</w:t>
        </w:r>
      </w:smartTag>
      <w:r>
        <w:rPr>
          <w:spacing w:val="0"/>
          <w:lang w:val="es-ES"/>
        </w:rPr>
        <w:t xml:space="preserve"> de la República (con un fondo de 14 millones de ejemplares), </w:t>
      </w:r>
      <w:smartTag w:uri="urn:schemas-microsoft-com:office:smarttags" w:element="PersonName">
        <w:smartTagPr>
          <w:attr w:name="ProductID" w:val="la Biblioteca Nacional M."/>
        </w:smartTagPr>
        <w:r>
          <w:rPr>
            <w:spacing w:val="0"/>
            <w:lang w:val="es-ES"/>
          </w:rPr>
          <w:t>la Biblioteca Nacional M.</w:t>
        </w:r>
      </w:smartTag>
      <w:r>
        <w:rPr>
          <w:spacing w:val="0"/>
          <w:lang w:val="es-ES"/>
        </w:rPr>
        <w:t xml:space="preserve"> F. Ajundov (con un fondo de 5 millones de ejemplares), </w:t>
      </w:r>
      <w:smartTag w:uri="urn:schemas-microsoft-com:office:smarttags" w:element="PersonName">
        <w:smartTagPr>
          <w:attr w:name="ProductID" w:val="la Biblioteca Cient￭fica Central"/>
        </w:smartTagPr>
        <w:r>
          <w:rPr>
            <w:spacing w:val="0"/>
            <w:lang w:val="es-ES"/>
          </w:rPr>
          <w:t>la Biblioteca Científica Central</w:t>
        </w:r>
      </w:smartTag>
      <w:r>
        <w:rPr>
          <w:spacing w:val="0"/>
          <w:lang w:val="es-ES"/>
        </w:rPr>
        <w:t xml:space="preserve"> НАНА (con un fondo de 2,2 millones de ejemplares), </w:t>
      </w:r>
      <w:smartTag w:uri="urn:schemas-microsoft-com:office:smarttags" w:element="PersonName">
        <w:smartTagPr>
          <w:attr w:name="ProductID" w:val="la Biblioteca Cient￭fica"/>
        </w:smartTagPr>
        <w:r>
          <w:rPr>
            <w:spacing w:val="0"/>
            <w:lang w:val="es-ES"/>
          </w:rPr>
          <w:t>la Biblioteca Científica</w:t>
        </w:r>
      </w:smartTag>
      <w:r>
        <w:rPr>
          <w:spacing w:val="0"/>
          <w:lang w:val="es-ES"/>
        </w:rPr>
        <w:t xml:space="preserve"> de </w:t>
      </w:r>
      <w:smartTag w:uri="urn:schemas-microsoft-com:office:smarttags" w:element="PersonName">
        <w:smartTagPr>
          <w:attr w:name="ProductID" w:val="la Universidad Estatal"/>
        </w:smartTagPr>
        <w:r>
          <w:rPr>
            <w:spacing w:val="0"/>
            <w:lang w:val="es-ES"/>
          </w:rPr>
          <w:t>la Universidad Estatal</w:t>
        </w:r>
      </w:smartTag>
      <w:r>
        <w:rPr>
          <w:spacing w:val="0"/>
          <w:lang w:val="es-ES"/>
        </w:rPr>
        <w:t xml:space="preserve"> de Bakú (con más de 2 millones de ejemplares).</w:t>
      </w:r>
    </w:p>
    <w:p w:rsidR="001D2E73" w:rsidRDefault="001D2E73">
      <w:pPr>
        <w:pStyle w:val="SingleTxtGR"/>
        <w:rPr>
          <w:spacing w:val="0"/>
          <w:lang w:val="es-ES"/>
        </w:rPr>
      </w:pPr>
      <w:r>
        <w:rPr>
          <w:spacing w:val="0"/>
          <w:lang w:val="es-ES"/>
        </w:rPr>
        <w:t>566.</w:t>
      </w:r>
      <w:r>
        <w:rPr>
          <w:spacing w:val="0"/>
          <w:lang w:val="es-ES"/>
        </w:rPr>
        <w:tab/>
        <w:t>En 2008 las bibliotecas de acceso general de la red del Ministerio de Cu</w:t>
      </w:r>
      <w:r>
        <w:rPr>
          <w:spacing w:val="0"/>
          <w:lang w:val="es-ES"/>
        </w:rPr>
        <w:t>l</w:t>
      </w:r>
      <w:r>
        <w:rPr>
          <w:spacing w:val="0"/>
          <w:lang w:val="es-ES"/>
        </w:rPr>
        <w:t>tura y Turismo tenían un fondo de 34.782.366 ejemplares de literatura impresa y electrónica. Su número aumentó en 3,5% en comparación con 2007 y en 4% en comparación con 2006. En 2008 ingresaron en el fondo de bibliotecas 1.300.000 libros y medios de información electrónicos. Este indicador aumentó en 32,4% en comparación con 2007 y en 58% en comparación con 2006.</w:t>
      </w:r>
    </w:p>
    <w:p w:rsidR="001D2E73" w:rsidRDefault="001D2E73">
      <w:pPr>
        <w:pStyle w:val="SingleTxtGR"/>
        <w:rPr>
          <w:spacing w:val="0"/>
          <w:lang w:val="es-ES"/>
        </w:rPr>
      </w:pPr>
      <w:r>
        <w:rPr>
          <w:spacing w:val="0"/>
          <w:lang w:val="es-ES"/>
        </w:rPr>
        <w:t>567.</w:t>
      </w:r>
      <w:r>
        <w:rPr>
          <w:spacing w:val="0"/>
          <w:lang w:val="es-ES"/>
        </w:rPr>
        <w:tab/>
        <w:t xml:space="preserve">En 2008 el número de usuarios de las bibliotecas fue 2.328.000 personas. En comparación con 2007 este indicador aumentó en 1%, y desde 2006 en 1,6%. </w:t>
      </w:r>
    </w:p>
    <w:p w:rsidR="001D2E73" w:rsidRDefault="001D2E73" w:rsidP="0094705E">
      <w:pPr>
        <w:pStyle w:val="SingleTxtGR"/>
        <w:keepNext/>
        <w:spacing w:before="240"/>
        <w:rPr>
          <w:b/>
          <w:spacing w:val="0"/>
          <w:lang w:val="es-ES"/>
        </w:rPr>
      </w:pPr>
      <w:r>
        <w:rPr>
          <w:spacing w:val="0"/>
          <w:lang w:val="es-ES"/>
        </w:rPr>
        <w:t>Cuadro 32</w:t>
      </w:r>
      <w:r>
        <w:rPr>
          <w:spacing w:val="0"/>
          <w:lang w:val="es-ES"/>
        </w:rPr>
        <w:br/>
      </w:r>
      <w:r>
        <w:rPr>
          <w:b/>
          <w:spacing w:val="0"/>
          <w:lang w:val="es-ES"/>
        </w:rPr>
        <w:t>Cantidad de instituciones culturales</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854"/>
        <w:gridCol w:w="732"/>
        <w:gridCol w:w="759"/>
        <w:gridCol w:w="757"/>
        <w:gridCol w:w="756"/>
        <w:gridCol w:w="755"/>
        <w:gridCol w:w="757"/>
      </w:tblGrid>
      <w:tr w:rsidR="001D2E73">
        <w:trPr>
          <w:trHeight w:val="288"/>
          <w:tblHeader/>
        </w:trPr>
        <w:tc>
          <w:tcPr>
            <w:tcW w:w="2854" w:type="dxa"/>
            <w:tcBorders>
              <w:top w:val="single" w:sz="4" w:space="0" w:color="auto"/>
              <w:left w:val="nil"/>
              <w:bottom w:val="single" w:sz="12" w:space="0" w:color="auto"/>
              <w:right w:val="nil"/>
              <w:tl2br w:val="nil"/>
              <w:tr2bl w:val="nil"/>
            </w:tcBorders>
            <w:shd w:val="clear" w:color="auto" w:fill="auto"/>
            <w:noWrap/>
            <w:vAlign w:val="bottom"/>
          </w:tcPr>
          <w:p w:rsidR="001D2E73" w:rsidRDefault="001D2E73" w:rsidP="0094705E">
            <w:pPr>
              <w:keepNext/>
              <w:spacing w:before="80" w:after="80" w:line="200" w:lineRule="exact"/>
              <w:jc w:val="right"/>
              <w:rPr>
                <w:i/>
                <w:sz w:val="16"/>
                <w:szCs w:val="16"/>
              </w:rPr>
            </w:pPr>
            <w:r>
              <w:rPr>
                <w:i/>
                <w:sz w:val="16"/>
                <w:szCs w:val="16"/>
              </w:rPr>
              <w:t> </w:t>
            </w:r>
          </w:p>
        </w:tc>
        <w:tc>
          <w:tcPr>
            <w:tcW w:w="732" w:type="dxa"/>
            <w:tcBorders>
              <w:top w:val="single" w:sz="4" w:space="0" w:color="auto"/>
              <w:bottom w:val="single" w:sz="12" w:space="0" w:color="auto"/>
            </w:tcBorders>
            <w:shd w:val="clear" w:color="auto" w:fill="auto"/>
            <w:noWrap/>
            <w:vAlign w:val="bottom"/>
          </w:tcPr>
          <w:p w:rsidR="001D2E73" w:rsidRDefault="001D2E73" w:rsidP="0094705E">
            <w:pPr>
              <w:keepNext/>
              <w:spacing w:before="80" w:after="80" w:line="200" w:lineRule="exact"/>
              <w:jc w:val="right"/>
              <w:rPr>
                <w:i/>
                <w:sz w:val="16"/>
                <w:szCs w:val="16"/>
              </w:rPr>
            </w:pPr>
            <w:r>
              <w:rPr>
                <w:i/>
                <w:sz w:val="16"/>
                <w:szCs w:val="16"/>
              </w:rPr>
              <w:t>2003</w:t>
            </w:r>
          </w:p>
        </w:tc>
        <w:tc>
          <w:tcPr>
            <w:tcW w:w="759" w:type="dxa"/>
            <w:tcBorders>
              <w:top w:val="single" w:sz="4" w:space="0" w:color="auto"/>
              <w:bottom w:val="single" w:sz="12" w:space="0" w:color="auto"/>
            </w:tcBorders>
            <w:shd w:val="clear" w:color="auto" w:fill="auto"/>
            <w:noWrap/>
            <w:vAlign w:val="bottom"/>
          </w:tcPr>
          <w:p w:rsidR="001D2E73" w:rsidRDefault="001D2E73" w:rsidP="0094705E">
            <w:pPr>
              <w:keepNext/>
              <w:spacing w:before="80" w:after="80" w:line="200" w:lineRule="exact"/>
              <w:jc w:val="right"/>
              <w:rPr>
                <w:i/>
                <w:sz w:val="16"/>
                <w:szCs w:val="16"/>
              </w:rPr>
            </w:pPr>
            <w:r>
              <w:rPr>
                <w:i/>
                <w:sz w:val="16"/>
                <w:szCs w:val="16"/>
              </w:rPr>
              <w:t>2004</w:t>
            </w:r>
          </w:p>
        </w:tc>
        <w:tc>
          <w:tcPr>
            <w:tcW w:w="757" w:type="dxa"/>
            <w:tcBorders>
              <w:top w:val="single" w:sz="4" w:space="0" w:color="auto"/>
              <w:bottom w:val="single" w:sz="12" w:space="0" w:color="auto"/>
            </w:tcBorders>
            <w:shd w:val="clear" w:color="auto" w:fill="auto"/>
            <w:noWrap/>
            <w:vAlign w:val="bottom"/>
          </w:tcPr>
          <w:p w:rsidR="001D2E73" w:rsidRDefault="001D2E73" w:rsidP="0094705E">
            <w:pPr>
              <w:keepNext/>
              <w:spacing w:before="80" w:after="80" w:line="200" w:lineRule="exact"/>
              <w:jc w:val="right"/>
              <w:rPr>
                <w:i/>
                <w:sz w:val="16"/>
                <w:szCs w:val="16"/>
              </w:rPr>
            </w:pPr>
            <w:r>
              <w:rPr>
                <w:i/>
                <w:sz w:val="16"/>
                <w:szCs w:val="16"/>
              </w:rPr>
              <w:t>2005</w:t>
            </w:r>
          </w:p>
        </w:tc>
        <w:tc>
          <w:tcPr>
            <w:tcW w:w="756" w:type="dxa"/>
            <w:tcBorders>
              <w:top w:val="single" w:sz="4" w:space="0" w:color="auto"/>
              <w:bottom w:val="single" w:sz="12" w:space="0" w:color="auto"/>
            </w:tcBorders>
            <w:shd w:val="clear" w:color="auto" w:fill="auto"/>
            <w:noWrap/>
            <w:vAlign w:val="bottom"/>
          </w:tcPr>
          <w:p w:rsidR="001D2E73" w:rsidRDefault="001D2E73" w:rsidP="0094705E">
            <w:pPr>
              <w:keepNext/>
              <w:spacing w:before="80" w:after="80" w:line="200" w:lineRule="exact"/>
              <w:jc w:val="right"/>
              <w:rPr>
                <w:i/>
                <w:sz w:val="16"/>
                <w:szCs w:val="16"/>
              </w:rPr>
            </w:pPr>
            <w:r>
              <w:rPr>
                <w:i/>
                <w:sz w:val="16"/>
                <w:szCs w:val="16"/>
              </w:rPr>
              <w:t>2006</w:t>
            </w:r>
          </w:p>
        </w:tc>
        <w:tc>
          <w:tcPr>
            <w:tcW w:w="755" w:type="dxa"/>
            <w:tcBorders>
              <w:top w:val="single" w:sz="4" w:space="0" w:color="auto"/>
              <w:bottom w:val="single" w:sz="12" w:space="0" w:color="auto"/>
            </w:tcBorders>
            <w:shd w:val="clear" w:color="auto" w:fill="auto"/>
            <w:noWrap/>
            <w:vAlign w:val="bottom"/>
          </w:tcPr>
          <w:p w:rsidR="001D2E73" w:rsidRDefault="001D2E73" w:rsidP="0094705E">
            <w:pPr>
              <w:keepNext/>
              <w:spacing w:before="80" w:after="80" w:line="200" w:lineRule="exact"/>
              <w:jc w:val="right"/>
              <w:rPr>
                <w:i/>
                <w:sz w:val="16"/>
                <w:szCs w:val="16"/>
              </w:rPr>
            </w:pPr>
            <w:r>
              <w:rPr>
                <w:i/>
                <w:sz w:val="16"/>
                <w:szCs w:val="16"/>
              </w:rPr>
              <w:t>2007</w:t>
            </w:r>
          </w:p>
        </w:tc>
        <w:tc>
          <w:tcPr>
            <w:tcW w:w="757" w:type="dxa"/>
            <w:tcBorders>
              <w:top w:val="single" w:sz="4" w:space="0" w:color="auto"/>
              <w:bottom w:val="single" w:sz="12" w:space="0" w:color="auto"/>
            </w:tcBorders>
            <w:shd w:val="clear" w:color="auto" w:fill="auto"/>
            <w:noWrap/>
            <w:vAlign w:val="bottom"/>
          </w:tcPr>
          <w:p w:rsidR="001D2E73" w:rsidRDefault="001D2E73" w:rsidP="0094705E">
            <w:pPr>
              <w:keepNext/>
              <w:spacing w:before="80" w:after="80" w:line="200" w:lineRule="exact"/>
              <w:jc w:val="right"/>
              <w:rPr>
                <w:i/>
                <w:sz w:val="16"/>
                <w:szCs w:val="16"/>
              </w:rPr>
            </w:pPr>
            <w:r>
              <w:rPr>
                <w:i/>
                <w:sz w:val="16"/>
                <w:szCs w:val="16"/>
              </w:rPr>
              <w:t>2008</w:t>
            </w:r>
          </w:p>
        </w:tc>
      </w:tr>
      <w:tr w:rsidR="001D2E73">
        <w:trPr>
          <w:trHeight w:val="20"/>
        </w:trPr>
        <w:tc>
          <w:tcPr>
            <w:tcW w:w="2854" w:type="dxa"/>
            <w:tcBorders>
              <w:top w:val="single" w:sz="12" w:space="0" w:color="auto"/>
              <w:left w:val="nil"/>
              <w:bottom w:val="nil"/>
              <w:right w:val="nil"/>
              <w:tl2br w:val="nil"/>
              <w:tr2bl w:val="nil"/>
            </w:tcBorders>
            <w:noWrap/>
            <w:vAlign w:val="bottom"/>
          </w:tcPr>
          <w:p w:rsidR="001D2E73" w:rsidRDefault="001D2E73" w:rsidP="0094705E">
            <w:pPr>
              <w:keepNext/>
              <w:spacing w:before="40" w:after="40" w:line="220" w:lineRule="exact"/>
              <w:rPr>
                <w:sz w:val="18"/>
                <w:szCs w:val="18"/>
              </w:rPr>
            </w:pPr>
            <w:r>
              <w:rPr>
                <w:sz w:val="18"/>
                <w:szCs w:val="18"/>
              </w:rPr>
              <w:t xml:space="preserve">Número de bibliotecas públicas, </w:t>
            </w:r>
          </w:p>
        </w:tc>
        <w:tc>
          <w:tcPr>
            <w:tcW w:w="732" w:type="dxa"/>
            <w:tcBorders>
              <w:top w:val="single" w:sz="12" w:space="0" w:color="auto"/>
            </w:tcBorders>
            <w:noWrap/>
            <w:vAlign w:val="bottom"/>
          </w:tcPr>
          <w:p w:rsidR="001D2E73" w:rsidRDefault="001D2E73" w:rsidP="0094705E">
            <w:pPr>
              <w:keepNext/>
              <w:spacing w:before="40" w:after="40" w:line="220" w:lineRule="exact"/>
              <w:jc w:val="right"/>
              <w:rPr>
                <w:sz w:val="18"/>
                <w:szCs w:val="18"/>
              </w:rPr>
            </w:pPr>
            <w:r>
              <w:rPr>
                <w:sz w:val="18"/>
                <w:szCs w:val="18"/>
              </w:rPr>
              <w:t>4 124</w:t>
            </w:r>
          </w:p>
        </w:tc>
        <w:tc>
          <w:tcPr>
            <w:tcW w:w="759" w:type="dxa"/>
            <w:tcBorders>
              <w:top w:val="single" w:sz="12" w:space="0" w:color="auto"/>
            </w:tcBorders>
            <w:noWrap/>
            <w:vAlign w:val="bottom"/>
          </w:tcPr>
          <w:p w:rsidR="001D2E73" w:rsidRDefault="001D2E73" w:rsidP="0094705E">
            <w:pPr>
              <w:keepNext/>
              <w:spacing w:before="40" w:after="40" w:line="220" w:lineRule="exact"/>
              <w:jc w:val="right"/>
              <w:rPr>
                <w:sz w:val="18"/>
                <w:szCs w:val="18"/>
              </w:rPr>
            </w:pPr>
            <w:r>
              <w:rPr>
                <w:sz w:val="18"/>
                <w:szCs w:val="18"/>
              </w:rPr>
              <w:t>4 090</w:t>
            </w:r>
          </w:p>
        </w:tc>
        <w:tc>
          <w:tcPr>
            <w:tcW w:w="757" w:type="dxa"/>
            <w:tcBorders>
              <w:top w:val="single" w:sz="12" w:space="0" w:color="auto"/>
            </w:tcBorders>
            <w:noWrap/>
            <w:vAlign w:val="bottom"/>
          </w:tcPr>
          <w:p w:rsidR="001D2E73" w:rsidRDefault="001D2E73" w:rsidP="0094705E">
            <w:pPr>
              <w:keepNext/>
              <w:spacing w:before="40" w:after="40" w:line="220" w:lineRule="exact"/>
              <w:jc w:val="right"/>
              <w:rPr>
                <w:sz w:val="18"/>
                <w:szCs w:val="18"/>
              </w:rPr>
            </w:pPr>
            <w:r>
              <w:rPr>
                <w:sz w:val="18"/>
                <w:szCs w:val="18"/>
              </w:rPr>
              <w:t>4 004</w:t>
            </w:r>
          </w:p>
        </w:tc>
        <w:tc>
          <w:tcPr>
            <w:tcW w:w="756" w:type="dxa"/>
            <w:tcBorders>
              <w:top w:val="single" w:sz="12" w:space="0" w:color="auto"/>
            </w:tcBorders>
            <w:noWrap/>
            <w:vAlign w:val="bottom"/>
          </w:tcPr>
          <w:p w:rsidR="001D2E73" w:rsidRDefault="001D2E73" w:rsidP="0094705E">
            <w:pPr>
              <w:keepNext/>
              <w:spacing w:before="40" w:after="40" w:line="220" w:lineRule="exact"/>
              <w:jc w:val="right"/>
              <w:rPr>
                <w:sz w:val="18"/>
                <w:szCs w:val="18"/>
              </w:rPr>
            </w:pPr>
            <w:r>
              <w:rPr>
                <w:sz w:val="18"/>
                <w:szCs w:val="18"/>
              </w:rPr>
              <w:t>4 021</w:t>
            </w:r>
          </w:p>
        </w:tc>
        <w:tc>
          <w:tcPr>
            <w:tcW w:w="755" w:type="dxa"/>
            <w:tcBorders>
              <w:top w:val="single" w:sz="12" w:space="0" w:color="auto"/>
            </w:tcBorders>
            <w:noWrap/>
            <w:vAlign w:val="bottom"/>
          </w:tcPr>
          <w:p w:rsidR="001D2E73" w:rsidRDefault="001D2E73" w:rsidP="0094705E">
            <w:pPr>
              <w:keepNext/>
              <w:spacing w:before="40" w:after="40" w:line="220" w:lineRule="exact"/>
              <w:jc w:val="right"/>
              <w:rPr>
                <w:sz w:val="18"/>
                <w:szCs w:val="18"/>
              </w:rPr>
            </w:pPr>
            <w:r>
              <w:rPr>
                <w:sz w:val="18"/>
                <w:szCs w:val="18"/>
              </w:rPr>
              <w:t>4 033</w:t>
            </w:r>
          </w:p>
        </w:tc>
        <w:tc>
          <w:tcPr>
            <w:tcW w:w="757" w:type="dxa"/>
            <w:tcBorders>
              <w:top w:val="single" w:sz="12" w:space="0" w:color="auto"/>
            </w:tcBorders>
            <w:noWrap/>
            <w:vAlign w:val="bottom"/>
          </w:tcPr>
          <w:p w:rsidR="001D2E73" w:rsidRDefault="001D2E73" w:rsidP="0094705E">
            <w:pPr>
              <w:keepNext/>
              <w:spacing w:before="40" w:after="40" w:line="220" w:lineRule="exact"/>
              <w:jc w:val="right"/>
              <w:rPr>
                <w:sz w:val="18"/>
                <w:szCs w:val="18"/>
              </w:rPr>
            </w:pPr>
            <w:r>
              <w:rPr>
                <w:sz w:val="18"/>
                <w:szCs w:val="18"/>
              </w:rPr>
              <w:t>4 035</w:t>
            </w:r>
          </w:p>
        </w:tc>
      </w:tr>
      <w:tr w:rsidR="001D2E73">
        <w:trPr>
          <w:trHeight w:val="20"/>
        </w:trPr>
        <w:tc>
          <w:tcPr>
            <w:tcW w:w="2854" w:type="dxa"/>
            <w:tcBorders>
              <w:left w:val="nil"/>
              <w:bottom w:val="nil"/>
              <w:right w:val="nil"/>
              <w:tl2br w:val="nil"/>
              <w:tr2bl w:val="nil"/>
            </w:tcBorders>
            <w:noWrap/>
            <w:vAlign w:val="bottom"/>
          </w:tcPr>
          <w:p w:rsidR="001D2E73" w:rsidRDefault="001D2E73" w:rsidP="0094705E">
            <w:pPr>
              <w:keepNext/>
              <w:spacing w:before="40" w:after="40" w:line="220" w:lineRule="exact"/>
              <w:rPr>
                <w:i/>
                <w:sz w:val="18"/>
                <w:szCs w:val="18"/>
              </w:rPr>
            </w:pPr>
            <w:r>
              <w:rPr>
                <w:i/>
                <w:sz w:val="18"/>
                <w:szCs w:val="18"/>
              </w:rPr>
              <w:t>En particular:</w:t>
            </w:r>
          </w:p>
        </w:tc>
        <w:tc>
          <w:tcPr>
            <w:tcW w:w="732" w:type="dxa"/>
            <w:noWrap/>
            <w:vAlign w:val="bottom"/>
          </w:tcPr>
          <w:p w:rsidR="001D2E73" w:rsidRDefault="001D2E73" w:rsidP="0094705E">
            <w:pPr>
              <w:keepNext/>
              <w:spacing w:before="40" w:after="40" w:line="220" w:lineRule="exact"/>
              <w:jc w:val="right"/>
              <w:rPr>
                <w:sz w:val="18"/>
                <w:szCs w:val="18"/>
              </w:rPr>
            </w:pPr>
          </w:p>
        </w:tc>
        <w:tc>
          <w:tcPr>
            <w:tcW w:w="759" w:type="dxa"/>
            <w:noWrap/>
            <w:vAlign w:val="bottom"/>
          </w:tcPr>
          <w:p w:rsidR="001D2E73" w:rsidRDefault="001D2E73" w:rsidP="0094705E">
            <w:pPr>
              <w:keepNext/>
              <w:spacing w:before="40" w:after="40" w:line="220" w:lineRule="exact"/>
              <w:jc w:val="right"/>
              <w:rPr>
                <w:sz w:val="18"/>
                <w:szCs w:val="18"/>
              </w:rPr>
            </w:pPr>
          </w:p>
        </w:tc>
        <w:tc>
          <w:tcPr>
            <w:tcW w:w="757" w:type="dxa"/>
            <w:noWrap/>
            <w:vAlign w:val="bottom"/>
          </w:tcPr>
          <w:p w:rsidR="001D2E73" w:rsidRDefault="001D2E73" w:rsidP="0094705E">
            <w:pPr>
              <w:keepNext/>
              <w:spacing w:before="40" w:after="40" w:line="220" w:lineRule="exact"/>
              <w:jc w:val="right"/>
              <w:rPr>
                <w:sz w:val="18"/>
                <w:szCs w:val="18"/>
              </w:rPr>
            </w:pPr>
          </w:p>
        </w:tc>
        <w:tc>
          <w:tcPr>
            <w:tcW w:w="756" w:type="dxa"/>
            <w:noWrap/>
            <w:vAlign w:val="bottom"/>
          </w:tcPr>
          <w:p w:rsidR="001D2E73" w:rsidRDefault="001D2E73" w:rsidP="0094705E">
            <w:pPr>
              <w:keepNext/>
              <w:spacing w:before="40" w:after="40" w:line="220" w:lineRule="exact"/>
              <w:jc w:val="right"/>
              <w:rPr>
                <w:sz w:val="18"/>
                <w:szCs w:val="18"/>
              </w:rPr>
            </w:pPr>
          </w:p>
        </w:tc>
        <w:tc>
          <w:tcPr>
            <w:tcW w:w="755" w:type="dxa"/>
            <w:noWrap/>
            <w:vAlign w:val="bottom"/>
          </w:tcPr>
          <w:p w:rsidR="001D2E73" w:rsidRDefault="001D2E73" w:rsidP="0094705E">
            <w:pPr>
              <w:keepNext/>
              <w:spacing w:before="40" w:after="40" w:line="220" w:lineRule="exact"/>
              <w:jc w:val="right"/>
              <w:rPr>
                <w:sz w:val="18"/>
                <w:szCs w:val="18"/>
              </w:rPr>
            </w:pPr>
          </w:p>
        </w:tc>
        <w:tc>
          <w:tcPr>
            <w:tcW w:w="757" w:type="dxa"/>
            <w:noWrap/>
            <w:vAlign w:val="bottom"/>
          </w:tcPr>
          <w:p w:rsidR="001D2E73" w:rsidRDefault="001D2E73" w:rsidP="0094705E">
            <w:pPr>
              <w:keepNext/>
              <w:spacing w:before="40" w:after="40" w:line="220" w:lineRule="exact"/>
              <w:jc w:val="right"/>
              <w:rPr>
                <w:sz w:val="18"/>
                <w:szCs w:val="18"/>
              </w:rPr>
            </w:pP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Urbanas</w:t>
            </w:r>
          </w:p>
        </w:tc>
        <w:tc>
          <w:tcPr>
            <w:tcW w:w="732" w:type="dxa"/>
            <w:noWrap/>
            <w:vAlign w:val="bottom"/>
          </w:tcPr>
          <w:p w:rsidR="001D2E73" w:rsidRDefault="001D2E73">
            <w:pPr>
              <w:spacing w:before="40" w:after="40" w:line="220" w:lineRule="exact"/>
              <w:jc w:val="right"/>
              <w:rPr>
                <w:sz w:val="18"/>
                <w:szCs w:val="18"/>
              </w:rPr>
            </w:pPr>
            <w:r>
              <w:rPr>
                <w:sz w:val="18"/>
                <w:szCs w:val="18"/>
              </w:rPr>
              <w:t>661</w:t>
            </w:r>
          </w:p>
        </w:tc>
        <w:tc>
          <w:tcPr>
            <w:tcW w:w="759" w:type="dxa"/>
            <w:noWrap/>
            <w:vAlign w:val="bottom"/>
          </w:tcPr>
          <w:p w:rsidR="001D2E73" w:rsidRDefault="001D2E73">
            <w:pPr>
              <w:spacing w:before="40" w:after="40" w:line="220" w:lineRule="exact"/>
              <w:jc w:val="right"/>
              <w:rPr>
                <w:sz w:val="18"/>
                <w:szCs w:val="18"/>
              </w:rPr>
            </w:pPr>
            <w:r>
              <w:rPr>
                <w:sz w:val="18"/>
                <w:szCs w:val="18"/>
              </w:rPr>
              <w:t>643</w:t>
            </w:r>
          </w:p>
        </w:tc>
        <w:tc>
          <w:tcPr>
            <w:tcW w:w="757" w:type="dxa"/>
            <w:noWrap/>
            <w:vAlign w:val="bottom"/>
          </w:tcPr>
          <w:p w:rsidR="001D2E73" w:rsidRDefault="001D2E73">
            <w:pPr>
              <w:spacing w:before="40" w:after="40" w:line="220" w:lineRule="exact"/>
              <w:jc w:val="right"/>
              <w:rPr>
                <w:sz w:val="18"/>
                <w:szCs w:val="18"/>
              </w:rPr>
            </w:pPr>
            <w:r>
              <w:rPr>
                <w:sz w:val="18"/>
                <w:szCs w:val="18"/>
              </w:rPr>
              <w:t>624</w:t>
            </w:r>
          </w:p>
        </w:tc>
        <w:tc>
          <w:tcPr>
            <w:tcW w:w="756" w:type="dxa"/>
            <w:noWrap/>
            <w:vAlign w:val="bottom"/>
          </w:tcPr>
          <w:p w:rsidR="001D2E73" w:rsidRDefault="001D2E73">
            <w:pPr>
              <w:spacing w:before="40" w:after="40" w:line="220" w:lineRule="exact"/>
              <w:jc w:val="right"/>
              <w:rPr>
                <w:sz w:val="18"/>
                <w:szCs w:val="18"/>
              </w:rPr>
            </w:pPr>
            <w:r>
              <w:rPr>
                <w:sz w:val="18"/>
                <w:szCs w:val="18"/>
              </w:rPr>
              <w:t>622</w:t>
            </w:r>
          </w:p>
        </w:tc>
        <w:tc>
          <w:tcPr>
            <w:tcW w:w="755" w:type="dxa"/>
            <w:noWrap/>
            <w:vAlign w:val="bottom"/>
          </w:tcPr>
          <w:p w:rsidR="001D2E73" w:rsidRDefault="001D2E73">
            <w:pPr>
              <w:spacing w:before="40" w:after="40" w:line="220" w:lineRule="exact"/>
              <w:jc w:val="right"/>
              <w:rPr>
                <w:sz w:val="18"/>
                <w:szCs w:val="18"/>
              </w:rPr>
            </w:pPr>
            <w:r>
              <w:rPr>
                <w:sz w:val="18"/>
                <w:szCs w:val="18"/>
              </w:rPr>
              <w:t>632</w:t>
            </w:r>
          </w:p>
        </w:tc>
        <w:tc>
          <w:tcPr>
            <w:tcW w:w="757" w:type="dxa"/>
            <w:noWrap/>
            <w:vAlign w:val="bottom"/>
          </w:tcPr>
          <w:p w:rsidR="001D2E73" w:rsidRDefault="001D2E73">
            <w:pPr>
              <w:spacing w:before="40" w:after="40" w:line="220" w:lineRule="exact"/>
              <w:jc w:val="right"/>
              <w:rPr>
                <w:sz w:val="18"/>
                <w:szCs w:val="18"/>
              </w:rPr>
            </w:pPr>
            <w:r>
              <w:rPr>
                <w:sz w:val="18"/>
                <w:szCs w:val="18"/>
              </w:rPr>
              <w:t>633</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Rurales</w:t>
            </w:r>
          </w:p>
        </w:tc>
        <w:tc>
          <w:tcPr>
            <w:tcW w:w="732" w:type="dxa"/>
            <w:noWrap/>
            <w:vAlign w:val="bottom"/>
          </w:tcPr>
          <w:p w:rsidR="001D2E73" w:rsidRDefault="001D2E73">
            <w:pPr>
              <w:spacing w:before="40" w:after="40" w:line="220" w:lineRule="exact"/>
              <w:jc w:val="right"/>
              <w:rPr>
                <w:sz w:val="18"/>
                <w:szCs w:val="18"/>
              </w:rPr>
            </w:pPr>
            <w:r>
              <w:rPr>
                <w:sz w:val="18"/>
                <w:szCs w:val="18"/>
              </w:rPr>
              <w:t>3 463</w:t>
            </w:r>
          </w:p>
        </w:tc>
        <w:tc>
          <w:tcPr>
            <w:tcW w:w="759" w:type="dxa"/>
            <w:noWrap/>
            <w:vAlign w:val="bottom"/>
          </w:tcPr>
          <w:p w:rsidR="001D2E73" w:rsidRDefault="001D2E73">
            <w:pPr>
              <w:spacing w:before="40" w:after="40" w:line="220" w:lineRule="exact"/>
              <w:jc w:val="right"/>
              <w:rPr>
                <w:sz w:val="18"/>
                <w:szCs w:val="18"/>
              </w:rPr>
            </w:pPr>
            <w:r>
              <w:rPr>
                <w:sz w:val="18"/>
                <w:szCs w:val="18"/>
              </w:rPr>
              <w:t>3 447</w:t>
            </w:r>
          </w:p>
        </w:tc>
        <w:tc>
          <w:tcPr>
            <w:tcW w:w="757" w:type="dxa"/>
            <w:noWrap/>
            <w:vAlign w:val="bottom"/>
          </w:tcPr>
          <w:p w:rsidR="001D2E73" w:rsidRDefault="001D2E73">
            <w:pPr>
              <w:spacing w:before="40" w:after="40" w:line="220" w:lineRule="exact"/>
              <w:jc w:val="right"/>
              <w:rPr>
                <w:sz w:val="18"/>
                <w:szCs w:val="18"/>
              </w:rPr>
            </w:pPr>
            <w:r>
              <w:rPr>
                <w:sz w:val="18"/>
                <w:szCs w:val="18"/>
              </w:rPr>
              <w:t>3 380</w:t>
            </w:r>
          </w:p>
        </w:tc>
        <w:tc>
          <w:tcPr>
            <w:tcW w:w="756" w:type="dxa"/>
            <w:noWrap/>
            <w:vAlign w:val="bottom"/>
          </w:tcPr>
          <w:p w:rsidR="001D2E73" w:rsidRDefault="001D2E73">
            <w:pPr>
              <w:spacing w:before="40" w:after="40" w:line="220" w:lineRule="exact"/>
              <w:jc w:val="right"/>
              <w:rPr>
                <w:sz w:val="18"/>
                <w:szCs w:val="18"/>
              </w:rPr>
            </w:pPr>
            <w:r>
              <w:rPr>
                <w:sz w:val="18"/>
                <w:szCs w:val="18"/>
              </w:rPr>
              <w:t>3 399</w:t>
            </w:r>
          </w:p>
        </w:tc>
        <w:tc>
          <w:tcPr>
            <w:tcW w:w="755" w:type="dxa"/>
            <w:noWrap/>
            <w:vAlign w:val="bottom"/>
          </w:tcPr>
          <w:p w:rsidR="001D2E73" w:rsidRDefault="001D2E73">
            <w:pPr>
              <w:spacing w:before="40" w:after="40" w:line="220" w:lineRule="exact"/>
              <w:jc w:val="right"/>
              <w:rPr>
                <w:sz w:val="18"/>
                <w:szCs w:val="18"/>
              </w:rPr>
            </w:pPr>
            <w:r>
              <w:rPr>
                <w:sz w:val="18"/>
                <w:szCs w:val="18"/>
              </w:rPr>
              <w:t>3 401</w:t>
            </w:r>
          </w:p>
        </w:tc>
        <w:tc>
          <w:tcPr>
            <w:tcW w:w="757" w:type="dxa"/>
            <w:noWrap/>
            <w:vAlign w:val="bottom"/>
          </w:tcPr>
          <w:p w:rsidR="001D2E73" w:rsidRDefault="001D2E73">
            <w:pPr>
              <w:spacing w:before="40" w:after="40" w:line="220" w:lineRule="exact"/>
              <w:jc w:val="right"/>
              <w:rPr>
                <w:sz w:val="18"/>
                <w:szCs w:val="18"/>
              </w:rPr>
            </w:pPr>
            <w:r>
              <w:rPr>
                <w:sz w:val="18"/>
                <w:szCs w:val="18"/>
              </w:rPr>
              <w:t>3 402</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Libros y revistas:</w:t>
            </w:r>
          </w:p>
        </w:tc>
        <w:tc>
          <w:tcPr>
            <w:tcW w:w="732" w:type="dxa"/>
            <w:noWrap/>
            <w:vAlign w:val="bottom"/>
          </w:tcPr>
          <w:p w:rsidR="001D2E73" w:rsidRDefault="001D2E73">
            <w:pPr>
              <w:spacing w:before="40" w:after="40" w:line="220" w:lineRule="exact"/>
              <w:jc w:val="right"/>
              <w:rPr>
                <w:sz w:val="18"/>
                <w:szCs w:val="18"/>
              </w:rPr>
            </w:pPr>
          </w:p>
        </w:tc>
        <w:tc>
          <w:tcPr>
            <w:tcW w:w="759"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c>
          <w:tcPr>
            <w:tcW w:w="756" w:type="dxa"/>
            <w:noWrap/>
            <w:vAlign w:val="bottom"/>
          </w:tcPr>
          <w:p w:rsidR="001D2E73" w:rsidRDefault="001D2E73">
            <w:pPr>
              <w:spacing w:before="40" w:after="40" w:line="220" w:lineRule="exact"/>
              <w:jc w:val="right"/>
              <w:rPr>
                <w:sz w:val="18"/>
                <w:szCs w:val="18"/>
              </w:rPr>
            </w:pPr>
          </w:p>
        </w:tc>
        <w:tc>
          <w:tcPr>
            <w:tcW w:w="755"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millones de ejemplares</w:t>
            </w:r>
          </w:p>
        </w:tc>
        <w:tc>
          <w:tcPr>
            <w:tcW w:w="732" w:type="dxa"/>
            <w:noWrap/>
            <w:vAlign w:val="bottom"/>
          </w:tcPr>
          <w:p w:rsidR="001D2E73" w:rsidRDefault="001D2E73">
            <w:pPr>
              <w:spacing w:before="40" w:after="40" w:line="220" w:lineRule="exact"/>
              <w:jc w:val="right"/>
              <w:rPr>
                <w:sz w:val="18"/>
                <w:szCs w:val="18"/>
              </w:rPr>
            </w:pPr>
            <w:r>
              <w:rPr>
                <w:sz w:val="18"/>
                <w:szCs w:val="18"/>
              </w:rPr>
              <w:t>36,5</w:t>
            </w:r>
          </w:p>
        </w:tc>
        <w:tc>
          <w:tcPr>
            <w:tcW w:w="759" w:type="dxa"/>
            <w:noWrap/>
            <w:vAlign w:val="bottom"/>
          </w:tcPr>
          <w:p w:rsidR="001D2E73" w:rsidRDefault="001D2E73">
            <w:pPr>
              <w:spacing w:before="40" w:after="40" w:line="220" w:lineRule="exact"/>
              <w:jc w:val="right"/>
              <w:rPr>
                <w:sz w:val="18"/>
                <w:szCs w:val="18"/>
              </w:rPr>
            </w:pPr>
            <w:r>
              <w:rPr>
                <w:sz w:val="18"/>
                <w:szCs w:val="18"/>
              </w:rPr>
              <w:t>35,3</w:t>
            </w:r>
          </w:p>
        </w:tc>
        <w:tc>
          <w:tcPr>
            <w:tcW w:w="757" w:type="dxa"/>
            <w:noWrap/>
            <w:vAlign w:val="bottom"/>
          </w:tcPr>
          <w:p w:rsidR="001D2E73" w:rsidRDefault="001D2E73">
            <w:pPr>
              <w:spacing w:before="40" w:after="40" w:line="220" w:lineRule="exact"/>
              <w:jc w:val="right"/>
              <w:rPr>
                <w:sz w:val="18"/>
                <w:szCs w:val="18"/>
              </w:rPr>
            </w:pPr>
            <w:r>
              <w:rPr>
                <w:sz w:val="18"/>
                <w:szCs w:val="18"/>
              </w:rPr>
              <w:t>36,6</w:t>
            </w:r>
          </w:p>
        </w:tc>
        <w:tc>
          <w:tcPr>
            <w:tcW w:w="756" w:type="dxa"/>
            <w:noWrap/>
            <w:vAlign w:val="bottom"/>
          </w:tcPr>
          <w:p w:rsidR="001D2E73" w:rsidRDefault="001D2E73">
            <w:pPr>
              <w:spacing w:before="40" w:after="40" w:line="220" w:lineRule="exact"/>
              <w:jc w:val="right"/>
              <w:rPr>
                <w:sz w:val="18"/>
                <w:szCs w:val="18"/>
              </w:rPr>
            </w:pPr>
            <w:r>
              <w:rPr>
                <w:sz w:val="18"/>
                <w:szCs w:val="18"/>
              </w:rPr>
              <w:t>36,4</w:t>
            </w:r>
          </w:p>
        </w:tc>
        <w:tc>
          <w:tcPr>
            <w:tcW w:w="755" w:type="dxa"/>
            <w:noWrap/>
            <w:vAlign w:val="bottom"/>
          </w:tcPr>
          <w:p w:rsidR="001D2E73" w:rsidRDefault="001D2E73">
            <w:pPr>
              <w:spacing w:before="40" w:after="40" w:line="220" w:lineRule="exact"/>
              <w:jc w:val="right"/>
              <w:rPr>
                <w:sz w:val="18"/>
                <w:szCs w:val="18"/>
              </w:rPr>
            </w:pPr>
            <w:r>
              <w:rPr>
                <w:sz w:val="18"/>
                <w:szCs w:val="18"/>
              </w:rPr>
              <w:t>36,8</w:t>
            </w:r>
          </w:p>
        </w:tc>
        <w:tc>
          <w:tcPr>
            <w:tcW w:w="757" w:type="dxa"/>
            <w:noWrap/>
            <w:vAlign w:val="bottom"/>
          </w:tcPr>
          <w:p w:rsidR="001D2E73" w:rsidRDefault="001D2E73">
            <w:pPr>
              <w:spacing w:before="40" w:after="40" w:line="220" w:lineRule="exact"/>
              <w:jc w:val="right"/>
              <w:rPr>
                <w:sz w:val="18"/>
                <w:szCs w:val="18"/>
              </w:rPr>
            </w:pPr>
            <w:r>
              <w:rPr>
                <w:sz w:val="18"/>
                <w:szCs w:val="18"/>
              </w:rPr>
              <w:t>36,9</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i/>
                <w:sz w:val="18"/>
                <w:szCs w:val="18"/>
              </w:rPr>
            </w:pPr>
            <w:r>
              <w:rPr>
                <w:i/>
                <w:sz w:val="18"/>
                <w:szCs w:val="18"/>
              </w:rPr>
              <w:t>En particular:</w:t>
            </w:r>
          </w:p>
        </w:tc>
        <w:tc>
          <w:tcPr>
            <w:tcW w:w="732" w:type="dxa"/>
            <w:noWrap/>
            <w:vAlign w:val="bottom"/>
          </w:tcPr>
          <w:p w:rsidR="001D2E73" w:rsidRDefault="001D2E73">
            <w:pPr>
              <w:spacing w:before="40" w:after="40" w:line="220" w:lineRule="exact"/>
              <w:jc w:val="right"/>
              <w:rPr>
                <w:sz w:val="18"/>
                <w:szCs w:val="18"/>
              </w:rPr>
            </w:pPr>
          </w:p>
        </w:tc>
        <w:tc>
          <w:tcPr>
            <w:tcW w:w="759"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c>
          <w:tcPr>
            <w:tcW w:w="756" w:type="dxa"/>
            <w:noWrap/>
            <w:vAlign w:val="bottom"/>
          </w:tcPr>
          <w:p w:rsidR="001D2E73" w:rsidRDefault="001D2E73">
            <w:pPr>
              <w:spacing w:before="40" w:after="40" w:line="220" w:lineRule="exact"/>
              <w:jc w:val="right"/>
              <w:rPr>
                <w:sz w:val="18"/>
                <w:szCs w:val="18"/>
              </w:rPr>
            </w:pPr>
          </w:p>
        </w:tc>
        <w:tc>
          <w:tcPr>
            <w:tcW w:w="755"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Urbanas</w:t>
            </w:r>
          </w:p>
        </w:tc>
        <w:tc>
          <w:tcPr>
            <w:tcW w:w="732" w:type="dxa"/>
            <w:noWrap/>
            <w:vAlign w:val="bottom"/>
          </w:tcPr>
          <w:p w:rsidR="001D2E73" w:rsidRDefault="001D2E73">
            <w:pPr>
              <w:spacing w:before="40" w:after="40" w:line="220" w:lineRule="exact"/>
              <w:jc w:val="right"/>
              <w:rPr>
                <w:sz w:val="18"/>
                <w:szCs w:val="18"/>
              </w:rPr>
            </w:pPr>
            <w:r>
              <w:rPr>
                <w:sz w:val="18"/>
                <w:szCs w:val="18"/>
              </w:rPr>
              <w:t>18,3</w:t>
            </w:r>
          </w:p>
        </w:tc>
        <w:tc>
          <w:tcPr>
            <w:tcW w:w="759" w:type="dxa"/>
            <w:noWrap/>
            <w:vAlign w:val="bottom"/>
          </w:tcPr>
          <w:p w:rsidR="001D2E73" w:rsidRDefault="001D2E73">
            <w:pPr>
              <w:spacing w:before="40" w:after="40" w:line="220" w:lineRule="exact"/>
              <w:jc w:val="right"/>
              <w:rPr>
                <w:sz w:val="18"/>
                <w:szCs w:val="18"/>
              </w:rPr>
            </w:pPr>
            <w:r>
              <w:rPr>
                <w:sz w:val="18"/>
                <w:szCs w:val="18"/>
              </w:rPr>
              <w:t>17,5</w:t>
            </w:r>
          </w:p>
        </w:tc>
        <w:tc>
          <w:tcPr>
            <w:tcW w:w="757" w:type="dxa"/>
            <w:noWrap/>
            <w:vAlign w:val="bottom"/>
          </w:tcPr>
          <w:p w:rsidR="001D2E73" w:rsidRDefault="001D2E73">
            <w:pPr>
              <w:spacing w:before="40" w:after="40" w:line="220" w:lineRule="exact"/>
              <w:jc w:val="right"/>
              <w:rPr>
                <w:sz w:val="18"/>
                <w:szCs w:val="18"/>
              </w:rPr>
            </w:pPr>
            <w:r>
              <w:rPr>
                <w:sz w:val="18"/>
                <w:szCs w:val="18"/>
              </w:rPr>
              <w:t>17,9</w:t>
            </w:r>
          </w:p>
        </w:tc>
        <w:tc>
          <w:tcPr>
            <w:tcW w:w="756" w:type="dxa"/>
            <w:noWrap/>
            <w:vAlign w:val="bottom"/>
          </w:tcPr>
          <w:p w:rsidR="001D2E73" w:rsidRDefault="001D2E73">
            <w:pPr>
              <w:spacing w:before="40" w:after="40" w:line="220" w:lineRule="exact"/>
              <w:jc w:val="right"/>
              <w:rPr>
                <w:sz w:val="18"/>
                <w:szCs w:val="18"/>
              </w:rPr>
            </w:pPr>
            <w:r>
              <w:rPr>
                <w:sz w:val="18"/>
                <w:szCs w:val="18"/>
              </w:rPr>
              <w:t>17,9</w:t>
            </w:r>
          </w:p>
        </w:tc>
        <w:tc>
          <w:tcPr>
            <w:tcW w:w="755" w:type="dxa"/>
            <w:noWrap/>
            <w:vAlign w:val="bottom"/>
          </w:tcPr>
          <w:p w:rsidR="001D2E73" w:rsidRDefault="001D2E73">
            <w:pPr>
              <w:spacing w:before="40" w:after="40" w:line="220" w:lineRule="exact"/>
              <w:jc w:val="right"/>
              <w:rPr>
                <w:sz w:val="18"/>
                <w:szCs w:val="18"/>
              </w:rPr>
            </w:pPr>
            <w:r>
              <w:rPr>
                <w:sz w:val="18"/>
                <w:szCs w:val="18"/>
              </w:rPr>
              <w:t>17,9</w:t>
            </w:r>
          </w:p>
        </w:tc>
        <w:tc>
          <w:tcPr>
            <w:tcW w:w="757" w:type="dxa"/>
            <w:noWrap/>
            <w:vAlign w:val="bottom"/>
          </w:tcPr>
          <w:p w:rsidR="001D2E73" w:rsidRDefault="001D2E73">
            <w:pPr>
              <w:spacing w:before="40" w:after="40" w:line="220" w:lineRule="exact"/>
              <w:jc w:val="right"/>
              <w:rPr>
                <w:sz w:val="18"/>
                <w:szCs w:val="18"/>
              </w:rPr>
            </w:pPr>
            <w:r>
              <w:rPr>
                <w:sz w:val="18"/>
                <w:szCs w:val="18"/>
              </w:rPr>
              <w:t>17,9</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Rurales</w:t>
            </w:r>
          </w:p>
        </w:tc>
        <w:tc>
          <w:tcPr>
            <w:tcW w:w="732" w:type="dxa"/>
            <w:noWrap/>
            <w:vAlign w:val="bottom"/>
          </w:tcPr>
          <w:p w:rsidR="001D2E73" w:rsidRDefault="001D2E73">
            <w:pPr>
              <w:spacing w:before="40" w:after="40" w:line="220" w:lineRule="exact"/>
              <w:jc w:val="right"/>
              <w:rPr>
                <w:sz w:val="18"/>
                <w:szCs w:val="18"/>
              </w:rPr>
            </w:pPr>
            <w:r>
              <w:rPr>
                <w:sz w:val="18"/>
                <w:szCs w:val="18"/>
              </w:rPr>
              <w:t>18,2</w:t>
            </w:r>
          </w:p>
        </w:tc>
        <w:tc>
          <w:tcPr>
            <w:tcW w:w="759" w:type="dxa"/>
            <w:noWrap/>
            <w:vAlign w:val="bottom"/>
          </w:tcPr>
          <w:p w:rsidR="001D2E73" w:rsidRDefault="001D2E73">
            <w:pPr>
              <w:spacing w:before="40" w:after="40" w:line="220" w:lineRule="exact"/>
              <w:jc w:val="right"/>
              <w:rPr>
                <w:sz w:val="18"/>
                <w:szCs w:val="18"/>
              </w:rPr>
            </w:pPr>
            <w:r>
              <w:rPr>
                <w:sz w:val="18"/>
                <w:szCs w:val="18"/>
              </w:rPr>
              <w:t>17,8</w:t>
            </w:r>
          </w:p>
        </w:tc>
        <w:tc>
          <w:tcPr>
            <w:tcW w:w="757" w:type="dxa"/>
            <w:noWrap/>
            <w:vAlign w:val="bottom"/>
          </w:tcPr>
          <w:p w:rsidR="001D2E73" w:rsidRDefault="001D2E73">
            <w:pPr>
              <w:spacing w:before="40" w:after="40" w:line="220" w:lineRule="exact"/>
              <w:jc w:val="right"/>
              <w:rPr>
                <w:sz w:val="18"/>
                <w:szCs w:val="18"/>
              </w:rPr>
            </w:pPr>
            <w:r>
              <w:rPr>
                <w:sz w:val="18"/>
                <w:szCs w:val="18"/>
              </w:rPr>
              <w:t>18,7</w:t>
            </w:r>
          </w:p>
        </w:tc>
        <w:tc>
          <w:tcPr>
            <w:tcW w:w="756" w:type="dxa"/>
            <w:noWrap/>
            <w:vAlign w:val="bottom"/>
          </w:tcPr>
          <w:p w:rsidR="001D2E73" w:rsidRDefault="001D2E73">
            <w:pPr>
              <w:spacing w:before="40" w:after="40" w:line="220" w:lineRule="exact"/>
              <w:jc w:val="right"/>
              <w:rPr>
                <w:sz w:val="18"/>
                <w:szCs w:val="18"/>
              </w:rPr>
            </w:pPr>
            <w:r>
              <w:rPr>
                <w:sz w:val="18"/>
                <w:szCs w:val="18"/>
              </w:rPr>
              <w:t>18,5</w:t>
            </w:r>
          </w:p>
        </w:tc>
        <w:tc>
          <w:tcPr>
            <w:tcW w:w="755" w:type="dxa"/>
            <w:noWrap/>
            <w:vAlign w:val="bottom"/>
          </w:tcPr>
          <w:p w:rsidR="001D2E73" w:rsidRDefault="001D2E73">
            <w:pPr>
              <w:spacing w:before="40" w:after="40" w:line="220" w:lineRule="exact"/>
              <w:jc w:val="right"/>
              <w:rPr>
                <w:sz w:val="18"/>
                <w:szCs w:val="18"/>
              </w:rPr>
            </w:pPr>
            <w:r>
              <w:rPr>
                <w:sz w:val="18"/>
                <w:szCs w:val="18"/>
              </w:rPr>
              <w:t>18,9</w:t>
            </w:r>
          </w:p>
        </w:tc>
        <w:tc>
          <w:tcPr>
            <w:tcW w:w="757" w:type="dxa"/>
            <w:noWrap/>
            <w:vAlign w:val="bottom"/>
          </w:tcPr>
          <w:p w:rsidR="001D2E73" w:rsidRDefault="001D2E73">
            <w:pPr>
              <w:spacing w:before="40" w:after="40" w:line="220" w:lineRule="exact"/>
              <w:jc w:val="right"/>
              <w:rPr>
                <w:sz w:val="18"/>
                <w:szCs w:val="18"/>
              </w:rPr>
            </w:pPr>
            <w:r>
              <w:rPr>
                <w:sz w:val="18"/>
                <w:szCs w:val="18"/>
              </w:rPr>
              <w:t>19,0</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ejemplares por cada mil habitantes</w:t>
            </w:r>
          </w:p>
        </w:tc>
        <w:tc>
          <w:tcPr>
            <w:tcW w:w="732" w:type="dxa"/>
            <w:noWrap/>
            <w:vAlign w:val="bottom"/>
          </w:tcPr>
          <w:p w:rsidR="001D2E73" w:rsidRDefault="001D2E73">
            <w:pPr>
              <w:spacing w:before="40" w:after="40" w:line="220" w:lineRule="exact"/>
              <w:jc w:val="right"/>
              <w:rPr>
                <w:sz w:val="18"/>
                <w:szCs w:val="18"/>
              </w:rPr>
            </w:pPr>
            <w:r>
              <w:rPr>
                <w:sz w:val="18"/>
                <w:szCs w:val="18"/>
              </w:rPr>
              <w:t>4 483</w:t>
            </w:r>
          </w:p>
        </w:tc>
        <w:tc>
          <w:tcPr>
            <w:tcW w:w="759" w:type="dxa"/>
            <w:noWrap/>
            <w:vAlign w:val="bottom"/>
          </w:tcPr>
          <w:p w:rsidR="001D2E73" w:rsidRDefault="001D2E73">
            <w:pPr>
              <w:spacing w:before="40" w:after="40" w:line="220" w:lineRule="exact"/>
              <w:jc w:val="right"/>
              <w:rPr>
                <w:sz w:val="18"/>
                <w:szCs w:val="18"/>
              </w:rPr>
            </w:pPr>
            <w:r>
              <w:rPr>
                <w:sz w:val="18"/>
                <w:szCs w:val="18"/>
              </w:rPr>
              <w:t>4 287</w:t>
            </w:r>
          </w:p>
        </w:tc>
        <w:tc>
          <w:tcPr>
            <w:tcW w:w="757" w:type="dxa"/>
            <w:noWrap/>
            <w:vAlign w:val="bottom"/>
          </w:tcPr>
          <w:p w:rsidR="001D2E73" w:rsidRDefault="001D2E73">
            <w:pPr>
              <w:spacing w:before="40" w:after="40" w:line="220" w:lineRule="exact"/>
              <w:jc w:val="right"/>
              <w:rPr>
                <w:sz w:val="18"/>
                <w:szCs w:val="18"/>
              </w:rPr>
            </w:pPr>
            <w:r>
              <w:rPr>
                <w:sz w:val="18"/>
                <w:szCs w:val="18"/>
              </w:rPr>
              <w:t>4 401</w:t>
            </w:r>
          </w:p>
        </w:tc>
        <w:tc>
          <w:tcPr>
            <w:tcW w:w="756" w:type="dxa"/>
            <w:noWrap/>
            <w:vAlign w:val="bottom"/>
          </w:tcPr>
          <w:p w:rsidR="001D2E73" w:rsidRDefault="001D2E73">
            <w:pPr>
              <w:spacing w:before="40" w:after="40" w:line="220" w:lineRule="exact"/>
              <w:jc w:val="right"/>
              <w:rPr>
                <w:sz w:val="18"/>
                <w:szCs w:val="18"/>
              </w:rPr>
            </w:pPr>
            <w:r>
              <w:rPr>
                <w:sz w:val="18"/>
                <w:szCs w:val="18"/>
              </w:rPr>
              <w:t>4 286</w:t>
            </w:r>
          </w:p>
        </w:tc>
        <w:tc>
          <w:tcPr>
            <w:tcW w:w="755" w:type="dxa"/>
            <w:noWrap/>
            <w:vAlign w:val="bottom"/>
          </w:tcPr>
          <w:p w:rsidR="001D2E73" w:rsidRDefault="001D2E73">
            <w:pPr>
              <w:spacing w:before="40" w:after="40" w:line="220" w:lineRule="exact"/>
              <w:jc w:val="right"/>
              <w:rPr>
                <w:sz w:val="18"/>
                <w:szCs w:val="18"/>
              </w:rPr>
            </w:pPr>
            <w:r>
              <w:rPr>
                <w:sz w:val="18"/>
                <w:szCs w:val="18"/>
              </w:rPr>
              <w:t>4 320</w:t>
            </w:r>
          </w:p>
        </w:tc>
        <w:tc>
          <w:tcPr>
            <w:tcW w:w="757" w:type="dxa"/>
            <w:noWrap/>
            <w:vAlign w:val="bottom"/>
          </w:tcPr>
          <w:p w:rsidR="001D2E73" w:rsidRDefault="001D2E73">
            <w:pPr>
              <w:spacing w:before="40" w:after="40" w:line="220" w:lineRule="exact"/>
              <w:jc w:val="right"/>
              <w:rPr>
                <w:sz w:val="18"/>
                <w:szCs w:val="18"/>
              </w:rPr>
            </w:pPr>
            <w:r>
              <w:rPr>
                <w:sz w:val="18"/>
                <w:szCs w:val="18"/>
              </w:rPr>
              <w:t>4 286</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i/>
                <w:sz w:val="18"/>
                <w:szCs w:val="18"/>
              </w:rPr>
            </w:pPr>
            <w:r>
              <w:rPr>
                <w:i/>
                <w:sz w:val="18"/>
                <w:szCs w:val="18"/>
              </w:rPr>
              <w:t>En particular:</w:t>
            </w:r>
          </w:p>
        </w:tc>
        <w:tc>
          <w:tcPr>
            <w:tcW w:w="732" w:type="dxa"/>
            <w:noWrap/>
            <w:vAlign w:val="bottom"/>
          </w:tcPr>
          <w:p w:rsidR="001D2E73" w:rsidRDefault="001D2E73">
            <w:pPr>
              <w:spacing w:before="40" w:after="40" w:line="220" w:lineRule="exact"/>
              <w:jc w:val="right"/>
              <w:rPr>
                <w:sz w:val="18"/>
                <w:szCs w:val="18"/>
              </w:rPr>
            </w:pPr>
          </w:p>
        </w:tc>
        <w:tc>
          <w:tcPr>
            <w:tcW w:w="759"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c>
          <w:tcPr>
            <w:tcW w:w="756" w:type="dxa"/>
            <w:noWrap/>
            <w:vAlign w:val="bottom"/>
          </w:tcPr>
          <w:p w:rsidR="001D2E73" w:rsidRDefault="001D2E73">
            <w:pPr>
              <w:spacing w:before="40" w:after="40" w:line="220" w:lineRule="exact"/>
              <w:jc w:val="right"/>
              <w:rPr>
                <w:sz w:val="18"/>
                <w:szCs w:val="18"/>
              </w:rPr>
            </w:pPr>
          </w:p>
        </w:tc>
        <w:tc>
          <w:tcPr>
            <w:tcW w:w="755"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Urbanas</w:t>
            </w:r>
          </w:p>
        </w:tc>
        <w:tc>
          <w:tcPr>
            <w:tcW w:w="732" w:type="dxa"/>
            <w:noWrap/>
            <w:vAlign w:val="bottom"/>
          </w:tcPr>
          <w:p w:rsidR="001D2E73" w:rsidRDefault="001D2E73">
            <w:pPr>
              <w:spacing w:before="40" w:after="40" w:line="220" w:lineRule="exact"/>
              <w:jc w:val="right"/>
              <w:rPr>
                <w:sz w:val="18"/>
                <w:szCs w:val="18"/>
              </w:rPr>
            </w:pPr>
            <w:r>
              <w:rPr>
                <w:sz w:val="18"/>
                <w:szCs w:val="18"/>
              </w:rPr>
              <w:t>4 358</w:t>
            </w:r>
          </w:p>
        </w:tc>
        <w:tc>
          <w:tcPr>
            <w:tcW w:w="759" w:type="dxa"/>
            <w:noWrap/>
            <w:vAlign w:val="bottom"/>
          </w:tcPr>
          <w:p w:rsidR="001D2E73" w:rsidRDefault="001D2E73">
            <w:pPr>
              <w:spacing w:before="40" w:after="40" w:line="220" w:lineRule="exact"/>
              <w:jc w:val="right"/>
              <w:rPr>
                <w:sz w:val="18"/>
                <w:szCs w:val="18"/>
              </w:rPr>
            </w:pPr>
            <w:r>
              <w:rPr>
                <w:sz w:val="18"/>
                <w:szCs w:val="18"/>
              </w:rPr>
              <w:t>4 120</w:t>
            </w:r>
          </w:p>
        </w:tc>
        <w:tc>
          <w:tcPr>
            <w:tcW w:w="757" w:type="dxa"/>
            <w:noWrap/>
            <w:vAlign w:val="bottom"/>
          </w:tcPr>
          <w:p w:rsidR="001D2E73" w:rsidRDefault="001D2E73">
            <w:pPr>
              <w:spacing w:before="40" w:after="40" w:line="220" w:lineRule="exact"/>
              <w:jc w:val="right"/>
              <w:rPr>
                <w:sz w:val="18"/>
                <w:szCs w:val="18"/>
              </w:rPr>
            </w:pPr>
            <w:r>
              <w:rPr>
                <w:sz w:val="18"/>
                <w:szCs w:val="18"/>
              </w:rPr>
              <w:t>4 172</w:t>
            </w:r>
          </w:p>
        </w:tc>
        <w:tc>
          <w:tcPr>
            <w:tcW w:w="756" w:type="dxa"/>
            <w:noWrap/>
            <w:vAlign w:val="bottom"/>
          </w:tcPr>
          <w:p w:rsidR="001D2E73" w:rsidRDefault="001D2E73">
            <w:pPr>
              <w:spacing w:before="40" w:after="40" w:line="220" w:lineRule="exact"/>
              <w:jc w:val="right"/>
              <w:rPr>
                <w:sz w:val="18"/>
                <w:szCs w:val="18"/>
              </w:rPr>
            </w:pPr>
            <w:r>
              <w:rPr>
                <w:sz w:val="18"/>
                <w:szCs w:val="18"/>
              </w:rPr>
              <w:t>4 089</w:t>
            </w:r>
          </w:p>
        </w:tc>
        <w:tc>
          <w:tcPr>
            <w:tcW w:w="755" w:type="dxa"/>
            <w:noWrap/>
            <w:vAlign w:val="bottom"/>
          </w:tcPr>
          <w:p w:rsidR="001D2E73" w:rsidRDefault="001D2E73">
            <w:pPr>
              <w:spacing w:before="40" w:after="40" w:line="220" w:lineRule="exact"/>
              <w:jc w:val="right"/>
              <w:rPr>
                <w:sz w:val="18"/>
                <w:szCs w:val="18"/>
              </w:rPr>
            </w:pPr>
            <w:r>
              <w:rPr>
                <w:sz w:val="18"/>
                <w:szCs w:val="18"/>
              </w:rPr>
              <w:t>4 056</w:t>
            </w:r>
          </w:p>
        </w:tc>
        <w:tc>
          <w:tcPr>
            <w:tcW w:w="757" w:type="dxa"/>
            <w:noWrap/>
            <w:vAlign w:val="bottom"/>
          </w:tcPr>
          <w:p w:rsidR="001D2E73" w:rsidRDefault="001D2E73">
            <w:pPr>
              <w:spacing w:before="40" w:after="40" w:line="220" w:lineRule="exact"/>
              <w:jc w:val="right"/>
              <w:rPr>
                <w:sz w:val="18"/>
                <w:szCs w:val="18"/>
              </w:rPr>
            </w:pPr>
            <w:r>
              <w:rPr>
                <w:sz w:val="18"/>
                <w:szCs w:val="18"/>
              </w:rPr>
              <w:t>4 016</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Rurales</w:t>
            </w:r>
          </w:p>
        </w:tc>
        <w:tc>
          <w:tcPr>
            <w:tcW w:w="732" w:type="dxa"/>
            <w:noWrap/>
            <w:vAlign w:val="bottom"/>
          </w:tcPr>
          <w:p w:rsidR="001D2E73" w:rsidRDefault="001D2E73">
            <w:pPr>
              <w:spacing w:before="40" w:after="40" w:line="220" w:lineRule="exact"/>
              <w:jc w:val="right"/>
              <w:rPr>
                <w:sz w:val="18"/>
                <w:szCs w:val="18"/>
              </w:rPr>
            </w:pPr>
            <w:r>
              <w:rPr>
                <w:sz w:val="18"/>
                <w:szCs w:val="18"/>
              </w:rPr>
              <w:t>4 615</w:t>
            </w:r>
          </w:p>
        </w:tc>
        <w:tc>
          <w:tcPr>
            <w:tcW w:w="759" w:type="dxa"/>
            <w:noWrap/>
            <w:vAlign w:val="bottom"/>
          </w:tcPr>
          <w:p w:rsidR="001D2E73" w:rsidRDefault="001D2E73">
            <w:pPr>
              <w:spacing w:before="40" w:after="40" w:line="220" w:lineRule="exact"/>
              <w:jc w:val="right"/>
              <w:rPr>
                <w:sz w:val="18"/>
                <w:szCs w:val="18"/>
              </w:rPr>
            </w:pPr>
            <w:r>
              <w:rPr>
                <w:sz w:val="18"/>
                <w:szCs w:val="18"/>
              </w:rPr>
              <w:t>4 464</w:t>
            </w:r>
          </w:p>
        </w:tc>
        <w:tc>
          <w:tcPr>
            <w:tcW w:w="757" w:type="dxa"/>
            <w:noWrap/>
            <w:vAlign w:val="bottom"/>
          </w:tcPr>
          <w:p w:rsidR="001D2E73" w:rsidRDefault="001D2E73">
            <w:pPr>
              <w:spacing w:before="40" w:after="40" w:line="220" w:lineRule="exact"/>
              <w:jc w:val="right"/>
              <w:rPr>
                <w:sz w:val="18"/>
                <w:szCs w:val="18"/>
              </w:rPr>
            </w:pPr>
            <w:r>
              <w:rPr>
                <w:sz w:val="18"/>
                <w:szCs w:val="18"/>
              </w:rPr>
              <w:t>4 645</w:t>
            </w:r>
          </w:p>
        </w:tc>
        <w:tc>
          <w:tcPr>
            <w:tcW w:w="756" w:type="dxa"/>
            <w:noWrap/>
            <w:vAlign w:val="bottom"/>
          </w:tcPr>
          <w:p w:rsidR="001D2E73" w:rsidRDefault="001D2E73">
            <w:pPr>
              <w:spacing w:before="40" w:after="40" w:line="220" w:lineRule="exact"/>
              <w:jc w:val="right"/>
              <w:rPr>
                <w:sz w:val="18"/>
                <w:szCs w:val="18"/>
              </w:rPr>
            </w:pPr>
            <w:r>
              <w:rPr>
                <w:sz w:val="18"/>
                <w:szCs w:val="18"/>
              </w:rPr>
              <w:t>4 504</w:t>
            </w:r>
          </w:p>
        </w:tc>
        <w:tc>
          <w:tcPr>
            <w:tcW w:w="755" w:type="dxa"/>
            <w:noWrap/>
            <w:vAlign w:val="bottom"/>
          </w:tcPr>
          <w:p w:rsidR="001D2E73" w:rsidRDefault="001D2E73">
            <w:pPr>
              <w:spacing w:before="40" w:after="40" w:line="220" w:lineRule="exact"/>
              <w:jc w:val="right"/>
              <w:rPr>
                <w:sz w:val="18"/>
                <w:szCs w:val="18"/>
              </w:rPr>
            </w:pPr>
            <w:r>
              <w:rPr>
                <w:sz w:val="18"/>
                <w:szCs w:val="18"/>
              </w:rPr>
              <w:t>4 603</w:t>
            </w:r>
          </w:p>
        </w:tc>
        <w:tc>
          <w:tcPr>
            <w:tcW w:w="757" w:type="dxa"/>
            <w:noWrap/>
            <w:vAlign w:val="bottom"/>
          </w:tcPr>
          <w:p w:rsidR="001D2E73" w:rsidRDefault="001D2E73">
            <w:pPr>
              <w:spacing w:before="40" w:after="40" w:line="220" w:lineRule="exact"/>
              <w:jc w:val="right"/>
              <w:rPr>
                <w:sz w:val="18"/>
                <w:szCs w:val="18"/>
              </w:rPr>
            </w:pPr>
            <w:r>
              <w:rPr>
                <w:sz w:val="18"/>
                <w:szCs w:val="18"/>
              </w:rPr>
              <w:t>4 575</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clubes</w:t>
            </w:r>
          </w:p>
        </w:tc>
        <w:tc>
          <w:tcPr>
            <w:tcW w:w="732" w:type="dxa"/>
            <w:noWrap/>
            <w:vAlign w:val="bottom"/>
          </w:tcPr>
          <w:p w:rsidR="001D2E73" w:rsidRDefault="001D2E73">
            <w:pPr>
              <w:spacing w:before="40" w:after="40" w:line="220" w:lineRule="exact"/>
              <w:jc w:val="right"/>
              <w:rPr>
                <w:sz w:val="18"/>
                <w:szCs w:val="18"/>
              </w:rPr>
            </w:pPr>
            <w:r>
              <w:rPr>
                <w:sz w:val="18"/>
                <w:szCs w:val="18"/>
              </w:rPr>
              <w:t>3 066</w:t>
            </w:r>
          </w:p>
        </w:tc>
        <w:tc>
          <w:tcPr>
            <w:tcW w:w="759" w:type="dxa"/>
            <w:noWrap/>
            <w:vAlign w:val="bottom"/>
          </w:tcPr>
          <w:p w:rsidR="001D2E73" w:rsidRDefault="001D2E73">
            <w:pPr>
              <w:spacing w:before="40" w:after="40" w:line="220" w:lineRule="exact"/>
              <w:jc w:val="right"/>
              <w:rPr>
                <w:sz w:val="18"/>
                <w:szCs w:val="18"/>
              </w:rPr>
            </w:pPr>
            <w:r>
              <w:rPr>
                <w:sz w:val="18"/>
                <w:szCs w:val="18"/>
              </w:rPr>
              <w:t>3 030</w:t>
            </w:r>
          </w:p>
        </w:tc>
        <w:tc>
          <w:tcPr>
            <w:tcW w:w="757" w:type="dxa"/>
            <w:noWrap/>
            <w:vAlign w:val="bottom"/>
          </w:tcPr>
          <w:p w:rsidR="001D2E73" w:rsidRDefault="001D2E73">
            <w:pPr>
              <w:spacing w:before="40" w:after="40" w:line="220" w:lineRule="exact"/>
              <w:jc w:val="right"/>
              <w:rPr>
                <w:sz w:val="18"/>
                <w:szCs w:val="18"/>
              </w:rPr>
            </w:pPr>
            <w:r>
              <w:rPr>
                <w:sz w:val="18"/>
                <w:szCs w:val="18"/>
              </w:rPr>
              <w:t>2 763</w:t>
            </w:r>
          </w:p>
        </w:tc>
        <w:tc>
          <w:tcPr>
            <w:tcW w:w="756" w:type="dxa"/>
            <w:noWrap/>
            <w:vAlign w:val="bottom"/>
          </w:tcPr>
          <w:p w:rsidR="001D2E73" w:rsidRDefault="001D2E73">
            <w:pPr>
              <w:spacing w:before="40" w:after="40" w:line="220" w:lineRule="exact"/>
              <w:jc w:val="right"/>
              <w:rPr>
                <w:sz w:val="18"/>
                <w:szCs w:val="18"/>
              </w:rPr>
            </w:pPr>
            <w:r>
              <w:rPr>
                <w:sz w:val="18"/>
                <w:szCs w:val="18"/>
              </w:rPr>
              <w:t>2 759</w:t>
            </w:r>
          </w:p>
        </w:tc>
        <w:tc>
          <w:tcPr>
            <w:tcW w:w="755" w:type="dxa"/>
            <w:noWrap/>
            <w:vAlign w:val="bottom"/>
          </w:tcPr>
          <w:p w:rsidR="001D2E73" w:rsidRDefault="001D2E73">
            <w:pPr>
              <w:spacing w:before="40" w:after="40" w:line="220" w:lineRule="exact"/>
              <w:jc w:val="right"/>
              <w:rPr>
                <w:sz w:val="18"/>
                <w:szCs w:val="18"/>
              </w:rPr>
            </w:pPr>
            <w:r>
              <w:rPr>
                <w:sz w:val="18"/>
                <w:szCs w:val="18"/>
              </w:rPr>
              <w:t>2 760</w:t>
            </w:r>
          </w:p>
        </w:tc>
        <w:tc>
          <w:tcPr>
            <w:tcW w:w="757" w:type="dxa"/>
            <w:noWrap/>
            <w:vAlign w:val="bottom"/>
          </w:tcPr>
          <w:p w:rsidR="001D2E73" w:rsidRDefault="001D2E73">
            <w:pPr>
              <w:spacing w:before="40" w:after="40" w:line="220" w:lineRule="exact"/>
              <w:jc w:val="right"/>
              <w:rPr>
                <w:sz w:val="18"/>
                <w:szCs w:val="18"/>
              </w:rPr>
            </w:pPr>
            <w:r>
              <w:rPr>
                <w:sz w:val="18"/>
                <w:szCs w:val="18"/>
              </w:rPr>
              <w:t>2 762</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i/>
                <w:sz w:val="18"/>
                <w:szCs w:val="18"/>
              </w:rPr>
            </w:pPr>
            <w:r>
              <w:rPr>
                <w:i/>
                <w:sz w:val="18"/>
                <w:szCs w:val="18"/>
              </w:rPr>
              <w:t>En particular:</w:t>
            </w:r>
          </w:p>
        </w:tc>
        <w:tc>
          <w:tcPr>
            <w:tcW w:w="732" w:type="dxa"/>
            <w:noWrap/>
            <w:vAlign w:val="bottom"/>
          </w:tcPr>
          <w:p w:rsidR="001D2E73" w:rsidRDefault="001D2E73">
            <w:pPr>
              <w:spacing w:before="40" w:after="40" w:line="220" w:lineRule="exact"/>
              <w:jc w:val="right"/>
              <w:rPr>
                <w:sz w:val="18"/>
                <w:szCs w:val="18"/>
              </w:rPr>
            </w:pPr>
          </w:p>
        </w:tc>
        <w:tc>
          <w:tcPr>
            <w:tcW w:w="759"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c>
          <w:tcPr>
            <w:tcW w:w="756" w:type="dxa"/>
            <w:noWrap/>
            <w:vAlign w:val="bottom"/>
          </w:tcPr>
          <w:p w:rsidR="001D2E73" w:rsidRDefault="001D2E73">
            <w:pPr>
              <w:spacing w:before="40" w:after="40" w:line="220" w:lineRule="exact"/>
              <w:jc w:val="right"/>
              <w:rPr>
                <w:sz w:val="18"/>
                <w:szCs w:val="18"/>
              </w:rPr>
            </w:pPr>
          </w:p>
        </w:tc>
        <w:tc>
          <w:tcPr>
            <w:tcW w:w="755"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Urbanos</w:t>
            </w:r>
          </w:p>
        </w:tc>
        <w:tc>
          <w:tcPr>
            <w:tcW w:w="732" w:type="dxa"/>
            <w:tcBorders>
              <w:bottom w:val="nil"/>
            </w:tcBorders>
            <w:noWrap/>
            <w:vAlign w:val="bottom"/>
          </w:tcPr>
          <w:p w:rsidR="001D2E73" w:rsidRDefault="001D2E73">
            <w:pPr>
              <w:spacing w:before="40" w:after="40" w:line="220" w:lineRule="exact"/>
              <w:jc w:val="right"/>
              <w:rPr>
                <w:sz w:val="18"/>
                <w:szCs w:val="18"/>
              </w:rPr>
            </w:pPr>
            <w:r>
              <w:rPr>
                <w:sz w:val="18"/>
                <w:szCs w:val="18"/>
              </w:rPr>
              <w:t>407</w:t>
            </w:r>
          </w:p>
        </w:tc>
        <w:tc>
          <w:tcPr>
            <w:tcW w:w="759" w:type="dxa"/>
            <w:tcBorders>
              <w:bottom w:val="nil"/>
            </w:tcBorders>
            <w:noWrap/>
            <w:vAlign w:val="bottom"/>
          </w:tcPr>
          <w:p w:rsidR="001D2E73" w:rsidRDefault="001D2E73">
            <w:pPr>
              <w:spacing w:before="40" w:after="40" w:line="220" w:lineRule="exact"/>
              <w:jc w:val="right"/>
              <w:rPr>
                <w:sz w:val="18"/>
                <w:szCs w:val="18"/>
              </w:rPr>
            </w:pPr>
            <w:r>
              <w:rPr>
                <w:sz w:val="18"/>
                <w:szCs w:val="18"/>
              </w:rPr>
              <w:t>657</w:t>
            </w:r>
          </w:p>
        </w:tc>
        <w:tc>
          <w:tcPr>
            <w:tcW w:w="757" w:type="dxa"/>
            <w:tcBorders>
              <w:bottom w:val="nil"/>
            </w:tcBorders>
            <w:noWrap/>
            <w:vAlign w:val="bottom"/>
          </w:tcPr>
          <w:p w:rsidR="001D2E73" w:rsidRDefault="001D2E73">
            <w:pPr>
              <w:spacing w:before="40" w:after="40" w:line="220" w:lineRule="exact"/>
              <w:jc w:val="right"/>
              <w:rPr>
                <w:sz w:val="18"/>
                <w:szCs w:val="18"/>
              </w:rPr>
            </w:pPr>
            <w:r>
              <w:rPr>
                <w:sz w:val="18"/>
                <w:szCs w:val="18"/>
              </w:rPr>
              <w:t>393</w:t>
            </w:r>
          </w:p>
        </w:tc>
        <w:tc>
          <w:tcPr>
            <w:tcW w:w="756" w:type="dxa"/>
            <w:tcBorders>
              <w:bottom w:val="nil"/>
            </w:tcBorders>
            <w:noWrap/>
            <w:vAlign w:val="bottom"/>
          </w:tcPr>
          <w:p w:rsidR="001D2E73" w:rsidRDefault="001D2E73">
            <w:pPr>
              <w:spacing w:before="40" w:after="40" w:line="220" w:lineRule="exact"/>
              <w:jc w:val="right"/>
              <w:rPr>
                <w:sz w:val="18"/>
                <w:szCs w:val="18"/>
              </w:rPr>
            </w:pPr>
            <w:r>
              <w:rPr>
                <w:sz w:val="18"/>
                <w:szCs w:val="18"/>
              </w:rPr>
              <w:t>394</w:t>
            </w:r>
          </w:p>
        </w:tc>
        <w:tc>
          <w:tcPr>
            <w:tcW w:w="755" w:type="dxa"/>
            <w:tcBorders>
              <w:bottom w:val="nil"/>
            </w:tcBorders>
            <w:noWrap/>
            <w:vAlign w:val="bottom"/>
          </w:tcPr>
          <w:p w:rsidR="001D2E73" w:rsidRDefault="001D2E73">
            <w:pPr>
              <w:spacing w:before="40" w:after="40" w:line="220" w:lineRule="exact"/>
              <w:jc w:val="right"/>
              <w:rPr>
                <w:sz w:val="18"/>
                <w:szCs w:val="18"/>
              </w:rPr>
            </w:pPr>
            <w:r>
              <w:rPr>
                <w:sz w:val="18"/>
                <w:szCs w:val="18"/>
              </w:rPr>
              <w:t>389</w:t>
            </w:r>
          </w:p>
        </w:tc>
        <w:tc>
          <w:tcPr>
            <w:tcW w:w="757" w:type="dxa"/>
            <w:tcBorders>
              <w:bottom w:val="nil"/>
            </w:tcBorders>
            <w:noWrap/>
            <w:vAlign w:val="bottom"/>
          </w:tcPr>
          <w:p w:rsidR="001D2E73" w:rsidRDefault="001D2E73">
            <w:pPr>
              <w:spacing w:before="40" w:after="40" w:line="220" w:lineRule="exact"/>
              <w:jc w:val="right"/>
              <w:rPr>
                <w:sz w:val="18"/>
                <w:szCs w:val="18"/>
              </w:rPr>
            </w:pPr>
            <w:r>
              <w:rPr>
                <w:sz w:val="18"/>
                <w:szCs w:val="18"/>
              </w:rPr>
              <w:t>390</w:t>
            </w:r>
          </w:p>
        </w:tc>
      </w:tr>
      <w:tr w:rsidR="001D2E73">
        <w:trPr>
          <w:trHeight w:val="20"/>
        </w:trPr>
        <w:tc>
          <w:tcPr>
            <w:tcW w:w="2854" w:type="dxa"/>
            <w:tcBorders>
              <w:top w:val="nil"/>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Rurales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2 659</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2 373</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2 370</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2 365</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2 371</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2 372</w:t>
            </w:r>
          </w:p>
        </w:tc>
      </w:tr>
      <w:tr w:rsidR="001D2E73">
        <w:trPr>
          <w:trHeight w:val="20"/>
        </w:trPr>
        <w:tc>
          <w:tcPr>
            <w:tcW w:w="2854" w:type="dxa"/>
            <w:tcBorders>
              <w:top w:val="nil"/>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salas de cine</w:t>
            </w:r>
          </w:p>
        </w:tc>
        <w:tc>
          <w:tcPr>
            <w:tcW w:w="732" w:type="dxa"/>
            <w:tcBorders>
              <w:top w:val="nil"/>
            </w:tcBorders>
            <w:noWrap/>
            <w:vAlign w:val="bottom"/>
          </w:tcPr>
          <w:p w:rsidR="001D2E73" w:rsidRDefault="001D2E73">
            <w:pPr>
              <w:spacing w:before="40" w:after="40" w:line="220" w:lineRule="exact"/>
              <w:jc w:val="right"/>
              <w:rPr>
                <w:sz w:val="18"/>
                <w:szCs w:val="18"/>
              </w:rPr>
            </w:pPr>
            <w:r>
              <w:rPr>
                <w:sz w:val="18"/>
                <w:szCs w:val="18"/>
              </w:rPr>
              <w:t>17</w:t>
            </w:r>
          </w:p>
        </w:tc>
        <w:tc>
          <w:tcPr>
            <w:tcW w:w="759" w:type="dxa"/>
            <w:tcBorders>
              <w:top w:val="nil"/>
            </w:tcBorders>
            <w:noWrap/>
            <w:vAlign w:val="bottom"/>
          </w:tcPr>
          <w:p w:rsidR="001D2E73" w:rsidRDefault="001D2E73">
            <w:pPr>
              <w:spacing w:before="40" w:after="40" w:line="220" w:lineRule="exact"/>
              <w:jc w:val="right"/>
              <w:rPr>
                <w:sz w:val="18"/>
                <w:szCs w:val="18"/>
              </w:rPr>
            </w:pPr>
            <w:r>
              <w:rPr>
                <w:sz w:val="18"/>
                <w:szCs w:val="18"/>
              </w:rPr>
              <w:t>19</w:t>
            </w:r>
          </w:p>
        </w:tc>
        <w:tc>
          <w:tcPr>
            <w:tcW w:w="757" w:type="dxa"/>
            <w:tcBorders>
              <w:top w:val="nil"/>
            </w:tcBorders>
            <w:noWrap/>
            <w:vAlign w:val="bottom"/>
          </w:tcPr>
          <w:p w:rsidR="001D2E73" w:rsidRDefault="001D2E73">
            <w:pPr>
              <w:spacing w:before="40" w:after="40" w:line="220" w:lineRule="exact"/>
              <w:jc w:val="right"/>
              <w:rPr>
                <w:sz w:val="18"/>
                <w:szCs w:val="18"/>
              </w:rPr>
            </w:pPr>
            <w:r>
              <w:rPr>
                <w:sz w:val="18"/>
                <w:szCs w:val="18"/>
              </w:rPr>
              <w:t>21</w:t>
            </w:r>
          </w:p>
        </w:tc>
        <w:tc>
          <w:tcPr>
            <w:tcW w:w="756" w:type="dxa"/>
            <w:tcBorders>
              <w:top w:val="nil"/>
            </w:tcBorders>
            <w:noWrap/>
            <w:vAlign w:val="bottom"/>
          </w:tcPr>
          <w:p w:rsidR="001D2E73" w:rsidRDefault="001D2E73">
            <w:pPr>
              <w:spacing w:before="40" w:after="40" w:line="220" w:lineRule="exact"/>
              <w:jc w:val="right"/>
              <w:rPr>
                <w:sz w:val="18"/>
                <w:szCs w:val="18"/>
              </w:rPr>
            </w:pPr>
            <w:r>
              <w:rPr>
                <w:sz w:val="18"/>
                <w:szCs w:val="18"/>
              </w:rPr>
              <w:t>19</w:t>
            </w:r>
          </w:p>
        </w:tc>
        <w:tc>
          <w:tcPr>
            <w:tcW w:w="755" w:type="dxa"/>
            <w:tcBorders>
              <w:top w:val="nil"/>
            </w:tcBorders>
            <w:noWrap/>
            <w:vAlign w:val="bottom"/>
          </w:tcPr>
          <w:p w:rsidR="001D2E73" w:rsidRDefault="001D2E73">
            <w:pPr>
              <w:spacing w:before="40" w:after="40" w:line="220" w:lineRule="exact"/>
              <w:jc w:val="right"/>
              <w:rPr>
                <w:sz w:val="18"/>
                <w:szCs w:val="18"/>
              </w:rPr>
            </w:pPr>
            <w:r>
              <w:rPr>
                <w:sz w:val="18"/>
                <w:szCs w:val="18"/>
              </w:rPr>
              <w:t>17</w:t>
            </w:r>
          </w:p>
        </w:tc>
        <w:tc>
          <w:tcPr>
            <w:tcW w:w="757" w:type="dxa"/>
            <w:tcBorders>
              <w:top w:val="nil"/>
            </w:tcBorders>
            <w:noWrap/>
            <w:vAlign w:val="bottom"/>
          </w:tcPr>
          <w:p w:rsidR="001D2E73" w:rsidRDefault="001D2E73">
            <w:pPr>
              <w:spacing w:before="40" w:after="40" w:line="220" w:lineRule="exact"/>
              <w:jc w:val="right"/>
              <w:rPr>
                <w:sz w:val="18"/>
                <w:szCs w:val="18"/>
              </w:rPr>
            </w:pPr>
            <w:r>
              <w:rPr>
                <w:sz w:val="18"/>
                <w:szCs w:val="18"/>
              </w:rPr>
              <w:t>14</w:t>
            </w:r>
          </w:p>
        </w:tc>
      </w:tr>
      <w:tr w:rsidR="001D2E73">
        <w:trPr>
          <w:trHeight w:val="510"/>
        </w:trPr>
        <w:tc>
          <w:tcPr>
            <w:tcW w:w="2854" w:type="dxa"/>
            <w:tcBorders>
              <w:left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asistentes a las funci</w:t>
            </w:r>
            <w:r>
              <w:rPr>
                <w:sz w:val="18"/>
                <w:szCs w:val="18"/>
              </w:rPr>
              <w:t>o</w:t>
            </w:r>
            <w:r>
              <w:rPr>
                <w:sz w:val="18"/>
                <w:szCs w:val="18"/>
              </w:rPr>
              <w:t>nes: miles de personas</w:t>
            </w:r>
          </w:p>
        </w:tc>
        <w:tc>
          <w:tcPr>
            <w:tcW w:w="732" w:type="dxa"/>
            <w:noWrap/>
            <w:vAlign w:val="bottom"/>
          </w:tcPr>
          <w:p w:rsidR="001D2E73" w:rsidRDefault="001D2E73">
            <w:pPr>
              <w:spacing w:before="40" w:after="40" w:line="220" w:lineRule="exact"/>
              <w:jc w:val="right"/>
              <w:rPr>
                <w:sz w:val="18"/>
                <w:szCs w:val="18"/>
              </w:rPr>
            </w:pPr>
            <w:r>
              <w:rPr>
                <w:sz w:val="18"/>
                <w:szCs w:val="18"/>
              </w:rPr>
              <w:t>116,1</w:t>
            </w:r>
          </w:p>
        </w:tc>
        <w:tc>
          <w:tcPr>
            <w:tcW w:w="759" w:type="dxa"/>
            <w:noWrap/>
            <w:vAlign w:val="bottom"/>
          </w:tcPr>
          <w:p w:rsidR="001D2E73" w:rsidRDefault="001D2E73">
            <w:pPr>
              <w:spacing w:before="40" w:after="40" w:line="220" w:lineRule="exact"/>
              <w:jc w:val="right"/>
              <w:rPr>
                <w:sz w:val="18"/>
                <w:szCs w:val="18"/>
              </w:rPr>
            </w:pPr>
            <w:r>
              <w:rPr>
                <w:sz w:val="18"/>
                <w:szCs w:val="18"/>
              </w:rPr>
              <w:t>123,3</w:t>
            </w:r>
          </w:p>
        </w:tc>
        <w:tc>
          <w:tcPr>
            <w:tcW w:w="757" w:type="dxa"/>
            <w:noWrap/>
            <w:vAlign w:val="bottom"/>
          </w:tcPr>
          <w:p w:rsidR="001D2E73" w:rsidRDefault="001D2E73">
            <w:pPr>
              <w:spacing w:before="40" w:after="40" w:line="220" w:lineRule="exact"/>
              <w:jc w:val="right"/>
              <w:rPr>
                <w:sz w:val="18"/>
                <w:szCs w:val="18"/>
              </w:rPr>
            </w:pPr>
            <w:r>
              <w:rPr>
                <w:sz w:val="18"/>
                <w:szCs w:val="18"/>
              </w:rPr>
              <w:t>115,4</w:t>
            </w:r>
          </w:p>
        </w:tc>
        <w:tc>
          <w:tcPr>
            <w:tcW w:w="756" w:type="dxa"/>
            <w:noWrap/>
            <w:vAlign w:val="bottom"/>
          </w:tcPr>
          <w:p w:rsidR="001D2E73" w:rsidRDefault="001D2E73">
            <w:pPr>
              <w:spacing w:before="40" w:after="40" w:line="220" w:lineRule="exact"/>
              <w:jc w:val="right"/>
              <w:rPr>
                <w:sz w:val="18"/>
                <w:szCs w:val="18"/>
              </w:rPr>
            </w:pPr>
            <w:r>
              <w:rPr>
                <w:sz w:val="18"/>
                <w:szCs w:val="18"/>
              </w:rPr>
              <w:t>177,1</w:t>
            </w:r>
          </w:p>
        </w:tc>
        <w:tc>
          <w:tcPr>
            <w:tcW w:w="755" w:type="dxa"/>
            <w:noWrap/>
            <w:vAlign w:val="bottom"/>
          </w:tcPr>
          <w:p w:rsidR="001D2E73" w:rsidRDefault="001D2E73">
            <w:pPr>
              <w:spacing w:before="40" w:after="40" w:line="220" w:lineRule="exact"/>
              <w:jc w:val="right"/>
              <w:rPr>
                <w:sz w:val="18"/>
                <w:szCs w:val="18"/>
              </w:rPr>
            </w:pPr>
            <w:r>
              <w:rPr>
                <w:sz w:val="18"/>
                <w:szCs w:val="18"/>
              </w:rPr>
              <w:t>159,2</w:t>
            </w:r>
          </w:p>
        </w:tc>
        <w:tc>
          <w:tcPr>
            <w:tcW w:w="757" w:type="dxa"/>
            <w:noWrap/>
            <w:vAlign w:val="bottom"/>
          </w:tcPr>
          <w:p w:rsidR="001D2E73" w:rsidRDefault="001D2E73">
            <w:pPr>
              <w:spacing w:before="40" w:after="40" w:line="220" w:lineRule="exact"/>
              <w:jc w:val="right"/>
              <w:rPr>
                <w:sz w:val="18"/>
                <w:szCs w:val="18"/>
              </w:rPr>
            </w:pPr>
            <w:r>
              <w:rPr>
                <w:sz w:val="18"/>
                <w:szCs w:val="18"/>
              </w:rPr>
              <w:t>133,2</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Por cada 1000 habitantes</w:t>
            </w:r>
          </w:p>
        </w:tc>
        <w:tc>
          <w:tcPr>
            <w:tcW w:w="732" w:type="dxa"/>
            <w:noWrap/>
            <w:vAlign w:val="bottom"/>
          </w:tcPr>
          <w:p w:rsidR="001D2E73" w:rsidRDefault="001D2E73">
            <w:pPr>
              <w:spacing w:before="40" w:after="40" w:line="220" w:lineRule="exact"/>
              <w:jc w:val="right"/>
              <w:rPr>
                <w:sz w:val="18"/>
                <w:szCs w:val="18"/>
              </w:rPr>
            </w:pPr>
            <w:r>
              <w:rPr>
                <w:sz w:val="18"/>
                <w:szCs w:val="18"/>
              </w:rPr>
              <w:t>14</w:t>
            </w:r>
          </w:p>
        </w:tc>
        <w:tc>
          <w:tcPr>
            <w:tcW w:w="759" w:type="dxa"/>
            <w:noWrap/>
            <w:vAlign w:val="bottom"/>
          </w:tcPr>
          <w:p w:rsidR="001D2E73" w:rsidRDefault="001D2E73">
            <w:pPr>
              <w:spacing w:before="40" w:after="40" w:line="220" w:lineRule="exact"/>
              <w:jc w:val="right"/>
              <w:rPr>
                <w:sz w:val="18"/>
                <w:szCs w:val="18"/>
              </w:rPr>
            </w:pPr>
            <w:r>
              <w:rPr>
                <w:sz w:val="18"/>
                <w:szCs w:val="18"/>
              </w:rPr>
              <w:t>15</w:t>
            </w:r>
          </w:p>
        </w:tc>
        <w:tc>
          <w:tcPr>
            <w:tcW w:w="757" w:type="dxa"/>
            <w:noWrap/>
            <w:vAlign w:val="bottom"/>
          </w:tcPr>
          <w:p w:rsidR="001D2E73" w:rsidRDefault="001D2E73">
            <w:pPr>
              <w:spacing w:before="40" w:after="40" w:line="220" w:lineRule="exact"/>
              <w:jc w:val="right"/>
              <w:rPr>
                <w:sz w:val="18"/>
                <w:szCs w:val="18"/>
              </w:rPr>
            </w:pPr>
            <w:r>
              <w:rPr>
                <w:sz w:val="18"/>
                <w:szCs w:val="18"/>
              </w:rPr>
              <w:t>14</w:t>
            </w:r>
          </w:p>
        </w:tc>
        <w:tc>
          <w:tcPr>
            <w:tcW w:w="756" w:type="dxa"/>
            <w:noWrap/>
            <w:vAlign w:val="bottom"/>
          </w:tcPr>
          <w:p w:rsidR="001D2E73" w:rsidRDefault="001D2E73">
            <w:pPr>
              <w:spacing w:before="40" w:after="40" w:line="220" w:lineRule="exact"/>
              <w:jc w:val="right"/>
              <w:rPr>
                <w:sz w:val="18"/>
                <w:szCs w:val="18"/>
              </w:rPr>
            </w:pPr>
            <w:r>
              <w:rPr>
                <w:sz w:val="18"/>
                <w:szCs w:val="18"/>
              </w:rPr>
              <w:t>21</w:t>
            </w:r>
          </w:p>
        </w:tc>
        <w:tc>
          <w:tcPr>
            <w:tcW w:w="755" w:type="dxa"/>
            <w:noWrap/>
            <w:vAlign w:val="bottom"/>
          </w:tcPr>
          <w:p w:rsidR="001D2E73" w:rsidRDefault="001D2E73">
            <w:pPr>
              <w:spacing w:before="40" w:after="40" w:line="220" w:lineRule="exact"/>
              <w:jc w:val="right"/>
              <w:rPr>
                <w:sz w:val="18"/>
                <w:szCs w:val="18"/>
              </w:rPr>
            </w:pPr>
            <w:r>
              <w:rPr>
                <w:sz w:val="18"/>
                <w:szCs w:val="18"/>
              </w:rPr>
              <w:t>19</w:t>
            </w:r>
          </w:p>
        </w:tc>
        <w:tc>
          <w:tcPr>
            <w:tcW w:w="757" w:type="dxa"/>
            <w:noWrap/>
            <w:vAlign w:val="bottom"/>
          </w:tcPr>
          <w:p w:rsidR="001D2E73" w:rsidRDefault="001D2E73">
            <w:pPr>
              <w:spacing w:before="40" w:after="40" w:line="220" w:lineRule="exact"/>
              <w:jc w:val="right"/>
              <w:rPr>
                <w:sz w:val="18"/>
                <w:szCs w:val="18"/>
              </w:rPr>
            </w:pPr>
            <w:r>
              <w:rPr>
                <w:sz w:val="18"/>
                <w:szCs w:val="18"/>
              </w:rPr>
              <w:t>16</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teatros profesionales</w:t>
            </w:r>
          </w:p>
        </w:tc>
        <w:tc>
          <w:tcPr>
            <w:tcW w:w="732" w:type="dxa"/>
            <w:noWrap/>
            <w:vAlign w:val="bottom"/>
          </w:tcPr>
          <w:p w:rsidR="001D2E73" w:rsidRDefault="001D2E73">
            <w:pPr>
              <w:spacing w:before="40" w:after="40" w:line="220" w:lineRule="exact"/>
              <w:jc w:val="right"/>
              <w:rPr>
                <w:sz w:val="18"/>
                <w:szCs w:val="18"/>
              </w:rPr>
            </w:pPr>
            <w:r>
              <w:rPr>
                <w:sz w:val="18"/>
                <w:szCs w:val="18"/>
              </w:rPr>
              <w:t>27</w:t>
            </w:r>
          </w:p>
        </w:tc>
        <w:tc>
          <w:tcPr>
            <w:tcW w:w="759" w:type="dxa"/>
            <w:noWrap/>
            <w:vAlign w:val="bottom"/>
          </w:tcPr>
          <w:p w:rsidR="001D2E73" w:rsidRDefault="001D2E73">
            <w:pPr>
              <w:spacing w:before="40" w:after="40" w:line="220" w:lineRule="exact"/>
              <w:jc w:val="right"/>
              <w:rPr>
                <w:sz w:val="18"/>
                <w:szCs w:val="18"/>
              </w:rPr>
            </w:pPr>
            <w:r>
              <w:rPr>
                <w:sz w:val="18"/>
                <w:szCs w:val="18"/>
              </w:rPr>
              <w:t>30</w:t>
            </w:r>
          </w:p>
        </w:tc>
        <w:tc>
          <w:tcPr>
            <w:tcW w:w="757" w:type="dxa"/>
            <w:noWrap/>
            <w:vAlign w:val="bottom"/>
          </w:tcPr>
          <w:p w:rsidR="001D2E73" w:rsidRDefault="001D2E73">
            <w:pPr>
              <w:spacing w:before="40" w:after="40" w:line="220" w:lineRule="exact"/>
              <w:jc w:val="right"/>
              <w:rPr>
                <w:sz w:val="18"/>
                <w:szCs w:val="18"/>
              </w:rPr>
            </w:pPr>
            <w:r>
              <w:rPr>
                <w:sz w:val="18"/>
                <w:szCs w:val="18"/>
              </w:rPr>
              <w:t>30</w:t>
            </w:r>
          </w:p>
        </w:tc>
        <w:tc>
          <w:tcPr>
            <w:tcW w:w="756" w:type="dxa"/>
            <w:noWrap/>
            <w:vAlign w:val="bottom"/>
          </w:tcPr>
          <w:p w:rsidR="001D2E73" w:rsidRDefault="001D2E73">
            <w:pPr>
              <w:spacing w:before="40" w:after="40" w:line="220" w:lineRule="exact"/>
              <w:jc w:val="right"/>
              <w:rPr>
                <w:sz w:val="18"/>
                <w:szCs w:val="18"/>
              </w:rPr>
            </w:pPr>
            <w:r>
              <w:rPr>
                <w:sz w:val="18"/>
                <w:szCs w:val="18"/>
              </w:rPr>
              <w:t>31</w:t>
            </w:r>
          </w:p>
        </w:tc>
        <w:tc>
          <w:tcPr>
            <w:tcW w:w="755" w:type="dxa"/>
            <w:noWrap/>
            <w:vAlign w:val="bottom"/>
          </w:tcPr>
          <w:p w:rsidR="001D2E73" w:rsidRDefault="001D2E73">
            <w:pPr>
              <w:spacing w:before="40" w:after="40" w:line="220" w:lineRule="exact"/>
              <w:jc w:val="right"/>
              <w:rPr>
                <w:sz w:val="18"/>
                <w:szCs w:val="18"/>
              </w:rPr>
            </w:pPr>
            <w:r>
              <w:rPr>
                <w:sz w:val="18"/>
                <w:szCs w:val="18"/>
              </w:rPr>
              <w:t>31</w:t>
            </w:r>
          </w:p>
        </w:tc>
        <w:tc>
          <w:tcPr>
            <w:tcW w:w="757" w:type="dxa"/>
            <w:noWrap/>
            <w:vAlign w:val="bottom"/>
          </w:tcPr>
          <w:p w:rsidR="001D2E73" w:rsidRDefault="001D2E73">
            <w:pPr>
              <w:spacing w:before="40" w:after="40" w:line="220" w:lineRule="exact"/>
              <w:jc w:val="right"/>
              <w:rPr>
                <w:sz w:val="18"/>
                <w:szCs w:val="18"/>
              </w:rPr>
            </w:pPr>
            <w:r>
              <w:rPr>
                <w:sz w:val="18"/>
                <w:szCs w:val="18"/>
              </w:rPr>
              <w:t>31</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asistentes a los te</w:t>
            </w:r>
            <w:r>
              <w:rPr>
                <w:sz w:val="18"/>
                <w:szCs w:val="18"/>
              </w:rPr>
              <w:t>a</w:t>
            </w:r>
            <w:r>
              <w:rPr>
                <w:sz w:val="18"/>
                <w:szCs w:val="18"/>
              </w:rPr>
              <w:t>tros:</w:t>
            </w:r>
          </w:p>
        </w:tc>
        <w:tc>
          <w:tcPr>
            <w:tcW w:w="732" w:type="dxa"/>
            <w:noWrap/>
            <w:vAlign w:val="bottom"/>
          </w:tcPr>
          <w:p w:rsidR="001D2E73" w:rsidRDefault="001D2E73">
            <w:pPr>
              <w:spacing w:before="40" w:after="40" w:line="220" w:lineRule="exact"/>
              <w:jc w:val="right"/>
              <w:rPr>
                <w:sz w:val="18"/>
                <w:szCs w:val="18"/>
              </w:rPr>
            </w:pPr>
          </w:p>
        </w:tc>
        <w:tc>
          <w:tcPr>
            <w:tcW w:w="759"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c>
          <w:tcPr>
            <w:tcW w:w="756" w:type="dxa"/>
            <w:noWrap/>
            <w:vAlign w:val="bottom"/>
          </w:tcPr>
          <w:p w:rsidR="001D2E73" w:rsidRDefault="001D2E73">
            <w:pPr>
              <w:spacing w:before="40" w:after="40" w:line="220" w:lineRule="exact"/>
              <w:jc w:val="right"/>
              <w:rPr>
                <w:sz w:val="18"/>
                <w:szCs w:val="18"/>
              </w:rPr>
            </w:pPr>
          </w:p>
        </w:tc>
        <w:tc>
          <w:tcPr>
            <w:tcW w:w="755" w:type="dxa"/>
            <w:noWrap/>
            <w:vAlign w:val="bottom"/>
          </w:tcPr>
          <w:p w:rsidR="001D2E73" w:rsidRDefault="001D2E73">
            <w:pPr>
              <w:spacing w:before="40" w:after="40" w:line="220" w:lineRule="exact"/>
              <w:jc w:val="right"/>
              <w:rPr>
                <w:sz w:val="18"/>
                <w:szCs w:val="18"/>
              </w:rPr>
            </w:pPr>
          </w:p>
        </w:tc>
        <w:tc>
          <w:tcPr>
            <w:tcW w:w="757" w:type="dxa"/>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Mmiles de personas</w:t>
            </w:r>
          </w:p>
        </w:tc>
        <w:tc>
          <w:tcPr>
            <w:tcW w:w="732" w:type="dxa"/>
            <w:noWrap/>
            <w:vAlign w:val="bottom"/>
          </w:tcPr>
          <w:p w:rsidR="001D2E73" w:rsidRDefault="001D2E73">
            <w:pPr>
              <w:spacing w:before="40" w:after="40" w:line="220" w:lineRule="exact"/>
              <w:jc w:val="right"/>
              <w:rPr>
                <w:sz w:val="18"/>
                <w:szCs w:val="18"/>
              </w:rPr>
            </w:pPr>
            <w:r>
              <w:rPr>
                <w:sz w:val="18"/>
                <w:szCs w:val="18"/>
              </w:rPr>
              <w:t>714</w:t>
            </w:r>
          </w:p>
        </w:tc>
        <w:tc>
          <w:tcPr>
            <w:tcW w:w="759" w:type="dxa"/>
            <w:noWrap/>
            <w:vAlign w:val="bottom"/>
          </w:tcPr>
          <w:p w:rsidR="001D2E73" w:rsidRDefault="001D2E73">
            <w:pPr>
              <w:spacing w:before="40" w:after="40" w:line="220" w:lineRule="exact"/>
              <w:jc w:val="right"/>
              <w:rPr>
                <w:sz w:val="18"/>
                <w:szCs w:val="18"/>
              </w:rPr>
            </w:pPr>
            <w:r>
              <w:rPr>
                <w:sz w:val="18"/>
                <w:szCs w:val="18"/>
              </w:rPr>
              <w:t>604</w:t>
            </w:r>
          </w:p>
        </w:tc>
        <w:tc>
          <w:tcPr>
            <w:tcW w:w="757" w:type="dxa"/>
            <w:noWrap/>
            <w:vAlign w:val="bottom"/>
          </w:tcPr>
          <w:p w:rsidR="001D2E73" w:rsidRDefault="001D2E73">
            <w:pPr>
              <w:spacing w:before="40" w:after="40" w:line="220" w:lineRule="exact"/>
              <w:jc w:val="right"/>
              <w:rPr>
                <w:sz w:val="18"/>
                <w:szCs w:val="18"/>
              </w:rPr>
            </w:pPr>
            <w:r>
              <w:rPr>
                <w:sz w:val="18"/>
                <w:szCs w:val="18"/>
              </w:rPr>
              <w:t>544</w:t>
            </w:r>
          </w:p>
        </w:tc>
        <w:tc>
          <w:tcPr>
            <w:tcW w:w="756" w:type="dxa"/>
            <w:noWrap/>
            <w:vAlign w:val="bottom"/>
          </w:tcPr>
          <w:p w:rsidR="001D2E73" w:rsidRDefault="001D2E73">
            <w:pPr>
              <w:spacing w:before="40" w:after="40" w:line="220" w:lineRule="exact"/>
              <w:jc w:val="right"/>
              <w:rPr>
                <w:sz w:val="18"/>
                <w:szCs w:val="18"/>
              </w:rPr>
            </w:pPr>
            <w:r>
              <w:rPr>
                <w:sz w:val="18"/>
                <w:szCs w:val="18"/>
              </w:rPr>
              <w:t>495</w:t>
            </w:r>
          </w:p>
        </w:tc>
        <w:tc>
          <w:tcPr>
            <w:tcW w:w="755" w:type="dxa"/>
            <w:noWrap/>
            <w:vAlign w:val="bottom"/>
          </w:tcPr>
          <w:p w:rsidR="001D2E73" w:rsidRDefault="001D2E73">
            <w:pPr>
              <w:spacing w:before="40" w:after="40" w:line="220" w:lineRule="exact"/>
              <w:jc w:val="right"/>
              <w:rPr>
                <w:sz w:val="18"/>
                <w:szCs w:val="18"/>
              </w:rPr>
            </w:pPr>
            <w:r>
              <w:rPr>
                <w:sz w:val="18"/>
                <w:szCs w:val="18"/>
              </w:rPr>
              <w:t>529</w:t>
            </w:r>
          </w:p>
        </w:tc>
        <w:tc>
          <w:tcPr>
            <w:tcW w:w="757" w:type="dxa"/>
            <w:noWrap/>
            <w:vAlign w:val="bottom"/>
          </w:tcPr>
          <w:p w:rsidR="001D2E73" w:rsidRDefault="001D2E73">
            <w:pPr>
              <w:spacing w:before="40" w:after="40" w:line="220" w:lineRule="exact"/>
              <w:jc w:val="right"/>
              <w:rPr>
                <w:sz w:val="18"/>
                <w:szCs w:val="18"/>
              </w:rPr>
            </w:pPr>
            <w:r>
              <w:rPr>
                <w:sz w:val="18"/>
                <w:szCs w:val="18"/>
              </w:rPr>
              <w:t>566</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Por cada 1000 habitantes</w:t>
            </w:r>
          </w:p>
        </w:tc>
        <w:tc>
          <w:tcPr>
            <w:tcW w:w="732" w:type="dxa"/>
            <w:tcBorders>
              <w:bottom w:val="nil"/>
            </w:tcBorders>
            <w:noWrap/>
            <w:vAlign w:val="bottom"/>
          </w:tcPr>
          <w:p w:rsidR="001D2E73" w:rsidRDefault="001D2E73">
            <w:pPr>
              <w:spacing w:before="40" w:after="40" w:line="220" w:lineRule="exact"/>
              <w:jc w:val="right"/>
              <w:rPr>
                <w:sz w:val="18"/>
                <w:szCs w:val="18"/>
              </w:rPr>
            </w:pPr>
            <w:r>
              <w:rPr>
                <w:sz w:val="18"/>
                <w:szCs w:val="18"/>
              </w:rPr>
              <w:t>88</w:t>
            </w:r>
          </w:p>
        </w:tc>
        <w:tc>
          <w:tcPr>
            <w:tcW w:w="759" w:type="dxa"/>
            <w:tcBorders>
              <w:bottom w:val="nil"/>
            </w:tcBorders>
            <w:noWrap/>
            <w:vAlign w:val="bottom"/>
          </w:tcPr>
          <w:p w:rsidR="001D2E73" w:rsidRDefault="001D2E73">
            <w:pPr>
              <w:spacing w:before="40" w:after="40" w:line="220" w:lineRule="exact"/>
              <w:jc w:val="right"/>
              <w:rPr>
                <w:sz w:val="18"/>
                <w:szCs w:val="18"/>
              </w:rPr>
            </w:pPr>
            <w:r>
              <w:rPr>
                <w:sz w:val="18"/>
                <w:szCs w:val="18"/>
              </w:rPr>
              <w:t>74</w:t>
            </w:r>
          </w:p>
        </w:tc>
        <w:tc>
          <w:tcPr>
            <w:tcW w:w="757" w:type="dxa"/>
            <w:tcBorders>
              <w:bottom w:val="nil"/>
            </w:tcBorders>
            <w:noWrap/>
            <w:vAlign w:val="bottom"/>
          </w:tcPr>
          <w:p w:rsidR="001D2E73" w:rsidRDefault="001D2E73">
            <w:pPr>
              <w:spacing w:before="40" w:after="40" w:line="220" w:lineRule="exact"/>
              <w:jc w:val="right"/>
              <w:rPr>
                <w:sz w:val="18"/>
                <w:szCs w:val="18"/>
              </w:rPr>
            </w:pPr>
            <w:r>
              <w:rPr>
                <w:sz w:val="18"/>
                <w:szCs w:val="18"/>
              </w:rPr>
              <w:t>66</w:t>
            </w:r>
          </w:p>
        </w:tc>
        <w:tc>
          <w:tcPr>
            <w:tcW w:w="756" w:type="dxa"/>
            <w:tcBorders>
              <w:bottom w:val="nil"/>
            </w:tcBorders>
            <w:noWrap/>
            <w:vAlign w:val="bottom"/>
          </w:tcPr>
          <w:p w:rsidR="001D2E73" w:rsidRDefault="001D2E73">
            <w:pPr>
              <w:spacing w:before="40" w:after="40" w:line="220" w:lineRule="exact"/>
              <w:jc w:val="right"/>
              <w:rPr>
                <w:sz w:val="18"/>
                <w:szCs w:val="18"/>
              </w:rPr>
            </w:pPr>
            <w:r>
              <w:rPr>
                <w:sz w:val="18"/>
                <w:szCs w:val="18"/>
              </w:rPr>
              <w:t>58</w:t>
            </w:r>
          </w:p>
        </w:tc>
        <w:tc>
          <w:tcPr>
            <w:tcW w:w="755" w:type="dxa"/>
            <w:tcBorders>
              <w:bottom w:val="nil"/>
            </w:tcBorders>
            <w:noWrap/>
            <w:vAlign w:val="bottom"/>
          </w:tcPr>
          <w:p w:rsidR="001D2E73" w:rsidRDefault="001D2E73">
            <w:pPr>
              <w:spacing w:before="40" w:after="40" w:line="220" w:lineRule="exact"/>
              <w:jc w:val="right"/>
              <w:rPr>
                <w:sz w:val="18"/>
                <w:szCs w:val="18"/>
              </w:rPr>
            </w:pPr>
            <w:r>
              <w:rPr>
                <w:sz w:val="18"/>
                <w:szCs w:val="18"/>
              </w:rPr>
              <w:t>62</w:t>
            </w:r>
          </w:p>
        </w:tc>
        <w:tc>
          <w:tcPr>
            <w:tcW w:w="757" w:type="dxa"/>
            <w:tcBorders>
              <w:bottom w:val="nil"/>
            </w:tcBorders>
            <w:noWrap/>
            <w:vAlign w:val="bottom"/>
          </w:tcPr>
          <w:p w:rsidR="001D2E73" w:rsidRDefault="001D2E73">
            <w:pPr>
              <w:spacing w:before="40" w:after="40" w:line="220" w:lineRule="exact"/>
              <w:jc w:val="right"/>
              <w:rPr>
                <w:sz w:val="18"/>
                <w:szCs w:val="18"/>
              </w:rPr>
            </w:pPr>
            <w:r>
              <w:rPr>
                <w:sz w:val="18"/>
                <w:szCs w:val="18"/>
              </w:rPr>
              <w:t>66</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agrupaciones de co</w:t>
            </w:r>
            <w:r>
              <w:rPr>
                <w:sz w:val="18"/>
                <w:szCs w:val="18"/>
              </w:rPr>
              <w:t>n</w:t>
            </w:r>
            <w:r>
              <w:rPr>
                <w:sz w:val="18"/>
                <w:szCs w:val="18"/>
              </w:rPr>
              <w:t>cierto</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13</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13</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13</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12</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12</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12</w:t>
            </w:r>
          </w:p>
        </w:tc>
      </w:tr>
      <w:tr w:rsidR="001D2E73">
        <w:trPr>
          <w:trHeight w:val="510"/>
        </w:trPr>
        <w:tc>
          <w:tcPr>
            <w:tcW w:w="2854" w:type="dxa"/>
            <w:tcBorders>
              <w:left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espectadores en los conciertos:</w:t>
            </w:r>
          </w:p>
        </w:tc>
        <w:tc>
          <w:tcPr>
            <w:tcW w:w="732" w:type="dxa"/>
            <w:tcBorders>
              <w:top w:val="nil"/>
            </w:tcBorders>
            <w:noWrap/>
            <w:vAlign w:val="bottom"/>
          </w:tcPr>
          <w:p w:rsidR="001D2E73" w:rsidRDefault="001D2E73">
            <w:pPr>
              <w:spacing w:before="40" w:after="40" w:line="220" w:lineRule="exact"/>
              <w:jc w:val="right"/>
              <w:rPr>
                <w:sz w:val="18"/>
                <w:szCs w:val="18"/>
              </w:rPr>
            </w:pPr>
          </w:p>
        </w:tc>
        <w:tc>
          <w:tcPr>
            <w:tcW w:w="759" w:type="dxa"/>
            <w:tcBorders>
              <w:top w:val="nil"/>
            </w:tcBorders>
            <w:noWrap/>
            <w:vAlign w:val="bottom"/>
          </w:tcPr>
          <w:p w:rsidR="001D2E73" w:rsidRDefault="001D2E73">
            <w:pPr>
              <w:spacing w:before="40" w:after="40" w:line="220" w:lineRule="exact"/>
              <w:jc w:val="right"/>
              <w:rPr>
                <w:sz w:val="18"/>
                <w:szCs w:val="18"/>
              </w:rPr>
            </w:pPr>
          </w:p>
        </w:tc>
        <w:tc>
          <w:tcPr>
            <w:tcW w:w="757" w:type="dxa"/>
            <w:tcBorders>
              <w:top w:val="nil"/>
            </w:tcBorders>
            <w:noWrap/>
            <w:vAlign w:val="bottom"/>
          </w:tcPr>
          <w:p w:rsidR="001D2E73" w:rsidRDefault="001D2E73">
            <w:pPr>
              <w:spacing w:before="40" w:after="40" w:line="220" w:lineRule="exact"/>
              <w:jc w:val="right"/>
              <w:rPr>
                <w:sz w:val="18"/>
                <w:szCs w:val="18"/>
              </w:rPr>
            </w:pPr>
          </w:p>
        </w:tc>
        <w:tc>
          <w:tcPr>
            <w:tcW w:w="756" w:type="dxa"/>
            <w:tcBorders>
              <w:top w:val="nil"/>
            </w:tcBorders>
            <w:noWrap/>
            <w:vAlign w:val="bottom"/>
          </w:tcPr>
          <w:p w:rsidR="001D2E73" w:rsidRDefault="001D2E73">
            <w:pPr>
              <w:spacing w:before="40" w:after="40" w:line="220" w:lineRule="exact"/>
              <w:jc w:val="right"/>
              <w:rPr>
                <w:sz w:val="18"/>
                <w:szCs w:val="18"/>
              </w:rPr>
            </w:pPr>
          </w:p>
        </w:tc>
        <w:tc>
          <w:tcPr>
            <w:tcW w:w="755" w:type="dxa"/>
            <w:tcBorders>
              <w:top w:val="nil"/>
            </w:tcBorders>
            <w:noWrap/>
            <w:vAlign w:val="bottom"/>
          </w:tcPr>
          <w:p w:rsidR="001D2E73" w:rsidRDefault="001D2E73">
            <w:pPr>
              <w:spacing w:before="40" w:after="40" w:line="220" w:lineRule="exact"/>
              <w:jc w:val="right"/>
              <w:rPr>
                <w:sz w:val="18"/>
                <w:szCs w:val="18"/>
              </w:rPr>
            </w:pPr>
          </w:p>
        </w:tc>
        <w:tc>
          <w:tcPr>
            <w:tcW w:w="757" w:type="dxa"/>
            <w:tcBorders>
              <w:top w:val="nil"/>
            </w:tcBorders>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Miles de personas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227</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246</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259</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272</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216</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202</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Por cada 1000 habitantes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28</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30</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31</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32</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26</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24</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museos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159</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160</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163</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168</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192</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205</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visitas a los museos:</w:t>
            </w:r>
          </w:p>
        </w:tc>
        <w:tc>
          <w:tcPr>
            <w:tcW w:w="732" w:type="dxa"/>
            <w:tcBorders>
              <w:top w:val="nil"/>
              <w:bottom w:val="nil"/>
            </w:tcBorders>
            <w:noWrap/>
            <w:vAlign w:val="bottom"/>
          </w:tcPr>
          <w:p w:rsidR="001D2E73" w:rsidRDefault="001D2E73">
            <w:pPr>
              <w:spacing w:before="40" w:after="40" w:line="220" w:lineRule="exact"/>
              <w:jc w:val="right"/>
              <w:rPr>
                <w:sz w:val="18"/>
                <w:szCs w:val="18"/>
              </w:rPr>
            </w:pPr>
          </w:p>
        </w:tc>
        <w:tc>
          <w:tcPr>
            <w:tcW w:w="759" w:type="dxa"/>
            <w:tcBorders>
              <w:top w:val="nil"/>
              <w:bottom w:val="nil"/>
            </w:tcBorders>
            <w:noWrap/>
            <w:vAlign w:val="bottom"/>
          </w:tcPr>
          <w:p w:rsidR="001D2E73" w:rsidRDefault="001D2E73">
            <w:pPr>
              <w:spacing w:before="40" w:after="40" w:line="220" w:lineRule="exact"/>
              <w:jc w:val="right"/>
              <w:rPr>
                <w:sz w:val="18"/>
                <w:szCs w:val="18"/>
              </w:rPr>
            </w:pPr>
          </w:p>
        </w:tc>
        <w:tc>
          <w:tcPr>
            <w:tcW w:w="757" w:type="dxa"/>
            <w:tcBorders>
              <w:top w:val="nil"/>
              <w:bottom w:val="nil"/>
            </w:tcBorders>
            <w:noWrap/>
            <w:vAlign w:val="bottom"/>
          </w:tcPr>
          <w:p w:rsidR="001D2E73" w:rsidRDefault="001D2E73">
            <w:pPr>
              <w:spacing w:before="40" w:after="40" w:line="220" w:lineRule="exact"/>
              <w:jc w:val="right"/>
              <w:rPr>
                <w:sz w:val="18"/>
                <w:szCs w:val="18"/>
              </w:rPr>
            </w:pPr>
          </w:p>
        </w:tc>
        <w:tc>
          <w:tcPr>
            <w:tcW w:w="756" w:type="dxa"/>
            <w:tcBorders>
              <w:top w:val="nil"/>
              <w:bottom w:val="nil"/>
            </w:tcBorders>
            <w:noWrap/>
            <w:vAlign w:val="bottom"/>
          </w:tcPr>
          <w:p w:rsidR="001D2E73" w:rsidRDefault="001D2E73">
            <w:pPr>
              <w:spacing w:before="40" w:after="40" w:line="220" w:lineRule="exact"/>
              <w:jc w:val="right"/>
              <w:rPr>
                <w:sz w:val="18"/>
                <w:szCs w:val="18"/>
              </w:rPr>
            </w:pPr>
          </w:p>
        </w:tc>
        <w:tc>
          <w:tcPr>
            <w:tcW w:w="755" w:type="dxa"/>
            <w:tcBorders>
              <w:top w:val="nil"/>
              <w:bottom w:val="nil"/>
            </w:tcBorders>
            <w:noWrap/>
            <w:vAlign w:val="bottom"/>
          </w:tcPr>
          <w:p w:rsidR="001D2E73" w:rsidRDefault="001D2E73">
            <w:pPr>
              <w:spacing w:before="40" w:after="40" w:line="220" w:lineRule="exact"/>
              <w:jc w:val="right"/>
              <w:rPr>
                <w:sz w:val="18"/>
                <w:szCs w:val="18"/>
              </w:rPr>
            </w:pPr>
          </w:p>
        </w:tc>
        <w:tc>
          <w:tcPr>
            <w:tcW w:w="757" w:type="dxa"/>
            <w:tcBorders>
              <w:top w:val="nil"/>
              <w:bottom w:val="nil"/>
            </w:tcBorders>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Miles de personas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1 131</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1 501</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1 477</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1 399</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1 409</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1 383</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Por cada 1000 habitantes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139</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183</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179</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165</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167</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162</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Cantidad de circos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espectadores en el ci</w:t>
            </w:r>
            <w:r>
              <w:rPr>
                <w:sz w:val="18"/>
                <w:szCs w:val="18"/>
              </w:rPr>
              <w:t>r</w:t>
            </w:r>
            <w:r>
              <w:rPr>
                <w:sz w:val="18"/>
                <w:szCs w:val="18"/>
              </w:rPr>
              <w:t>co:</w:t>
            </w:r>
          </w:p>
        </w:tc>
        <w:tc>
          <w:tcPr>
            <w:tcW w:w="732" w:type="dxa"/>
            <w:tcBorders>
              <w:top w:val="nil"/>
              <w:bottom w:val="nil"/>
            </w:tcBorders>
            <w:noWrap/>
            <w:vAlign w:val="bottom"/>
          </w:tcPr>
          <w:p w:rsidR="001D2E73" w:rsidRDefault="001D2E73">
            <w:pPr>
              <w:spacing w:before="40" w:after="40" w:line="220" w:lineRule="exact"/>
              <w:jc w:val="right"/>
              <w:rPr>
                <w:sz w:val="18"/>
                <w:szCs w:val="18"/>
              </w:rPr>
            </w:pPr>
          </w:p>
        </w:tc>
        <w:tc>
          <w:tcPr>
            <w:tcW w:w="759" w:type="dxa"/>
            <w:tcBorders>
              <w:top w:val="nil"/>
              <w:bottom w:val="nil"/>
            </w:tcBorders>
            <w:noWrap/>
            <w:vAlign w:val="bottom"/>
          </w:tcPr>
          <w:p w:rsidR="001D2E73" w:rsidRDefault="001D2E73">
            <w:pPr>
              <w:spacing w:before="40" w:after="40" w:line="220" w:lineRule="exact"/>
              <w:jc w:val="right"/>
              <w:rPr>
                <w:sz w:val="18"/>
                <w:szCs w:val="18"/>
              </w:rPr>
            </w:pPr>
          </w:p>
        </w:tc>
        <w:tc>
          <w:tcPr>
            <w:tcW w:w="757" w:type="dxa"/>
            <w:tcBorders>
              <w:top w:val="nil"/>
              <w:bottom w:val="nil"/>
            </w:tcBorders>
            <w:noWrap/>
            <w:vAlign w:val="bottom"/>
          </w:tcPr>
          <w:p w:rsidR="001D2E73" w:rsidRDefault="001D2E73">
            <w:pPr>
              <w:spacing w:before="40" w:after="40" w:line="220" w:lineRule="exact"/>
              <w:jc w:val="right"/>
              <w:rPr>
                <w:sz w:val="18"/>
                <w:szCs w:val="18"/>
              </w:rPr>
            </w:pPr>
          </w:p>
        </w:tc>
        <w:tc>
          <w:tcPr>
            <w:tcW w:w="756" w:type="dxa"/>
            <w:tcBorders>
              <w:top w:val="nil"/>
              <w:bottom w:val="nil"/>
            </w:tcBorders>
            <w:noWrap/>
            <w:vAlign w:val="bottom"/>
          </w:tcPr>
          <w:p w:rsidR="001D2E73" w:rsidRDefault="001D2E73">
            <w:pPr>
              <w:spacing w:before="40" w:after="40" w:line="220" w:lineRule="exact"/>
              <w:jc w:val="right"/>
              <w:rPr>
                <w:sz w:val="18"/>
                <w:szCs w:val="18"/>
              </w:rPr>
            </w:pPr>
          </w:p>
        </w:tc>
        <w:tc>
          <w:tcPr>
            <w:tcW w:w="755" w:type="dxa"/>
            <w:tcBorders>
              <w:top w:val="nil"/>
              <w:bottom w:val="nil"/>
            </w:tcBorders>
            <w:noWrap/>
            <w:vAlign w:val="bottom"/>
          </w:tcPr>
          <w:p w:rsidR="001D2E73" w:rsidRDefault="001D2E73">
            <w:pPr>
              <w:spacing w:before="40" w:after="40" w:line="220" w:lineRule="exact"/>
              <w:jc w:val="right"/>
              <w:rPr>
                <w:sz w:val="18"/>
                <w:szCs w:val="18"/>
              </w:rPr>
            </w:pPr>
          </w:p>
        </w:tc>
        <w:tc>
          <w:tcPr>
            <w:tcW w:w="757" w:type="dxa"/>
            <w:tcBorders>
              <w:top w:val="nil"/>
              <w:bottom w:val="nil"/>
            </w:tcBorders>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Miles de personas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133</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102</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103</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113</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119</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119</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Por cada 1000 habitantes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16</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12</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12</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13</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14</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14</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 xml:space="preserve">Número de parques zoológicos </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w:t>
            </w:r>
          </w:p>
        </w:tc>
      </w:tr>
      <w:tr w:rsidR="001D2E73">
        <w:trPr>
          <w:trHeight w:val="20"/>
        </w:trPr>
        <w:tc>
          <w:tcPr>
            <w:tcW w:w="2854" w:type="dxa"/>
            <w:tcBorders>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visitas a los zoológicos:</w:t>
            </w:r>
          </w:p>
        </w:tc>
        <w:tc>
          <w:tcPr>
            <w:tcW w:w="732" w:type="dxa"/>
            <w:tcBorders>
              <w:top w:val="nil"/>
              <w:bottom w:val="nil"/>
            </w:tcBorders>
            <w:noWrap/>
            <w:vAlign w:val="bottom"/>
          </w:tcPr>
          <w:p w:rsidR="001D2E73" w:rsidRDefault="001D2E73">
            <w:pPr>
              <w:spacing w:before="40" w:after="40" w:line="220" w:lineRule="exact"/>
              <w:jc w:val="right"/>
              <w:rPr>
                <w:sz w:val="18"/>
                <w:szCs w:val="18"/>
              </w:rPr>
            </w:pPr>
          </w:p>
        </w:tc>
        <w:tc>
          <w:tcPr>
            <w:tcW w:w="759" w:type="dxa"/>
            <w:tcBorders>
              <w:top w:val="nil"/>
              <w:bottom w:val="nil"/>
            </w:tcBorders>
            <w:noWrap/>
            <w:vAlign w:val="bottom"/>
          </w:tcPr>
          <w:p w:rsidR="001D2E73" w:rsidRDefault="001D2E73">
            <w:pPr>
              <w:spacing w:before="40" w:after="40" w:line="220" w:lineRule="exact"/>
              <w:jc w:val="right"/>
              <w:rPr>
                <w:sz w:val="18"/>
                <w:szCs w:val="18"/>
              </w:rPr>
            </w:pPr>
          </w:p>
        </w:tc>
        <w:tc>
          <w:tcPr>
            <w:tcW w:w="757" w:type="dxa"/>
            <w:tcBorders>
              <w:top w:val="nil"/>
              <w:bottom w:val="nil"/>
            </w:tcBorders>
            <w:noWrap/>
            <w:vAlign w:val="bottom"/>
          </w:tcPr>
          <w:p w:rsidR="001D2E73" w:rsidRDefault="001D2E73">
            <w:pPr>
              <w:spacing w:before="40" w:after="40" w:line="220" w:lineRule="exact"/>
              <w:jc w:val="right"/>
              <w:rPr>
                <w:sz w:val="18"/>
                <w:szCs w:val="18"/>
              </w:rPr>
            </w:pPr>
          </w:p>
        </w:tc>
        <w:tc>
          <w:tcPr>
            <w:tcW w:w="756" w:type="dxa"/>
            <w:tcBorders>
              <w:top w:val="nil"/>
              <w:bottom w:val="nil"/>
            </w:tcBorders>
            <w:noWrap/>
            <w:vAlign w:val="bottom"/>
          </w:tcPr>
          <w:p w:rsidR="001D2E73" w:rsidRDefault="001D2E73">
            <w:pPr>
              <w:spacing w:before="40" w:after="40" w:line="220" w:lineRule="exact"/>
              <w:jc w:val="right"/>
              <w:rPr>
                <w:sz w:val="18"/>
                <w:szCs w:val="18"/>
              </w:rPr>
            </w:pPr>
          </w:p>
        </w:tc>
        <w:tc>
          <w:tcPr>
            <w:tcW w:w="755" w:type="dxa"/>
            <w:tcBorders>
              <w:top w:val="nil"/>
              <w:bottom w:val="nil"/>
            </w:tcBorders>
            <w:noWrap/>
            <w:vAlign w:val="bottom"/>
          </w:tcPr>
          <w:p w:rsidR="001D2E73" w:rsidRDefault="001D2E73">
            <w:pPr>
              <w:spacing w:before="40" w:after="40" w:line="220" w:lineRule="exact"/>
              <w:jc w:val="right"/>
              <w:rPr>
                <w:sz w:val="18"/>
                <w:szCs w:val="18"/>
              </w:rPr>
            </w:pPr>
          </w:p>
        </w:tc>
        <w:tc>
          <w:tcPr>
            <w:tcW w:w="757" w:type="dxa"/>
            <w:tcBorders>
              <w:top w:val="nil"/>
              <w:bottom w:val="nil"/>
            </w:tcBorders>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top w:val="nil"/>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Miles de personas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64</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80</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93</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96</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97</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100</w:t>
            </w:r>
          </w:p>
        </w:tc>
      </w:tr>
      <w:tr w:rsidR="001D2E73">
        <w:trPr>
          <w:trHeight w:val="20"/>
        </w:trPr>
        <w:tc>
          <w:tcPr>
            <w:tcW w:w="2854" w:type="dxa"/>
            <w:tcBorders>
              <w:top w:val="nil"/>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Por cada 1000 habitantes</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8</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10</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11</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13</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11</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12</w:t>
            </w:r>
          </w:p>
        </w:tc>
      </w:tr>
      <w:tr w:rsidR="001D2E73">
        <w:trPr>
          <w:trHeight w:val="20"/>
        </w:trPr>
        <w:tc>
          <w:tcPr>
            <w:tcW w:w="2854" w:type="dxa"/>
            <w:tcBorders>
              <w:top w:val="nil"/>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 xml:space="preserve">Número de monumentos históricos inamovibles </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6 308</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6 308</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6 308</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6 308</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6 308</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6 308</w:t>
            </w:r>
          </w:p>
        </w:tc>
      </w:tr>
      <w:tr w:rsidR="001D2E73">
        <w:trPr>
          <w:trHeight w:val="20"/>
        </w:trPr>
        <w:tc>
          <w:tcPr>
            <w:tcW w:w="2854" w:type="dxa"/>
            <w:tcBorders>
              <w:top w:val="nil"/>
              <w:left w:val="nil"/>
              <w:bottom w:val="nil"/>
              <w:right w:val="nil"/>
              <w:tl2br w:val="nil"/>
              <w:tr2bl w:val="nil"/>
            </w:tcBorders>
            <w:noWrap/>
            <w:vAlign w:val="bottom"/>
          </w:tcPr>
          <w:p w:rsidR="001D2E73" w:rsidRDefault="001D2E73">
            <w:pPr>
              <w:spacing w:before="40" w:after="40" w:line="220" w:lineRule="exact"/>
              <w:rPr>
                <w:sz w:val="18"/>
                <w:szCs w:val="18"/>
              </w:rPr>
            </w:pPr>
            <w:r>
              <w:rPr>
                <w:sz w:val="18"/>
                <w:szCs w:val="18"/>
              </w:rPr>
              <w:t>Número de escu</w:t>
            </w:r>
            <w:r>
              <w:rPr>
                <w:sz w:val="18"/>
                <w:szCs w:val="18"/>
              </w:rPr>
              <w:t>e</w:t>
            </w:r>
            <w:r>
              <w:rPr>
                <w:sz w:val="18"/>
                <w:szCs w:val="18"/>
              </w:rPr>
              <w:t>las de música y pintura y manifestaciones artísticas para niños (al inicio del curso esc</w:t>
            </w:r>
            <w:r>
              <w:rPr>
                <w:sz w:val="18"/>
                <w:szCs w:val="18"/>
              </w:rPr>
              <w:t>o</w:t>
            </w:r>
            <w:r>
              <w:rPr>
                <w:sz w:val="18"/>
                <w:szCs w:val="18"/>
              </w:rPr>
              <w:t>lar)</w:t>
            </w:r>
          </w:p>
        </w:tc>
        <w:tc>
          <w:tcPr>
            <w:tcW w:w="732"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232</w:t>
            </w:r>
          </w:p>
        </w:tc>
        <w:tc>
          <w:tcPr>
            <w:tcW w:w="759"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236</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234</w:t>
            </w:r>
          </w:p>
        </w:tc>
        <w:tc>
          <w:tcPr>
            <w:tcW w:w="756"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234</w:t>
            </w:r>
          </w:p>
        </w:tc>
        <w:tc>
          <w:tcPr>
            <w:tcW w:w="755"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234</w:t>
            </w:r>
          </w:p>
        </w:tc>
        <w:tc>
          <w:tcPr>
            <w:tcW w:w="757" w:type="dxa"/>
            <w:tcBorders>
              <w:top w:val="nil"/>
              <w:bottom w:val="nil"/>
            </w:tcBorders>
            <w:noWrap/>
            <w:vAlign w:val="bottom"/>
          </w:tcPr>
          <w:p w:rsidR="001D2E73" w:rsidRDefault="001D2E73">
            <w:pPr>
              <w:spacing w:before="40" w:after="40" w:line="220" w:lineRule="exact"/>
              <w:jc w:val="right"/>
              <w:rPr>
                <w:sz w:val="18"/>
                <w:szCs w:val="18"/>
              </w:rPr>
            </w:pPr>
            <w:r>
              <w:rPr>
                <w:sz w:val="18"/>
                <w:szCs w:val="18"/>
              </w:rPr>
              <w:t>234</w:t>
            </w:r>
          </w:p>
        </w:tc>
      </w:tr>
      <w:tr w:rsidR="001D2E73">
        <w:trPr>
          <w:trHeight w:val="20"/>
        </w:trPr>
        <w:tc>
          <w:tcPr>
            <w:tcW w:w="2854" w:type="dxa"/>
            <w:tcBorders>
              <w:top w:val="nil"/>
              <w:left w:val="nil"/>
              <w:bottom w:val="single" w:sz="4" w:space="0" w:color="auto"/>
              <w:right w:val="nil"/>
              <w:tl2br w:val="nil"/>
              <w:tr2bl w:val="nil"/>
            </w:tcBorders>
            <w:noWrap/>
            <w:vAlign w:val="bottom"/>
          </w:tcPr>
          <w:p w:rsidR="001D2E73" w:rsidRDefault="001D2E73">
            <w:pPr>
              <w:spacing w:before="40" w:after="40" w:line="220" w:lineRule="exact"/>
              <w:rPr>
                <w:sz w:val="18"/>
                <w:szCs w:val="18"/>
              </w:rPr>
            </w:pPr>
            <w:r>
              <w:rPr>
                <w:sz w:val="18"/>
                <w:szCs w:val="18"/>
              </w:rPr>
              <w:t>Cantidad de estudiantes en las escuelas de música, pintura y man</w:t>
            </w:r>
            <w:r>
              <w:rPr>
                <w:sz w:val="18"/>
                <w:szCs w:val="18"/>
              </w:rPr>
              <w:t>i</w:t>
            </w:r>
            <w:r>
              <w:rPr>
                <w:sz w:val="18"/>
                <w:szCs w:val="18"/>
              </w:rPr>
              <w:t xml:space="preserve">festaciones artísticas para niños </w:t>
            </w:r>
          </w:p>
        </w:tc>
        <w:tc>
          <w:tcPr>
            <w:tcW w:w="732"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759"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757"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756"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755"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c>
          <w:tcPr>
            <w:tcW w:w="757" w:type="dxa"/>
            <w:tcBorders>
              <w:top w:val="nil"/>
              <w:bottom w:val="single" w:sz="4" w:space="0" w:color="auto"/>
            </w:tcBorders>
            <w:noWrap/>
            <w:vAlign w:val="bottom"/>
          </w:tcPr>
          <w:p w:rsidR="001D2E73" w:rsidRDefault="001D2E73">
            <w:pPr>
              <w:spacing w:before="40" w:after="40" w:line="220" w:lineRule="exact"/>
              <w:jc w:val="right"/>
              <w:rPr>
                <w:sz w:val="18"/>
                <w:szCs w:val="18"/>
              </w:rPr>
            </w:pPr>
          </w:p>
        </w:tc>
      </w:tr>
      <w:tr w:rsidR="001D2E73">
        <w:trPr>
          <w:trHeight w:val="20"/>
        </w:trPr>
        <w:tc>
          <w:tcPr>
            <w:tcW w:w="2854" w:type="dxa"/>
            <w:tcBorders>
              <w:top w:val="single" w:sz="4" w:space="0" w:color="auto"/>
              <w:left w:val="nil"/>
              <w:bottom w:val="single" w:sz="12" w:space="0" w:color="auto"/>
              <w:right w:val="nil"/>
              <w:tl2br w:val="nil"/>
              <w:tr2bl w:val="nil"/>
            </w:tcBorders>
            <w:noWrap/>
            <w:vAlign w:val="bottom"/>
          </w:tcPr>
          <w:p w:rsidR="001D2E73" w:rsidRDefault="001D2E73">
            <w:pPr>
              <w:spacing w:before="80" w:after="80" w:line="220" w:lineRule="exact"/>
              <w:ind w:left="284"/>
              <w:rPr>
                <w:b/>
                <w:sz w:val="18"/>
                <w:szCs w:val="18"/>
              </w:rPr>
            </w:pPr>
            <w:r>
              <w:rPr>
                <w:b/>
                <w:sz w:val="18"/>
                <w:szCs w:val="18"/>
              </w:rPr>
              <w:t>Total de personas (al inicio del cu</w:t>
            </w:r>
            <w:r>
              <w:rPr>
                <w:b/>
                <w:sz w:val="18"/>
                <w:szCs w:val="18"/>
              </w:rPr>
              <w:t>r</w:t>
            </w:r>
            <w:r>
              <w:rPr>
                <w:b/>
                <w:sz w:val="18"/>
                <w:szCs w:val="18"/>
              </w:rPr>
              <w:t>so escolar)</w:t>
            </w:r>
          </w:p>
        </w:tc>
        <w:tc>
          <w:tcPr>
            <w:tcW w:w="732" w:type="dxa"/>
            <w:tcBorders>
              <w:top w:val="single" w:sz="4" w:space="0" w:color="auto"/>
              <w:bottom w:val="single" w:sz="12" w:space="0" w:color="auto"/>
            </w:tcBorders>
            <w:noWrap/>
            <w:vAlign w:val="bottom"/>
          </w:tcPr>
          <w:p w:rsidR="001D2E73" w:rsidRDefault="001D2E73">
            <w:pPr>
              <w:spacing w:before="80" w:after="80" w:line="220" w:lineRule="exact"/>
              <w:jc w:val="right"/>
              <w:rPr>
                <w:b/>
                <w:sz w:val="18"/>
                <w:szCs w:val="18"/>
              </w:rPr>
            </w:pPr>
            <w:r>
              <w:rPr>
                <w:b/>
                <w:sz w:val="18"/>
                <w:szCs w:val="18"/>
              </w:rPr>
              <w:t>72 987</w:t>
            </w:r>
          </w:p>
        </w:tc>
        <w:tc>
          <w:tcPr>
            <w:tcW w:w="759" w:type="dxa"/>
            <w:tcBorders>
              <w:top w:val="single" w:sz="4" w:space="0" w:color="auto"/>
              <w:bottom w:val="single" w:sz="12" w:space="0" w:color="auto"/>
            </w:tcBorders>
            <w:noWrap/>
            <w:vAlign w:val="bottom"/>
          </w:tcPr>
          <w:p w:rsidR="001D2E73" w:rsidRDefault="001D2E73">
            <w:pPr>
              <w:spacing w:before="80" w:after="80" w:line="220" w:lineRule="exact"/>
              <w:jc w:val="right"/>
              <w:rPr>
                <w:b/>
                <w:sz w:val="18"/>
                <w:szCs w:val="18"/>
              </w:rPr>
            </w:pPr>
            <w:r>
              <w:rPr>
                <w:b/>
                <w:sz w:val="18"/>
                <w:szCs w:val="18"/>
              </w:rPr>
              <w:t>72 979</w:t>
            </w:r>
          </w:p>
        </w:tc>
        <w:tc>
          <w:tcPr>
            <w:tcW w:w="757" w:type="dxa"/>
            <w:tcBorders>
              <w:top w:val="single" w:sz="4" w:space="0" w:color="auto"/>
              <w:bottom w:val="single" w:sz="12" w:space="0" w:color="auto"/>
            </w:tcBorders>
            <w:noWrap/>
            <w:vAlign w:val="bottom"/>
          </w:tcPr>
          <w:p w:rsidR="001D2E73" w:rsidRDefault="001D2E73">
            <w:pPr>
              <w:spacing w:before="80" w:after="80" w:line="220" w:lineRule="exact"/>
              <w:jc w:val="right"/>
              <w:rPr>
                <w:b/>
                <w:sz w:val="18"/>
                <w:szCs w:val="18"/>
              </w:rPr>
            </w:pPr>
            <w:r>
              <w:rPr>
                <w:b/>
                <w:sz w:val="18"/>
                <w:szCs w:val="18"/>
              </w:rPr>
              <w:t>72 005</w:t>
            </w:r>
          </w:p>
        </w:tc>
        <w:tc>
          <w:tcPr>
            <w:tcW w:w="756" w:type="dxa"/>
            <w:tcBorders>
              <w:top w:val="single" w:sz="4" w:space="0" w:color="auto"/>
              <w:bottom w:val="single" w:sz="12" w:space="0" w:color="auto"/>
            </w:tcBorders>
            <w:noWrap/>
            <w:vAlign w:val="bottom"/>
          </w:tcPr>
          <w:p w:rsidR="001D2E73" w:rsidRDefault="001D2E73">
            <w:pPr>
              <w:spacing w:before="80" w:after="80" w:line="220" w:lineRule="exact"/>
              <w:jc w:val="right"/>
              <w:rPr>
                <w:b/>
                <w:sz w:val="18"/>
                <w:szCs w:val="18"/>
              </w:rPr>
            </w:pPr>
            <w:r>
              <w:rPr>
                <w:b/>
                <w:sz w:val="18"/>
                <w:szCs w:val="18"/>
              </w:rPr>
              <w:t>70 188</w:t>
            </w:r>
          </w:p>
        </w:tc>
        <w:tc>
          <w:tcPr>
            <w:tcW w:w="755" w:type="dxa"/>
            <w:tcBorders>
              <w:top w:val="single" w:sz="4" w:space="0" w:color="auto"/>
              <w:bottom w:val="single" w:sz="12" w:space="0" w:color="auto"/>
            </w:tcBorders>
            <w:noWrap/>
            <w:vAlign w:val="bottom"/>
          </w:tcPr>
          <w:p w:rsidR="001D2E73" w:rsidRDefault="001D2E73">
            <w:pPr>
              <w:spacing w:before="80" w:after="80" w:line="220" w:lineRule="exact"/>
              <w:jc w:val="right"/>
              <w:rPr>
                <w:b/>
                <w:sz w:val="18"/>
                <w:szCs w:val="18"/>
              </w:rPr>
            </w:pPr>
            <w:r>
              <w:rPr>
                <w:b/>
                <w:sz w:val="18"/>
                <w:szCs w:val="18"/>
              </w:rPr>
              <w:t>70 182</w:t>
            </w:r>
          </w:p>
        </w:tc>
        <w:tc>
          <w:tcPr>
            <w:tcW w:w="757" w:type="dxa"/>
            <w:tcBorders>
              <w:top w:val="single" w:sz="4" w:space="0" w:color="auto"/>
              <w:bottom w:val="single" w:sz="12" w:space="0" w:color="auto"/>
            </w:tcBorders>
            <w:noWrap/>
            <w:vAlign w:val="bottom"/>
          </w:tcPr>
          <w:p w:rsidR="001D2E73" w:rsidRDefault="001D2E73">
            <w:pPr>
              <w:spacing w:before="80" w:after="80" w:line="220" w:lineRule="exact"/>
              <w:jc w:val="right"/>
              <w:rPr>
                <w:b/>
                <w:sz w:val="18"/>
                <w:szCs w:val="18"/>
              </w:rPr>
            </w:pPr>
            <w:r>
              <w:rPr>
                <w:b/>
                <w:sz w:val="18"/>
                <w:szCs w:val="18"/>
              </w:rPr>
              <w:t>70 540</w:t>
            </w:r>
          </w:p>
        </w:tc>
      </w:tr>
    </w:tbl>
    <w:p w:rsidR="001D2E73" w:rsidRDefault="001D2E73">
      <w:pPr>
        <w:pStyle w:val="SingleTxtGR"/>
        <w:spacing w:before="240"/>
        <w:rPr>
          <w:spacing w:val="0"/>
          <w:lang w:val="es-ES"/>
        </w:rPr>
      </w:pPr>
      <w:r>
        <w:rPr>
          <w:spacing w:val="0"/>
          <w:lang w:val="es-ES"/>
        </w:rPr>
        <w:t>568.</w:t>
      </w:r>
      <w:r>
        <w:rPr>
          <w:spacing w:val="0"/>
          <w:lang w:val="es-ES"/>
        </w:rPr>
        <w:tab/>
        <w:t>Para conservar y difundir los logros de la civilización mundial y crear las cond</w:t>
      </w:r>
      <w:r>
        <w:rPr>
          <w:spacing w:val="0"/>
          <w:lang w:val="es-ES"/>
        </w:rPr>
        <w:t>i</w:t>
      </w:r>
      <w:r>
        <w:rPr>
          <w:spacing w:val="0"/>
          <w:lang w:val="es-ES"/>
        </w:rPr>
        <w:t>ciones para la libre realización de actividades científicas y creativas a nivel nacional se están adoptando medidas para la modernización y ampliación de la actividad i</w:t>
      </w:r>
      <w:r>
        <w:rPr>
          <w:spacing w:val="0"/>
          <w:lang w:val="es-ES"/>
        </w:rPr>
        <w:t>n</w:t>
      </w:r>
      <w:r>
        <w:rPr>
          <w:spacing w:val="0"/>
          <w:lang w:val="es-ES"/>
        </w:rPr>
        <w:t>formativa en las bibliotecas y la organización de los servicios bibliotecarios a la p</w:t>
      </w:r>
      <w:r>
        <w:rPr>
          <w:spacing w:val="0"/>
          <w:lang w:val="es-ES"/>
        </w:rPr>
        <w:t>o</w:t>
      </w:r>
      <w:r>
        <w:rPr>
          <w:spacing w:val="0"/>
          <w:lang w:val="es-ES"/>
        </w:rPr>
        <w:t>blación conforme a las normas contemporáneas. Esta labor se lleva a cabo de co</w:t>
      </w:r>
      <w:r>
        <w:rPr>
          <w:spacing w:val="0"/>
          <w:lang w:val="es-ES"/>
        </w:rPr>
        <w:t>n</w:t>
      </w:r>
      <w:r>
        <w:rPr>
          <w:spacing w:val="0"/>
          <w:lang w:val="es-ES"/>
        </w:rPr>
        <w:t>formidad con las instrucciones del Presidente de la República de 20 de abril de 2007 sobre el perfeccionamiento de la actividad de las bibliotecas en Azerbaiyán y de 6 de octubre de 2008 sobre el fortalecimiento del Programa nacional de desarrollo de la actividad informativa de las bibliotecas en Azerbaiyán para 2008-2010.</w:t>
      </w:r>
    </w:p>
    <w:p w:rsidR="001D2E73" w:rsidRDefault="001D2E73">
      <w:pPr>
        <w:pStyle w:val="SingleTxtGR"/>
        <w:rPr>
          <w:spacing w:val="0"/>
          <w:lang w:val="es-ES"/>
        </w:rPr>
      </w:pPr>
      <w:r>
        <w:rPr>
          <w:spacing w:val="0"/>
          <w:lang w:val="es-ES"/>
        </w:rPr>
        <w:t>569.</w:t>
      </w:r>
      <w:r>
        <w:rPr>
          <w:spacing w:val="0"/>
          <w:lang w:val="es-ES"/>
        </w:rPr>
        <w:tab/>
        <w:t>Con miras a velar por el derecho de toda persona a participar en la vida cult</w:t>
      </w:r>
      <w:r>
        <w:rPr>
          <w:spacing w:val="0"/>
          <w:lang w:val="es-ES"/>
        </w:rPr>
        <w:t>u</w:t>
      </w:r>
      <w:r>
        <w:rPr>
          <w:spacing w:val="0"/>
          <w:lang w:val="es-ES"/>
        </w:rPr>
        <w:t>ral y el derecho a aprovechar los resultados del progreso científico y los logros de la sociedad de la información, en la esfera de la información y las bibliotecas se sigue procurando conservar e incrementar la capacidad informativa, garantizar el acceso a los logros de la sociedad de la información, así como a las fuentes de información en su conjunto, además se trata de conservar el patrimonio cultural del país y de tran</w:t>
      </w:r>
      <w:r>
        <w:rPr>
          <w:spacing w:val="0"/>
          <w:lang w:val="es-ES"/>
        </w:rPr>
        <w:t>s</w:t>
      </w:r>
      <w:r>
        <w:rPr>
          <w:spacing w:val="0"/>
          <w:lang w:val="es-ES"/>
        </w:rPr>
        <w:t>mitirlo de generación en generación.</w:t>
      </w:r>
    </w:p>
    <w:p w:rsidR="001D2E73" w:rsidRDefault="001D2E73">
      <w:pPr>
        <w:pStyle w:val="SingleTxtGR"/>
        <w:rPr>
          <w:spacing w:val="0"/>
          <w:lang w:val="es-ES"/>
        </w:rPr>
      </w:pPr>
      <w:r>
        <w:rPr>
          <w:spacing w:val="0"/>
          <w:lang w:val="es-ES"/>
        </w:rPr>
        <w:t>570.</w:t>
      </w:r>
      <w:r>
        <w:rPr>
          <w:spacing w:val="0"/>
          <w:lang w:val="es-ES"/>
        </w:rPr>
        <w:tab/>
        <w:t>Con miras a la conservación del patrimonio cultural nacional y mundial y dar a conocer a la población los logros de la civilización mundial y la cultura nacional del pueblo azerbaiyano se está llevando a cabo una labor de divulgación de libros r</w:t>
      </w:r>
      <w:r>
        <w:rPr>
          <w:spacing w:val="0"/>
          <w:lang w:val="es-ES"/>
        </w:rPr>
        <w:t>a</w:t>
      </w:r>
      <w:r>
        <w:rPr>
          <w:spacing w:val="0"/>
          <w:lang w:val="es-ES"/>
        </w:rPr>
        <w:t>ros. Además se están rescatando ediciones agotadas de obras impresas, que se están preparando en versión electrónica para darlas a conocer en el sitio web.</w:t>
      </w:r>
    </w:p>
    <w:p w:rsidR="001D2E73" w:rsidRDefault="001D2E73">
      <w:pPr>
        <w:pStyle w:val="SingleTxtGR"/>
        <w:rPr>
          <w:spacing w:val="0"/>
          <w:lang w:val="es-ES"/>
        </w:rPr>
      </w:pPr>
      <w:r>
        <w:rPr>
          <w:spacing w:val="0"/>
          <w:lang w:val="es-ES"/>
        </w:rPr>
        <w:t>571.</w:t>
      </w:r>
      <w:r>
        <w:rPr>
          <w:spacing w:val="0"/>
          <w:lang w:val="es-ES"/>
        </w:rPr>
        <w:tab/>
        <w:t xml:space="preserve">Se está llevando a cabo una labor sistemática de informatización de las bibliotecas con el fin de satisfacer todas las necesidades de información de </w:t>
      </w:r>
      <w:smartTag w:uri="urn:schemas-microsoft-com:office:smarttags" w:element="PersonName">
        <w:smartTagPr>
          <w:attr w:name="ProductID" w:val="stitucional11ǼԈᙖᙖᙖIDǹԈ佴ミ㐠㷬ᙖ葨ᙖ ǲԌ㺬ヸ佈ミ㹼ヸ㐠ꗜヘ蒰ᙖ ǫԈ蒌ᙖ蕐ᙖ舘ᙖ"/>
        </w:smartTagPr>
        <w:r>
          <w:rPr>
            <w:spacing w:val="0"/>
            <w:lang w:val="es-ES"/>
          </w:rPr>
          <w:t>la población. Entre</w:t>
        </w:r>
      </w:smartTag>
      <w:r>
        <w:rPr>
          <w:spacing w:val="0"/>
          <w:lang w:val="es-ES"/>
        </w:rPr>
        <w:t xml:space="preserve"> 2004 y 2009 se establecieron y están funcionando sitios web, catálogos electrónicos y bibliotecas electrónicas en </w:t>
      </w:r>
      <w:smartTag w:uri="urn:schemas-microsoft-com:office:smarttags" w:element="PersonName">
        <w:smartTagPr>
          <w:attr w:name="ProductID" w:val="la Biblioteca Nacional M."/>
        </w:smartTagPr>
        <w:r>
          <w:rPr>
            <w:spacing w:val="0"/>
            <w:lang w:val="es-ES"/>
          </w:rPr>
          <w:t>la Biblioteca Nacional M.</w:t>
        </w:r>
      </w:smartTag>
      <w:r>
        <w:rPr>
          <w:spacing w:val="0"/>
          <w:lang w:val="es-ES"/>
        </w:rPr>
        <w:t xml:space="preserve"> F. Ajundov, en la Biblioteca j</w:t>
      </w:r>
      <w:r>
        <w:rPr>
          <w:spacing w:val="0"/>
          <w:lang w:val="es-ES"/>
        </w:rPr>
        <w:t>u</w:t>
      </w:r>
      <w:r>
        <w:rPr>
          <w:spacing w:val="0"/>
          <w:lang w:val="es-ES"/>
        </w:rPr>
        <w:t xml:space="preserve">venil de </w:t>
      </w:r>
      <w:smartTag w:uri="urn:schemas-microsoft-com:office:smarttags" w:element="PersonName">
        <w:smartTagPr>
          <w:attr w:name="ProductID" w:val=""/>
        </w:smartTagPr>
        <w:r>
          <w:rPr>
            <w:spacing w:val="0"/>
            <w:lang w:val="es-ES"/>
          </w:rPr>
          <w:t>la República J. Jabbarly</w:t>
        </w:r>
      </w:smartTag>
      <w:r>
        <w:rPr>
          <w:spacing w:val="0"/>
          <w:lang w:val="es-ES"/>
        </w:rPr>
        <w:t>, en la Biblioteca infantil F. Kocharli, así como en las bibliotecas centrales de las ciudades de Gandja, Shemajin, Gadjikabul, Sabir</w:t>
      </w:r>
      <w:r>
        <w:rPr>
          <w:spacing w:val="0"/>
          <w:lang w:val="es-ES"/>
        </w:rPr>
        <w:t>a</w:t>
      </w:r>
      <w:r>
        <w:rPr>
          <w:spacing w:val="0"/>
          <w:lang w:val="es-ES"/>
        </w:rPr>
        <w:t>bad y de otros distritos. En este sentido los años 2008 a 2010 fueron declarados años de la automatización de las bibliotecas. El derecho de la población al libre acceso a la información se garantiza también mediante los centros re información creados ta</w:t>
      </w:r>
      <w:r>
        <w:rPr>
          <w:spacing w:val="0"/>
          <w:lang w:val="es-ES"/>
        </w:rPr>
        <w:t>n</w:t>
      </w:r>
      <w:r>
        <w:rPr>
          <w:spacing w:val="0"/>
          <w:lang w:val="es-ES"/>
        </w:rPr>
        <w:t>to en Bakú como en otras regiones del país (ciudad de Gandja, Shirvan, Sumgait, Lankaran, así como en los distritos de Kurdamir, Jachmaz, Salian, G</w:t>
      </w:r>
      <w:r>
        <w:rPr>
          <w:spacing w:val="0"/>
          <w:lang w:val="es-ES"/>
        </w:rPr>
        <w:t>u</w:t>
      </w:r>
      <w:r>
        <w:rPr>
          <w:spacing w:val="0"/>
          <w:lang w:val="es-ES"/>
        </w:rPr>
        <w:t>bin, Beilagan, Astarin y otros).</w:t>
      </w:r>
    </w:p>
    <w:p w:rsidR="001D2E73" w:rsidRDefault="001D2E73">
      <w:pPr>
        <w:pStyle w:val="SingleTxtGR"/>
        <w:rPr>
          <w:spacing w:val="0"/>
          <w:lang w:val="es-ES"/>
        </w:rPr>
      </w:pPr>
      <w:r>
        <w:rPr>
          <w:spacing w:val="0"/>
          <w:lang w:val="es-ES"/>
        </w:rPr>
        <w:t>572.</w:t>
      </w:r>
      <w:r>
        <w:rPr>
          <w:spacing w:val="0"/>
          <w:lang w:val="es-ES"/>
        </w:rPr>
        <w:tab/>
        <w:t xml:space="preserve">Para asegurar que la actividad científica y creativa sea libre, en </w:t>
      </w:r>
      <w:smartTag w:uri="urn:schemas-microsoft-com:office:smarttags" w:element="PersonName">
        <w:smartTagPr>
          <w:attr w:name="ProductID" w:val="la Biblioteca Nacional M.F."/>
        </w:smartTagPr>
        <w:r>
          <w:rPr>
            <w:spacing w:val="0"/>
            <w:lang w:val="es-ES"/>
          </w:rPr>
          <w:t>la Biblioteca Nacional M.F.</w:t>
        </w:r>
      </w:smartTag>
      <w:r>
        <w:rPr>
          <w:spacing w:val="0"/>
          <w:lang w:val="es-ES"/>
        </w:rPr>
        <w:t xml:space="preserve"> Ajundov se inauguró una sala virtual que tiene acceso a la base electrónica de tesis de </w:t>
      </w:r>
      <w:smartTag w:uri="urn:schemas-microsoft-com:office:smarttags" w:element="PersonName">
        <w:smartTagPr>
          <w:attr w:name="ProductID" w:val="la Biblioteca Estatal"/>
        </w:smartTagPr>
        <w:r>
          <w:rPr>
            <w:spacing w:val="0"/>
            <w:lang w:val="es-ES"/>
          </w:rPr>
          <w:t>la Biblioteca Estatal</w:t>
        </w:r>
      </w:smartTag>
      <w:r>
        <w:rPr>
          <w:spacing w:val="0"/>
          <w:lang w:val="es-ES"/>
        </w:rPr>
        <w:t xml:space="preserve"> de Rusia. Se ha proyectado también inaugurar una sala de acceso a versiones electrónicas de las tesis defendidas en Aze</w:t>
      </w:r>
      <w:r>
        <w:rPr>
          <w:spacing w:val="0"/>
          <w:lang w:val="es-ES"/>
        </w:rPr>
        <w:t>r</w:t>
      </w:r>
      <w:r>
        <w:rPr>
          <w:spacing w:val="0"/>
          <w:lang w:val="es-ES"/>
        </w:rPr>
        <w:t>baiyán.</w:t>
      </w:r>
    </w:p>
    <w:p w:rsidR="001D2E73" w:rsidRDefault="001D2E73">
      <w:pPr>
        <w:pStyle w:val="SingleTxtGR"/>
        <w:rPr>
          <w:spacing w:val="0"/>
          <w:lang w:val="es-ES"/>
        </w:rPr>
      </w:pPr>
      <w:r>
        <w:rPr>
          <w:spacing w:val="0"/>
          <w:lang w:val="es-ES"/>
        </w:rPr>
        <w:t>573.</w:t>
      </w:r>
      <w:r>
        <w:rPr>
          <w:spacing w:val="0"/>
          <w:lang w:val="es-ES"/>
        </w:rPr>
        <w:tab/>
        <w:t>Por primera vez en Azerbaiyán, en la Biblioteca central urbana para niños M. Seidzade se inauguró un centro de información infantil, librería en la que se pueden utilizar gratuitamente o adquirir todas las publicaciones que están a la venta.</w:t>
      </w:r>
    </w:p>
    <w:p w:rsidR="001D2E73" w:rsidRDefault="001D2E73">
      <w:pPr>
        <w:pStyle w:val="SingleTxtGR"/>
        <w:rPr>
          <w:spacing w:val="0"/>
          <w:lang w:val="es-ES"/>
        </w:rPr>
      </w:pPr>
      <w:r>
        <w:rPr>
          <w:spacing w:val="0"/>
          <w:lang w:val="es-ES"/>
        </w:rPr>
        <w:t>574.</w:t>
      </w:r>
      <w:r>
        <w:rPr>
          <w:spacing w:val="0"/>
          <w:lang w:val="es-ES"/>
        </w:rPr>
        <w:tab/>
        <w:t>A los efectos de asegurar el acceso gratuito de la población a la información jurídica por iniciativa del Ministerio desde 2007 en las principales bibliotecas de distintas dependencias administrativas que funcionan tanto en Bakú, como en las regiones del país, se han creado centros públicos de información jurídica. Durante dos años han visitado estos centros más de 10.000 científicos, estudiantes, investigadores, jubilados y personas pertenecientes a familias de bajos ingresos.</w:t>
      </w:r>
    </w:p>
    <w:p w:rsidR="001D2E73" w:rsidRDefault="001D2E73">
      <w:pPr>
        <w:pStyle w:val="SingleTxtGR"/>
        <w:rPr>
          <w:spacing w:val="0"/>
          <w:lang w:val="es-ES"/>
        </w:rPr>
      </w:pPr>
      <w:r>
        <w:rPr>
          <w:spacing w:val="0"/>
          <w:lang w:val="es-ES"/>
        </w:rPr>
        <w:t>575.</w:t>
      </w:r>
      <w:r>
        <w:rPr>
          <w:spacing w:val="0"/>
          <w:lang w:val="es-ES"/>
        </w:rPr>
        <w:tab/>
        <w:t>Se presta atención especial también al establecimiento y desarrollo de las relaciones internacionales y la colaboración con otras bibliotecas y centros de inform</w:t>
      </w:r>
      <w:r>
        <w:rPr>
          <w:spacing w:val="0"/>
          <w:lang w:val="es-ES"/>
        </w:rPr>
        <w:t>a</w:t>
      </w:r>
      <w:r>
        <w:rPr>
          <w:spacing w:val="0"/>
          <w:lang w:val="es-ES"/>
        </w:rPr>
        <w:t>ción, para lo cual se organizan foros y seminarios internacionales, intercambio de d</w:t>
      </w:r>
      <w:r>
        <w:rPr>
          <w:spacing w:val="0"/>
          <w:lang w:val="es-ES"/>
        </w:rPr>
        <w:t>e</w:t>
      </w:r>
      <w:r>
        <w:rPr>
          <w:spacing w:val="0"/>
          <w:lang w:val="es-ES"/>
        </w:rPr>
        <w:t>legaciones y se garantiza la participación de las bibliotecas del país en actividades internacionales. Así, por ejemplo, en febrero y marzo de 2005, un grupo de bibliot</w:t>
      </w:r>
      <w:r>
        <w:rPr>
          <w:spacing w:val="0"/>
          <w:lang w:val="es-ES"/>
        </w:rPr>
        <w:t>e</w:t>
      </w:r>
      <w:r>
        <w:rPr>
          <w:spacing w:val="0"/>
          <w:lang w:val="es-ES"/>
        </w:rPr>
        <w:t>carios de Azerbaiyán participó en el marco del proyecto del Consejo de Europa "STAGE" en el simposio regional de bibliotecarios del Cáucaso meridional, celebr</w:t>
      </w:r>
      <w:r>
        <w:rPr>
          <w:spacing w:val="0"/>
          <w:lang w:val="es-ES"/>
        </w:rPr>
        <w:t>a</w:t>
      </w:r>
      <w:r>
        <w:rPr>
          <w:spacing w:val="0"/>
          <w:lang w:val="es-ES"/>
        </w:rPr>
        <w:t xml:space="preserve">do en Frankfurt. En el marco del Convenio de colaboración entre bibliotecas para 2004-2008, firmado entre el Ministerio de Cultura de Azerbaiyán y el Ministerio de Cultura y Comunicaciones de la Federación de Rusia, se organizaron 2 cursos para expertos bibliotecarios de Azerbaiyán en Moscú, y en 2007, se celebró en Zakatal el seminario ruso-azerbaiyano </w:t>
      </w:r>
      <w:r>
        <w:rPr>
          <w:i/>
          <w:spacing w:val="0"/>
          <w:lang w:val="es-ES"/>
        </w:rPr>
        <w:t xml:space="preserve">Las bibliotecas y la cultura ecológica de </w:t>
      </w:r>
      <w:smartTag w:uri="urn:schemas-microsoft-com:office:smarttags" w:element="PersonName">
        <w:smartTagPr>
          <w:attr w:name="ProductID" w:val="la poblaci￳n. Los"/>
        </w:smartTagPr>
        <w:r>
          <w:rPr>
            <w:i/>
            <w:spacing w:val="0"/>
            <w:lang w:val="es-ES"/>
          </w:rPr>
          <w:t>la población</w:t>
        </w:r>
        <w:r>
          <w:rPr>
            <w:spacing w:val="0"/>
            <w:lang w:val="es-ES"/>
          </w:rPr>
          <w:t>. Los</w:t>
        </w:r>
      </w:smartTag>
      <w:r>
        <w:rPr>
          <w:spacing w:val="0"/>
          <w:lang w:val="es-ES"/>
        </w:rPr>
        <w:t xml:space="preserve"> expertos bibliotecarios del país participan constantemente en la labor de </w:t>
      </w:r>
      <w:smartTag w:uri="urn:schemas-microsoft-com:office:smarttags" w:element="PersonName">
        <w:smartTagPr>
          <w:attr w:name="ProductID" w:val="la Escuela Internacional"/>
        </w:smartTagPr>
        <w:r>
          <w:rPr>
            <w:spacing w:val="0"/>
            <w:lang w:val="es-ES"/>
          </w:rPr>
          <w:t>la Escuela Internacional</w:t>
        </w:r>
      </w:smartTag>
      <w:r>
        <w:rPr>
          <w:spacing w:val="0"/>
          <w:lang w:val="es-ES"/>
        </w:rPr>
        <w:t xml:space="preserve"> de Filosofía Bibliotecaria (en Kaliningrado), la Escuela de Innovaciones Bibliotecarias (en Belgrado), </w:t>
      </w:r>
      <w:smartTag w:uri="urn:schemas-microsoft-com:office:smarttags" w:element="PersonName">
        <w:smartTagPr>
          <w:attr w:name="ProductID" w:val="la Escuela Ecol￳gica"/>
        </w:smartTagPr>
        <w:r>
          <w:rPr>
            <w:spacing w:val="0"/>
            <w:lang w:val="es-ES"/>
          </w:rPr>
          <w:t>la Escuela Ecológica</w:t>
        </w:r>
      </w:smartTag>
      <w:r>
        <w:rPr>
          <w:spacing w:val="0"/>
          <w:lang w:val="es-ES"/>
        </w:rPr>
        <w:t xml:space="preserve"> (en Briansk), y en las conferencias internacionales de Crimea y Liebeck, etc.</w:t>
      </w:r>
    </w:p>
    <w:p w:rsidR="001D2E73" w:rsidRDefault="001D2E73">
      <w:pPr>
        <w:pStyle w:val="SingleTxtGR"/>
        <w:rPr>
          <w:spacing w:val="0"/>
          <w:lang w:val="es-ES"/>
        </w:rPr>
      </w:pPr>
      <w:r>
        <w:rPr>
          <w:spacing w:val="0"/>
          <w:lang w:val="es-ES"/>
        </w:rPr>
        <w:t>576.</w:t>
      </w:r>
      <w:r>
        <w:rPr>
          <w:spacing w:val="0"/>
          <w:lang w:val="es-ES"/>
        </w:rPr>
        <w:tab/>
        <w:t xml:space="preserve">En el marco de los proyectos MINERVA y MINERVA+ del Consejo de Europa se tradujo al azerí el libro titulado </w:t>
      </w:r>
      <w:r>
        <w:rPr>
          <w:i/>
          <w:spacing w:val="0"/>
          <w:lang w:val="es-ES"/>
        </w:rPr>
        <w:t>Quality Principles for Cultural Websites: a Handbook</w:t>
      </w:r>
      <w:r>
        <w:rPr>
          <w:spacing w:val="0"/>
          <w:lang w:val="es-ES"/>
        </w:rPr>
        <w:t>, del cual se publicaron mil ejemplares. Actualmente el Ministerio de Cultura y Turismo de Azerbaiyán presta su colaboración al proyecto ATHEnA del Co</w:t>
      </w:r>
      <w:r>
        <w:rPr>
          <w:spacing w:val="0"/>
          <w:lang w:val="es-ES"/>
        </w:rPr>
        <w:t>n</w:t>
      </w:r>
      <w:r>
        <w:rPr>
          <w:spacing w:val="0"/>
          <w:lang w:val="es-ES"/>
        </w:rPr>
        <w:t>sejo de Europa, que es la continuación del proyecto MINERVA+.</w:t>
      </w:r>
    </w:p>
    <w:p w:rsidR="001D2E73" w:rsidRDefault="001D2E73">
      <w:pPr>
        <w:pStyle w:val="SingleTxtGR"/>
        <w:rPr>
          <w:spacing w:val="0"/>
          <w:lang w:val="es-ES"/>
        </w:rPr>
      </w:pPr>
      <w:r>
        <w:rPr>
          <w:spacing w:val="0"/>
          <w:lang w:val="es-ES"/>
        </w:rPr>
        <w:t>577.</w:t>
      </w:r>
      <w:r>
        <w:rPr>
          <w:spacing w:val="0"/>
          <w:lang w:val="es-ES"/>
        </w:rPr>
        <w:tab/>
        <w:t>El préstamo de libros entre bibliotecas, el intercambio internacional de libros, así como la creación de fondos y clubes del libro en Azerbaiyán contribuyen también a la colaboración internacional con las bibliotecas de diferentes países. Esta labor se lleva a cabo en colaboración con Austria, Corea, Egipto, Estados Unidos, Feder</w:t>
      </w:r>
      <w:r>
        <w:rPr>
          <w:spacing w:val="0"/>
          <w:lang w:val="es-ES"/>
        </w:rPr>
        <w:t>a</w:t>
      </w:r>
      <w:r>
        <w:rPr>
          <w:spacing w:val="0"/>
          <w:lang w:val="es-ES"/>
        </w:rPr>
        <w:t>ción de Rusia, Georgia, Finlandia, Hungría, Indonesia, Kazajstán, Polonia, Rumania, S</w:t>
      </w:r>
      <w:r>
        <w:rPr>
          <w:spacing w:val="0"/>
          <w:lang w:val="es-ES"/>
        </w:rPr>
        <w:t>i</w:t>
      </w:r>
      <w:r>
        <w:rPr>
          <w:spacing w:val="0"/>
          <w:lang w:val="es-ES"/>
        </w:rPr>
        <w:t>ria, Ucrania, Uzbekistán, Tayikistán y Turquía, y ha dado magníficos resultados.</w:t>
      </w:r>
    </w:p>
    <w:p w:rsidR="001D2E73" w:rsidRDefault="001D2E73">
      <w:pPr>
        <w:pStyle w:val="SingleTxtGR"/>
        <w:rPr>
          <w:spacing w:val="0"/>
          <w:lang w:val="es-ES"/>
        </w:rPr>
      </w:pPr>
      <w:r>
        <w:rPr>
          <w:spacing w:val="0"/>
          <w:lang w:val="es-ES"/>
        </w:rPr>
        <w:t>578.</w:t>
      </w:r>
      <w:r>
        <w:rPr>
          <w:spacing w:val="0"/>
          <w:lang w:val="es-ES"/>
        </w:rPr>
        <w:tab/>
        <w:t>La prioridad fundamental de la actividad informativa de las bibliotecas del país es poner a disposición de la población todo el material informativo y proporci</w:t>
      </w:r>
      <w:r>
        <w:rPr>
          <w:spacing w:val="0"/>
          <w:lang w:val="es-ES"/>
        </w:rPr>
        <w:t>o</w:t>
      </w:r>
      <w:r>
        <w:rPr>
          <w:spacing w:val="0"/>
          <w:lang w:val="es-ES"/>
        </w:rPr>
        <w:t>narle los distintos materiales publicados. Con este fin, el Ministerio elaboró el Co</w:t>
      </w:r>
      <w:r>
        <w:rPr>
          <w:spacing w:val="0"/>
          <w:lang w:val="es-ES"/>
        </w:rPr>
        <w:t>n</w:t>
      </w:r>
      <w:r>
        <w:rPr>
          <w:spacing w:val="0"/>
          <w:lang w:val="es-ES"/>
        </w:rPr>
        <w:t>cepto del modelo azerbaiyano de la sociedad de la información y el Concepto de desarrollo de la red de bibliotecas públicas de la República de Azerbaiyán para el período hasta 2015. Ambos documentos se han señalado a la atención del público en g</w:t>
      </w:r>
      <w:r>
        <w:rPr>
          <w:spacing w:val="0"/>
          <w:lang w:val="es-ES"/>
        </w:rPr>
        <w:t>e</w:t>
      </w:r>
      <w:r>
        <w:rPr>
          <w:spacing w:val="0"/>
          <w:lang w:val="es-ES"/>
        </w:rPr>
        <w:t>neral.</w:t>
      </w:r>
    </w:p>
    <w:p w:rsidR="001D2E73" w:rsidRDefault="001D2E73">
      <w:pPr>
        <w:pStyle w:val="SingleTxtGR"/>
        <w:rPr>
          <w:spacing w:val="0"/>
          <w:lang w:val="es-ES"/>
        </w:rPr>
      </w:pPr>
      <w:r>
        <w:rPr>
          <w:spacing w:val="0"/>
          <w:lang w:val="es-ES"/>
        </w:rPr>
        <w:t>579.</w:t>
      </w:r>
      <w:r>
        <w:rPr>
          <w:spacing w:val="0"/>
          <w:lang w:val="es-ES"/>
        </w:rPr>
        <w:tab/>
        <w:t>Durante el período 2003-2009 se realizaron tareas específicas destinadas a garantizar la libertad de creación cinematográfica</w:t>
      </w:r>
      <w:r>
        <w:rPr>
          <w:b/>
          <w:spacing w:val="0"/>
          <w:lang w:val="es-ES"/>
        </w:rPr>
        <w:t>.</w:t>
      </w:r>
      <w:r>
        <w:rPr>
          <w:spacing w:val="0"/>
          <w:lang w:val="es-ES"/>
        </w:rPr>
        <w:t xml:space="preserve"> En particular, se organizan sin ningún tipo de limitación creativa, política o de otra índole, distintos concursos para seleccionar los mejores proyectos cinematográficos y los mejores guiones. Se celebran festivales de cine nacionales e internacionales. Las películas azerbaiyanas se exhiben en decenas de festivales en el extranjero. Se organizan semanas de inte</w:t>
      </w:r>
      <w:r>
        <w:rPr>
          <w:spacing w:val="0"/>
          <w:lang w:val="es-ES"/>
        </w:rPr>
        <w:t>r</w:t>
      </w:r>
      <w:r>
        <w:rPr>
          <w:spacing w:val="0"/>
          <w:lang w:val="es-ES"/>
        </w:rPr>
        <w:t xml:space="preserve">cambio y festivales de cine con otros países.  </w:t>
      </w:r>
    </w:p>
    <w:p w:rsidR="001D2E73" w:rsidRDefault="001D2E73">
      <w:pPr>
        <w:pStyle w:val="SingleTxtGR"/>
        <w:rPr>
          <w:spacing w:val="0"/>
          <w:lang w:val="es-ES"/>
        </w:rPr>
      </w:pPr>
      <w:r>
        <w:rPr>
          <w:spacing w:val="0"/>
          <w:lang w:val="es-ES"/>
        </w:rPr>
        <w:t>580.</w:t>
      </w:r>
      <w:r>
        <w:rPr>
          <w:spacing w:val="0"/>
          <w:lang w:val="es-ES"/>
        </w:rPr>
        <w:tab/>
        <w:t>A diferencia del período anterior, a partir de 2005, los pedidos de producción de películas del Estado se asignan no sólo a los estudios que pertenecen al sistema del Ministerio de Cultura y Turismo, sino también a empresas productoras privadas. Según este indicador, el número de estudios privados rebasa el 60%. A</w:t>
      </w:r>
      <w:r>
        <w:rPr>
          <w:spacing w:val="0"/>
          <w:lang w:val="es-ES"/>
        </w:rPr>
        <w:t>c</w:t>
      </w:r>
      <w:r>
        <w:rPr>
          <w:spacing w:val="0"/>
          <w:lang w:val="es-ES"/>
        </w:rPr>
        <w:t>tualmente el país cuenta solo con algunas decenas de empresas y centros de produ</w:t>
      </w:r>
      <w:r>
        <w:rPr>
          <w:spacing w:val="0"/>
          <w:lang w:val="es-ES"/>
        </w:rPr>
        <w:t>c</w:t>
      </w:r>
      <w:r>
        <w:rPr>
          <w:spacing w:val="0"/>
          <w:lang w:val="es-ES"/>
        </w:rPr>
        <w:t>ción. Por eso, la producción cinematográfica atrae a nuevos creadores y surgen ideas inn</w:t>
      </w:r>
      <w:r>
        <w:rPr>
          <w:spacing w:val="0"/>
          <w:lang w:val="es-ES"/>
        </w:rPr>
        <w:t>o</w:t>
      </w:r>
      <w:r>
        <w:rPr>
          <w:spacing w:val="0"/>
          <w:lang w:val="es-ES"/>
        </w:rPr>
        <w:t xml:space="preserve">vadoras. </w:t>
      </w:r>
    </w:p>
    <w:p w:rsidR="001D2E73" w:rsidRDefault="001D2E73">
      <w:pPr>
        <w:pStyle w:val="SingleTxtGR"/>
        <w:rPr>
          <w:spacing w:val="0"/>
          <w:lang w:val="es-ES"/>
        </w:rPr>
      </w:pPr>
      <w:r>
        <w:rPr>
          <w:spacing w:val="0"/>
          <w:lang w:val="es-ES"/>
        </w:rPr>
        <w:t>581.</w:t>
      </w:r>
      <w:r>
        <w:rPr>
          <w:spacing w:val="0"/>
          <w:lang w:val="es-ES"/>
        </w:rPr>
        <w:tab/>
        <w:t>Cabe señalar que, a medida que aumenten las posibilidades financieras del E</w:t>
      </w:r>
      <w:r>
        <w:rPr>
          <w:spacing w:val="0"/>
          <w:lang w:val="es-ES"/>
        </w:rPr>
        <w:t>s</w:t>
      </w:r>
      <w:r>
        <w:rPr>
          <w:spacing w:val="0"/>
          <w:lang w:val="es-ES"/>
        </w:rPr>
        <w:t xml:space="preserve">tado, se estudiarán nuevas oportunidades de aumentar tanto la cantidad de películas que se filmen como de medios asignados a la producción de cada película. </w:t>
      </w:r>
    </w:p>
    <w:p w:rsidR="001D2E73" w:rsidRDefault="001D2E73">
      <w:pPr>
        <w:pStyle w:val="SingleTxtGR"/>
        <w:rPr>
          <w:spacing w:val="0"/>
          <w:lang w:val="es-ES"/>
        </w:rPr>
      </w:pPr>
      <w:r>
        <w:rPr>
          <w:spacing w:val="0"/>
          <w:lang w:val="es-ES"/>
        </w:rPr>
        <w:t>582.</w:t>
      </w:r>
      <w:r>
        <w:rPr>
          <w:spacing w:val="0"/>
          <w:lang w:val="es-ES"/>
        </w:rPr>
        <w:tab/>
        <w:t>Se está prestando cada vez más atención a la conservación de materiales c</w:t>
      </w:r>
      <w:r>
        <w:rPr>
          <w:spacing w:val="0"/>
          <w:lang w:val="es-ES"/>
        </w:rPr>
        <w:t>i</w:t>
      </w:r>
      <w:r>
        <w:rPr>
          <w:spacing w:val="0"/>
          <w:lang w:val="es-ES"/>
        </w:rPr>
        <w:t xml:space="preserve">nematográficos. En 2009 entró en funciones el edificio de </w:t>
      </w:r>
      <w:smartTag w:uri="urn:schemas-microsoft-com:office:smarttags" w:element="PersonName">
        <w:smartTagPr>
          <w:attr w:name="ProductID" w:val="la Cinemateca Estatal"/>
        </w:smartTagPr>
        <w:r>
          <w:rPr>
            <w:spacing w:val="0"/>
            <w:lang w:val="es-ES"/>
          </w:rPr>
          <w:t>la Cinemateca Estatal</w:t>
        </w:r>
      </w:smartTag>
      <w:r>
        <w:rPr>
          <w:spacing w:val="0"/>
          <w:lang w:val="es-ES"/>
        </w:rPr>
        <w:t xml:space="preserve"> de Azerbaiyán dotada de equipo moderno.</w:t>
      </w:r>
    </w:p>
    <w:p w:rsidR="001D2E73" w:rsidRDefault="001D2E73">
      <w:pPr>
        <w:pStyle w:val="SingleTxtGR"/>
        <w:rPr>
          <w:spacing w:val="0"/>
          <w:lang w:val="es-ES"/>
        </w:rPr>
      </w:pPr>
      <w:r>
        <w:rPr>
          <w:spacing w:val="0"/>
          <w:lang w:val="es-ES"/>
        </w:rPr>
        <w:t>583.</w:t>
      </w:r>
      <w:r>
        <w:rPr>
          <w:spacing w:val="0"/>
          <w:lang w:val="es-ES"/>
        </w:rPr>
        <w:tab/>
        <w:t>Con miras a reforzar las medidas de lucha contra la piratería de materiales a</w:t>
      </w:r>
      <w:r>
        <w:rPr>
          <w:spacing w:val="0"/>
          <w:lang w:val="es-ES"/>
        </w:rPr>
        <w:t>u</w:t>
      </w:r>
      <w:r>
        <w:rPr>
          <w:spacing w:val="0"/>
          <w:lang w:val="es-ES"/>
        </w:rPr>
        <w:t>diovisuales y proteger los derechos de autor, desde principios de 2007 comenzó el registro de películas importadas al país y producidas en Azerbaiyán.</w:t>
      </w:r>
    </w:p>
    <w:p w:rsidR="001D2E73" w:rsidRDefault="001D2E73">
      <w:pPr>
        <w:pStyle w:val="SingleTxtGR"/>
        <w:rPr>
          <w:spacing w:val="0"/>
          <w:lang w:val="es-ES"/>
        </w:rPr>
      </w:pPr>
      <w:r>
        <w:rPr>
          <w:spacing w:val="0"/>
          <w:lang w:val="es-ES"/>
        </w:rPr>
        <w:t>584.</w:t>
      </w:r>
      <w:r>
        <w:rPr>
          <w:spacing w:val="0"/>
          <w:lang w:val="es-ES"/>
        </w:rPr>
        <w:tab/>
        <w:t>Azerbaiyán participa en algunos proyectos internacionales multilaterales. E</w:t>
      </w:r>
      <w:r>
        <w:rPr>
          <w:spacing w:val="0"/>
          <w:lang w:val="es-ES"/>
        </w:rPr>
        <w:t>s</w:t>
      </w:r>
      <w:r>
        <w:rPr>
          <w:spacing w:val="0"/>
          <w:lang w:val="es-ES"/>
        </w:rPr>
        <w:t xml:space="preserve">tos programas desempeñan una función importante en la protección y el desarrollo social de los derechos humanos. La colaboración con el </w:t>
      </w:r>
      <w:r>
        <w:rPr>
          <w:bCs/>
          <w:spacing w:val="0"/>
          <w:lang w:val="es-ES"/>
        </w:rPr>
        <w:t>Consejo de Europa es uno de los elementos de la actividad multilateral.</w:t>
      </w:r>
      <w:r>
        <w:rPr>
          <w:spacing w:val="0"/>
          <w:lang w:val="es-ES"/>
        </w:rPr>
        <w:t xml:space="preserve"> Los años 2001 a 2005 fueron impo</w:t>
      </w:r>
      <w:r>
        <w:rPr>
          <w:spacing w:val="0"/>
          <w:lang w:val="es-ES"/>
        </w:rPr>
        <w:t>r</w:t>
      </w:r>
      <w:r>
        <w:rPr>
          <w:spacing w:val="0"/>
          <w:lang w:val="es-ES"/>
        </w:rPr>
        <w:t>tantes para la participación de Azerbaiyán en el proyecto "STAGE" (Apoyo al arte en el período de transición en Europa) del Consejo de Europa para el Cáucaso meridi</w:t>
      </w:r>
      <w:r>
        <w:rPr>
          <w:spacing w:val="0"/>
          <w:lang w:val="es-ES"/>
        </w:rPr>
        <w:t>o</w:t>
      </w:r>
      <w:r>
        <w:rPr>
          <w:spacing w:val="0"/>
          <w:lang w:val="es-ES"/>
        </w:rPr>
        <w:t>nal destinado a instituir una nueva política cultural, apoyar la identidad cultural, la diversidad cultural, la actividad creadora y la participación de todos los grupos s</w:t>
      </w:r>
      <w:r>
        <w:rPr>
          <w:spacing w:val="0"/>
          <w:lang w:val="es-ES"/>
        </w:rPr>
        <w:t>o</w:t>
      </w:r>
      <w:r>
        <w:rPr>
          <w:spacing w:val="0"/>
          <w:lang w:val="es-ES"/>
        </w:rPr>
        <w:t xml:space="preserve">ciales en la vida cultural. Los principales logros del proyecto fueron la preparación por el grupo mixto de expertos de Azerbaiyán y el Consejo de Europa del Informe nacional sobre la política cultural de Azerbaiyán (2002) y la celebración de debates nacionales sobre política cultural (Bakú junio de 2003). En el marco del proyecto STAGE, los expertos europeos estudiaron también la política del país relativa a las bibliotecas, los museos y la ciudad, se llevaron a cabo distintos seminarios y cursos de capacitación dedicados a problemas apremiantes como la recaudación de fondos y la gestión. </w:t>
      </w:r>
    </w:p>
    <w:p w:rsidR="001D2E73" w:rsidRDefault="001D2E73">
      <w:pPr>
        <w:pStyle w:val="SingleTxtGR"/>
        <w:rPr>
          <w:b/>
          <w:spacing w:val="0"/>
          <w:lang w:val="es-ES"/>
        </w:rPr>
      </w:pPr>
      <w:r>
        <w:rPr>
          <w:spacing w:val="0"/>
          <w:lang w:val="es-ES"/>
        </w:rPr>
        <w:t>585.</w:t>
      </w:r>
      <w:r>
        <w:rPr>
          <w:spacing w:val="0"/>
          <w:lang w:val="es-ES"/>
        </w:rPr>
        <w:tab/>
        <w:t>El programa regional Iniciativa de Kiev para países del Cáucaso meridional, además de Moldova y Ucrania, se inició en septiembre de 2005 durante el quinto C</w:t>
      </w:r>
      <w:r>
        <w:rPr>
          <w:spacing w:val="0"/>
          <w:lang w:val="es-ES"/>
        </w:rPr>
        <w:t>o</w:t>
      </w:r>
      <w:r>
        <w:rPr>
          <w:spacing w:val="0"/>
          <w:lang w:val="es-ES"/>
        </w:rPr>
        <w:t>loquio ministerial (ampliado) de países que participan en el proyecto STAGE. Como seguimiento de esa iniciativa y de las recomendaciones del proyecto STAGE, la Secretaría del Consejo de Europa, conjuntamente con los países participantes, determ</w:t>
      </w:r>
      <w:r>
        <w:rPr>
          <w:spacing w:val="0"/>
          <w:lang w:val="es-ES"/>
        </w:rPr>
        <w:t>i</w:t>
      </w:r>
      <w:r>
        <w:rPr>
          <w:spacing w:val="0"/>
          <w:lang w:val="es-ES"/>
        </w:rPr>
        <w:t xml:space="preserve">nó los objetivos y precisó las tareas para llevarlo a </w:t>
      </w:r>
      <w:smartTag w:uri="urn:schemas-microsoft-com:office:smarttags" w:element="PersonName">
        <w:smartTagPr>
          <w:attr w:name="ProductID" w:val="la pr￡ctica. En"/>
        </w:smartTagPr>
        <w:r>
          <w:rPr>
            <w:spacing w:val="0"/>
            <w:lang w:val="es-ES"/>
          </w:rPr>
          <w:t>la práctica. En</w:t>
        </w:r>
      </w:smartTag>
      <w:r>
        <w:rPr>
          <w:spacing w:val="0"/>
          <w:lang w:val="es-ES"/>
        </w:rPr>
        <w:t xml:space="preserve"> el marco de la Iniciativa de Kiev se llevan a cabo proyectos multilaterales como Gestión del patrimonio, Cultura Vinícola/Intercambio turístico, Cultura cinematográfica transfro</w:t>
      </w:r>
      <w:r>
        <w:rPr>
          <w:spacing w:val="0"/>
          <w:lang w:val="es-ES"/>
        </w:rPr>
        <w:t>n</w:t>
      </w:r>
      <w:r>
        <w:rPr>
          <w:spacing w:val="0"/>
          <w:lang w:val="es-ES"/>
        </w:rPr>
        <w:t>teriza, Itinerario de Alejandro Dumas/Itinerarios Culturales, Política e intercambios culturales. El proyecto Itinerario de Alejandro Dumas, iniciado por el Ministerio de Cultura y Turismo de Azerbaiyán en el Cáucaso tiene un interés especial. El proyecto se lleva a cabo con la participación de Azerbaiyán, Georgia, la R</w:t>
      </w:r>
      <w:r>
        <w:rPr>
          <w:spacing w:val="0"/>
          <w:lang w:val="es-ES"/>
        </w:rPr>
        <w:t>e</w:t>
      </w:r>
      <w:r>
        <w:rPr>
          <w:spacing w:val="0"/>
          <w:lang w:val="es-ES"/>
        </w:rPr>
        <w:t>pública de Daguestán de la Federación de Rusia y Francia, y el apoyo metodológico del In</w:t>
      </w:r>
      <w:r>
        <w:rPr>
          <w:spacing w:val="0"/>
          <w:lang w:val="es-ES"/>
        </w:rPr>
        <w:t>s</w:t>
      </w:r>
      <w:r>
        <w:rPr>
          <w:spacing w:val="0"/>
          <w:lang w:val="es-ES"/>
        </w:rPr>
        <w:t xml:space="preserve">tituto Europeo de Itinerarios Culturales de Luxemburgo. </w:t>
      </w:r>
    </w:p>
    <w:p w:rsidR="001D2E73" w:rsidRDefault="001D2E73">
      <w:pPr>
        <w:pStyle w:val="SingleTxtGR"/>
        <w:rPr>
          <w:spacing w:val="0"/>
          <w:lang w:val="es-ES"/>
        </w:rPr>
      </w:pPr>
      <w:r>
        <w:rPr>
          <w:spacing w:val="0"/>
          <w:lang w:val="es-ES"/>
        </w:rPr>
        <w:t>586.</w:t>
      </w:r>
      <w:r>
        <w:rPr>
          <w:spacing w:val="0"/>
          <w:lang w:val="es-ES"/>
        </w:rPr>
        <w:tab/>
        <w:t>Azerbaiyán mantiene relaciones activas con el Centro del Patrimonio Mundial, el Departamento de Patrimonio Cultural y el Departamento del Diálogo Intercultural de la UNESCO, periódicamente envía especialistas azerbaiyanos a las confere</w:t>
      </w:r>
      <w:r>
        <w:rPr>
          <w:spacing w:val="0"/>
          <w:lang w:val="es-ES"/>
        </w:rPr>
        <w:t>n</w:t>
      </w:r>
      <w:r>
        <w:rPr>
          <w:spacing w:val="0"/>
          <w:lang w:val="es-ES"/>
        </w:rPr>
        <w:t>cias, seminarios y simposios internacionales que se celebran en otros países, y ta</w:t>
      </w:r>
      <w:r>
        <w:rPr>
          <w:spacing w:val="0"/>
          <w:lang w:val="es-ES"/>
        </w:rPr>
        <w:t>m</w:t>
      </w:r>
      <w:r>
        <w:rPr>
          <w:spacing w:val="0"/>
          <w:lang w:val="es-ES"/>
        </w:rPr>
        <w:t xml:space="preserve">bién acoge distintas actividades de la UNESCO. </w:t>
      </w:r>
    </w:p>
    <w:p w:rsidR="001D2E73" w:rsidRDefault="001D2E73">
      <w:pPr>
        <w:pStyle w:val="SingleTxtGR"/>
        <w:rPr>
          <w:iCs/>
          <w:spacing w:val="0"/>
          <w:lang w:val="es-ES"/>
        </w:rPr>
      </w:pPr>
      <w:r>
        <w:rPr>
          <w:spacing w:val="0"/>
          <w:lang w:val="es-ES"/>
        </w:rPr>
        <w:t>587.</w:t>
      </w:r>
      <w:r>
        <w:rPr>
          <w:spacing w:val="0"/>
          <w:lang w:val="es-ES"/>
        </w:rPr>
        <w:tab/>
        <w:t>En la lista del Patrimonio de la Humanidad fueron incluidos Icherishejer (ce</w:t>
      </w:r>
      <w:r>
        <w:rPr>
          <w:spacing w:val="0"/>
          <w:lang w:val="es-ES"/>
        </w:rPr>
        <w:t>n</w:t>
      </w:r>
      <w:r>
        <w:rPr>
          <w:spacing w:val="0"/>
          <w:lang w:val="es-ES"/>
        </w:rPr>
        <w:t xml:space="preserve">tro histórico), Bakú junto con el Palacio de los Shirvansha y la Torre de la Doncella (en 2000) y la pintura rupestre que representa el paisaje cultural de Gobustan (2007). En noviembre de 2003, el Sr. Koïchiro Matsuura, Director General de la UNESCO, declaró el mugam azerbaiyano obra maestra del patrimonio oral e inmaterial de </w:t>
      </w:r>
      <w:smartTag w:uri="urn:schemas-microsoft-com:office:smarttags" w:element="PersonName">
        <w:smartTagPr>
          <w:attr w:name="ProductID" w:val="la humanidad. Actualmente"/>
        </w:smartTagPr>
        <w:r>
          <w:rPr>
            <w:spacing w:val="0"/>
            <w:lang w:val="es-ES"/>
          </w:rPr>
          <w:t xml:space="preserve">la humanidad. </w:t>
        </w:r>
        <w:r>
          <w:rPr>
            <w:iCs/>
            <w:spacing w:val="0"/>
            <w:lang w:val="es-ES"/>
          </w:rPr>
          <w:t>Actualmente</w:t>
        </w:r>
      </w:smartTag>
      <w:r>
        <w:rPr>
          <w:iCs/>
          <w:spacing w:val="0"/>
          <w:lang w:val="es-ES"/>
        </w:rPr>
        <w:t>, el Ministerio de Cultura y Turismo ejecuta el Plan naci</w:t>
      </w:r>
      <w:r>
        <w:rPr>
          <w:iCs/>
          <w:spacing w:val="0"/>
          <w:lang w:val="es-ES"/>
        </w:rPr>
        <w:t>o</w:t>
      </w:r>
      <w:r>
        <w:rPr>
          <w:iCs/>
          <w:spacing w:val="0"/>
          <w:lang w:val="es-ES"/>
        </w:rPr>
        <w:t xml:space="preserve">nal, con el apoyo de la UNESCO. </w:t>
      </w:r>
    </w:p>
    <w:p w:rsidR="001D2E73" w:rsidRDefault="001D2E73">
      <w:pPr>
        <w:pStyle w:val="SingleTxtGR"/>
        <w:rPr>
          <w:iCs/>
          <w:spacing w:val="0"/>
          <w:lang w:val="es-ES"/>
        </w:rPr>
      </w:pPr>
      <w:r>
        <w:rPr>
          <w:iCs/>
          <w:spacing w:val="0"/>
          <w:lang w:val="es-ES"/>
        </w:rPr>
        <w:t>588.</w:t>
      </w:r>
      <w:r>
        <w:rPr>
          <w:iCs/>
          <w:spacing w:val="0"/>
          <w:lang w:val="es-ES"/>
        </w:rPr>
        <w:tab/>
        <w:t>Se establecieron comités nacionales para programas intergubernamentales de la UNESCO como el Consejo Internacional de Museos (ICOM), el Consejo Intern</w:t>
      </w:r>
      <w:r>
        <w:rPr>
          <w:iCs/>
          <w:spacing w:val="0"/>
          <w:lang w:val="es-ES"/>
        </w:rPr>
        <w:t>a</w:t>
      </w:r>
      <w:r>
        <w:rPr>
          <w:iCs/>
          <w:spacing w:val="0"/>
          <w:lang w:val="es-ES"/>
        </w:rPr>
        <w:t xml:space="preserve">cional de Monumentos y Sitios (ICOMOS), el Consejo Internacional de la Música (IMC) y el Instituto Internacional del Teatro. </w:t>
      </w:r>
    </w:p>
    <w:p w:rsidR="001D2E73" w:rsidRDefault="001D2E73">
      <w:pPr>
        <w:pStyle w:val="SingleTxtGR"/>
        <w:rPr>
          <w:spacing w:val="0"/>
          <w:lang w:val="es-ES"/>
        </w:rPr>
      </w:pPr>
      <w:r>
        <w:rPr>
          <w:iCs/>
          <w:spacing w:val="0"/>
          <w:lang w:val="es-ES"/>
        </w:rPr>
        <w:t>589.</w:t>
      </w:r>
      <w:r>
        <w:rPr>
          <w:iCs/>
          <w:spacing w:val="0"/>
          <w:lang w:val="es-ES"/>
        </w:rPr>
        <w:tab/>
        <w:t>Además, el Plan de actividades Unión Europea-Azerbaiyán promueve la colaboración en la esfera de la cultura mediante el estudio de las posibilidades de colab</w:t>
      </w:r>
      <w:r>
        <w:rPr>
          <w:iCs/>
          <w:spacing w:val="0"/>
          <w:lang w:val="es-ES"/>
        </w:rPr>
        <w:t>o</w:t>
      </w:r>
      <w:r>
        <w:rPr>
          <w:iCs/>
          <w:spacing w:val="0"/>
          <w:lang w:val="es-ES"/>
        </w:rPr>
        <w:t>ración en el marco de los programas culturales en marcha del Consejo de Europa. Huelga mencionar también el intercambio de opiniones en relación con la Conve</w:t>
      </w:r>
      <w:r>
        <w:rPr>
          <w:iCs/>
          <w:spacing w:val="0"/>
          <w:lang w:val="es-ES"/>
        </w:rPr>
        <w:t>n</w:t>
      </w:r>
      <w:r>
        <w:rPr>
          <w:iCs/>
          <w:spacing w:val="0"/>
          <w:lang w:val="es-ES"/>
        </w:rPr>
        <w:t>ción de la UNESCO sobre la Protección y Promoción de la Diversidad de las Expresiones Culturales y sobre el f</w:t>
      </w:r>
      <w:r>
        <w:rPr>
          <w:iCs/>
          <w:spacing w:val="0"/>
          <w:lang w:val="es-ES"/>
        </w:rPr>
        <w:t>o</w:t>
      </w:r>
      <w:r>
        <w:rPr>
          <w:iCs/>
          <w:spacing w:val="0"/>
          <w:lang w:val="es-ES"/>
        </w:rPr>
        <w:t>mento de la ratificación y aplicación de ese texto.</w:t>
      </w:r>
      <w:bookmarkStart w:id="5" w:name="моя"/>
      <w:bookmarkEnd w:id="5"/>
    </w:p>
    <w:p w:rsidR="001D2E73" w:rsidRDefault="001D2E73">
      <w:pPr>
        <w:pStyle w:val="SingleTxtGR"/>
        <w:rPr>
          <w:spacing w:val="0"/>
          <w:lang w:val="es-ES"/>
        </w:rPr>
      </w:pPr>
      <w:r>
        <w:rPr>
          <w:spacing w:val="0"/>
          <w:lang w:val="es-ES"/>
        </w:rPr>
        <w:t>590.</w:t>
      </w:r>
      <w:r>
        <w:rPr>
          <w:spacing w:val="0"/>
          <w:lang w:val="es-ES"/>
        </w:rPr>
        <w:tab/>
        <w:t xml:space="preserve">En mayo de 2005, se organizó en Bakú </w:t>
      </w:r>
      <w:smartTag w:uri="urn:schemas-microsoft-com:office:smarttags" w:element="PersonName">
        <w:smartTagPr>
          <w:attr w:name="ProductID" w:val="la Conferencia Internacional"/>
        </w:smartTagPr>
        <w:r>
          <w:rPr>
            <w:spacing w:val="0"/>
            <w:lang w:val="es-ES"/>
          </w:rPr>
          <w:t>la Conferencia Internacional</w:t>
        </w:r>
      </w:smartTag>
      <w:r>
        <w:rPr>
          <w:spacing w:val="0"/>
          <w:lang w:val="es-ES"/>
        </w:rPr>
        <w:t xml:space="preserve"> para la creación de observatorios de la política cultural de GUAM. Considerando el amplio patrimonio cultural de los países GUAM (Georgia, Ucrania, Azerbaiyán y Moldova) se firmó el Protocolo de colaboración en la esfera de la cultura en el marco de GUAM para 2007-2010. El sitio de Internet Observatorio informativo de la política cultural de GUAM, creado por el Ministerio de Cultura y Turismo de la República de Azerbaiyán con el apoyo de la Oficina de la UNESCO en Moscú, fue presentado el 19 de diciembre 2007 en el Museo de Bakú. El proyecto Desarrollo del observ</w:t>
      </w:r>
      <w:r>
        <w:rPr>
          <w:spacing w:val="0"/>
          <w:lang w:val="es-ES"/>
        </w:rPr>
        <w:t>a</w:t>
      </w:r>
      <w:r>
        <w:rPr>
          <w:spacing w:val="0"/>
          <w:lang w:val="es-ES"/>
        </w:rPr>
        <w:t xml:space="preserve">torio informativo de la política cultural de los países GUAM está dedicado, en particular a la realización de investigaciones sobre la conceptualización de la política cultural del Estado (concepción y programas estatales en la esfera de la cultura) en los países GUAM. </w:t>
      </w:r>
    </w:p>
    <w:p w:rsidR="001D2E73" w:rsidRDefault="001D2E73">
      <w:pPr>
        <w:pStyle w:val="SingleTxtGR"/>
        <w:rPr>
          <w:spacing w:val="0"/>
          <w:lang w:val="es-ES"/>
        </w:rPr>
      </w:pPr>
      <w:r>
        <w:rPr>
          <w:spacing w:val="0"/>
          <w:lang w:val="es-ES"/>
        </w:rPr>
        <w:t>591.</w:t>
      </w:r>
      <w:r>
        <w:rPr>
          <w:spacing w:val="0"/>
          <w:lang w:val="es-ES"/>
        </w:rPr>
        <w:tab/>
        <w:t>La República de Azerbaiyán fue elegida miembro del Consejo Consultivo para la aplicación de la estrategia cultural del mundo islámico para 2005-2008. El Mini</w:t>
      </w:r>
      <w:r>
        <w:rPr>
          <w:spacing w:val="0"/>
          <w:lang w:val="es-ES"/>
        </w:rPr>
        <w:t>s</w:t>
      </w:r>
      <w:r>
        <w:rPr>
          <w:spacing w:val="0"/>
          <w:lang w:val="es-ES"/>
        </w:rPr>
        <w:t xml:space="preserve">terio de Cultura y Turismo ha puesto empeño en desarrollar la colaboración con </w:t>
      </w:r>
      <w:smartTag w:uri="urn:schemas-microsoft-com:office:smarttags" w:element="PersonName">
        <w:smartTagPr>
          <w:attr w:name="ProductID" w:val="la Organizaci￳n Isl￡mica"/>
        </w:smartTagPr>
        <w:r>
          <w:rPr>
            <w:spacing w:val="0"/>
            <w:lang w:val="es-ES"/>
          </w:rPr>
          <w:t>la Organización Islámica</w:t>
        </w:r>
      </w:smartTag>
      <w:r>
        <w:rPr>
          <w:spacing w:val="0"/>
          <w:lang w:val="es-ES"/>
        </w:rPr>
        <w:t xml:space="preserve"> para la Educación, la Ciencia y la Cultura (ISESCO); el Pr</w:t>
      </w:r>
      <w:r>
        <w:rPr>
          <w:spacing w:val="0"/>
          <w:lang w:val="es-ES"/>
        </w:rPr>
        <w:t>o</w:t>
      </w:r>
      <w:r>
        <w:rPr>
          <w:spacing w:val="0"/>
          <w:lang w:val="es-ES"/>
        </w:rPr>
        <w:t xml:space="preserve">tocolo de colaboración entre el Ministerio y la ISESCO fue firmado durante el quinto período de sesiones de </w:t>
      </w:r>
      <w:smartTag w:uri="urn:schemas-microsoft-com:office:smarttags" w:element="PersonName">
        <w:smartTagPr>
          <w:attr w:name="ProductID" w:val="la Conferencia Isl￡mica"/>
        </w:smartTagPr>
        <w:r>
          <w:rPr>
            <w:spacing w:val="0"/>
            <w:lang w:val="es-ES"/>
          </w:rPr>
          <w:t>la Conferencia Islámica</w:t>
        </w:r>
      </w:smartTag>
      <w:r>
        <w:rPr>
          <w:spacing w:val="0"/>
          <w:lang w:val="es-ES"/>
        </w:rPr>
        <w:t xml:space="preserve"> de Ministros de Turismo (Bakú, se</w:t>
      </w:r>
      <w:r>
        <w:rPr>
          <w:spacing w:val="0"/>
          <w:lang w:val="es-ES"/>
        </w:rPr>
        <w:t>p</w:t>
      </w:r>
      <w:r>
        <w:rPr>
          <w:spacing w:val="0"/>
          <w:lang w:val="es-ES"/>
        </w:rPr>
        <w:t xml:space="preserve">tiembre de 2006). Durante </w:t>
      </w:r>
      <w:smartTag w:uri="urn:schemas-microsoft-com:office:smarttags" w:element="PersonName">
        <w:smartTagPr>
          <w:attr w:name="ProductID" w:val="la quinta Conferencia Isl￡mica"/>
        </w:smartTagPr>
        <w:r>
          <w:rPr>
            <w:spacing w:val="0"/>
            <w:lang w:val="es-ES"/>
          </w:rPr>
          <w:t>la quinta Conferencia Islámica</w:t>
        </w:r>
      </w:smartTag>
      <w:r>
        <w:rPr>
          <w:spacing w:val="0"/>
          <w:lang w:val="es-ES"/>
        </w:rPr>
        <w:t xml:space="preserve"> de Ministros de Cultura (Trípoli, 21 a 23 de noviembre de 2007), la ciudad de Bakú, capital de la República de Azerbaiyán fue declarada Capital de la cultura islámica en 2009. El plan de a</w:t>
      </w:r>
      <w:r>
        <w:rPr>
          <w:spacing w:val="0"/>
          <w:lang w:val="es-ES"/>
        </w:rPr>
        <w:t>c</w:t>
      </w:r>
      <w:r>
        <w:rPr>
          <w:spacing w:val="0"/>
          <w:lang w:val="es-ES"/>
        </w:rPr>
        <w:t>ción para 2009 incluye la realización de distintas actividades internacionales y n</w:t>
      </w:r>
      <w:r>
        <w:rPr>
          <w:spacing w:val="0"/>
          <w:lang w:val="es-ES"/>
        </w:rPr>
        <w:t>a</w:t>
      </w:r>
      <w:r>
        <w:rPr>
          <w:spacing w:val="0"/>
          <w:lang w:val="es-ES"/>
        </w:rPr>
        <w:t>cionales de carácter oficial, científico práctico, educativo, artístico, cultural y turíst</w:t>
      </w:r>
      <w:r>
        <w:rPr>
          <w:spacing w:val="0"/>
          <w:lang w:val="es-ES"/>
        </w:rPr>
        <w:t>i</w:t>
      </w:r>
      <w:r>
        <w:rPr>
          <w:spacing w:val="0"/>
          <w:lang w:val="es-ES"/>
        </w:rPr>
        <w:t>co, festivales de cine, ferias del libro, proyectos para la protección del patrimonio cultural islámico y días de la cultura.</w:t>
      </w:r>
    </w:p>
    <w:p w:rsidR="001D2E73" w:rsidRDefault="001D2E73">
      <w:pPr>
        <w:pStyle w:val="SingleTxtGR"/>
        <w:rPr>
          <w:spacing w:val="0"/>
          <w:lang w:val="es-ES"/>
        </w:rPr>
      </w:pPr>
      <w:r>
        <w:rPr>
          <w:spacing w:val="0"/>
          <w:lang w:val="es-ES"/>
        </w:rPr>
        <w:t>592.</w:t>
      </w:r>
      <w:r>
        <w:rPr>
          <w:spacing w:val="0"/>
          <w:lang w:val="es-ES"/>
        </w:rPr>
        <w:tab/>
        <w:t>El Consejo de Colaboración Cultural de los Estados partes en la Comunidad de Estados Independientes (CEI), presidido por el Ministro de Cultura y Turismo de la República de Azerbaiyán, apoya los Juegos Délficos Juveniles y ejecuta programas y proyectos de colaboración encaminados al mantenimiento de los vínc</w:t>
      </w:r>
      <w:r>
        <w:rPr>
          <w:spacing w:val="0"/>
          <w:lang w:val="es-ES"/>
        </w:rPr>
        <w:t>u</w:t>
      </w:r>
      <w:r>
        <w:rPr>
          <w:spacing w:val="0"/>
          <w:lang w:val="es-ES"/>
        </w:rPr>
        <w:t>los culturales entre los pueblos de los países postsoviéticos.</w:t>
      </w:r>
    </w:p>
    <w:p w:rsidR="001D2E73" w:rsidRDefault="001D2E73">
      <w:pPr>
        <w:pStyle w:val="SingleTxtGR"/>
        <w:rPr>
          <w:bCs/>
          <w:iCs/>
          <w:spacing w:val="0"/>
          <w:lang w:val="es-ES"/>
        </w:rPr>
      </w:pPr>
      <w:r>
        <w:rPr>
          <w:bCs/>
          <w:iCs/>
          <w:spacing w:val="0"/>
          <w:lang w:val="es-ES"/>
        </w:rPr>
        <w:t>593.</w:t>
      </w:r>
      <w:r>
        <w:rPr>
          <w:bCs/>
          <w:iCs/>
          <w:spacing w:val="0"/>
          <w:lang w:val="es-ES"/>
        </w:rPr>
        <w:tab/>
        <w:t>La República de Azerbaiyán es el único Estado que es parte simultáne</w:t>
      </w:r>
      <w:r>
        <w:rPr>
          <w:bCs/>
          <w:iCs/>
          <w:spacing w:val="0"/>
          <w:lang w:val="es-ES"/>
        </w:rPr>
        <w:t>a</w:t>
      </w:r>
      <w:r>
        <w:rPr>
          <w:bCs/>
          <w:iCs/>
          <w:spacing w:val="0"/>
          <w:lang w:val="es-ES"/>
        </w:rPr>
        <w:t>mente en el Consejo de Europa y la ISESCO, razón por la cual, el Ministerio de Cultura y Turismo dio inicio recientemente al Proceso de Bakú con el fin de lograr el acerc</w:t>
      </w:r>
      <w:r>
        <w:rPr>
          <w:bCs/>
          <w:iCs/>
          <w:spacing w:val="0"/>
          <w:lang w:val="es-ES"/>
        </w:rPr>
        <w:t>a</w:t>
      </w:r>
      <w:r>
        <w:rPr>
          <w:bCs/>
          <w:iCs/>
          <w:spacing w:val="0"/>
          <w:lang w:val="es-ES"/>
        </w:rPr>
        <w:t xml:space="preserve">miento entre Oriente y Occidente. </w:t>
      </w:r>
    </w:p>
    <w:p w:rsidR="001D2E73" w:rsidRDefault="001D2E73">
      <w:pPr>
        <w:pStyle w:val="SingleTxtGR"/>
        <w:rPr>
          <w:bCs/>
          <w:iCs/>
          <w:spacing w:val="0"/>
          <w:lang w:val="es-ES"/>
        </w:rPr>
      </w:pPr>
      <w:r>
        <w:rPr>
          <w:bCs/>
          <w:iCs/>
          <w:spacing w:val="0"/>
          <w:lang w:val="es-ES"/>
        </w:rPr>
        <w:t>594.</w:t>
      </w:r>
      <w:r>
        <w:rPr>
          <w:bCs/>
          <w:iCs/>
          <w:spacing w:val="0"/>
          <w:lang w:val="es-ES"/>
        </w:rPr>
        <w:tab/>
        <w:t>Para llevar a cabo esta honrosa misión, se proyectaron con perspectivas de futuro distintas actividades internacionales de gran envergadura, y la primera de ellas fue la Conferencia de Bakú de Ministros de Cultura con el tema Diálogo intercultural como fundamento para un desarrollo y una paz estables en Europa y las regiones v</w:t>
      </w:r>
      <w:r>
        <w:rPr>
          <w:bCs/>
          <w:iCs/>
          <w:spacing w:val="0"/>
          <w:lang w:val="es-ES"/>
        </w:rPr>
        <w:t>e</w:t>
      </w:r>
      <w:r>
        <w:rPr>
          <w:bCs/>
          <w:iCs/>
          <w:spacing w:val="0"/>
          <w:lang w:val="es-ES"/>
        </w:rPr>
        <w:t>cinas (2 y 3 de diciembre de 2008).</w:t>
      </w:r>
    </w:p>
    <w:p w:rsidR="001D2E73" w:rsidRDefault="001D2E73">
      <w:pPr>
        <w:pStyle w:val="SingleTxtGR"/>
        <w:rPr>
          <w:spacing w:val="0"/>
          <w:lang w:val="es-ES"/>
        </w:rPr>
      </w:pPr>
      <w:r>
        <w:rPr>
          <w:bCs/>
          <w:spacing w:val="0"/>
          <w:lang w:val="es-ES"/>
        </w:rPr>
        <w:t>595.</w:t>
      </w:r>
      <w:r>
        <w:rPr>
          <w:bCs/>
          <w:spacing w:val="0"/>
          <w:lang w:val="es-ES"/>
        </w:rPr>
        <w:tab/>
        <w:t xml:space="preserve">Año tras año aumentan </w:t>
      </w:r>
      <w:r>
        <w:rPr>
          <w:spacing w:val="0"/>
          <w:lang w:val="es-ES"/>
        </w:rPr>
        <w:t xml:space="preserve">los recursos presupuestarios que se asignan a </w:t>
      </w:r>
      <w:smartTag w:uri="urn:schemas-microsoft-com:office:smarttags" w:element="PersonName">
        <w:smartTagPr>
          <w:attr w:name="ProductID" w:val="la ciencia. En"/>
        </w:smartTagPr>
        <w:r>
          <w:rPr>
            <w:spacing w:val="0"/>
            <w:lang w:val="es-ES"/>
          </w:rPr>
          <w:t>la cie</w:t>
        </w:r>
        <w:r>
          <w:rPr>
            <w:spacing w:val="0"/>
            <w:lang w:val="es-ES"/>
          </w:rPr>
          <w:t>n</w:t>
        </w:r>
        <w:r>
          <w:rPr>
            <w:spacing w:val="0"/>
            <w:lang w:val="es-ES"/>
          </w:rPr>
          <w:t>cia. En</w:t>
        </w:r>
      </w:smartTag>
      <w:r>
        <w:rPr>
          <w:spacing w:val="0"/>
          <w:lang w:val="es-ES"/>
        </w:rPr>
        <w:t xml:space="preserve"> 2008 los gastos en ciencia ascendieron a 62,1 millones de manat (77.620.000 dólares de los Estados Unidos).</w:t>
      </w:r>
    </w:p>
    <w:p w:rsidR="001D2E73" w:rsidRDefault="001D2E73">
      <w:pPr>
        <w:pStyle w:val="SingleTxtGR"/>
        <w:rPr>
          <w:spacing w:val="0"/>
          <w:lang w:val="es-ES"/>
        </w:rPr>
      </w:pPr>
      <w:r>
        <w:rPr>
          <w:spacing w:val="0"/>
          <w:lang w:val="es-ES"/>
        </w:rPr>
        <w:t>596.</w:t>
      </w:r>
      <w:r>
        <w:rPr>
          <w:spacing w:val="0"/>
          <w:lang w:val="es-ES"/>
        </w:rPr>
        <w:tab/>
        <w:t xml:space="preserve">Se asignaron recursos presupuestarios para realizar investigaciones en ciencias fundamentales, financiar la labor de las instituciones de investigación científica y dotar de equipo moderno a las instituciones de investigación científica de </w:t>
      </w:r>
      <w:smartTag w:uri="urn:schemas-microsoft-com:office:smarttags" w:element="PersonName">
        <w:smartTagPr>
          <w:attr w:name="ProductID" w:val="la Academia Nacional"/>
        </w:smartTagPr>
        <w:r>
          <w:rPr>
            <w:spacing w:val="0"/>
            <w:lang w:val="es-ES"/>
          </w:rPr>
          <w:t>la Academia Nacional</w:t>
        </w:r>
      </w:smartTag>
      <w:r>
        <w:rPr>
          <w:spacing w:val="0"/>
          <w:lang w:val="es-ES"/>
        </w:rPr>
        <w:t xml:space="preserve"> de Azerbaiyán.</w:t>
      </w:r>
    </w:p>
    <w:p w:rsidR="001D2E73" w:rsidRDefault="001D2E73">
      <w:pPr>
        <w:pStyle w:val="SingleTxtGR"/>
        <w:rPr>
          <w:bCs/>
          <w:spacing w:val="0"/>
          <w:lang w:val="es-ES"/>
        </w:rPr>
      </w:pPr>
      <w:r>
        <w:rPr>
          <w:bCs/>
          <w:spacing w:val="0"/>
          <w:lang w:val="es-ES"/>
        </w:rPr>
        <w:t>597.</w:t>
      </w:r>
      <w:r>
        <w:rPr>
          <w:bCs/>
          <w:spacing w:val="0"/>
          <w:lang w:val="es-ES"/>
        </w:rPr>
        <w:tab/>
        <w:t>Por Instrucción del Presidente de 4 de mayo de 2009, fueron aprobados la Estrategia nacional de desarrollo de la ciencia en la República de Azerbaiyán para 2009-2015 y el Programa estatal para la aplicación de la Estrategia nacional de desarrollo de la ciencia en la República de Azerbaiyán para 2009-2015.</w:t>
      </w:r>
    </w:p>
    <w:p w:rsidR="001D2E73" w:rsidRDefault="001D2E73">
      <w:pPr>
        <w:pStyle w:val="SingleTxtGR"/>
        <w:rPr>
          <w:bCs/>
          <w:spacing w:val="0"/>
          <w:lang w:val="es-ES"/>
        </w:rPr>
      </w:pPr>
      <w:r>
        <w:rPr>
          <w:bCs/>
          <w:spacing w:val="0"/>
          <w:lang w:val="es-ES"/>
        </w:rPr>
        <w:t>598.</w:t>
      </w:r>
      <w:r>
        <w:rPr>
          <w:bCs/>
          <w:spacing w:val="0"/>
          <w:lang w:val="es-ES"/>
        </w:rPr>
        <w:tab/>
        <w:t>En el marco de la Estrategia nacional se ha previsto perfeccionar el sistema de dirección de la ciencia, modernizar la infraestructura científica, preparar cuadros y fortalecer la base técnico material de las instituciones de investigación científica.</w:t>
      </w:r>
    </w:p>
    <w:p w:rsidR="001D2E73" w:rsidRDefault="001D2E73">
      <w:pPr>
        <w:pStyle w:val="SingleTxtGR"/>
        <w:rPr>
          <w:bCs/>
          <w:spacing w:val="0"/>
          <w:lang w:val="es-ES"/>
        </w:rPr>
      </w:pPr>
      <w:r>
        <w:rPr>
          <w:spacing w:val="0"/>
          <w:lang w:val="es-ES"/>
        </w:rPr>
        <w:t>599.</w:t>
      </w:r>
      <w:r>
        <w:rPr>
          <w:spacing w:val="0"/>
          <w:lang w:val="es-ES"/>
        </w:rPr>
        <w:tab/>
      </w:r>
      <w:r>
        <w:rPr>
          <w:bCs/>
          <w:spacing w:val="0"/>
          <w:lang w:val="es-ES"/>
        </w:rPr>
        <w:t xml:space="preserve">De conformidad con el artículo 51 de la Constitución del país, toda persona tiene libertad para crear. El Estado garantiza la libertad para dedicarse a la literatura, la pintura, las investigaciones científicas y técnicas y otros tipos de actividad creadora. </w:t>
      </w:r>
    </w:p>
    <w:p w:rsidR="001D2E73" w:rsidRDefault="001D2E73">
      <w:pPr>
        <w:pStyle w:val="SingleTxtGR"/>
        <w:rPr>
          <w:spacing w:val="0"/>
          <w:lang w:val="es-ES"/>
        </w:rPr>
      </w:pPr>
      <w:r>
        <w:rPr>
          <w:spacing w:val="0"/>
          <w:lang w:val="es-ES"/>
        </w:rPr>
        <w:t>600.</w:t>
      </w:r>
      <w:r>
        <w:rPr>
          <w:spacing w:val="0"/>
          <w:lang w:val="es-ES"/>
        </w:rPr>
        <w:tab/>
        <w:t xml:space="preserve">Además, de conformidad con el artículo 15 de la Ley de derechos de autor y derechos conexos, de 5 de junio 19996, el autor o el titular del derecho de autor de una obra tiene el derecho exclusivo de utilizarla de cualquier forma o manera, salvo en las circunstancias especificadas en </w:t>
      </w:r>
      <w:smartTag w:uri="urn:schemas-microsoft-com:office:smarttags" w:element="PersonName">
        <w:smartTagPr>
          <w:attr w:name="ProductID" w:val="la ley. El"/>
        </w:smartTagPr>
        <w:r>
          <w:rPr>
            <w:spacing w:val="0"/>
            <w:lang w:val="es-ES"/>
          </w:rPr>
          <w:t>la ley. El</w:t>
        </w:r>
      </w:smartTag>
      <w:r>
        <w:rPr>
          <w:spacing w:val="0"/>
          <w:lang w:val="es-ES"/>
        </w:rPr>
        <w:t xml:space="preserve"> derecho exclusivo a la utilización de una obra supone el derecho a realizar, autorizar o prohibir las siguientes acciones:</w:t>
      </w:r>
    </w:p>
    <w:p w:rsidR="001D2E73" w:rsidRDefault="001D2E73">
      <w:pPr>
        <w:pStyle w:val="Bullet1G"/>
        <w:rPr>
          <w:lang w:val="es-ES"/>
        </w:rPr>
      </w:pPr>
      <w:r>
        <w:rPr>
          <w:lang w:val="es-ES"/>
        </w:rPr>
        <w:t>Reproducir la obra (derecho de reproducción);</w:t>
      </w:r>
    </w:p>
    <w:p w:rsidR="001D2E73" w:rsidRDefault="001D2E73">
      <w:pPr>
        <w:pStyle w:val="Bullet1G"/>
        <w:rPr>
          <w:lang w:val="es-ES"/>
        </w:rPr>
      </w:pPr>
      <w:r>
        <w:rPr>
          <w:lang w:val="es-ES"/>
        </w:rPr>
        <w:t>Distribuir ejemplares de la obra por cualquier medio, venderla, alquilarla y demás (derecho de distribución);</w:t>
      </w:r>
    </w:p>
    <w:p w:rsidR="001D2E73" w:rsidRDefault="001D2E73">
      <w:pPr>
        <w:pStyle w:val="Bullet1G"/>
        <w:rPr>
          <w:lang w:val="es-ES"/>
        </w:rPr>
      </w:pPr>
      <w:r>
        <w:rPr>
          <w:lang w:val="es-ES"/>
        </w:rPr>
        <w:t>Importar copias de la obra con fines de distribución, incluidas las copias preparadas con autorización del autor o del titular de los derechos de autor exclusivos (derecho de importación);</w:t>
      </w:r>
    </w:p>
    <w:p w:rsidR="001D2E73" w:rsidRDefault="001D2E73">
      <w:pPr>
        <w:pStyle w:val="Bullet1G"/>
        <w:rPr>
          <w:lang w:val="es-ES"/>
        </w:rPr>
      </w:pPr>
      <w:r>
        <w:rPr>
          <w:lang w:val="es-ES"/>
        </w:rPr>
        <w:t>Mostrar públicamente la obra (derecho de exhibición pública); interpretar la obra en público (derecho de interpretación pública);</w:t>
      </w:r>
    </w:p>
    <w:p w:rsidR="001D2E73" w:rsidRDefault="001D2E73">
      <w:pPr>
        <w:pStyle w:val="Bullet1G"/>
        <w:rPr>
          <w:lang w:val="es-ES"/>
        </w:rPr>
      </w:pPr>
      <w:r>
        <w:rPr>
          <w:lang w:val="es-ES"/>
        </w:rPr>
        <w:t>Comunicar la obra para conocimiento del público en general, incluida su transmisión radial, televisiva o por cable (derecho de comunicación pública);</w:t>
      </w:r>
    </w:p>
    <w:p w:rsidR="001D2E73" w:rsidRDefault="001D2E73">
      <w:pPr>
        <w:pStyle w:val="Bullet1G"/>
        <w:rPr>
          <w:lang w:val="es-ES"/>
        </w:rPr>
      </w:pPr>
      <w:r>
        <w:rPr>
          <w:lang w:val="es-ES"/>
        </w:rPr>
        <w:t>Transmitir la obra por radio y televisión, incluidas la primera transmisión y las siguientes para conocimiento del público en general (derecho de comunicación por medios audiovisuales);</w:t>
      </w:r>
    </w:p>
    <w:p w:rsidR="001D2E73" w:rsidRDefault="001D2E73">
      <w:pPr>
        <w:pStyle w:val="Bullet1G"/>
        <w:rPr>
          <w:lang w:val="es-ES"/>
        </w:rPr>
      </w:pPr>
      <w:r>
        <w:rPr>
          <w:lang w:val="es-ES"/>
        </w:rPr>
        <w:t>Comunicar una obra por cable o utilizando otros medios análogos, incluida la primera transmisión y las siguientes para conocimiento del público en general (derecho de comunicación pública por cable);</w:t>
      </w:r>
    </w:p>
    <w:p w:rsidR="001D2E73" w:rsidRDefault="001D2E73">
      <w:pPr>
        <w:pStyle w:val="Bullet1G"/>
        <w:rPr>
          <w:lang w:val="es-ES"/>
        </w:rPr>
      </w:pPr>
      <w:r>
        <w:rPr>
          <w:lang w:val="es-ES"/>
        </w:rPr>
        <w:t>Traducir la obra (derecho de traducción);</w:t>
      </w:r>
    </w:p>
    <w:p w:rsidR="001D2E73" w:rsidRDefault="001D2E73">
      <w:pPr>
        <w:pStyle w:val="Bullet1G"/>
        <w:rPr>
          <w:lang w:val="es-ES"/>
        </w:rPr>
      </w:pPr>
      <w:r>
        <w:rPr>
          <w:lang w:val="es-ES"/>
        </w:rPr>
        <w:t>Adaptar, instrumentar o transformar de cualquier otra forma una obra (derecho de adaptación).</w:t>
      </w:r>
    </w:p>
    <w:p w:rsidR="001D2E73" w:rsidRDefault="001D2E73">
      <w:pPr>
        <w:pStyle w:val="SingleTxtGR"/>
        <w:rPr>
          <w:spacing w:val="0"/>
          <w:lang w:val="es-ES"/>
        </w:rPr>
      </w:pPr>
      <w:r>
        <w:rPr>
          <w:spacing w:val="0"/>
          <w:lang w:val="es-ES"/>
        </w:rPr>
        <w:t>601.</w:t>
      </w:r>
      <w:r>
        <w:rPr>
          <w:spacing w:val="0"/>
          <w:lang w:val="es-ES"/>
        </w:rPr>
        <w:tab/>
        <w:t>Los derechos exclusivos a utilizar proyectos de arquitectura, urbanismo y paisajísticos incluyen también la ejecución práctica de esos proyectos. El autor del proyecto arquitectónico aprobado por un cliente, a menos que en el contrato se especifique otra cosa, tiene derecho a exigir que se le permita participar en la ejecución de su proyecto, tanto en el diseño de las especificaciones como durante la construcción del edificio o la instalación.</w:t>
      </w:r>
    </w:p>
    <w:p w:rsidR="001D2E73" w:rsidRDefault="001D2E73">
      <w:pPr>
        <w:pStyle w:val="SingleTxtGR"/>
        <w:rPr>
          <w:spacing w:val="0"/>
          <w:lang w:val="es-ES"/>
        </w:rPr>
      </w:pPr>
      <w:r>
        <w:rPr>
          <w:spacing w:val="0"/>
          <w:lang w:val="es-ES"/>
        </w:rPr>
        <w:t>602.</w:t>
      </w:r>
      <w:r>
        <w:rPr>
          <w:spacing w:val="0"/>
          <w:lang w:val="es-ES"/>
        </w:rPr>
        <w:tab/>
        <w:t>Con arreglo al artículo 19 de esa Ley, se autoriza a realizar las acciones que se indican a continuación, sin el consentimiento del autor o del titular de los derechos de autor y sin pago de regalía, a condición de que se mencione el nombre del autor, cuya obra se utiliza y la fuente de donde se tomó en préstamo:</w:t>
      </w:r>
    </w:p>
    <w:p w:rsidR="001D2E73" w:rsidRDefault="001D2E73">
      <w:pPr>
        <w:pStyle w:val="SingleTxtGR"/>
        <w:rPr>
          <w:spacing w:val="0"/>
          <w:lang w:val="es-ES"/>
        </w:rPr>
      </w:pPr>
      <w:r>
        <w:rPr>
          <w:i/>
          <w:spacing w:val="0"/>
          <w:lang w:val="es-ES"/>
        </w:rPr>
        <w:tab/>
      </w:r>
      <w:r>
        <w:rPr>
          <w:spacing w:val="0"/>
          <w:lang w:val="es-ES"/>
        </w:rPr>
        <w:t>a)</w:t>
      </w:r>
      <w:r>
        <w:rPr>
          <w:spacing w:val="0"/>
          <w:lang w:val="es-ES"/>
        </w:rPr>
        <w:tab/>
        <w:t xml:space="preserve">En la medida en que lo justifique el fin que se persigue, citar con fines científicos, de investigación, de debate, de crítica o de información el texto original o traducido de fragmentos de obras lícitamente publicadas, lo que incluye la reproducción de fragmentos de artículos periodísticos o de revistas en la forma de resúmenes de prensa; </w:t>
      </w:r>
    </w:p>
    <w:p w:rsidR="001D2E73" w:rsidRDefault="001D2E73">
      <w:pPr>
        <w:pStyle w:val="SingleTxtGR"/>
        <w:rPr>
          <w:spacing w:val="0"/>
          <w:lang w:val="es-ES"/>
        </w:rPr>
      </w:pPr>
      <w:r>
        <w:rPr>
          <w:spacing w:val="0"/>
          <w:lang w:val="es-ES"/>
        </w:rPr>
        <w:tab/>
        <w:t>b)</w:t>
      </w:r>
      <w:r>
        <w:rPr>
          <w:spacing w:val="0"/>
          <w:lang w:val="es-ES"/>
        </w:rPr>
        <w:tab/>
        <w:t xml:space="preserve">En la medida en que lo justifique el fin que se persigue, utilizar en publicaciones, transmisiones de radio y televisión o grabaciones de audio y video con fines educativos fragmentos de obras lícitamente publicadas; </w:t>
      </w:r>
    </w:p>
    <w:p w:rsidR="001D2E73" w:rsidRDefault="001D2E73">
      <w:pPr>
        <w:pStyle w:val="SingleTxtGR"/>
        <w:rPr>
          <w:spacing w:val="0"/>
          <w:lang w:val="es-ES"/>
        </w:rPr>
      </w:pPr>
      <w:r>
        <w:rPr>
          <w:spacing w:val="0"/>
          <w:lang w:val="es-ES"/>
        </w:rPr>
        <w:tab/>
        <w:t>c)</w:t>
      </w:r>
      <w:r>
        <w:rPr>
          <w:spacing w:val="0"/>
          <w:lang w:val="es-ES"/>
        </w:rPr>
        <w:tab/>
        <w:t xml:space="preserve">Reproducir en periódicos, revistas y otras publicaciones periódicas o comunicar públicamente artículos publicados conforme a la ley sobre temas económicos, políticos, sociales y religiosos de actualidad o transmitir por radio obras de ese tipo, excepto en los casos en que el autor o el titular de los derechos de autor haya prohibido su reproducción o difusión pública; </w:t>
      </w:r>
    </w:p>
    <w:p w:rsidR="001D2E73" w:rsidRDefault="001D2E73">
      <w:pPr>
        <w:pStyle w:val="SingleTxtGR"/>
        <w:rPr>
          <w:spacing w:val="0"/>
          <w:lang w:val="es-ES"/>
        </w:rPr>
      </w:pPr>
      <w:r>
        <w:rPr>
          <w:spacing w:val="0"/>
          <w:lang w:val="es-ES"/>
        </w:rPr>
        <w:tab/>
        <w:t>d)</w:t>
      </w:r>
      <w:r>
        <w:rPr>
          <w:spacing w:val="0"/>
          <w:lang w:val="es-ES"/>
        </w:rPr>
        <w:tab/>
        <w:t xml:space="preserve">En la medida que lo justifique el fin que se persigue, reproducir o difundir al público en resúmenes de acontecimientos de actualidad por medios fotográficos, cinematográficos, transmisión por radio y televisión o por cable obras vistas o escuchadas durante esos acontecimientos. El autor conservará su derecho a publicar esas obras en colecciones; </w:t>
      </w:r>
    </w:p>
    <w:p w:rsidR="001D2E73" w:rsidRDefault="001D2E73">
      <w:pPr>
        <w:pStyle w:val="SingleTxtGR"/>
        <w:rPr>
          <w:spacing w:val="0"/>
          <w:lang w:val="es-ES"/>
        </w:rPr>
      </w:pPr>
      <w:r>
        <w:rPr>
          <w:spacing w:val="0"/>
          <w:lang w:val="es-ES"/>
        </w:rPr>
        <w:tab/>
        <w:t>e)</w:t>
      </w:r>
      <w:r>
        <w:rPr>
          <w:spacing w:val="0"/>
          <w:lang w:val="es-ES"/>
        </w:rPr>
        <w:tab/>
        <w:t>Reproducir en periódicos, revistas y otras publicaciones periódicas o comunicar públicamente discursos políticos pronunciados en público, conferencias, disertaciones, juicios de carácter propagandístico y otras obras parecidas, incluidas las declaraciones formuladas durante procesos judiciales. El autor conservará su derecho a publicar esas obras en colecciones;</w:t>
      </w:r>
    </w:p>
    <w:p w:rsidR="001D2E73" w:rsidRDefault="001D2E73">
      <w:pPr>
        <w:pStyle w:val="SingleTxtGR"/>
        <w:rPr>
          <w:spacing w:val="0"/>
          <w:lang w:val="es-ES"/>
        </w:rPr>
      </w:pPr>
      <w:r>
        <w:rPr>
          <w:spacing w:val="0"/>
          <w:lang w:val="es-ES"/>
        </w:rPr>
        <w:tab/>
        <w:t>f)</w:t>
      </w:r>
      <w:r>
        <w:rPr>
          <w:spacing w:val="0"/>
          <w:lang w:val="es-ES"/>
        </w:rPr>
        <w:tab/>
        <w:t>Reproducir sin fines de lucro en sistema Braille u otro procedimiento específico para invidentes obras lícitamente publicadas (no destinadas específicamente a este tipo de reproducción).</w:t>
      </w:r>
    </w:p>
    <w:p w:rsidR="001D2E73" w:rsidRDefault="001D2E73">
      <w:pPr>
        <w:pStyle w:val="SingleTxtGR"/>
        <w:rPr>
          <w:spacing w:val="0"/>
          <w:lang w:val="es-ES"/>
        </w:rPr>
      </w:pPr>
      <w:r>
        <w:rPr>
          <w:spacing w:val="0"/>
          <w:lang w:val="es-ES"/>
        </w:rPr>
        <w:t>603.</w:t>
      </w:r>
      <w:r>
        <w:rPr>
          <w:spacing w:val="0"/>
          <w:lang w:val="es-ES"/>
        </w:rPr>
        <w:tab/>
        <w:t xml:space="preserve">De conformidad con el artículo 33 de la Ley de derechos de autor y derechos conexos, </w:t>
      </w:r>
    </w:p>
    <w:p w:rsidR="001D2E73" w:rsidRDefault="001D2E73">
      <w:pPr>
        <w:pStyle w:val="SingleTxtGR"/>
        <w:ind w:left="1701" w:hanging="567"/>
        <w:rPr>
          <w:spacing w:val="0"/>
          <w:lang w:val="es-ES"/>
        </w:rPr>
      </w:pPr>
      <w:r>
        <w:rPr>
          <w:spacing w:val="0"/>
          <w:lang w:val="es-ES"/>
        </w:rPr>
        <w:tab/>
        <w:t>"1.</w:t>
      </w:r>
      <w:r>
        <w:rPr>
          <w:spacing w:val="0"/>
          <w:lang w:val="es-ES"/>
        </w:rPr>
        <w:tab/>
        <w:t>Un intérprete tiene los siguientes derechos personales (morales) y patrimoniales (económicos):</w:t>
      </w:r>
    </w:p>
    <w:p w:rsidR="001D2E73" w:rsidRDefault="001D2E73">
      <w:pPr>
        <w:pStyle w:val="SingleTxtGR"/>
        <w:ind w:left="1701" w:hanging="567"/>
        <w:rPr>
          <w:spacing w:val="0"/>
          <w:lang w:val="es-ES"/>
        </w:rPr>
      </w:pPr>
      <w:r>
        <w:rPr>
          <w:spacing w:val="0"/>
          <w:lang w:val="es-ES"/>
        </w:rPr>
        <w:tab/>
      </w:r>
      <w:r>
        <w:rPr>
          <w:spacing w:val="0"/>
          <w:lang w:val="es-ES"/>
        </w:rPr>
        <w:tab/>
        <w:t>a)</w:t>
      </w:r>
      <w:r>
        <w:rPr>
          <w:spacing w:val="0"/>
          <w:lang w:val="es-ES"/>
        </w:rPr>
        <w:tab/>
        <w:t>El derecho a que se reconozca su nombre;</w:t>
      </w:r>
    </w:p>
    <w:p w:rsidR="001D2E73" w:rsidRDefault="001D2E73">
      <w:pPr>
        <w:pStyle w:val="SingleTxtGR"/>
        <w:ind w:left="1701" w:hanging="1134"/>
        <w:rPr>
          <w:spacing w:val="0"/>
          <w:lang w:val="es-ES"/>
        </w:rPr>
      </w:pPr>
      <w:r>
        <w:rPr>
          <w:spacing w:val="0"/>
          <w:lang w:val="es-ES"/>
        </w:rPr>
        <w:tab/>
      </w:r>
      <w:r>
        <w:rPr>
          <w:spacing w:val="0"/>
          <w:lang w:val="es-ES"/>
        </w:rPr>
        <w:tab/>
        <w:t>b)</w:t>
      </w:r>
      <w:r>
        <w:rPr>
          <w:spacing w:val="0"/>
          <w:lang w:val="es-ES"/>
        </w:rPr>
        <w:tab/>
        <w:t>El derecho a la protección de la integridad de la obra contra cualquier tergiversación, deformación u otra modificación que puedan ir en detrimento del honor o la reputación del ejecutante o intérprete (derecho al respeto de la reputación);</w:t>
      </w:r>
    </w:p>
    <w:p w:rsidR="001D2E73" w:rsidRDefault="001D2E73">
      <w:pPr>
        <w:pStyle w:val="SingleTxtGR"/>
        <w:ind w:left="1701" w:hanging="1134"/>
        <w:rPr>
          <w:spacing w:val="0"/>
          <w:lang w:val="es-ES"/>
        </w:rPr>
      </w:pPr>
      <w:r>
        <w:rPr>
          <w:spacing w:val="0"/>
          <w:lang w:val="es-ES"/>
        </w:rPr>
        <w:tab/>
      </w:r>
      <w:r>
        <w:rPr>
          <w:spacing w:val="0"/>
          <w:lang w:val="es-ES"/>
        </w:rPr>
        <w:tab/>
        <w:t>c)</w:t>
      </w:r>
      <w:r>
        <w:rPr>
          <w:spacing w:val="0"/>
          <w:lang w:val="es-ES"/>
        </w:rPr>
        <w:tab/>
        <w:t>Además de los casos estipulados por ley, el derecho exclusivo a utilizar la ejecución o interpretación de cualquier forma, incluido el derecho a recibir regalías cada vez que se utilice".</w:t>
      </w:r>
    </w:p>
    <w:p w:rsidR="001D2E73" w:rsidRDefault="001D2E73">
      <w:pPr>
        <w:pStyle w:val="SingleTxtGR"/>
        <w:rPr>
          <w:spacing w:val="0"/>
          <w:lang w:val="es-ES"/>
        </w:rPr>
      </w:pPr>
      <w:r>
        <w:rPr>
          <w:spacing w:val="0"/>
          <w:lang w:val="es-ES"/>
        </w:rPr>
        <w:t>604.</w:t>
      </w:r>
      <w:r>
        <w:rPr>
          <w:spacing w:val="0"/>
          <w:lang w:val="es-ES"/>
        </w:rPr>
        <w:tab/>
        <w:t>De conformidad con el párrafo 2 del artículo 46 de dicha Ley, con el fin de garantizar que se restituyan los derechos de autor y derechos conexos violados, las autoridades y los órganos competentes están en la obligación de adoptar medidas de conformidad con los códigos de procedimiento civil y procedimiento penal y las demás leyes del país.</w:t>
      </w:r>
    </w:p>
    <w:p w:rsidR="001D2E73" w:rsidRDefault="001D2E73">
      <w:pPr>
        <w:pStyle w:val="SingleTxtGR"/>
        <w:rPr>
          <w:spacing w:val="0"/>
          <w:lang w:val="es-ES"/>
        </w:rPr>
      </w:pPr>
      <w:r>
        <w:rPr>
          <w:spacing w:val="0"/>
          <w:lang w:val="es-ES"/>
        </w:rPr>
        <w:t>605.</w:t>
      </w:r>
      <w:r>
        <w:rPr>
          <w:spacing w:val="0"/>
          <w:lang w:val="es-ES"/>
        </w:rPr>
        <w:tab/>
        <w:t xml:space="preserve">El artículo 14 de la Ley de patentes, de 10 de junio 1997, estipula que el derecho exclusivo a utilizar un objeto de propiedad industrial pertenece al titular de la patente, siempre que no vulnere los derechos de otros titulares de patentes o lo dispuesto en </w:t>
      </w:r>
      <w:smartTag w:uri="urn:schemas-microsoft-com:office:smarttags" w:element="PersonName">
        <w:smartTagPr>
          <w:attr w:name="ProductID" w:val="la ley. Nadie"/>
        </w:smartTagPr>
        <w:r>
          <w:rPr>
            <w:spacing w:val="0"/>
            <w:lang w:val="es-ES"/>
          </w:rPr>
          <w:t>la ley. Nadie</w:t>
        </w:r>
      </w:smartTag>
      <w:r>
        <w:rPr>
          <w:spacing w:val="0"/>
          <w:lang w:val="es-ES"/>
        </w:rPr>
        <w:t xml:space="preserve"> puede utilizar un objeto de propiedad industrial protegido por una patente sin autorización del titular.</w:t>
      </w:r>
    </w:p>
    <w:p w:rsidR="001D2E73" w:rsidRDefault="001D2E73">
      <w:pPr>
        <w:pStyle w:val="SingleTxtGR"/>
        <w:rPr>
          <w:spacing w:val="0"/>
          <w:lang w:val="es-ES"/>
        </w:rPr>
      </w:pPr>
      <w:r>
        <w:rPr>
          <w:spacing w:val="0"/>
          <w:lang w:val="es-ES"/>
        </w:rPr>
        <w:t>606.</w:t>
      </w:r>
      <w:r>
        <w:rPr>
          <w:spacing w:val="0"/>
          <w:lang w:val="es-ES"/>
        </w:rPr>
        <w:tab/>
        <w:t xml:space="preserve">De conformidad con el artículo 165 del Código Penal, se considera delito la utilización ilícita de obras amparadas por derechos de autor o derechos conexos, es decir publicar bajo el nombre propio o apropiarse de alguna otra manera de la autoría de una obra científica, literaria, artística o de otra índole de otra persona, reimprimirla o distribuirla sin autorización, así como obligar a otra persona a que le reconozca como coautor de una obra. </w:t>
      </w:r>
    </w:p>
    <w:p w:rsidR="001D2E73" w:rsidRDefault="001D2E73">
      <w:pPr>
        <w:pStyle w:val="SingleTxtGR"/>
        <w:rPr>
          <w:spacing w:val="0"/>
          <w:lang w:val="es-ES"/>
        </w:rPr>
      </w:pPr>
      <w:r>
        <w:rPr>
          <w:spacing w:val="0"/>
          <w:lang w:val="es-ES"/>
        </w:rPr>
        <w:t>607.</w:t>
      </w:r>
      <w:r>
        <w:rPr>
          <w:spacing w:val="0"/>
          <w:lang w:val="es-ES"/>
        </w:rPr>
        <w:tab/>
        <w:t>El artículo 166 de dicho Código es delito vulnerar los derechos de invención o de patente, como, por ejemplo, la utilización ilícita de un invento o una propuesta de racionalización o la divulgación sin autorización del autor de lo esencial de un invento o una propuesta de racionalización antes de que se publique oficialmente la información correspondiente, la usurpación de la autoría o la coacción ejercida sobre una persona para que acepte que otra figure como coautora, si tales actos ocasionan un grave perjuicio.</w:t>
      </w:r>
    </w:p>
    <w:p w:rsidR="001D2E73" w:rsidRDefault="001D2E73">
      <w:pPr>
        <w:pStyle w:val="SingleTxtGR"/>
        <w:rPr>
          <w:spacing w:val="0"/>
          <w:lang w:val="es-ES"/>
        </w:rPr>
      </w:pPr>
      <w:r>
        <w:rPr>
          <w:spacing w:val="0"/>
          <w:lang w:val="es-ES"/>
        </w:rPr>
        <w:t>608.</w:t>
      </w:r>
      <w:r>
        <w:rPr>
          <w:spacing w:val="0"/>
          <w:lang w:val="es-ES"/>
        </w:rPr>
        <w:tab/>
        <w:t>Por otra parte, según el artículo 183 del Código Penal es delito la sustracción de objetos o documentos que tengan un valor histórico, científico, artístico o cultural especial, sea cual sea la forma en que se hayan sustraído.</w:t>
      </w:r>
    </w:p>
    <w:p w:rsidR="001D2E73" w:rsidRDefault="001D2E73">
      <w:pPr>
        <w:pStyle w:val="HChG"/>
        <w:rPr>
          <w:lang w:val="es-ES"/>
        </w:rPr>
      </w:pPr>
      <w:r>
        <w:rPr>
          <w:lang w:val="es-ES"/>
        </w:rPr>
        <w:tab/>
        <w:t>III.</w:t>
      </w:r>
      <w:r>
        <w:rPr>
          <w:lang w:val="es-ES"/>
        </w:rPr>
        <w:tab/>
        <w:t>Información sobre las distintas propuestas y recomendaciones formuladas en las Observaciones finales del Comité en relación con el segundo informe periódico</w:t>
      </w:r>
    </w:p>
    <w:p w:rsidR="001D2E73" w:rsidRDefault="001D2E73">
      <w:pPr>
        <w:pStyle w:val="H23G"/>
        <w:rPr>
          <w:lang w:val="es-ES"/>
        </w:rPr>
      </w:pPr>
      <w:r>
        <w:rPr>
          <w:lang w:val="es-ES"/>
        </w:rPr>
        <w:tab/>
      </w:r>
      <w:r>
        <w:rPr>
          <w:lang w:val="es-ES"/>
        </w:rPr>
        <w:tab/>
        <w:t>Párrafos 15 y 41 de las observaciones finales (E/C.12/1/Add.104) sobre el segundo informe periódico de Azerbaiyán (E/1990/6/Add.37)</w:t>
      </w:r>
    </w:p>
    <w:p w:rsidR="001D2E73" w:rsidRDefault="001D2E73">
      <w:pPr>
        <w:pStyle w:val="SingleTxtGR"/>
        <w:rPr>
          <w:spacing w:val="0"/>
          <w:lang w:val="es-ES"/>
        </w:rPr>
      </w:pPr>
      <w:r>
        <w:rPr>
          <w:spacing w:val="0"/>
          <w:lang w:val="es-ES"/>
        </w:rPr>
        <w:t>609.</w:t>
      </w:r>
      <w:r>
        <w:rPr>
          <w:spacing w:val="0"/>
          <w:lang w:val="es-ES"/>
        </w:rPr>
        <w:tab/>
        <w:t xml:space="preserve">De conformidad con la Constitución de Azerbaiyán y las disposiciones de la Ley del estatuto jurídico de extranjeros y apátridas, de </w:t>
      </w:r>
      <w:r>
        <w:rPr>
          <w:bCs/>
          <w:iCs/>
          <w:spacing w:val="0"/>
          <w:lang w:val="es-ES"/>
        </w:rPr>
        <w:t xml:space="preserve">13 de marzo de 1996, los extranjeros y </w:t>
      </w:r>
      <w:r>
        <w:rPr>
          <w:spacing w:val="0"/>
          <w:lang w:val="es-ES"/>
        </w:rPr>
        <w:t>los apátridas gozan de los mismos derechos y libertades y tienen las mismas obligaciones que los ciudadanos de Azerbaiyán.</w:t>
      </w:r>
    </w:p>
    <w:p w:rsidR="001D2E73" w:rsidRDefault="001D2E73">
      <w:pPr>
        <w:pStyle w:val="SingleTxtGR"/>
        <w:rPr>
          <w:spacing w:val="0"/>
          <w:lang w:val="es-ES"/>
        </w:rPr>
      </w:pPr>
      <w:r>
        <w:rPr>
          <w:spacing w:val="0"/>
          <w:lang w:val="es-ES"/>
        </w:rPr>
        <w:t>610.</w:t>
      </w:r>
      <w:r>
        <w:rPr>
          <w:spacing w:val="0"/>
          <w:lang w:val="es-ES"/>
        </w:rPr>
        <w:tab/>
        <w:t>Como resultado del referendo para la introducción de enmiendas y adiciones a la Constitución, se añadieron disposiciones por las que se prohíbe otorgar ventajas y privilegios fundados en motivos discriminatorios. El principio de la igualdad de derechos de todos se consagra también en la legislación nacional.</w:t>
      </w:r>
    </w:p>
    <w:p w:rsidR="001D2E73" w:rsidRDefault="001D2E73">
      <w:pPr>
        <w:pStyle w:val="SingleTxtGR"/>
        <w:rPr>
          <w:spacing w:val="0"/>
          <w:lang w:val="es-ES"/>
        </w:rPr>
      </w:pPr>
      <w:r>
        <w:rPr>
          <w:spacing w:val="0"/>
          <w:lang w:val="es-ES"/>
        </w:rPr>
        <w:t>611.</w:t>
      </w:r>
      <w:r>
        <w:rPr>
          <w:spacing w:val="0"/>
          <w:lang w:val="es-ES"/>
        </w:rPr>
        <w:tab/>
        <w:t>Entre 2003 y 2008, con miras a consagrar también los derechos económicos y sociales de los extranjeros y los apátridas y al mismo tiempo cumplir las recomendaciones del Comité de Derechos Económicos, Sociales y Culturales se adoptaron medidas para perfeccionar la legislación correspondiente.</w:t>
      </w:r>
    </w:p>
    <w:p w:rsidR="001D2E73" w:rsidRDefault="001D2E73">
      <w:pPr>
        <w:pStyle w:val="SingleTxtGR"/>
        <w:rPr>
          <w:spacing w:val="0"/>
          <w:lang w:val="es-ES"/>
        </w:rPr>
      </w:pPr>
      <w:r>
        <w:rPr>
          <w:iCs/>
          <w:spacing w:val="0"/>
          <w:lang w:val="es-ES"/>
        </w:rPr>
        <w:t>612.</w:t>
      </w:r>
      <w:r>
        <w:rPr>
          <w:iCs/>
          <w:spacing w:val="0"/>
          <w:lang w:val="es-ES"/>
        </w:rPr>
        <w:tab/>
        <w:t>De conformidad con el Código Electoral aprobado en 2003, los apátridas con residencia permanente en Azerbaiyán durante no menos de cinco años</w:t>
      </w:r>
      <w:r>
        <w:rPr>
          <w:spacing w:val="0"/>
          <w:lang w:val="es-ES"/>
        </w:rPr>
        <w:t xml:space="preserve"> tienen derecho a votar en las elecciones presidenciales, las elecciones al Milli Meylis, las municipales y en los referendos. También se ha reconocido a los extranjeros que hayan vivido en una misma circunscripción durante no menos de cinco años el derecho a votar en las elecciones municipales.</w:t>
      </w:r>
    </w:p>
    <w:p w:rsidR="001D2E73" w:rsidRDefault="001D2E73">
      <w:pPr>
        <w:pStyle w:val="SingleTxtGR"/>
        <w:rPr>
          <w:spacing w:val="0"/>
          <w:lang w:val="es-ES"/>
        </w:rPr>
      </w:pPr>
      <w:r>
        <w:rPr>
          <w:spacing w:val="0"/>
          <w:lang w:val="es-ES"/>
        </w:rPr>
        <w:t>613.</w:t>
      </w:r>
      <w:r>
        <w:rPr>
          <w:spacing w:val="0"/>
          <w:lang w:val="es-ES"/>
        </w:rPr>
        <w:tab/>
        <w:t>En 2004 a partir de las enmiendas introducidas en la Ley de seguros, los extranjeros y los apátridas, así como las personas jurídicas extranjeras, tienen derecho al seguro en igualdad de condiciones con los ciudadanos y las personas jurídicas de Azerbaiyán.</w:t>
      </w:r>
    </w:p>
    <w:p w:rsidR="001D2E73" w:rsidRDefault="001D2E73">
      <w:pPr>
        <w:pStyle w:val="SingleTxtGR"/>
        <w:rPr>
          <w:spacing w:val="0"/>
          <w:lang w:val="es-ES"/>
        </w:rPr>
      </w:pPr>
      <w:r>
        <w:rPr>
          <w:spacing w:val="0"/>
          <w:lang w:val="es-ES"/>
        </w:rPr>
        <w:t>614.</w:t>
      </w:r>
      <w:r>
        <w:rPr>
          <w:spacing w:val="0"/>
          <w:lang w:val="es-ES"/>
        </w:rPr>
        <w:tab/>
        <w:t>En 2005 se introdujeron enmiendas en la Ley de seguro social, en virtud de las cuales, los extranjeros que perciban un sueldo y otros ingresos de fuentes azerbaiyanas quedaron incluidos en el círculo de personas que están sujetas al seguro estatal obligatorio.</w:t>
      </w:r>
    </w:p>
    <w:p w:rsidR="001D2E73" w:rsidRDefault="001D2E73">
      <w:pPr>
        <w:pStyle w:val="SingleTxtGR"/>
        <w:rPr>
          <w:spacing w:val="0"/>
          <w:lang w:val="es-ES"/>
        </w:rPr>
      </w:pPr>
      <w:r>
        <w:rPr>
          <w:spacing w:val="0"/>
          <w:lang w:val="es-ES"/>
        </w:rPr>
        <w:t>615.</w:t>
      </w:r>
      <w:r>
        <w:rPr>
          <w:spacing w:val="0"/>
          <w:lang w:val="es-ES"/>
        </w:rPr>
        <w:tab/>
        <w:t>En la Ley de lucha contra la trata de personas, aprobada en 2005, se dispone que los extranjeros y los apátridas que hayan sido reconocidos como víctimas de la trata de personas no podrán ser extraditados del país por vía administrativa en el transcurso de un año. Transcurrido ese plazo, si esas personas están colaborando con los órganos judiciales, la extradición no procederá mientras no haya terminado el procedimiento penal.</w:t>
      </w:r>
    </w:p>
    <w:p w:rsidR="001D2E73" w:rsidRDefault="001D2E73">
      <w:pPr>
        <w:pStyle w:val="SingleTxtGR"/>
        <w:rPr>
          <w:spacing w:val="0"/>
          <w:lang w:val="es-ES"/>
        </w:rPr>
      </w:pPr>
      <w:r>
        <w:rPr>
          <w:spacing w:val="0"/>
          <w:lang w:val="es-ES"/>
        </w:rPr>
        <w:t>616.</w:t>
      </w:r>
      <w:r>
        <w:rPr>
          <w:spacing w:val="0"/>
          <w:lang w:val="es-ES"/>
        </w:rPr>
        <w:tab/>
        <w:t xml:space="preserve">En 2006, en la Ley de </w:t>
      </w:r>
      <w:r>
        <w:rPr>
          <w:bCs/>
          <w:spacing w:val="0"/>
          <w:lang w:val="es-ES"/>
        </w:rPr>
        <w:t>jubilación se introdujeron enmiendas en las que quedó consagrado el derecho de los extranjeros y los apátridas con residencia permanente en Azerbaiyán a recibir una pensión en igualdad de condiciones con los ciudadanos de Azerbaiyán</w:t>
      </w:r>
      <w:r>
        <w:rPr>
          <w:spacing w:val="0"/>
          <w:lang w:val="es-ES"/>
        </w:rPr>
        <w:t>.</w:t>
      </w:r>
    </w:p>
    <w:p w:rsidR="001D2E73" w:rsidRDefault="001D2E73">
      <w:pPr>
        <w:pStyle w:val="SingleTxtGR"/>
        <w:rPr>
          <w:spacing w:val="0"/>
          <w:lang w:val="es-ES"/>
        </w:rPr>
      </w:pPr>
      <w:r>
        <w:rPr>
          <w:spacing w:val="0"/>
          <w:lang w:val="es-ES"/>
        </w:rPr>
        <w:t>617.</w:t>
      </w:r>
      <w:r>
        <w:rPr>
          <w:spacing w:val="0"/>
          <w:lang w:val="es-ES"/>
        </w:rPr>
        <w:tab/>
        <w:t>En 2006 en la Ley de prestaciones sociales se consagró el derecho de los extranjeros y los apátridas con residencia permanente en Azerbaiyán a recibir también prestaciones mensuales y de una sola vez en las mismas condiciones y conforme al procedimiento establecido para los ciudadanos de Azerbaiyán.</w:t>
      </w:r>
    </w:p>
    <w:p w:rsidR="001D2E73" w:rsidRDefault="001D2E73">
      <w:pPr>
        <w:pStyle w:val="SingleTxtGR"/>
        <w:rPr>
          <w:spacing w:val="0"/>
          <w:lang w:val="es-ES"/>
        </w:rPr>
      </w:pPr>
      <w:r>
        <w:rPr>
          <w:spacing w:val="0"/>
          <w:lang w:val="es-ES"/>
        </w:rPr>
        <w:t>618.</w:t>
      </w:r>
      <w:r>
        <w:rPr>
          <w:spacing w:val="0"/>
          <w:lang w:val="es-ES"/>
        </w:rPr>
        <w:tab/>
        <w:t>En 2008, en la Ley de derechos de autor y derechos conexos se introdujeron adiciones</w:t>
      </w:r>
      <w:r>
        <w:rPr>
          <w:bCs/>
          <w:spacing w:val="0"/>
          <w:lang w:val="es-ES"/>
        </w:rPr>
        <w:t>, en virtud de las cuales y de conformidad con los tratados internacionales y sobre la base del principio de reciprocidad se amplió el alcance de la ley para que los e</w:t>
      </w:r>
      <w:r>
        <w:rPr>
          <w:bCs/>
          <w:spacing w:val="0"/>
          <w:lang w:val="es-ES"/>
        </w:rPr>
        <w:t>x</w:t>
      </w:r>
      <w:r>
        <w:rPr>
          <w:bCs/>
          <w:spacing w:val="0"/>
          <w:lang w:val="es-ES"/>
        </w:rPr>
        <w:t>tranjeros y apátridas gocen también de la misma protección que los ciudadanos de Azerbaiyán</w:t>
      </w:r>
      <w:r>
        <w:rPr>
          <w:spacing w:val="0"/>
          <w:lang w:val="es-ES"/>
        </w:rPr>
        <w:t>.</w:t>
      </w:r>
    </w:p>
    <w:p w:rsidR="001D2E73" w:rsidRDefault="001D2E73">
      <w:pPr>
        <w:pStyle w:val="SingleTxtGR"/>
        <w:rPr>
          <w:spacing w:val="0"/>
          <w:lang w:val="es-ES"/>
        </w:rPr>
      </w:pPr>
      <w:r>
        <w:rPr>
          <w:spacing w:val="0"/>
          <w:lang w:val="es-ES"/>
        </w:rPr>
        <w:t>619.</w:t>
      </w:r>
      <w:r>
        <w:rPr>
          <w:spacing w:val="0"/>
          <w:lang w:val="es-ES"/>
        </w:rPr>
        <w:tab/>
        <w:t>En 2008, de conformidad con los cambios introducidos en la Ley de asignación de la ayuda social del Estado, los extranjeros con residencia permanente en territorio de Azerbaiyán, quedaron incluidos en la lista de personas, cuyas familias se consideran a los efectos de la asignación de la ayuda social del Estado.</w:t>
      </w:r>
    </w:p>
    <w:p w:rsidR="001D2E73" w:rsidRDefault="001D2E73">
      <w:pPr>
        <w:pStyle w:val="SingleTxtGR"/>
        <w:rPr>
          <w:spacing w:val="0"/>
          <w:lang w:val="es-ES"/>
        </w:rPr>
      </w:pPr>
      <w:r>
        <w:rPr>
          <w:spacing w:val="0"/>
          <w:lang w:val="es-ES"/>
        </w:rPr>
        <w:t>620.</w:t>
      </w:r>
      <w:r>
        <w:rPr>
          <w:spacing w:val="0"/>
          <w:lang w:val="es-ES"/>
        </w:rPr>
        <w:tab/>
        <w:t>Además, los derechos sociales y económicos de los extranjeros y los apátridas quedaron reflejados en las enmiendas introducidas en la Ley de secreto estatal, la Ley de ayuda oncológica, la Ley del Registro Estatal y la inscripción de personas jurídicas y en otras leyes relacionadas con la actividad econ</w:t>
      </w:r>
      <w:r>
        <w:rPr>
          <w:spacing w:val="0"/>
          <w:lang w:val="es-ES"/>
        </w:rPr>
        <w:t>ó</w:t>
      </w:r>
      <w:r>
        <w:rPr>
          <w:spacing w:val="0"/>
          <w:lang w:val="es-ES"/>
        </w:rPr>
        <w:t>mica.</w:t>
      </w:r>
    </w:p>
    <w:p w:rsidR="001D2E73" w:rsidRDefault="001D2E73">
      <w:pPr>
        <w:pStyle w:val="SingleTxtGR"/>
        <w:rPr>
          <w:spacing w:val="0"/>
          <w:lang w:val="es-ES"/>
        </w:rPr>
      </w:pPr>
      <w:r>
        <w:rPr>
          <w:spacing w:val="0"/>
          <w:lang w:val="es-ES"/>
        </w:rPr>
        <w:t>621.</w:t>
      </w:r>
      <w:r>
        <w:rPr>
          <w:spacing w:val="0"/>
          <w:lang w:val="es-ES"/>
        </w:rPr>
        <w:tab/>
      </w:r>
      <w:r>
        <w:rPr>
          <w:snapToGrid w:val="0"/>
          <w:spacing w:val="0"/>
          <w:lang w:val="es-ES"/>
        </w:rPr>
        <w:t>El trabajo de los extranjeros en Azerbaiyán se rige por el Código de Trabajo y la Ley de migración laboral. Con arreglo a esta ley, todos los extranjeros o apátridas que hayan cumplido 18 años y sean aptos para el trabajo tienen derecho a ejercer una actividad remunerada en Azerbaiyán, para lo cual deberán obtener el permiso de tr</w:t>
      </w:r>
      <w:r>
        <w:rPr>
          <w:snapToGrid w:val="0"/>
          <w:spacing w:val="0"/>
          <w:lang w:val="es-ES"/>
        </w:rPr>
        <w:t>a</w:t>
      </w:r>
      <w:r>
        <w:rPr>
          <w:snapToGrid w:val="0"/>
          <w:spacing w:val="0"/>
          <w:lang w:val="es-ES"/>
        </w:rPr>
        <w:t>bajo</w:t>
      </w:r>
      <w:r>
        <w:rPr>
          <w:spacing w:val="0"/>
          <w:lang w:val="es-ES"/>
        </w:rPr>
        <w:t xml:space="preserve"> correspondiente.</w:t>
      </w:r>
    </w:p>
    <w:p w:rsidR="001D2E73" w:rsidRDefault="001D2E73">
      <w:pPr>
        <w:pStyle w:val="SingleTxtGR"/>
        <w:rPr>
          <w:spacing w:val="0"/>
          <w:lang w:val="es-ES"/>
        </w:rPr>
      </w:pPr>
      <w:r>
        <w:rPr>
          <w:spacing w:val="0"/>
          <w:lang w:val="es-ES"/>
        </w:rPr>
        <w:t>622.</w:t>
      </w:r>
      <w:r>
        <w:rPr>
          <w:spacing w:val="0"/>
          <w:lang w:val="es-ES"/>
        </w:rPr>
        <w:tab/>
        <w:t>Conforme a lo dispuesto en la ley, los e</w:t>
      </w:r>
      <w:r>
        <w:rPr>
          <w:spacing w:val="0"/>
          <w:lang w:val="es-ES"/>
        </w:rPr>
        <w:t>x</w:t>
      </w:r>
      <w:r>
        <w:rPr>
          <w:spacing w:val="0"/>
          <w:lang w:val="es-ES"/>
        </w:rPr>
        <w:t>tranjeros y los apátridas, que realicen una actividad laboral lícita en territorio de Azerbaiyán podrán disfrutar de todos los derechos laborales en igualdad de derechos con los ciudadanos del país. Queda prohibida toda discriminación contra los trabajadores por motivos de ciudadanía, sexo, raza, religión, nacionalidad, idioma, lugar de residencia, patrimonio, origen social, edad, situación familiar, creencias, opiniones políticas, afiliación a sindicatos u organizaciones sociales, cargo que ocupe u otros factores que no guarden relación con las cualidades o aptitudes profesionales o con los resultados del trabajo, lo mismo que la creación de ventajas o privilegios, basados directa o indirectamente en estos factores y la restricción de los derechos de los trabajadores.</w:t>
      </w:r>
    </w:p>
    <w:p w:rsidR="001D2E73" w:rsidRDefault="001D2E73">
      <w:pPr>
        <w:pStyle w:val="SingleTxtGR"/>
        <w:rPr>
          <w:spacing w:val="0"/>
          <w:lang w:val="es-ES"/>
        </w:rPr>
      </w:pPr>
      <w:r>
        <w:rPr>
          <w:spacing w:val="0"/>
          <w:lang w:val="es-ES"/>
        </w:rPr>
        <w:t>623.</w:t>
      </w:r>
      <w:r>
        <w:rPr>
          <w:spacing w:val="0"/>
          <w:lang w:val="es-ES"/>
        </w:rPr>
        <w:tab/>
        <w:t xml:space="preserve">El 11 de diciembre 1998, la República de Azerbaiyán se adhirió a </w:t>
      </w:r>
      <w:smartTag w:uri="urn:schemas-microsoft-com:office:smarttags" w:element="PersonName">
        <w:smartTagPr>
          <w:attr w:name="ProductID" w:val="la Convenci￳n Internacional"/>
        </w:smartTagPr>
        <w:r>
          <w:rPr>
            <w:spacing w:val="0"/>
            <w:lang w:val="es-ES"/>
          </w:rPr>
          <w:t>la Convención Internacional</w:t>
        </w:r>
      </w:smartTag>
      <w:r>
        <w:rPr>
          <w:spacing w:val="0"/>
          <w:lang w:val="es-ES"/>
        </w:rPr>
        <w:t xml:space="preserve"> sobre la protección de los derechos de todos los trabajadores migratorios y de sus familiares. Los días 21 y 22 de abril de 2009, el Comité sobre los Trabajadores Migratorios examinó el informe inicial de Azerbaiyán presentado en relación con dicha Convención.</w:t>
      </w:r>
    </w:p>
    <w:p w:rsidR="001D2E73" w:rsidRDefault="001D2E73">
      <w:pPr>
        <w:pStyle w:val="SingleTxtGR"/>
        <w:rPr>
          <w:spacing w:val="0"/>
          <w:lang w:val="es-ES"/>
        </w:rPr>
      </w:pPr>
      <w:r>
        <w:rPr>
          <w:spacing w:val="0"/>
          <w:lang w:val="es-ES"/>
        </w:rPr>
        <w:t>624.</w:t>
      </w:r>
      <w:r>
        <w:rPr>
          <w:spacing w:val="0"/>
          <w:lang w:val="es-ES"/>
        </w:rPr>
        <w:tab/>
        <w:t xml:space="preserve">En sus observaciones y recomendaciones el Comité encomió los esfuerzos del Gobierno de Azerbaiyán encaminados al perfeccionamiento de la legislación en la esfera de la protección de los derechos de los trabajadores migratorios y de sus familiares. </w:t>
      </w:r>
    </w:p>
    <w:p w:rsidR="001D2E73" w:rsidRDefault="001D2E73">
      <w:pPr>
        <w:pStyle w:val="SingleTxtGR"/>
        <w:rPr>
          <w:spacing w:val="0"/>
          <w:lang w:val="es-ES"/>
        </w:rPr>
      </w:pPr>
      <w:r>
        <w:rPr>
          <w:spacing w:val="0"/>
          <w:lang w:val="es-ES"/>
        </w:rPr>
        <w:t>625.</w:t>
      </w:r>
      <w:r>
        <w:rPr>
          <w:spacing w:val="0"/>
          <w:lang w:val="es-ES"/>
        </w:rPr>
        <w:tab/>
        <w:t>Los órganos estatales encargados del control de los procesos de migración del país periódicamente informan en los medios de comunicación acerca de la labor en la esfera de la migración laboral, en particular sobre la legislación, así como sobre aspectos que se reflejan en dicha Convención.</w:t>
      </w:r>
    </w:p>
    <w:p w:rsidR="001D2E73" w:rsidRDefault="001D2E73">
      <w:pPr>
        <w:pStyle w:val="H23G"/>
        <w:rPr>
          <w:lang w:val="es-ES"/>
        </w:rPr>
      </w:pPr>
      <w:r>
        <w:rPr>
          <w:lang w:val="es-ES"/>
        </w:rPr>
        <w:tab/>
      </w:r>
      <w:r>
        <w:rPr>
          <w:lang w:val="es-ES"/>
        </w:rPr>
        <w:tab/>
        <w:t>Párrafo 16 de las observaciones finales</w:t>
      </w:r>
    </w:p>
    <w:p w:rsidR="001D2E73" w:rsidRDefault="001D2E73">
      <w:pPr>
        <w:pStyle w:val="SingleTxtGR"/>
        <w:rPr>
          <w:spacing w:val="0"/>
          <w:lang w:val="es-ES"/>
        </w:rPr>
      </w:pPr>
      <w:r>
        <w:rPr>
          <w:spacing w:val="0"/>
          <w:lang w:val="es-ES"/>
        </w:rPr>
        <w:t>626.</w:t>
      </w:r>
      <w:r>
        <w:rPr>
          <w:spacing w:val="0"/>
          <w:lang w:val="es-ES"/>
        </w:rPr>
        <w:tab/>
        <w:t>En la Constitución de Azerbaiyán se consagran los derechos fundamentales de los ciudadanos al trabajo y a la protección social.</w:t>
      </w:r>
    </w:p>
    <w:p w:rsidR="001D2E73" w:rsidRDefault="001D2E73">
      <w:pPr>
        <w:pStyle w:val="SingleTxtGR"/>
        <w:rPr>
          <w:spacing w:val="0"/>
          <w:lang w:val="es-ES"/>
        </w:rPr>
      </w:pPr>
      <w:r>
        <w:rPr>
          <w:spacing w:val="0"/>
          <w:lang w:val="es-ES"/>
        </w:rPr>
        <w:t>627.</w:t>
      </w:r>
      <w:r>
        <w:rPr>
          <w:spacing w:val="0"/>
          <w:lang w:val="es-ES"/>
        </w:rPr>
        <w:tab/>
        <w:t>De conformidad con los párrafos 2 y 3 del artículo 25 de la Constitución del país, los hombres y las mujeres tienes iguales derechos y libertades. Además, en ese artículo se estipula que el Estado garantiza a todos la igualdad de derechos y libertades, cualquiera que sea su sexo, origen, patrimonio, el cargo que ocupe, sus creencias o afiliación a partidos políticos, sindicatos y otras organizaciones sociales. Se prohíbe toda restricción de los derechos humanos y las libertades de los ciudadanos por motivos de raza, nacionalidad, religión, idioma, sexo, origen, creencias o afiliación política o social.</w:t>
      </w:r>
    </w:p>
    <w:p w:rsidR="001D2E73" w:rsidRDefault="001D2E73">
      <w:pPr>
        <w:pStyle w:val="SingleTxtGR"/>
        <w:rPr>
          <w:spacing w:val="0"/>
          <w:lang w:val="es-ES"/>
        </w:rPr>
      </w:pPr>
      <w:r>
        <w:rPr>
          <w:spacing w:val="0"/>
          <w:lang w:val="es-ES"/>
        </w:rPr>
        <w:t>628.</w:t>
      </w:r>
      <w:r>
        <w:rPr>
          <w:spacing w:val="0"/>
          <w:lang w:val="es-ES"/>
        </w:rPr>
        <w:tab/>
        <w:t>El artículo 35 de la Constitución dispone que todas las personas tienen derecho a elegir libremente el tipo de actividad, profesión u ocupación y el lugar de trabajo, sobre la base de su aptitud para trabajar.</w:t>
      </w:r>
    </w:p>
    <w:p w:rsidR="001D2E73" w:rsidRDefault="001D2E73">
      <w:pPr>
        <w:pStyle w:val="SingleTxtGR"/>
        <w:rPr>
          <w:spacing w:val="0"/>
          <w:lang w:val="es-ES"/>
        </w:rPr>
      </w:pPr>
      <w:r>
        <w:rPr>
          <w:spacing w:val="0"/>
          <w:lang w:val="es-ES"/>
        </w:rPr>
        <w:t>629.</w:t>
      </w:r>
      <w:r>
        <w:rPr>
          <w:spacing w:val="0"/>
          <w:lang w:val="es-ES"/>
        </w:rPr>
        <w:tab/>
        <w:t xml:space="preserve">El Código del Trabajo, que entró en vigor el 1º de julio de 1999, establece las normas mínimas que garantizan los derechos laborales de las personas físicas y el procedimiento para cumplir esas normas. </w:t>
      </w:r>
    </w:p>
    <w:p w:rsidR="001D2E73" w:rsidRDefault="001D2E73">
      <w:pPr>
        <w:pStyle w:val="SingleTxtGR"/>
        <w:rPr>
          <w:spacing w:val="0"/>
          <w:lang w:val="es-ES"/>
        </w:rPr>
      </w:pPr>
      <w:r>
        <w:rPr>
          <w:spacing w:val="0"/>
          <w:lang w:val="es-ES"/>
        </w:rPr>
        <w:t>630.</w:t>
      </w:r>
      <w:r>
        <w:rPr>
          <w:spacing w:val="0"/>
          <w:lang w:val="es-ES"/>
        </w:rPr>
        <w:tab/>
        <w:t>En el artículo 16 del Código del Trabajo queda prohibida toda discriminación contra los trabajadores por motivos de ciudadanía, sexo, raza, religión, nacionalidad, idioma, lugar de residencia, patrimonio u otros factores que no guarden relación con las cualidades o aptitudes profesionales o con los resultados del trabajo, lo mismo que el otorgamiento de ventajas o privilegios basados directa o indirectamente en estos factores y la restricción de los derechos de los trabajadores.</w:t>
      </w:r>
    </w:p>
    <w:p w:rsidR="001D2E73" w:rsidRDefault="001D2E73">
      <w:pPr>
        <w:pStyle w:val="SingleTxtGR"/>
        <w:rPr>
          <w:spacing w:val="0"/>
          <w:lang w:val="es-ES"/>
        </w:rPr>
      </w:pPr>
      <w:r>
        <w:rPr>
          <w:spacing w:val="0"/>
          <w:lang w:val="es-ES"/>
        </w:rPr>
        <w:t>631.</w:t>
      </w:r>
      <w:r>
        <w:rPr>
          <w:spacing w:val="0"/>
          <w:lang w:val="es-ES"/>
        </w:rPr>
        <w:tab/>
        <w:t>La Ley de empleo de 2 de julio de 2001 establece los fundamentos jurídicos, económicos y organizativos de la política estatal en materia de empleo, así como las garantías estatales para los ciudadanos en la esfera del trabajo y la protección social de los desempleados.</w:t>
      </w:r>
    </w:p>
    <w:p w:rsidR="001D2E73" w:rsidRDefault="001D2E73">
      <w:pPr>
        <w:pStyle w:val="SingleTxtGR"/>
        <w:rPr>
          <w:spacing w:val="0"/>
          <w:lang w:val="es-ES"/>
        </w:rPr>
      </w:pPr>
      <w:r>
        <w:rPr>
          <w:spacing w:val="0"/>
          <w:lang w:val="es-ES"/>
        </w:rPr>
        <w:t>632.</w:t>
      </w:r>
      <w:r>
        <w:rPr>
          <w:spacing w:val="0"/>
          <w:lang w:val="es-ES"/>
        </w:rPr>
        <w:tab/>
        <w:t xml:space="preserve">De conformidad con el artículo 6.2.1 de </w:t>
      </w:r>
      <w:smartTag w:uri="urn:schemas-microsoft-com:office:smarttags" w:element="PersonName">
        <w:smartTagPr>
          <w:attr w:name="ProductID" w:val="la mencionada Ley"/>
        </w:smartTagPr>
        <w:r>
          <w:rPr>
            <w:spacing w:val="0"/>
            <w:lang w:val="es-ES"/>
          </w:rPr>
          <w:t>la mencionada Ley</w:t>
        </w:r>
      </w:smartTag>
      <w:r>
        <w:rPr>
          <w:spacing w:val="0"/>
          <w:lang w:val="es-ES"/>
        </w:rPr>
        <w:t>, una de las finalidades fundamentales de la política estatal en materia de empleo es garantizar a todos los ciudadanos, independientemente de su raza, nacionalidad, religión, idioma, sexo, situación familiar, origen social, lugar de residencia, patrimonio, creencias o afiliación a partidos políticos, sindicatos u otras organizaciones sociales, la igualdad de oportunidades para el ejercicio de derechos laborales y para elegir libremente su empleo.</w:t>
      </w:r>
    </w:p>
    <w:p w:rsidR="001D2E73" w:rsidRDefault="001D2E73">
      <w:pPr>
        <w:pStyle w:val="SingleTxtGR"/>
        <w:rPr>
          <w:i/>
          <w:spacing w:val="0"/>
          <w:lang w:val="es-ES"/>
        </w:rPr>
      </w:pPr>
      <w:r>
        <w:rPr>
          <w:spacing w:val="0"/>
          <w:lang w:val="es-ES"/>
        </w:rPr>
        <w:t>633.</w:t>
      </w:r>
      <w:r>
        <w:rPr>
          <w:spacing w:val="0"/>
          <w:lang w:val="es-ES"/>
        </w:rPr>
        <w:tab/>
        <w:t>Al 1º de enero de 2009, el nivel de desempleo en el país registraba un 6,1%. En 2008, la cifra oficial de desempleados inscritos era de 44.481 personas, de ellas un 46,9% de mujeres.</w:t>
      </w:r>
    </w:p>
    <w:p w:rsidR="001D2E73" w:rsidRDefault="001D2E73">
      <w:pPr>
        <w:pStyle w:val="SingleTxtGR"/>
        <w:rPr>
          <w:spacing w:val="0"/>
          <w:lang w:val="es-ES"/>
        </w:rPr>
      </w:pPr>
      <w:r>
        <w:rPr>
          <w:spacing w:val="0"/>
          <w:lang w:val="es-ES"/>
        </w:rPr>
        <w:t>634.</w:t>
      </w:r>
      <w:r>
        <w:rPr>
          <w:spacing w:val="0"/>
          <w:lang w:val="es-ES"/>
        </w:rPr>
        <w:tab/>
        <w:t>En el marco del Programa estatal de aplicación de la Estrategia de empleo de la República de Azerbaiyán (2006-2010 años), aprobado por Decreto pr</w:t>
      </w:r>
      <w:r>
        <w:rPr>
          <w:spacing w:val="0"/>
          <w:lang w:val="es-ES"/>
        </w:rPr>
        <w:t>e</w:t>
      </w:r>
      <w:r>
        <w:rPr>
          <w:spacing w:val="0"/>
          <w:lang w:val="es-ES"/>
        </w:rPr>
        <w:t xml:space="preserve">sidencial de 15 de mayo de 2007, se llevan a cabo actividades encaminadas a garantizar la igualdad de género en cuestiones de empleo, aumentar la competitividad de la mujer en el mercado de trabajo, aplicar las medidas pertinentes para la preparación profesional y la búsqueda de empleo para la mujer, desarrollar tipos de artes aplicadas de carácter nacional y popular con el fin de aumentar el nivel de empleo entre las mujeres, realizar las investigaciones necesarias para determinar las causas del problema del desempleo entre las mujeres y otras medidas. </w:t>
      </w:r>
    </w:p>
    <w:p w:rsidR="001D2E73" w:rsidRDefault="001D2E73">
      <w:pPr>
        <w:pStyle w:val="SingleTxtGR"/>
        <w:rPr>
          <w:spacing w:val="0"/>
          <w:lang w:val="es-ES"/>
        </w:rPr>
      </w:pPr>
      <w:r>
        <w:rPr>
          <w:spacing w:val="0"/>
          <w:lang w:val="es-ES"/>
        </w:rPr>
        <w:t>635.</w:t>
      </w:r>
      <w:r>
        <w:rPr>
          <w:spacing w:val="0"/>
          <w:lang w:val="es-ES"/>
        </w:rPr>
        <w:tab/>
        <w:t xml:space="preserve">Paralelamente, con arreglo al Programa de trabajo digno en el marco de la colaboración con </w:t>
      </w:r>
      <w:smartTag w:uri="urn:schemas-microsoft-com:office:smarttags" w:element="PersonName">
        <w:smartTagPr>
          <w:attr w:name="ProductID" w:val="la Organizaci￳n Internacional"/>
        </w:smartTagPr>
        <w:r>
          <w:rPr>
            <w:spacing w:val="0"/>
            <w:lang w:val="es-ES"/>
          </w:rPr>
          <w:t>la Organización Internacional</w:t>
        </w:r>
      </w:smartTag>
      <w:r>
        <w:rPr>
          <w:spacing w:val="0"/>
          <w:lang w:val="es-ES"/>
        </w:rPr>
        <w:t xml:space="preserve"> del Trabajo para 2006-2009, fi</w:t>
      </w:r>
      <w:r>
        <w:rPr>
          <w:spacing w:val="0"/>
          <w:lang w:val="es-ES"/>
        </w:rPr>
        <w:t>r</w:t>
      </w:r>
      <w:r>
        <w:rPr>
          <w:spacing w:val="0"/>
          <w:lang w:val="es-ES"/>
        </w:rPr>
        <w:t>mado entre la OIT y la República de Azerbaiyán, se llevan a cabo actividades enc</w:t>
      </w:r>
      <w:r>
        <w:rPr>
          <w:spacing w:val="0"/>
          <w:lang w:val="es-ES"/>
        </w:rPr>
        <w:t>a</w:t>
      </w:r>
      <w:r>
        <w:rPr>
          <w:spacing w:val="0"/>
          <w:lang w:val="es-ES"/>
        </w:rPr>
        <w:t>minadas a la elaboración e introducción de programas de estudio especiales para las mujeres desempleadas y se ejecutan proyectos piloto de estímulo al empleo por cuenta propia entre las mujeres y de fomento de la actividad empresarial de la mujer.</w:t>
      </w:r>
    </w:p>
    <w:p w:rsidR="001D2E73" w:rsidRDefault="001D2E73">
      <w:pPr>
        <w:pStyle w:val="H23G"/>
        <w:rPr>
          <w:lang w:val="es-ES"/>
        </w:rPr>
      </w:pPr>
      <w:r>
        <w:rPr>
          <w:lang w:val="es-ES"/>
        </w:rPr>
        <w:tab/>
      </w:r>
      <w:r>
        <w:rPr>
          <w:lang w:val="es-ES"/>
        </w:rPr>
        <w:tab/>
        <w:t>Párrafos 17 y 43 de las observaciones finales</w:t>
      </w:r>
    </w:p>
    <w:p w:rsidR="001D2E73" w:rsidRDefault="001D2E73">
      <w:pPr>
        <w:pStyle w:val="SingleTxtGR"/>
        <w:rPr>
          <w:bCs/>
          <w:spacing w:val="0"/>
          <w:lang w:val="es-ES"/>
        </w:rPr>
      </w:pPr>
      <w:r>
        <w:rPr>
          <w:spacing w:val="0"/>
          <w:lang w:val="es-ES"/>
        </w:rPr>
        <w:t>636.</w:t>
      </w:r>
      <w:r>
        <w:rPr>
          <w:spacing w:val="0"/>
          <w:lang w:val="es-ES"/>
        </w:rPr>
        <w:tab/>
        <w:t>Los ritmos estables de aumento de los indicadores macroeconómicos que se observan en el país crearon condiciones propicias para garantizar el desarrollo social, elevar el nivel de vida de la población, crear nuevos puestos de trabajo y aumentar el empleo. Según datos del Comité Estatal de Estadística, como resultado de la ejecución del Programa estatal de desarrollo socioeconómico de las regiones de la R</w:t>
      </w:r>
      <w:r>
        <w:rPr>
          <w:spacing w:val="0"/>
          <w:lang w:val="es-ES"/>
        </w:rPr>
        <w:t>e</w:t>
      </w:r>
      <w:r>
        <w:rPr>
          <w:spacing w:val="0"/>
          <w:lang w:val="es-ES"/>
        </w:rPr>
        <w:t>pública de Azerbaiyán (2004-2008)</w:t>
      </w:r>
      <w:r>
        <w:rPr>
          <w:iCs/>
          <w:spacing w:val="0"/>
          <w:lang w:val="es-ES"/>
        </w:rPr>
        <w:t>, aprobado por Decreto presidencial de 11 de febrero de 2004,</w:t>
      </w:r>
      <w:r>
        <w:rPr>
          <w:spacing w:val="0"/>
          <w:lang w:val="es-ES"/>
        </w:rPr>
        <w:t xml:space="preserve"> entre octubre de </w:t>
      </w:r>
      <w:r>
        <w:rPr>
          <w:bCs/>
          <w:spacing w:val="0"/>
          <w:lang w:val="es-ES"/>
        </w:rPr>
        <w:t>2003 y el 1º de enero de 2009 se crearon 766.277 nuevos puestos de trabajo, de ellos 547.573 permanentes. El 80% de esos nuevos puestos de trabajo se crearon en las regiones y 86,1% en el sector no e</w:t>
      </w:r>
      <w:r>
        <w:rPr>
          <w:bCs/>
          <w:spacing w:val="0"/>
          <w:lang w:val="es-ES"/>
        </w:rPr>
        <w:t>s</w:t>
      </w:r>
      <w:r>
        <w:rPr>
          <w:bCs/>
          <w:spacing w:val="0"/>
          <w:lang w:val="es-ES"/>
        </w:rPr>
        <w:t>tatal.</w:t>
      </w:r>
    </w:p>
    <w:p w:rsidR="001D2E73" w:rsidRDefault="001D2E73">
      <w:pPr>
        <w:pStyle w:val="SingleTxtGR"/>
        <w:rPr>
          <w:spacing w:val="0"/>
          <w:lang w:val="es-ES"/>
        </w:rPr>
      </w:pPr>
      <w:r>
        <w:rPr>
          <w:bCs/>
          <w:spacing w:val="0"/>
          <w:lang w:val="es-ES"/>
        </w:rPr>
        <w:t>637.</w:t>
      </w:r>
      <w:r>
        <w:rPr>
          <w:bCs/>
          <w:spacing w:val="0"/>
          <w:lang w:val="es-ES"/>
        </w:rPr>
        <w:tab/>
        <w:t xml:space="preserve">Con miras a seguir promoviendo el desarrollo socio-económico de las regiones de Azerbaiyán, se preparó el proyecto de nuevo programa estatal de desarrollo económico de las regiones de Azerbaiyán para </w:t>
      </w:r>
      <w:r>
        <w:rPr>
          <w:spacing w:val="0"/>
          <w:lang w:val="es-ES"/>
        </w:rPr>
        <w:t xml:space="preserve">2009-2013. </w:t>
      </w:r>
    </w:p>
    <w:p w:rsidR="001D2E73" w:rsidRDefault="001D2E73">
      <w:pPr>
        <w:pStyle w:val="SingleTxtGR"/>
        <w:rPr>
          <w:spacing w:val="0"/>
          <w:lang w:val="es-ES"/>
        </w:rPr>
      </w:pPr>
      <w:r>
        <w:rPr>
          <w:spacing w:val="0"/>
          <w:lang w:val="es-ES"/>
        </w:rPr>
        <w:t>638.</w:t>
      </w:r>
      <w:r>
        <w:rPr>
          <w:spacing w:val="0"/>
          <w:lang w:val="es-ES"/>
        </w:rPr>
        <w:tab/>
        <w:t>Con el fin de obtener información básica sobre el porcentaje y la estructura de la fuerza de trabajo de Azerbaiyán, en 2003 con el apoyo financiero del PNUD y la ayuda técnica de la OIT, se realizó un estudio de la actividad económica de la población que quedó reflej</w:t>
      </w:r>
      <w:r>
        <w:rPr>
          <w:spacing w:val="0"/>
          <w:lang w:val="es-ES"/>
        </w:rPr>
        <w:t>a</w:t>
      </w:r>
      <w:r>
        <w:rPr>
          <w:spacing w:val="0"/>
          <w:lang w:val="es-ES"/>
        </w:rPr>
        <w:t>do en la práctica estadística de Azerbaiyán. En el marco del proyecto conjunto con el PNUD, en 2006 se realizó un segundo estudio de la actividad económica de la p</w:t>
      </w:r>
      <w:r>
        <w:rPr>
          <w:spacing w:val="0"/>
          <w:lang w:val="es-ES"/>
        </w:rPr>
        <w:t>o</w:t>
      </w:r>
      <w:r>
        <w:rPr>
          <w:spacing w:val="0"/>
          <w:lang w:val="es-ES"/>
        </w:rPr>
        <w:t>blación.</w:t>
      </w:r>
    </w:p>
    <w:p w:rsidR="001D2E73" w:rsidRDefault="001D2E73">
      <w:pPr>
        <w:pStyle w:val="SingleTxtGR"/>
        <w:rPr>
          <w:spacing w:val="0"/>
          <w:lang w:val="es-ES"/>
        </w:rPr>
      </w:pPr>
      <w:r>
        <w:rPr>
          <w:spacing w:val="0"/>
          <w:lang w:val="es-ES"/>
        </w:rPr>
        <w:t>639.</w:t>
      </w:r>
      <w:r>
        <w:rPr>
          <w:spacing w:val="0"/>
          <w:lang w:val="es-ES"/>
        </w:rPr>
        <w:tab/>
        <w:t>Según datos del Comité Estatal de Estadística al 1º de enero de 2009, el total de la población económicamente activa del país había aumentado 13,6% en comp</w:t>
      </w:r>
      <w:r>
        <w:rPr>
          <w:spacing w:val="0"/>
          <w:lang w:val="es-ES"/>
        </w:rPr>
        <w:t>a</w:t>
      </w:r>
      <w:r>
        <w:rPr>
          <w:spacing w:val="0"/>
          <w:lang w:val="es-ES"/>
        </w:rPr>
        <w:t xml:space="preserve">ración con 2003 y ascendía a 4.318.200 personas. Además el número de empleados había aumentado en 8,2% en comparación con el mismo período y ascendía a 4.056.100 personas. </w:t>
      </w:r>
    </w:p>
    <w:p w:rsidR="001D2E73" w:rsidRDefault="001D2E73">
      <w:pPr>
        <w:pStyle w:val="SingleTxtGR"/>
        <w:rPr>
          <w:spacing w:val="0"/>
          <w:lang w:val="es-ES"/>
        </w:rPr>
      </w:pPr>
      <w:r>
        <w:rPr>
          <w:spacing w:val="0"/>
          <w:lang w:val="es-ES"/>
        </w:rPr>
        <w:t>640.</w:t>
      </w:r>
      <w:r>
        <w:rPr>
          <w:spacing w:val="0"/>
          <w:lang w:val="es-ES"/>
        </w:rPr>
        <w:tab/>
        <w:t xml:space="preserve">Con el fin de aprovechar plenamente los recursos humanos y garantizar el empleo racional de la población por Instrucción del Presidente Nº 1068, de 26 de octubre de 2005, quedó aprobada la Estrategia de empleo de la República de Azerbaiyán (2006-2015). El objetivo fundamental de la Estrategia es determinar las prioridades con miras al desarrollo de la política de empleo sobre la base de las reformas socio-económicas, el desarrollo de las relaciones de mercado, el perfeccionamiento de las políticas fiscal, inversionista y aduanera, así como de la política en la esfera de la educación, la configuración del desarrollo institucionalizado del mercado de trabajo, que estimule la creación de nuevos puestos de trabajo, etc. </w:t>
      </w:r>
    </w:p>
    <w:p w:rsidR="001D2E73" w:rsidRDefault="001D2E73">
      <w:pPr>
        <w:pStyle w:val="SingleTxtGR"/>
        <w:rPr>
          <w:spacing w:val="0"/>
          <w:lang w:val="es-ES"/>
        </w:rPr>
      </w:pPr>
      <w:r>
        <w:rPr>
          <w:spacing w:val="0"/>
          <w:lang w:val="es-ES"/>
        </w:rPr>
        <w:t>641.</w:t>
      </w:r>
      <w:r>
        <w:rPr>
          <w:spacing w:val="0"/>
          <w:lang w:val="es-ES"/>
        </w:rPr>
        <w:tab/>
        <w:t>Se prevé que la Estrategia de empleo se aplique en dos etapas continuas vinculadas entre sí.</w:t>
      </w:r>
    </w:p>
    <w:p w:rsidR="001D2E73" w:rsidRDefault="001D2E73">
      <w:pPr>
        <w:pStyle w:val="SingleTxtGR"/>
        <w:rPr>
          <w:spacing w:val="0"/>
          <w:lang w:val="es-ES"/>
        </w:rPr>
      </w:pPr>
      <w:r>
        <w:rPr>
          <w:spacing w:val="0"/>
          <w:lang w:val="es-ES"/>
        </w:rPr>
        <w:t>642.</w:t>
      </w:r>
      <w:r>
        <w:rPr>
          <w:spacing w:val="0"/>
          <w:lang w:val="es-ES"/>
        </w:rPr>
        <w:tab/>
        <w:t xml:space="preserve">En la primera etapa, que abarca los años 2006 a 2010, se prevé una reducción considerable del nivel de desempleo, el fortalecimiento de la protección social de los desempleados y de los grupos más vulnerables de la población, el perfeccionamiento del mercado de trabajo, así como un aumento de la calidad y la competitividad de los recursos humanos y la creación de condiciones propicias para aumentar la actividad económica de la población. </w:t>
      </w:r>
    </w:p>
    <w:p w:rsidR="001D2E73" w:rsidRDefault="001D2E73">
      <w:pPr>
        <w:pStyle w:val="SingleTxtGR"/>
        <w:rPr>
          <w:spacing w:val="0"/>
          <w:lang w:val="es-ES"/>
        </w:rPr>
      </w:pPr>
      <w:r>
        <w:rPr>
          <w:spacing w:val="0"/>
          <w:lang w:val="es-ES"/>
        </w:rPr>
        <w:t>643.</w:t>
      </w:r>
      <w:r>
        <w:rPr>
          <w:spacing w:val="0"/>
          <w:lang w:val="es-ES"/>
        </w:rPr>
        <w:tab/>
        <w:t>En la segunda etapa, que abarca de 2011 a 2015, la actividad se orientará en lo fundamental a la formación de un entorno que estimule la necesidad de fuerza de trabajo, en correspondencia con las elevadas normas internacionales, la profundización de las reformas estructurales, el aumento de la actividad inversionista y a garantizar un alto nivel de desarrollo del capital humano.</w:t>
      </w:r>
    </w:p>
    <w:p w:rsidR="001D2E73" w:rsidRDefault="001D2E73">
      <w:pPr>
        <w:pStyle w:val="SingleTxtGR"/>
        <w:rPr>
          <w:spacing w:val="0"/>
          <w:lang w:val="es-ES"/>
        </w:rPr>
      </w:pPr>
      <w:r>
        <w:rPr>
          <w:spacing w:val="0"/>
          <w:lang w:val="es-ES"/>
        </w:rPr>
        <w:t>644.</w:t>
      </w:r>
      <w:r>
        <w:rPr>
          <w:spacing w:val="0"/>
          <w:lang w:val="es-ES"/>
        </w:rPr>
        <w:tab/>
        <w:t xml:space="preserve">Para cumplir la primera etapa y garantizar la aplicación de la Estrategia de empleo, por Instrucción del Presidente Nº 2167, de 15 de mayo de 2007, quedó aprobado el Programa estatal de aplicación de la Estrategia de empleo de la República de Azerbaiyán. </w:t>
      </w:r>
    </w:p>
    <w:p w:rsidR="001D2E73" w:rsidRDefault="001D2E73">
      <w:pPr>
        <w:pStyle w:val="SingleTxtGR"/>
        <w:rPr>
          <w:spacing w:val="0"/>
          <w:lang w:val="es-ES"/>
        </w:rPr>
      </w:pPr>
      <w:r>
        <w:rPr>
          <w:spacing w:val="0"/>
          <w:lang w:val="es-ES"/>
        </w:rPr>
        <w:t>645.</w:t>
      </w:r>
      <w:r>
        <w:rPr>
          <w:spacing w:val="0"/>
          <w:lang w:val="es-ES"/>
        </w:rPr>
        <w:tab/>
        <w:t>El objetivo fundamental del Programa Estatal antes mencionado es garantizar que se cumplan las orientaciones prioritarias previstas hasta 2011 en la Estrategia de empleo de la República de Azerbaiyán (2006-2015), sobre la base de la creación del correspondiente entorno político, económico e institucional que propicie el desarrollo del empleo racional de la población.</w:t>
      </w:r>
    </w:p>
    <w:p w:rsidR="001D2E73" w:rsidRDefault="001D2E73">
      <w:pPr>
        <w:pStyle w:val="SingleTxtGR"/>
        <w:rPr>
          <w:spacing w:val="0"/>
          <w:lang w:val="es-ES"/>
        </w:rPr>
      </w:pPr>
      <w:r>
        <w:rPr>
          <w:spacing w:val="0"/>
          <w:lang w:val="es-ES"/>
        </w:rPr>
        <w:t>646.</w:t>
      </w:r>
      <w:r>
        <w:rPr>
          <w:spacing w:val="0"/>
          <w:lang w:val="es-ES"/>
        </w:rPr>
        <w:tab/>
        <w:t>Gracias a la realización de las actividades previstas en el Programa estatal para 2007-2010, se espera lograr los siguientes resultados:</w:t>
      </w:r>
    </w:p>
    <w:p w:rsidR="001D2E73" w:rsidRDefault="001D2E73">
      <w:pPr>
        <w:pStyle w:val="Bullet1G"/>
        <w:rPr>
          <w:lang w:val="es-ES"/>
        </w:rPr>
      </w:pPr>
      <w:r>
        <w:rPr>
          <w:lang w:val="es-ES"/>
        </w:rPr>
        <w:t>Creación de un entorno propicio para llevar a la práctica la política de empleo racional;</w:t>
      </w:r>
    </w:p>
    <w:p w:rsidR="001D2E73" w:rsidRDefault="001D2E73">
      <w:pPr>
        <w:pStyle w:val="Bullet1G"/>
        <w:rPr>
          <w:lang w:val="es-ES"/>
        </w:rPr>
      </w:pPr>
      <w:r>
        <w:rPr>
          <w:lang w:val="es-ES"/>
        </w:rPr>
        <w:t>Perfeccionamiento de la base legislativa en materia de empleo;</w:t>
      </w:r>
    </w:p>
    <w:p w:rsidR="001D2E73" w:rsidRDefault="001D2E73">
      <w:pPr>
        <w:pStyle w:val="Bullet1G"/>
        <w:rPr>
          <w:lang w:val="es-ES"/>
        </w:rPr>
      </w:pPr>
      <w:r>
        <w:rPr>
          <w:lang w:val="es-ES"/>
        </w:rPr>
        <w:t>Creación de un entorno propicio para aumentar la calidad y competitividad de los recursos humanos y su actividad económica, funcionamiento del sistema de preparación de cuadros, por ejemplo preparación profesional y aumento de la calificación, lo que contribuirá a cubrir las necesidades de un mercado de trabajo que se desarrolla con dinamismo;</w:t>
      </w:r>
    </w:p>
    <w:p w:rsidR="001D2E73" w:rsidRDefault="001D2E73">
      <w:pPr>
        <w:pStyle w:val="Bullet1G"/>
        <w:rPr>
          <w:lang w:val="es-ES"/>
        </w:rPr>
      </w:pPr>
      <w:r>
        <w:rPr>
          <w:lang w:val="es-ES"/>
        </w:rPr>
        <w:t>Formación de una plataforma institucional que propicie el desarrollo del mercado de trabajo en las regiones;</w:t>
      </w:r>
    </w:p>
    <w:p w:rsidR="001D2E73" w:rsidRDefault="001D2E73">
      <w:pPr>
        <w:pStyle w:val="Bullet1G"/>
        <w:rPr>
          <w:lang w:val="es-ES"/>
        </w:rPr>
      </w:pPr>
      <w:r>
        <w:rPr>
          <w:lang w:val="es-ES"/>
        </w:rPr>
        <w:t>Reducción del nivel de desempleo;</w:t>
      </w:r>
    </w:p>
    <w:p w:rsidR="001D2E73" w:rsidRDefault="001D2E73">
      <w:pPr>
        <w:pStyle w:val="Bullet1G"/>
        <w:rPr>
          <w:lang w:val="es-ES"/>
        </w:rPr>
      </w:pPr>
      <w:r>
        <w:rPr>
          <w:lang w:val="es-ES"/>
        </w:rPr>
        <w:t>Aumento de la protección social de los desempleados y de las personas que buscan trabajo.</w:t>
      </w:r>
    </w:p>
    <w:p w:rsidR="001D2E73" w:rsidRDefault="001D2E73">
      <w:pPr>
        <w:pStyle w:val="SingleTxtGR"/>
        <w:rPr>
          <w:spacing w:val="0"/>
          <w:lang w:val="es-ES"/>
        </w:rPr>
      </w:pPr>
      <w:r>
        <w:rPr>
          <w:spacing w:val="0"/>
          <w:lang w:val="es-ES"/>
        </w:rPr>
        <w:t>647.</w:t>
      </w:r>
      <w:r>
        <w:rPr>
          <w:spacing w:val="0"/>
          <w:lang w:val="es-ES"/>
        </w:rPr>
        <w:tab/>
        <w:t>Con el fin de intensificar la actividad encaminada a aumentar el nivel de empleo entre los refugiados y los desplazados forzosos, en el marco del Programa estatal se llevan a cabo medidas encaminadas a crear nuevos puestos de trabajo en lugares de gran densidad de población y de residencia temporal, así como en los nuevos asentamientos para desplazados forzosos, a elaborar y aplicar incentivos para los empleadores que asignan puestos de trabajo para emplear a r</w:t>
      </w:r>
      <w:r>
        <w:rPr>
          <w:spacing w:val="0"/>
          <w:lang w:val="es-ES"/>
        </w:rPr>
        <w:t>e</w:t>
      </w:r>
      <w:r>
        <w:rPr>
          <w:spacing w:val="0"/>
          <w:lang w:val="es-ES"/>
        </w:rPr>
        <w:t xml:space="preserve">fugiados y desplazados forzosos, a garantizar la preparación profesional de refugiados y desplazados forzosos, a prestar la ayuda necesaria para aumentar el nivel de empleo por cuenta propia, a crear redes de tecnología moderna en el territorio donde viven los desplazados forzosos con el fin de aumentar sus oportunidades de utilizar la tecnología de la información y otras medidas. </w:t>
      </w:r>
    </w:p>
    <w:p w:rsidR="001D2E73" w:rsidRDefault="001D2E73">
      <w:pPr>
        <w:pStyle w:val="H23G"/>
        <w:rPr>
          <w:lang w:val="es-ES"/>
        </w:rPr>
      </w:pPr>
      <w:r>
        <w:rPr>
          <w:lang w:val="es-ES"/>
        </w:rPr>
        <w:tab/>
      </w:r>
      <w:r>
        <w:rPr>
          <w:lang w:val="es-ES"/>
        </w:rPr>
        <w:tab/>
        <w:t>Párrafos 18 y 44 de las observaciones finales</w:t>
      </w:r>
    </w:p>
    <w:p w:rsidR="001D2E73" w:rsidRDefault="001D2E73">
      <w:pPr>
        <w:pStyle w:val="SingleTxtGR"/>
        <w:rPr>
          <w:spacing w:val="0"/>
          <w:lang w:val="es-ES"/>
        </w:rPr>
      </w:pPr>
      <w:r>
        <w:rPr>
          <w:spacing w:val="0"/>
          <w:lang w:val="es-ES"/>
        </w:rPr>
        <w:t>648.</w:t>
      </w:r>
      <w:r>
        <w:rPr>
          <w:spacing w:val="0"/>
          <w:lang w:val="es-ES"/>
        </w:rPr>
        <w:tab/>
        <w:t xml:space="preserve">El propósito fundamental de la actividad del Estado al garantizar la protección social de los ciudadanos que necesitan protección especial, por ejemplo las personas con discapacidad, es contribuir a que encuentren empleo. La política en esta esfera se encamina a la creación de las condiciones necesarias para aprovechar plenamente las capacidades potenciales de este grupo de personas en el mercado de trabajo. </w:t>
      </w:r>
    </w:p>
    <w:p w:rsidR="001D2E73" w:rsidRDefault="001D2E73">
      <w:pPr>
        <w:pStyle w:val="SingleTxtGR"/>
        <w:rPr>
          <w:spacing w:val="0"/>
          <w:lang w:val="es-ES"/>
        </w:rPr>
      </w:pPr>
      <w:r>
        <w:rPr>
          <w:spacing w:val="0"/>
          <w:lang w:val="es-ES"/>
        </w:rPr>
        <w:t>649.</w:t>
      </w:r>
      <w:r>
        <w:rPr>
          <w:spacing w:val="0"/>
          <w:lang w:val="es-ES"/>
        </w:rPr>
        <w:tab/>
        <w:t xml:space="preserve">El 2 de octubre de 2008, el Presidente de Azerbaiyán firmó la Ley de adhesión a la Convención sobre los derechos de las personas con discapacidad y la Ley de adhesión al Protocolo de la Convención sobre los derechos de las personas con discapacidad. </w:t>
      </w:r>
    </w:p>
    <w:p w:rsidR="001D2E73" w:rsidRDefault="001D2E73">
      <w:pPr>
        <w:pStyle w:val="SingleTxtGR"/>
        <w:rPr>
          <w:spacing w:val="0"/>
          <w:lang w:val="es-ES"/>
        </w:rPr>
      </w:pPr>
      <w:r>
        <w:rPr>
          <w:spacing w:val="0"/>
          <w:lang w:val="es-ES"/>
        </w:rPr>
        <w:t>650.</w:t>
      </w:r>
      <w:r>
        <w:rPr>
          <w:spacing w:val="0"/>
          <w:lang w:val="es-ES"/>
        </w:rPr>
        <w:tab/>
        <w:t xml:space="preserve">Además de lo anterior, la República de Azerbaiyán en 2008 se sumó al Plan de Acción del Consejo de Europa 2006-2015 para mejorar el nivel de vida de las personas con discapacidad, encaminado a la protección de los derechos y apoyar la plena participación de estas personas en </w:t>
      </w:r>
      <w:smartTag w:uri="urn:schemas-microsoft-com:office:smarttags" w:element="PersonName">
        <w:smartTagPr>
          <w:attr w:name="ProductID" w:val="la sociedad. En"/>
        </w:smartTagPr>
        <w:r>
          <w:rPr>
            <w:spacing w:val="0"/>
            <w:lang w:val="es-ES"/>
          </w:rPr>
          <w:t>la sociedad. En</w:t>
        </w:r>
      </w:smartTag>
      <w:r>
        <w:rPr>
          <w:spacing w:val="0"/>
          <w:lang w:val="es-ES"/>
        </w:rPr>
        <w:t xml:space="preserve"> el marco de la colaboración con el Consejo de Europa en esta esfera, el susodicho Plan de Acción, en el que se prevé la realización de medidas para mejorar las condiciones de vida, garantizar los derechos de las personas con discapacidad y perfeccionar la legislación en esa esfera, fue traducido al azerí y se cargó en el sitio web de esa prestigiosa organización internacional. </w:t>
      </w:r>
    </w:p>
    <w:p w:rsidR="001D2E73" w:rsidRDefault="001D2E73">
      <w:pPr>
        <w:pStyle w:val="SingleTxtGR"/>
        <w:rPr>
          <w:spacing w:val="0"/>
          <w:lang w:val="es-ES"/>
        </w:rPr>
      </w:pPr>
      <w:r>
        <w:rPr>
          <w:spacing w:val="0"/>
          <w:lang w:val="es-ES"/>
        </w:rPr>
        <w:t>651.</w:t>
      </w:r>
      <w:r>
        <w:rPr>
          <w:spacing w:val="0"/>
          <w:lang w:val="es-ES"/>
        </w:rPr>
        <w:tab/>
        <w:t>Actualmente el Consejo de Ministros está creando un mecanismo de coordinación de la actividad relacionada con la ejecución del Plan de Acción del Consejo de Europa 2006-2015 para mejorar el nivel de vida de las personas con discapacidad.</w:t>
      </w:r>
    </w:p>
    <w:p w:rsidR="001D2E73" w:rsidRDefault="001D2E73">
      <w:pPr>
        <w:pStyle w:val="SingleTxtGR"/>
        <w:rPr>
          <w:spacing w:val="0"/>
          <w:lang w:val="es-ES"/>
        </w:rPr>
      </w:pPr>
      <w:r>
        <w:rPr>
          <w:spacing w:val="0"/>
          <w:lang w:val="es-ES"/>
        </w:rPr>
        <w:t>652.</w:t>
      </w:r>
      <w:r>
        <w:rPr>
          <w:spacing w:val="0"/>
          <w:lang w:val="es-ES"/>
        </w:rPr>
        <w:tab/>
        <w:t>Anualmente, el Consejo de Ministros aprueba el Programa estatal de financiación de actividades relacionadas con la protección social de las personas con discapacidad. En esos programas estatales se prevén medidas que garantizan la solución de cuestiones de la protección social y, en última instancia, la integración de las personas con discapacidad en la sociedad, por ejemplo la rehabilitación médica, social y profesional de este sector de la población que necesidad de ayuda y cuidados especiales.</w:t>
      </w:r>
    </w:p>
    <w:p w:rsidR="001D2E73" w:rsidRDefault="001D2E73">
      <w:pPr>
        <w:pStyle w:val="SingleTxtGR"/>
        <w:rPr>
          <w:spacing w:val="0"/>
          <w:lang w:val="es-ES"/>
        </w:rPr>
      </w:pPr>
      <w:r>
        <w:rPr>
          <w:spacing w:val="0"/>
          <w:lang w:val="es-ES"/>
        </w:rPr>
        <w:t>653.</w:t>
      </w:r>
      <w:r>
        <w:rPr>
          <w:spacing w:val="0"/>
          <w:lang w:val="es-ES"/>
        </w:rPr>
        <w:tab/>
        <w:t>Cabe señalar que el país cuenta con una base jurídica y normativa que garantiza los derechos de las personas con discapacidad en materia de empleo, acceso al mercado de trabajo, así como a que se creen condiciones que les permitan encontrar un empleo.</w:t>
      </w:r>
    </w:p>
    <w:p w:rsidR="001D2E73" w:rsidRDefault="001D2E73">
      <w:pPr>
        <w:pStyle w:val="SingleTxtGR"/>
        <w:rPr>
          <w:spacing w:val="0"/>
          <w:lang w:val="es-ES"/>
        </w:rPr>
      </w:pPr>
      <w:r>
        <w:rPr>
          <w:spacing w:val="0"/>
          <w:lang w:val="es-ES"/>
        </w:rPr>
        <w:t>654.</w:t>
      </w:r>
      <w:r>
        <w:rPr>
          <w:spacing w:val="0"/>
          <w:lang w:val="es-ES"/>
        </w:rPr>
        <w:tab/>
        <w:t>La Ley de empleo, de 2 de julio de 2001, establece los fundamentos jurídicos, económicos y organizativos de la política estatal en materia de empleo, así como las garantías estatales para los ciudadanos en materia de empleo y para la protección social de los desempleados.</w:t>
      </w:r>
    </w:p>
    <w:p w:rsidR="001D2E73" w:rsidRDefault="001D2E73">
      <w:pPr>
        <w:pStyle w:val="SingleTxtGR"/>
        <w:rPr>
          <w:spacing w:val="0"/>
          <w:lang w:val="es-ES"/>
        </w:rPr>
      </w:pPr>
      <w:r>
        <w:rPr>
          <w:spacing w:val="0"/>
          <w:lang w:val="es-ES"/>
        </w:rPr>
        <w:t>655.</w:t>
      </w:r>
      <w:r>
        <w:rPr>
          <w:spacing w:val="0"/>
          <w:lang w:val="es-ES"/>
        </w:rPr>
        <w:tab/>
        <w:t xml:space="preserve">En el artículo 9 de la Ley se prevén garantías adicionales para el empleo de ciudadanos que necesitan protección social, por ejemplo las personas con discapacidad. Según este artículo, el Estado ofrece garantías adicionales a determinadas categorías de ciudadanos que necesitan protección social especial y experimentan dificultades para encontrar trabajo (muchachos y muchachas menores de 20 años, padres que crían solos a sus hijos y padres de muchos hijos adolescentes, padres que crían a hijos con discapacidad, personas a las que faltan solo dos años para la edad de jubilación, personas con discapacidad, ex reclusos, desplazados forzosos, veteranos de guerra, familias de mártires) mediante la creación de puestos de trabajo adicionales y de empresas y organizaciones especializadas (por ejemplo para dar empleo a las personas con discapacidad), la organización de programas especiales de aprendizaje y la adopción de otras medidas. En cumplimiento de esta Ley, los órganos locales de poder ejecutivo determinan, dentro de los límites de su competencia y conforme al procedimiento establecido, los cupos para los ciudadanos mencionados en el párrafo 1 del artículo 9 de la Ley de empleo en las empresas, instituciones y organizaciones. El cupo se determina según la situación del mercado de trabajo del lugar, aunque nunca será superior al 5% de la cantidad media de trabajadores de plantilla de las empresas. </w:t>
      </w:r>
    </w:p>
    <w:p w:rsidR="001D2E73" w:rsidRDefault="001D2E73">
      <w:pPr>
        <w:pStyle w:val="SingleTxtGR"/>
        <w:rPr>
          <w:spacing w:val="0"/>
          <w:lang w:val="es-ES"/>
        </w:rPr>
      </w:pPr>
      <w:r>
        <w:rPr>
          <w:spacing w:val="0"/>
          <w:lang w:val="es-ES"/>
        </w:rPr>
        <w:t>656.</w:t>
      </w:r>
      <w:r>
        <w:rPr>
          <w:spacing w:val="0"/>
          <w:lang w:val="es-ES"/>
        </w:rPr>
        <w:tab/>
        <w:t xml:space="preserve">Por resolución del Consejo de Ministros de la República de Azerbaiyán, de 22 de noviembre de 2005, fue aprobado el Procedimiento para aplicar los cupos establecidos para ciudadanos que necesitan protección social especial y tienen dificultades para encontrar empleo y la Lista de empresas a las que no se aplica el cupo. </w:t>
      </w:r>
    </w:p>
    <w:p w:rsidR="001D2E73" w:rsidRDefault="001D2E73">
      <w:pPr>
        <w:pStyle w:val="SingleTxtGR"/>
        <w:rPr>
          <w:spacing w:val="0"/>
          <w:lang w:val="es-ES"/>
        </w:rPr>
      </w:pPr>
      <w:r>
        <w:rPr>
          <w:spacing w:val="0"/>
          <w:lang w:val="es-ES"/>
        </w:rPr>
        <w:t>657.</w:t>
      </w:r>
      <w:r>
        <w:rPr>
          <w:spacing w:val="0"/>
          <w:lang w:val="es-ES"/>
        </w:rPr>
        <w:tab/>
        <w:t xml:space="preserve">Por otra parte, conforme a </w:t>
      </w:r>
      <w:smartTag w:uri="urn:schemas-microsoft-com:office:smarttags" w:element="PersonName">
        <w:smartTagPr>
          <w:attr w:name="ProductID" w:val="la mencionada Estrategia"/>
        </w:smartTagPr>
        <w:r>
          <w:rPr>
            <w:spacing w:val="0"/>
            <w:lang w:val="es-ES"/>
          </w:rPr>
          <w:t>la mencionada Estrategia</w:t>
        </w:r>
      </w:smartTag>
      <w:r>
        <w:rPr>
          <w:spacing w:val="0"/>
          <w:lang w:val="es-ES"/>
        </w:rPr>
        <w:t xml:space="preserve"> de empleo de la República de Azerbaiyán (2006-2015), aprobada por Decreto preside</w:t>
      </w:r>
      <w:r>
        <w:rPr>
          <w:spacing w:val="0"/>
          <w:lang w:val="es-ES"/>
        </w:rPr>
        <w:t>n</w:t>
      </w:r>
      <w:r>
        <w:rPr>
          <w:spacing w:val="0"/>
          <w:lang w:val="es-ES"/>
        </w:rPr>
        <w:t>cial de 26 de octubre de 2005 y con el Programa estatal de aplicación de la Estrategia de empleo de la República de Azerbaiyán (2007-2010), aprobada por Decreto presidencial de 15 de mayo de 2007, se está tratando de aumentar la protección social de los grupos vulnerables de la población, sobre todo las personas con discapacidad. En esos documentos se prevé la creación de las condiciones propicias para garantizar la integración de las personas con discapacidad en la sociedad y aumentar su nivel de empleo, la formulación de un plan de acción destinado a aumentar el empleo de las personas con discapacidad, la preparación de pruebas psicológicas y de calificación profesional para procurar que los desempleados, incluidas las personas con discapacidad encuentren empleo, la determinación conforme a lo dispuesto en la ley de los puestos de trabajo sujetos a cupos para garantizar empleo a personas que necesitan protección social especial y a las personas con discapacidad, la creación de incentivos para los empleadores que cumplan estos cupos y la aplicación de medidas administrativas previstas en la ley a las empresas, instituciones y organizaciones que no cumplan los cupos o que se nieguen a admitir al empleo a personas con necesidades especiales y a las personas con discapacidad.</w:t>
      </w:r>
    </w:p>
    <w:p w:rsidR="001D2E73" w:rsidRDefault="001D2E73">
      <w:pPr>
        <w:pStyle w:val="SingleTxtGR"/>
        <w:rPr>
          <w:spacing w:val="0"/>
          <w:lang w:val="es-ES"/>
        </w:rPr>
      </w:pPr>
      <w:r>
        <w:rPr>
          <w:spacing w:val="0"/>
          <w:lang w:val="es-ES"/>
        </w:rPr>
        <w:t>658.</w:t>
      </w:r>
      <w:r>
        <w:rPr>
          <w:spacing w:val="0"/>
          <w:lang w:val="es-ES"/>
        </w:rPr>
        <w:tab/>
        <w:t>Además, con miras a aplicar lo dispuesto en los párrafos 2.12 y 7.15 del Programa se están elaborando propuestas de perfeccionamiento de la base legislativa, así como un plan de acción para aumentar el empleo de las personas con discapacidad.</w:t>
      </w:r>
    </w:p>
    <w:p w:rsidR="001D2E73" w:rsidRDefault="001D2E73">
      <w:pPr>
        <w:pStyle w:val="SingleTxtGR"/>
        <w:rPr>
          <w:spacing w:val="0"/>
          <w:lang w:val="es-ES"/>
        </w:rPr>
      </w:pPr>
      <w:r>
        <w:rPr>
          <w:spacing w:val="0"/>
          <w:lang w:val="es-ES"/>
        </w:rPr>
        <w:t>659.</w:t>
      </w:r>
      <w:r>
        <w:rPr>
          <w:spacing w:val="0"/>
          <w:lang w:val="es-ES"/>
        </w:rPr>
        <w:tab/>
        <w:t xml:space="preserve">En noviembre de 2006 </w:t>
      </w:r>
      <w:smartTag w:uri="urn:schemas-microsoft-com:office:smarttags" w:element="PersonName">
        <w:smartTagPr>
          <w:attr w:name="ProductID" w:val="la Organizaci￳n Internacional"/>
        </w:smartTagPr>
        <w:r>
          <w:rPr>
            <w:spacing w:val="0"/>
            <w:lang w:val="es-ES"/>
          </w:rPr>
          <w:t>la Organización Internacional</w:t>
        </w:r>
      </w:smartTag>
      <w:r>
        <w:rPr>
          <w:spacing w:val="0"/>
          <w:lang w:val="es-ES"/>
        </w:rPr>
        <w:t xml:space="preserve"> del Trabajo y la República de Azerbaiyán acordaron el Programa de trabajo digno en el marco de la colaboración con </w:t>
      </w:r>
      <w:smartTag w:uri="urn:schemas-microsoft-com:office:smarttags" w:element="PersonName">
        <w:smartTagPr>
          <w:attr w:name="ProductID" w:val="la Organizaci￳n Internacional"/>
        </w:smartTagPr>
        <w:r>
          <w:rPr>
            <w:spacing w:val="0"/>
            <w:lang w:val="es-ES"/>
          </w:rPr>
          <w:t>la Organización Internacional</w:t>
        </w:r>
      </w:smartTag>
      <w:r>
        <w:rPr>
          <w:spacing w:val="0"/>
          <w:lang w:val="es-ES"/>
        </w:rPr>
        <w:t xml:space="preserve"> del Trabajo para 2006-2009. La República de Azerbaiyán es la única entre los países de la Comunidad de Estados Independientes que fue incluida por la OIT en la lista de 10 países que ma</w:t>
      </w:r>
      <w:r>
        <w:rPr>
          <w:spacing w:val="0"/>
          <w:lang w:val="es-ES"/>
        </w:rPr>
        <w:t>r</w:t>
      </w:r>
      <w:r>
        <w:rPr>
          <w:spacing w:val="0"/>
          <w:lang w:val="es-ES"/>
        </w:rPr>
        <w:t>chan a la cabeza en la solución de los problemas del empleo de los jóvenes. En el marco de dicho Programa se están elaborando y ejecutando progr</w:t>
      </w:r>
      <w:r>
        <w:rPr>
          <w:spacing w:val="0"/>
          <w:lang w:val="es-ES"/>
        </w:rPr>
        <w:t>a</w:t>
      </w:r>
      <w:r>
        <w:rPr>
          <w:spacing w:val="0"/>
          <w:lang w:val="es-ES"/>
        </w:rPr>
        <w:t>mas para garantizar el empleo de las personas con discapacidad, aumentar su integración en los mercados de trabajo y garantizarles un trabajo digno, además se están elaborando y ejecutando los programas ed</w:t>
      </w:r>
      <w:r>
        <w:rPr>
          <w:spacing w:val="0"/>
          <w:lang w:val="es-ES"/>
        </w:rPr>
        <w:t>u</w:t>
      </w:r>
      <w:r>
        <w:rPr>
          <w:spacing w:val="0"/>
          <w:lang w:val="es-ES"/>
        </w:rPr>
        <w:t xml:space="preserve">cativos especiales </w:t>
      </w:r>
      <w:r>
        <w:rPr>
          <w:i/>
          <w:spacing w:val="0"/>
          <w:lang w:val="es-ES"/>
        </w:rPr>
        <w:t>Encuentra tu oficio y supérate</w:t>
      </w:r>
      <w:r>
        <w:rPr>
          <w:spacing w:val="0"/>
          <w:lang w:val="es-ES"/>
        </w:rPr>
        <w:t xml:space="preserve"> para los grupos menos favorecidos de la población. </w:t>
      </w:r>
    </w:p>
    <w:p w:rsidR="001D2E73" w:rsidRDefault="001D2E73">
      <w:pPr>
        <w:pStyle w:val="H23G"/>
        <w:rPr>
          <w:lang w:val="es-ES"/>
        </w:rPr>
      </w:pPr>
      <w:r>
        <w:rPr>
          <w:lang w:val="es-ES"/>
        </w:rPr>
        <w:tab/>
      </w:r>
      <w:r>
        <w:rPr>
          <w:lang w:val="es-ES"/>
        </w:rPr>
        <w:tab/>
        <w:t>Párrafos 19 y 45 de las observaciones finales</w:t>
      </w:r>
    </w:p>
    <w:p w:rsidR="001D2E73" w:rsidRDefault="001D2E73">
      <w:pPr>
        <w:pStyle w:val="SingleTxtGR"/>
        <w:rPr>
          <w:spacing w:val="0"/>
          <w:lang w:val="es-ES"/>
        </w:rPr>
      </w:pPr>
      <w:r>
        <w:rPr>
          <w:spacing w:val="0"/>
          <w:lang w:val="es-ES"/>
        </w:rPr>
        <w:t>660.</w:t>
      </w:r>
      <w:r>
        <w:rPr>
          <w:spacing w:val="0"/>
          <w:lang w:val="es-ES"/>
        </w:rPr>
        <w:tab/>
        <w:t>Con arreglo al párrafo 3 del artículo</w:t>
      </w:r>
      <w:r>
        <w:rPr>
          <w:bCs/>
          <w:iCs/>
          <w:spacing w:val="0"/>
          <w:lang w:val="es-ES"/>
        </w:rPr>
        <w:t xml:space="preserve"> 35 de la Constitución, nadie puede ser obligado a trabajar</w:t>
      </w:r>
      <w:r>
        <w:rPr>
          <w:spacing w:val="0"/>
          <w:lang w:val="es-ES"/>
        </w:rPr>
        <w:t>. Por otra parte, más adelante en el párrafo 5 se prevén casos en que se permite, por fallo judicial, el trabajo forzoso, en condiciones y períodos previstos en la Ley, en relación con órdenes superiores durante el servicio militar u obligar a los ciudadanos a cumplir tareas necesarias en situaciones de emergencia y conflicto militar.</w:t>
      </w:r>
    </w:p>
    <w:p w:rsidR="001D2E73" w:rsidRDefault="001D2E73">
      <w:pPr>
        <w:pStyle w:val="SingleTxtGR"/>
        <w:rPr>
          <w:spacing w:val="0"/>
          <w:lang w:val="es-ES"/>
        </w:rPr>
      </w:pPr>
      <w:r>
        <w:rPr>
          <w:bCs/>
          <w:iCs/>
          <w:spacing w:val="0"/>
          <w:lang w:val="es-ES"/>
        </w:rPr>
        <w:t>661.</w:t>
      </w:r>
      <w:r>
        <w:rPr>
          <w:bCs/>
          <w:iCs/>
          <w:spacing w:val="0"/>
          <w:lang w:val="es-ES"/>
        </w:rPr>
        <w:tab/>
        <w:t xml:space="preserve">De conformidad con el artículo </w:t>
      </w:r>
      <w:r>
        <w:rPr>
          <w:spacing w:val="0"/>
          <w:lang w:val="es-ES"/>
        </w:rPr>
        <w:t xml:space="preserve">17 del Código del Trabajo, se prohíbe obligar a un trabajador a realizar funciones de trabajo (servicio) no incluidas en la descripción de su puesto, aplicando la fuerza de cualquier forma y por cualquier medio, así como amenazarlo con el despido. Los culpables incurren en responsabilidad conforme a lo establecido por ley. </w:t>
      </w:r>
    </w:p>
    <w:p w:rsidR="001D2E73" w:rsidRDefault="001D2E73">
      <w:pPr>
        <w:pStyle w:val="SingleTxtGR"/>
        <w:rPr>
          <w:spacing w:val="0"/>
          <w:lang w:val="es-ES"/>
        </w:rPr>
      </w:pPr>
      <w:r>
        <w:rPr>
          <w:spacing w:val="0"/>
          <w:lang w:val="es-ES"/>
        </w:rPr>
        <w:t>662.</w:t>
      </w:r>
      <w:r>
        <w:rPr>
          <w:spacing w:val="0"/>
          <w:lang w:val="es-ES"/>
        </w:rPr>
        <w:tab/>
        <w:t xml:space="preserve">Con arreglo al párrafo 2 del artículo 17 del Código del Trabajo, se admite también el trabajo forzoso en empleos que están bajo el control de los órganos estatales correspondientes en situaciones de emergencia o conflicto armado según lo dispuesto en la legislación, así como durante el cumplimiento de condenas que mantengan su validez. </w:t>
      </w:r>
    </w:p>
    <w:p w:rsidR="001D2E73" w:rsidRDefault="001D2E73">
      <w:pPr>
        <w:pStyle w:val="SingleTxtGR"/>
        <w:rPr>
          <w:spacing w:val="0"/>
          <w:lang w:val="es-ES"/>
        </w:rPr>
      </w:pPr>
      <w:r>
        <w:rPr>
          <w:spacing w:val="0"/>
          <w:lang w:val="es-ES"/>
        </w:rPr>
        <w:t>663.</w:t>
      </w:r>
      <w:r>
        <w:rPr>
          <w:spacing w:val="0"/>
          <w:lang w:val="es-ES"/>
        </w:rPr>
        <w:tab/>
        <w:t xml:space="preserve">Según las Reglas Penitenciarias Europeas, se aplica el principio de voluntariedad al incorporar a los reos al trabajo; en este momento más del 13% de ellos trabaja. </w:t>
      </w:r>
    </w:p>
    <w:p w:rsidR="001D2E73" w:rsidRDefault="001D2E73">
      <w:pPr>
        <w:pStyle w:val="H23G"/>
        <w:rPr>
          <w:lang w:val="es-ES"/>
        </w:rPr>
      </w:pPr>
      <w:r>
        <w:rPr>
          <w:lang w:val="es-ES"/>
        </w:rPr>
        <w:tab/>
      </w:r>
      <w:r>
        <w:rPr>
          <w:lang w:val="es-ES"/>
        </w:rPr>
        <w:tab/>
        <w:t>Párrafos 20 y 46 de las observaciones finales</w:t>
      </w:r>
    </w:p>
    <w:p w:rsidR="001D2E73" w:rsidRDefault="001D2E73">
      <w:pPr>
        <w:pStyle w:val="SingleTxtGR"/>
        <w:rPr>
          <w:spacing w:val="0"/>
          <w:lang w:val="es-ES"/>
        </w:rPr>
      </w:pPr>
      <w:r>
        <w:rPr>
          <w:spacing w:val="0"/>
          <w:lang w:val="es-ES"/>
        </w:rPr>
        <w:t>664.</w:t>
      </w:r>
      <w:r>
        <w:rPr>
          <w:spacing w:val="0"/>
          <w:lang w:val="es-ES"/>
        </w:rPr>
        <w:tab/>
        <w:t>El Gobierno de la República de Azerbaiyán presta gran atención al aumento del salario de los trabajadores de las distintas ramas y a la mejora de su bienestar material. Para ello, teniendo en cuenta las posibilidades económicas del país, periódicamente se incrementa el salario mínimo y el ingreso medio mensual. En los tres últimos años, el salario mínimo aumentó en 2,5 veces.</w:t>
      </w:r>
    </w:p>
    <w:p w:rsidR="001D2E73" w:rsidRDefault="001D2E73">
      <w:pPr>
        <w:pStyle w:val="SingleTxtGR"/>
        <w:rPr>
          <w:spacing w:val="0"/>
          <w:lang w:val="es-ES"/>
        </w:rPr>
      </w:pPr>
      <w:r>
        <w:rPr>
          <w:spacing w:val="0"/>
          <w:lang w:val="es-ES"/>
        </w:rPr>
        <w:t>665.</w:t>
      </w:r>
      <w:r>
        <w:rPr>
          <w:spacing w:val="0"/>
          <w:lang w:val="es-ES"/>
        </w:rPr>
        <w:tab/>
        <w:t>Ese aumento del salario mínimo determinó que aumentara sustancialmente también el ingreso medio mensual de los trabajadores. En los últimos cinco años se ha observado un aumento anual del ingreso medio mensual de 25 a 30%. En 2008 el ingreso medio mensual era de 268 manat (333,5 dólares de los Estados Unidos) frente a 77,4 manat (96, 3 dólares de los Estados Unidos) en 2003.</w:t>
      </w:r>
    </w:p>
    <w:p w:rsidR="001D2E73" w:rsidRDefault="001D2E73">
      <w:pPr>
        <w:pStyle w:val="SingleTxtGR"/>
        <w:rPr>
          <w:spacing w:val="0"/>
          <w:lang w:val="es-ES"/>
        </w:rPr>
      </w:pPr>
      <w:r>
        <w:rPr>
          <w:spacing w:val="0"/>
          <w:lang w:val="es-ES"/>
        </w:rPr>
        <w:t>666.</w:t>
      </w:r>
      <w:r>
        <w:rPr>
          <w:spacing w:val="0"/>
          <w:lang w:val="es-ES"/>
        </w:rPr>
        <w:tab/>
        <w:t xml:space="preserve">Desde 2001, el Consejo de Ministros de Azerbaiyán, </w:t>
      </w:r>
      <w:smartTag w:uri="urn:schemas-microsoft-com:office:smarttags" w:element="PersonName">
        <w:smartTagPr>
          <w:attr w:name="ProductID" w:val="la Confederaci￳n Sindical"/>
        </w:smartTagPr>
        <w:r>
          <w:rPr>
            <w:spacing w:val="0"/>
            <w:lang w:val="es-ES"/>
          </w:rPr>
          <w:t>la Confederación Sindical</w:t>
        </w:r>
      </w:smartTag>
      <w:r>
        <w:rPr>
          <w:spacing w:val="0"/>
          <w:lang w:val="es-ES"/>
        </w:rPr>
        <w:t xml:space="preserve"> de Azerbaiyán y la Confederación de Empresarios (empleadores) de Azerbaiyán firman un convenio colectivo tripartito. En estos momentos está vigente el Convenio colectivo general para 2008-2009, en el que se prevé la necesidad de adoptar medidas para incrementar gradualmente el salario mínimo y equipararlo con el presupuesto mínimo del consumidor, así como la necesidad de que el salario mínimo se ajuste a los requisitos establecidos en </w:t>
      </w:r>
      <w:smartTag w:uri="urn:schemas-microsoft-com:office:smarttags" w:element="PersonName">
        <w:smartTagPr>
          <w:attr w:name="ProductID" w:val="la Carta Social Europea."/>
        </w:smartTagPr>
        <w:r>
          <w:rPr>
            <w:spacing w:val="0"/>
            <w:lang w:val="es-ES"/>
          </w:rPr>
          <w:t>la Carta Social Europea.</w:t>
        </w:r>
      </w:smartTag>
      <w:r>
        <w:rPr>
          <w:spacing w:val="0"/>
          <w:lang w:val="es-ES"/>
        </w:rPr>
        <w:t xml:space="preserve"> </w:t>
      </w:r>
    </w:p>
    <w:p w:rsidR="001D2E73" w:rsidRDefault="001D2E73">
      <w:pPr>
        <w:pStyle w:val="SingleTxtGR"/>
        <w:rPr>
          <w:spacing w:val="0"/>
          <w:lang w:val="es-ES"/>
        </w:rPr>
      </w:pPr>
      <w:r>
        <w:rPr>
          <w:spacing w:val="0"/>
          <w:lang w:val="es-ES"/>
        </w:rPr>
        <w:t>667.</w:t>
      </w:r>
      <w:r>
        <w:rPr>
          <w:spacing w:val="0"/>
          <w:lang w:val="es-ES"/>
        </w:rPr>
        <w:tab/>
        <w:t>Debido a que el sistema de salario mínimo abarca a todas las categorías de trabajadores, incluidos los remunerados con cargo al presupuesto estatal, que son unas 600.000 personas, al determinar el monto del salario mínimo se tienen en cuenta las posibilidades del presupuesto estatal.</w:t>
      </w:r>
    </w:p>
    <w:p w:rsidR="001D2E73" w:rsidRDefault="001D2E73">
      <w:pPr>
        <w:pStyle w:val="SingleTxtGR"/>
        <w:rPr>
          <w:spacing w:val="0"/>
          <w:lang w:val="es-ES"/>
        </w:rPr>
      </w:pPr>
      <w:r>
        <w:rPr>
          <w:spacing w:val="0"/>
          <w:lang w:val="es-ES"/>
        </w:rPr>
        <w:t>668.</w:t>
      </w:r>
      <w:r>
        <w:rPr>
          <w:spacing w:val="0"/>
          <w:lang w:val="es-ES"/>
        </w:rPr>
        <w:tab/>
        <w:t>El procedimiento para establecer el salario mínimo incluye el análisis de la situación financiera y económica, por ejemplo el nivel general de salarios del país, el grado de inflación, las proporciones del presupuesto mínimo del consumidor, las prestaciones sociales y las pensiones.</w:t>
      </w:r>
    </w:p>
    <w:p w:rsidR="001D2E73" w:rsidRDefault="001D2E73">
      <w:pPr>
        <w:pStyle w:val="SingleTxtGR"/>
        <w:rPr>
          <w:spacing w:val="0"/>
          <w:lang w:val="es-ES"/>
        </w:rPr>
      </w:pPr>
      <w:r>
        <w:rPr>
          <w:spacing w:val="0"/>
          <w:lang w:val="es-ES"/>
        </w:rPr>
        <w:t>669.</w:t>
      </w:r>
      <w:r>
        <w:rPr>
          <w:spacing w:val="0"/>
          <w:lang w:val="es-ES"/>
        </w:rPr>
        <w:tab/>
        <w:t>Tras celebrar consultas con los sindicatos y los empleadores, el Ministerio de Trabajo y Protección Social de la Población, el Ministerio de Finanzas, el Ministerio de Desarrollo Económico y el Fondo Estatal de Protección Social de la Población presentan ese análisis al Consejo de Ministros.</w:t>
      </w:r>
    </w:p>
    <w:p w:rsidR="001D2E73" w:rsidRDefault="001D2E73">
      <w:pPr>
        <w:pStyle w:val="SingleTxtGR"/>
        <w:rPr>
          <w:spacing w:val="0"/>
          <w:lang w:val="es-ES"/>
        </w:rPr>
      </w:pPr>
      <w:r>
        <w:rPr>
          <w:spacing w:val="0"/>
          <w:lang w:val="es-ES"/>
        </w:rPr>
        <w:t>670.</w:t>
      </w:r>
      <w:r>
        <w:rPr>
          <w:spacing w:val="0"/>
          <w:lang w:val="es-ES"/>
        </w:rPr>
        <w:tab/>
        <w:t>El Consejo de Ministros, por su parte, presenta las propuestas formuladas a la Oficina del Presidente de Azerbaiyán.</w:t>
      </w:r>
    </w:p>
    <w:p w:rsidR="001D2E73" w:rsidRDefault="001D2E73">
      <w:pPr>
        <w:pStyle w:val="SingleTxtGR"/>
        <w:rPr>
          <w:spacing w:val="0"/>
          <w:lang w:val="es-ES"/>
        </w:rPr>
      </w:pPr>
      <w:r>
        <w:rPr>
          <w:spacing w:val="0"/>
          <w:lang w:val="es-ES"/>
        </w:rPr>
        <w:t>671.</w:t>
      </w:r>
      <w:r>
        <w:rPr>
          <w:spacing w:val="0"/>
          <w:lang w:val="es-ES"/>
        </w:rPr>
        <w:tab/>
        <w:t>El Cuerpo Estatal de Inspectores del Trabajo del Ministerio de Trabajo y Protección Social de la Población de Azerbaiyán supervisa la aplicación del salario mínimo.</w:t>
      </w:r>
    </w:p>
    <w:p w:rsidR="001D2E73" w:rsidRDefault="001D2E73">
      <w:pPr>
        <w:pStyle w:val="SingleTxtGR"/>
        <w:rPr>
          <w:spacing w:val="0"/>
          <w:lang w:val="es-ES"/>
        </w:rPr>
      </w:pPr>
      <w:r>
        <w:rPr>
          <w:spacing w:val="0"/>
          <w:lang w:val="es-ES"/>
        </w:rPr>
        <w:t>672.</w:t>
      </w:r>
      <w:r>
        <w:rPr>
          <w:spacing w:val="0"/>
          <w:lang w:val="es-ES"/>
        </w:rPr>
        <w:tab/>
        <w:t>Se prohíbe reducir el salario de los trabajadores por cualesquiera motivos, porque se violaría el principio de prohibición de la discriminación previsto en el artículo 16 del Código del Trabajo al fijar un salario inferior al mínimo establecido por el Estado.</w:t>
      </w:r>
    </w:p>
    <w:p w:rsidR="001D2E73" w:rsidRDefault="001D2E73">
      <w:pPr>
        <w:pStyle w:val="SingleTxtGR"/>
        <w:rPr>
          <w:spacing w:val="0"/>
          <w:lang w:val="es-ES"/>
        </w:rPr>
      </w:pPr>
      <w:r>
        <w:rPr>
          <w:spacing w:val="0"/>
          <w:lang w:val="es-ES"/>
        </w:rPr>
        <w:t>673.</w:t>
      </w:r>
      <w:r>
        <w:rPr>
          <w:spacing w:val="0"/>
          <w:lang w:val="es-ES"/>
        </w:rPr>
        <w:tab/>
        <w:t>Con arreglo al artículo 155 del Código del Trabajo, el trabajador tiene derecho a recibir por su trabajo una remuneración que no sea inferior al salario mínimo establecido por el Estado sin discriminación de ningún tipo. El sal</w:t>
      </w:r>
      <w:r>
        <w:rPr>
          <w:spacing w:val="0"/>
          <w:lang w:val="es-ES"/>
        </w:rPr>
        <w:t>a</w:t>
      </w:r>
      <w:r>
        <w:rPr>
          <w:spacing w:val="0"/>
          <w:lang w:val="es-ES"/>
        </w:rPr>
        <w:t>rio mínimo es una normativa social establecida por ley teniendo en cuenta las condiciones económicas y sociales y representa el nivel de ingreso mensual más bajo que puede percibirse por un trabajo no calificado o por la prestación de un servicio. El salario medio mensual de un trabajador que cumpla una norma mensual o una función durante su jornada laboral no puede ser inferior al fijado por el Estado como salario mínimo. En los convenios colectivos se pueden prever cifras superiores al salario mínimo. Las primas, los suplementos salariales y los aumentos previstos en el sistema salarial, así como los pagos de horas extraordinarias no se incluyen en el salario mínimo. El salario mínimo se establece por Decreto presidencial.</w:t>
      </w:r>
    </w:p>
    <w:p w:rsidR="001D2E73" w:rsidRDefault="001D2E73">
      <w:pPr>
        <w:pStyle w:val="H23G"/>
        <w:rPr>
          <w:lang w:val="es-ES"/>
        </w:rPr>
      </w:pPr>
      <w:r>
        <w:rPr>
          <w:lang w:val="es-ES"/>
        </w:rPr>
        <w:tab/>
      </w:r>
      <w:r>
        <w:rPr>
          <w:lang w:val="es-ES"/>
        </w:rPr>
        <w:tab/>
        <w:t>Párrafos 21 y 47 de las observaciones finales</w:t>
      </w:r>
    </w:p>
    <w:p w:rsidR="001D2E73" w:rsidRDefault="001D2E73">
      <w:pPr>
        <w:pStyle w:val="SingleTxtGR"/>
        <w:rPr>
          <w:spacing w:val="0"/>
          <w:lang w:val="es-ES"/>
        </w:rPr>
      </w:pPr>
      <w:r>
        <w:rPr>
          <w:spacing w:val="0"/>
          <w:lang w:val="es-ES"/>
        </w:rPr>
        <w:t>674.</w:t>
      </w:r>
      <w:r>
        <w:rPr>
          <w:spacing w:val="0"/>
          <w:lang w:val="es-ES"/>
        </w:rPr>
        <w:tab/>
        <w:t xml:space="preserve">Con arreglo al artículo 281 del Código del Trabajo, se prohíbe declararse en huelga en algunos sectores de servicios que tienen importancia vital para la vida y la seguridad de las personas (hospitales, abastecimiento de agua y suministro de electricidad, comunicaciones telefónicas, transporte aéreo y ferroviario, servicios de extinción de incendios). </w:t>
      </w:r>
    </w:p>
    <w:p w:rsidR="001D2E73" w:rsidRDefault="001D2E73">
      <w:pPr>
        <w:pStyle w:val="SingleTxtGR"/>
        <w:rPr>
          <w:spacing w:val="0"/>
          <w:lang w:val="es-ES"/>
        </w:rPr>
      </w:pPr>
      <w:r>
        <w:rPr>
          <w:spacing w:val="0"/>
          <w:lang w:val="es-ES"/>
        </w:rPr>
        <w:t>675.</w:t>
      </w:r>
      <w:r>
        <w:rPr>
          <w:spacing w:val="0"/>
          <w:lang w:val="es-ES"/>
        </w:rPr>
        <w:tab/>
        <w:t xml:space="preserve">El Ministerio de Trabajo y Protección Social de la Población pidió a los correspondientes organismos estatales y organizaciones nacionales que representan a los empleadores y a los trabajadores, así como a la sede de </w:t>
      </w:r>
      <w:smartTag w:uri="urn:schemas-microsoft-com:office:smarttags" w:element="PersonName">
        <w:smartTagPr>
          <w:attr w:name="ProductID" w:val="la Organizaci￳n Internacional"/>
        </w:smartTagPr>
        <w:r>
          <w:rPr>
            <w:spacing w:val="0"/>
            <w:lang w:val="es-ES"/>
          </w:rPr>
          <w:t>la Organización Internacional</w:t>
        </w:r>
      </w:smartTag>
      <w:r>
        <w:rPr>
          <w:spacing w:val="0"/>
          <w:lang w:val="es-ES"/>
        </w:rPr>
        <w:t xml:space="preserve"> del Trabajo que estudiasen la experiencia internacional en esta esfera con el fin de aclarar la cuestión de la prohibición oficial de las huelgas. Las respuestas recibidas sirvieron de base para las deliberaciones correspondientes. Según datos recibidos de la OIT, en los párrafos 544 y 563 a 568 de la Recopilación de decisiones y principios del Comité de Libertad Sindical, los hospitales y el transporte, el servicio de abastecimiento de agua y suministro de electricidad, teléfonos y correos figuran en la lista de servicios fundamentales donde está limitada e incluso prohibida la huelga. </w:t>
      </w:r>
    </w:p>
    <w:p w:rsidR="001D2E73" w:rsidRDefault="001D2E73">
      <w:pPr>
        <w:pStyle w:val="SingleTxtGR"/>
        <w:rPr>
          <w:spacing w:val="0"/>
          <w:lang w:val="es-ES"/>
        </w:rPr>
      </w:pPr>
      <w:r>
        <w:rPr>
          <w:spacing w:val="0"/>
          <w:lang w:val="es-ES"/>
        </w:rPr>
        <w:t>676.</w:t>
      </w:r>
      <w:r>
        <w:rPr>
          <w:spacing w:val="0"/>
          <w:lang w:val="es-ES"/>
        </w:rPr>
        <w:tab/>
        <w:t>Los funcionarios de los órganos legislativos y de los correspondientes órganos de poder ejecutivo, judicial y de mantenimiento del orden no pueden participar en huelgas. En los establecimientos penitenciarios se prohíbe suspender la actividad laboral y declararse en huelga para resolver conflictos laborales.</w:t>
      </w:r>
    </w:p>
    <w:p w:rsidR="001D2E73" w:rsidRDefault="001D2E73">
      <w:pPr>
        <w:pStyle w:val="SingleTxtGR"/>
        <w:rPr>
          <w:spacing w:val="0"/>
          <w:lang w:val="es-ES"/>
        </w:rPr>
      </w:pPr>
      <w:r>
        <w:rPr>
          <w:spacing w:val="0"/>
          <w:lang w:val="es-ES"/>
        </w:rPr>
        <w:t>677.</w:t>
      </w:r>
      <w:r>
        <w:rPr>
          <w:spacing w:val="0"/>
          <w:lang w:val="es-ES"/>
        </w:rPr>
        <w:tab/>
        <w:t xml:space="preserve">Según el artículo 20.1.7 de la Ley de administración pública, el funcionario público no tiene derecho a participar en huelgas y otros actos que alteren la labor de los organismos estatales. </w:t>
      </w:r>
    </w:p>
    <w:p w:rsidR="001D2E73" w:rsidRDefault="001D2E73">
      <w:pPr>
        <w:pStyle w:val="SingleTxtGR"/>
        <w:rPr>
          <w:spacing w:val="0"/>
          <w:lang w:val="es-ES"/>
        </w:rPr>
      </w:pPr>
      <w:r>
        <w:rPr>
          <w:spacing w:val="0"/>
          <w:lang w:val="es-ES"/>
        </w:rPr>
        <w:t>678.</w:t>
      </w:r>
      <w:r>
        <w:rPr>
          <w:spacing w:val="0"/>
          <w:lang w:val="es-ES"/>
        </w:rPr>
        <w:tab/>
        <w:t>De conformidad con el artículo 280 del Código del Trabajo, el derecho de los trabajadores a la huelga puede restringirse cuando hay un conflicto militar o una situación de emergencia. Tampoco se permitirá realizar huelgas que persigan fines políticos, excepto en los casos relacionados con la concertación de los principios generales de aplicación de la política socio-económica del Estado.</w:t>
      </w:r>
    </w:p>
    <w:p w:rsidR="001D2E73" w:rsidRDefault="001D2E73">
      <w:pPr>
        <w:pStyle w:val="SingleTxtGR"/>
        <w:rPr>
          <w:spacing w:val="0"/>
          <w:lang w:val="es-ES"/>
        </w:rPr>
      </w:pPr>
      <w:r>
        <w:rPr>
          <w:spacing w:val="0"/>
          <w:lang w:val="es-ES"/>
        </w:rPr>
        <w:t>679.</w:t>
      </w:r>
      <w:r>
        <w:rPr>
          <w:spacing w:val="0"/>
          <w:lang w:val="es-ES"/>
        </w:rPr>
        <w:tab/>
        <w:t xml:space="preserve">Cuando las partes no puedan resolver el conflicto laboral colectivo que haya surgido en esas esferas por medios pacíficos, será obligatorio el arbitraje. Por decisión de </w:t>
      </w:r>
      <w:smartTag w:uri="urn:schemas-microsoft-com:office:smarttags" w:element="PersonName">
        <w:smartTagPr>
          <w:attr w:name="ProductID" w:val="la Junta Directiva"/>
        </w:smartTagPr>
        <w:r>
          <w:rPr>
            <w:spacing w:val="0"/>
            <w:lang w:val="es-ES"/>
          </w:rPr>
          <w:t>la Junta Directiva</w:t>
        </w:r>
      </w:smartTag>
      <w:r>
        <w:rPr>
          <w:spacing w:val="0"/>
          <w:lang w:val="es-ES"/>
        </w:rPr>
        <w:t xml:space="preserve"> del Ministerio de Trabajo y Protección Social de la Población, de 2 de abril de 1999, fue aprobado el Reglamento de arbitraje obligatorio, que quedó registrado en el Ministerio de Justicia como instrumento normativo de 2 de abril de 1999, con el número 154 del Registro Estatal. Según el Reglamento, el arbitraje obligatorio se establece en el Ministerio de Trabajo y Protección Social de la Población y funciona de conformidad con el Reglamento. </w:t>
      </w:r>
    </w:p>
    <w:p w:rsidR="001D2E73" w:rsidRDefault="001D2E73">
      <w:pPr>
        <w:pStyle w:val="SingleTxtGR"/>
        <w:rPr>
          <w:spacing w:val="0"/>
          <w:lang w:val="es-ES"/>
        </w:rPr>
      </w:pPr>
      <w:r>
        <w:rPr>
          <w:spacing w:val="0"/>
          <w:lang w:val="es-ES"/>
        </w:rPr>
        <w:t>680.</w:t>
      </w:r>
      <w:r>
        <w:rPr>
          <w:spacing w:val="0"/>
          <w:lang w:val="es-ES"/>
        </w:rPr>
        <w:tab/>
        <w:t>Todas las partes en el conflicto deberán aplicar de inmediato los dictámenes del arbitraje obligatorio.</w:t>
      </w:r>
    </w:p>
    <w:p w:rsidR="001D2E73" w:rsidRDefault="001D2E73">
      <w:pPr>
        <w:pStyle w:val="SingleTxtGR"/>
        <w:rPr>
          <w:bCs/>
          <w:spacing w:val="0"/>
          <w:lang w:val="es-ES"/>
        </w:rPr>
      </w:pPr>
      <w:r>
        <w:rPr>
          <w:spacing w:val="0"/>
          <w:lang w:val="es-ES"/>
        </w:rPr>
        <w:t>681.</w:t>
      </w:r>
      <w:r>
        <w:rPr>
          <w:spacing w:val="0"/>
          <w:lang w:val="es-ES"/>
        </w:rPr>
        <w:tab/>
        <w:t>En 2006 fue suprimido el párrafo 2 del artículo 6 de la Ley de sindicatos, por el que se prohibía la actividad política de los sindicatos, con lo cual se cumplieron las recomendaciones del Comité de Derechos Económicos, Sociales y Culturales.</w:t>
      </w:r>
    </w:p>
    <w:p w:rsidR="001D2E73" w:rsidRDefault="001D2E73">
      <w:pPr>
        <w:pStyle w:val="H23G"/>
        <w:rPr>
          <w:i/>
          <w:lang w:val="es-ES"/>
        </w:rPr>
      </w:pPr>
      <w:r>
        <w:rPr>
          <w:lang w:val="es-ES"/>
        </w:rPr>
        <w:tab/>
      </w:r>
      <w:r>
        <w:rPr>
          <w:lang w:val="es-ES"/>
        </w:rPr>
        <w:tab/>
        <w:t>Párrafos 22 y 27 de las observaciones finales</w:t>
      </w:r>
    </w:p>
    <w:p w:rsidR="001D2E73" w:rsidRDefault="001D2E73">
      <w:pPr>
        <w:pStyle w:val="SingleTxtGR"/>
        <w:rPr>
          <w:spacing w:val="0"/>
          <w:lang w:val="es-ES"/>
        </w:rPr>
      </w:pPr>
      <w:r>
        <w:rPr>
          <w:spacing w:val="0"/>
          <w:lang w:val="es-ES"/>
        </w:rPr>
        <w:t>682.</w:t>
      </w:r>
      <w:r>
        <w:rPr>
          <w:spacing w:val="0"/>
          <w:lang w:val="es-ES"/>
        </w:rPr>
        <w:tab/>
        <w:t xml:space="preserve">El perfeccionamiento del sistema de protección social de la población, sumado a la reducción del número de beneficiarios y a la liquidación de múltiples tipos de prestaciones y beneficios, permitió crear condiciones para la asignación de ayuda social a las categorías de la población más necesitadas. </w:t>
      </w:r>
    </w:p>
    <w:p w:rsidR="001D2E73" w:rsidRDefault="001D2E73">
      <w:pPr>
        <w:pStyle w:val="SingleTxtGR"/>
        <w:rPr>
          <w:spacing w:val="0"/>
          <w:lang w:val="es-ES"/>
        </w:rPr>
      </w:pPr>
      <w:r>
        <w:rPr>
          <w:spacing w:val="0"/>
          <w:lang w:val="es-ES"/>
        </w:rPr>
        <w:t>683.</w:t>
      </w:r>
      <w:r>
        <w:rPr>
          <w:spacing w:val="0"/>
          <w:lang w:val="es-ES"/>
        </w:rPr>
        <w:tab/>
        <w:t xml:space="preserve">Según datos de la encuesta de evaluación y análisis del nivel de vida de 6.600 familias, realizado en 2008 por el Ministerio de Trabajo y Protección Social de la Población con el apoyo técnico del Grupo de evaluación pragmática de la pobreza del Banco Mundial, Azerbaiyán tiene uno de los mejores índices del mundo y ocupa los lugares primero y segundo, junto con Ucrania, entre los países de la CEI en cuanto a la eficacia de la asignación de la ayuda social. </w:t>
      </w:r>
    </w:p>
    <w:p w:rsidR="001D2E73" w:rsidRDefault="001D2E73">
      <w:pPr>
        <w:pStyle w:val="SingleTxtGR"/>
        <w:rPr>
          <w:spacing w:val="0"/>
          <w:lang w:val="es-ES"/>
        </w:rPr>
      </w:pPr>
      <w:r>
        <w:rPr>
          <w:spacing w:val="0"/>
          <w:lang w:val="es-ES"/>
        </w:rPr>
        <w:t>684.</w:t>
      </w:r>
      <w:r>
        <w:rPr>
          <w:spacing w:val="0"/>
          <w:lang w:val="es-ES"/>
        </w:rPr>
        <w:tab/>
        <w:t xml:space="preserve">La encuesta demostró, entre otras cosas, que más de la mitad de los ingresos de las familias más pobres (20% de familias), que reciben ayuda proviene de la ayuda social, lo que significa que la prestación de ayuda desempeña una importante función en la subsistencia de este sector de </w:t>
      </w:r>
      <w:smartTag w:uri="urn:schemas-microsoft-com:office:smarttags" w:element="PersonName">
        <w:smartTagPr>
          <w:attr w:name="ProductID" w:val="Ⴧ䋘჉si￳nŊԈseaŉԈ妀ᗯŁԈ뾐ᘃ尀ᗯĹԈ왠ႫıԈᛍᛍ罠ចĪԈlosͤ°ĩԈ覐ႫġԈ뾐ᘃᛌęԈ木႗đԈ㳄ヸ屘ᕰ㰔ヸ买ミ酠ᗯ瑸ឈ쿨຀廨ĉԈꮰႩāԌla Asociaci￳n MundialǹԈ蟀˥ǱԈ㳄ヸ䥘ᗜ㰔ヸ买ミ贰ᛊ鲈ឞ쿨຀廨ǩԈ鸐ႾǡԈ㳄ヸ乸ឆ㰔ヸ买ミ邸ᚮ玨ᚬ쿨຀廨ǙԌᆠ㼀4'R楪ම楪ම楪ම̇쉈ឈÿǑԈ㳄ヸ吰ᗾ㰔ヸ买ミᘈ荀ᘎ帀#廨ǉԈ랸˚ǁԈ㳄ヸ脨ᗌ㰔ヸ买ミꖘᘐ虰ᗤ帀#廨ƹԈ랸˚ƱԈ㳄ヸ㪘Ⴥ㰔ヸ买ミ楰ᗯ㚈ᗧ帀#廨ƩԈ㳄ヸႬ㰔ヸ买ミ虰ᗤ豈˥帀#廨ơԈઘ๾ƙԈ쓠˚ƑԈ㳄ヸⓠᕴ㰔ヸ买ミ탘ᘐ恀ᗯ帀#廨ƉԈ㳄ヸ池ᖽ㰔ヸ买ミ鬐ᗥꦘᛂ帀#廨ƁԈ㳄ヸ쐨ᖹ㰔ヸ买ミ恀ᗯ蚰ᗤ帀#廨ŹԈ㳄ヸ秸㰔ヸ买ミ往ᗯ怀ᗯ帀#廨 űԌ㺬ヸ佈ミ㹼ヸ㐠ꗜヘ嗠ᗬ ŦԈpoblaciónţԈ佴ミ㐠Î嘌ᗬ愘ᗯ ŜԌ㺬ヸ佈ミ㹼ヸ㐠ꗜヘ慠ᗯŸ ŕԈ愼ᗯ戀ᗯ嗨ᗬ삘˚ŎԈ佴ミ㐠Ð쏤Ⴓ憰ᗯ ŋԌ㺬ヸ佈ミ㹼ヸ㐠ꗜヘ懸ᗯ ŀԈ懔ᗯ折ᗯ慨ᗯ㤀ᘀŸĽԈ佴ミ㐠Ö押ᗯ扈ᗯ ĶԌ㺬ヸ佈ミ㹼ヸ㐠ꗜヘ抐ᗯ įԈ扬ᗯ捘ᗯ戀ᗯĨԈnuevos'Ԉ㤀ᘀŸĥԈ佴ミ㐠Ý捼ᗯ挈ᗯ ĞԌ㺬ヸ佈ミ㹼ヸ㐠ꗜヘ捐ᗯ ėԈ挬ᗯ搘ᗯ折ᗯĐԈpuestosԈԸԸčԈ佴ミ㐠åﵴႲ揈ᗯ ĆԌ㺬ヸ佈ミ㹼ヸ㐠ꗜヘ搐ᗯ ǿԈ揬ᗯ撰ᗯ捘ᗯǸԈ佴ミ㐠è擔ᗯ摠ᗯ ǵԌ㺬ヸ佈ミ㹼ヸ㐠ꗜヘ撨ᗯ买ミ ǪԈ撄ᗯ数ᗯ搘ᗯǧԈtrabajo먠ᗰǠԈ佴ミ㐠ð鴔Ⴓ攠ᗯ ǝԌ㺬ヸ佈ミ㹼ヸ㐠ꗜヘ敨ᗯ ǒԈ敄ᗯ昈ᗯ撰ᗯǏԈ佴ミ㐠ò昬ᗯ斸ᗯ ǈԌ㺬ヸ佈ミ㹼ヸ㐠ꗜヘ昀ᗯ ǁԈ旜ᗯ曈ᗯ数ᗯ㰔ヸ买ミƺԈaumentarƷԈ佴ミ㐠û䋴Ⴏ晸ᗯ ưԌ㺬ヸ佈ミ㹼ヸ㐠ꗜヘ曀ᗯ ƩԈ暜ᗯ朘ᗯ昈ᗯƢԈ佴ミ㐠þ礴ᗮ磨ᗮƟԈ礌ᗮ秐ᗮ曈ᗯƘԈ.ƗԈ뾐ᘃ籘ᛌƏԈ뒐˚ƇԈ㳄ヸ辠ᛊ㰔ヸ买ミᘈᛌ쿨຀廨ſԈ蟀˥ŷԈ㳄ヸ渰ˤ㰔ヸ买ミ댨ᘒ＠ႚ帀#廨 ůԌ㺬ヸ佈ミ㹼ヸ㐠ꗜヘ䔠ᗾѨﳕ ŤԈ㳄ヸ销ᗠ㰔ヸ买ミ椘ᗯᕚ帀#廨ŜԈ㳄ヸ㡘ᕡ㰔ヸ买ミ＠ႚ棘ᗯ帀#廨ŔԈdeœԈ㳄ヸ둨ᖻ㰔ヸ买ミ贠ᗯ庀ᗯ帀#廨ŋԈ莸႘ŃԈ㳄ヸ냐Ⴍ㰔ヸ买ミ缸Ⴗ歰ᗯ쿨຀廨ĻԈ㳄ヸ핸ᗜ㰔ヸ买ミᕚ殰ᗯ帀#廨ĳԈ㚘ᗸīԈ⨠ģԈ㑈ěԈ㳄ヸ㽈ຖ㰔ヸ买ミ歰ᗯ泰ᗯ쿨຀廨ēԈ㳄ヸ櫈ᗟ㰔ヸ买ミ槰ᗯ欰ᗯ쿨຀廨ċԈ㳄ヸ먐˚㰔ヸ买ミ樰ᗯ沰ᗯ帀#廨ăԈ莸႘ǻԈ뾐ᘃ眨ᚬǳԈǫԈ㳄ヸ닰ᘒ㰔ヸ买ミ殰ᗯ澰ᗯ帀#廨ǣԈ㳄ヸኈ჆㰔ヸ买ミ欰ᗯ墸ᘂ쿨຀廨ǛԈ㳄ヸ࿐ᕲ㰔ヸ买ミ濰ᗯ煰ᗯ帀#廨ǓԈ㎀ǋԈ술˚ǃԈ㳄ヸ酈ᕥ㰔ヸ买ミ烰ᗯ瀰ᗯ帀#廨ƻԈ뾐ᘃ逈ឞƳԌ浤睌浄睌洠睌À䘀艀ᙳ─ᚵƫԈ좨ƣԈ㳄ヸ緐Ⴜ㰔ヸ买ミ墸ᘂ塸ᘂ쿨຀廨ƛԈ磈ƓԈ술˚ƋԈ㳄ヸ萨ᘓ㰔ヸ买ミ沰ᗯ灰ᗯ帀#廨ƃԈ㳄ヸ﯀ᗼ㰔ヸ买ミ灰ᗯ洰ᗯ帀#廨ŻԈ㳄ヸ闀Ⴏ㰔ヸ买ミ淰ᗯ環ᗯ帀#廨ųԈ㳄ヸ혘˚㰔ヸ买ミ澰ᗯ濰ᗯ帀#廨ūԈ祈ţԈ㳄ヸ垘ᕥ㰔ヸ买ミ螘ᘉ淰ᗯ帀#廨śԈ㴰ᕧœԈ㳄ヸ锈Ⴖ㰔ヸ买ミ洰ᗯ燰ᗯ帀#廨ŋԈ츐#ŃԈ㳄ヸ䁘ᕭ㰔ヸ买ミ煰ᗯ螘ᘉ帀#廨ĻԈ繰ĳԈ㳄ヸᕲ㰔ヸ买ミ砰ᗯ禰ᗯ帀#廨īԈ츐#ģԈ䕈ěԈ㳄ヸᖢ㰔ヸ买ミ癨ᗯ盨ᗯ帀#廨ēԈ㳄ヸ궨ᕳ㰔ヸ买ミ现ᗯ癨ᗯ帀#廨ċԈ㳄ヸ솀ᕞ㰔ヸ买ミ環ᗯ獰ᗯ帀#廨ăԈ䏈ᕞǻԈ㳄ヸꥐᗠ㰔ヸ买ミ睨ᗯ篰ᗯ帀#廨ǳԈ瞠ǫԈ㳄ヸ獠ᗏ㰔ヸ买ミ瀰ᗯ现ᗯ帀#廨ǣԈfuncionamienton.11ʻﰔǚԈ䒐ǒԈ䴨ǊԈ술˚ǂԈ㳄ヸ၀ˠ㰔ヸ买ミ笰ᗯ絰ᗯ帀#廨ƺԈ繰ƲԈ㳄ヸ縸ᖰ㰔ヸ买ミ獰ᗯ猰ᗯ帀#廨ƪԈ㳄ヸ웈ᘎ㰔ヸ买ミ禰ᗯ睨ᗯ帀#廨ƢԈ㳄ヸ岨ᕰ㰔ヸ买ミ猰ᗯ砰ᗯ帀#廨ƚԈ㳄ヸ嬀Ⴍ㰔ヸ买ミ䥰ᗯ冘ᗯ帀#廨ƒԈ㳄ヸﴐᗥ㰔ヸ买ミ皨ᗯ琰ᗯ帀#廨 ƊԌ㺬ヸ佈ミ㹼ヸ㐠ꗜヘ떀Ⴡࡕ廓 ƃԈ췘#ŻԈ㳄ヸ䑘ᖯ㰔ヸ买ミ盨ᗯ牰ᗯ帀#廨ųԈ㏀ūԈ런˚ţԈ술˚śԈ㳄ヸ˚㰔ヸ买ミ詈ჁႣ˦廨œԈ㥸ႬﴘႴŋԈ㳄ヸ䝨ᗾ㰔ヸ买ミ牰ᗯ皨ᗯ帀#廨ŃԈ술˚ĻԈ섐˚ĳԈ瞠īԈ菠ᙖģԈ㳄ヸ墐ຉ㰔ヸ买ミ篰ᗯ笰ᗯ帀#廨ěԈ㳄ヸ韠ᕵ㰔ヸ买ミ竰ᗯ痨ᗯ帀#廨ēԈ䎸ᙘċԈ㔐ăԈ㳄ヸᗝ㰔ヸ买ミ琰ᗯ竰ᗯ帀#廨ǻԈᥘჃǳԈ矨ǫԈ㳄ヸ㟨ᘀ㰔ヸ买ミ缰ᗯ釐˥帀#廨ǣԈ瞠ǛԈ㳄ヸ─႘㰔ヸ买ミ﬘Ⴙ䎈ᗯ帀#廨ǓԈ㳄ヸ읐Ⴢ㰔ヸ买ミ痨ᗯ繰ᗯ帀#廨ǋԈ㳄ヸ郐ᕥ㰔ヸ买ミ翰ᗯ艰ᗯ帀#廨ǃԈ蟀˥ƻԈ㳄ヸ⺘ᕳ㰔ヸ买ミ纰ᗯ缰ᗯ帀#廨ƳԈ㳄ヸ킈ᗳ㰔ヸ买ミ絰ᗯ纰ᗯ帀#廨ƫԈ㳄ヸꗸᘅ㰔ヸ买ミ繰ᗯ縰ᗯ帀#廨ƣԈ瞠ƛԈ㳄ヸᗖ㰔ヸ买ミ縰ᗯ粰ᗯ帀#廨ƓԈ睘ƋԈ㶨ƃԈ㳄ヸ錀ᘗ㰔ヸ买ミ膰ᗯ綰ᗯ帀#廨ŻԈ㳄ヸᕛ㰔ヸ买ミ䙰ᗯ䡰ᗯ帀#廨ųԈ坘ūԈ㳄ヸ˚㰔ヸ买ミ䢰ᗯ胰ᗯ˦廨ţԈ㳄ヸᶠ๼㰔ヸ买ミ肰ᗯ扈ᘋ˦廨śԈ䴨œԈ㳄ヸ幘ຌ㰔ヸ买ミ釐˥舰ᗯ帀#廨ŋԈ㳄ヸ最ᙆ㰔ヸ买ミ舰ᗯ翰ᗯ帀#廨ŃԈ佴ミ㐠%鏴ᗱ凐ᗾļԈ,sױﮑĻԈ㳄ヸᑨ჆㰔ヸ买ミ腰ᗯ膰ᗯ帀#廨ĳԈ㳄ヸ嘀ˣ㰔ヸ买ミ綰ᗯ芰ᗯ帀#廨īԈ㳄ヸ鄀˚㰔ヸ买ミ艰ᗯ蓰ᗯ帀#廨ģԈ쵰#ěԈ䓐ēԈ蟀˥ċԈ㳄ヸ䉈ᖿ㰔ヸ买ミ薰ᗯ虰ᗯ帀#廨ăԈ㳄ヸᄀᗍ㰔ヸ买ミ蓰ᗯ薰ᗯ帀#廨ǻԈ䓐ǳԈ믨ᖁǫԈ沘ǣԈ㳄ヸ尸Ⴣ㰔ヸ买ミ芰ᗯ菰ᗯ帀#廨ǛԈ㳄ヸ뛰ᕟ㰔ヸ买ミ藰ᗯ䍈ᗯ帀#廨ǓԈ䇠ᗰǋԈ㳄ヸ쾀#㰔ヸ买ミ菰ᗯ莰ᗯ帀#廨ǃԈ㳄ヸ뇠ᗌ㰔ヸ买ミ䏈ᗯ蔰ᗯ帀#廨ƻԈ࿘ᕐƳԈ㳄ヸˢ㰔ヸ买ミ莰ᗯ蜰ᗯ帀#廨ƫԈ࿘ᕐƣԈ㤀ᘀƛԈ㳄ヸꢨႴ㰔ヸ买ミ虰ᗯ蟰ᗯ帀#廨ƓԈ㳄ヸ鸀Ⴖ㰔ヸ买ミ蟰ᗯ﬘Ⴙ帀#廨ƋԈ춠#ƃԈ㳄ヸ迸ᗤ㰔ヸ买ミ蜰ᗯ蝰ᗯ帀#廨ŻԈdeŶԌܐ婢ႼŵԈdeŰԈ&#10;FondoůԈlaŪԈ&#10;AlievũԐdegԌ⋸ᗌ࿐ᕲťԈ㳄ヸ㡨ᘀ㰔ヸ买ミ䎈ᗯ䐈ᗯ帀#廨ŝԈ춠#ŕԈ冬ᗾ㢐ᘀ䉠ႺnsorŎԈ&#10;nivelōԈ㳄ヸ✰᚛㰔ヸ买ミ䶘ᗯ䱘ᗯ쿨຀廨ŅԈ㳄ヸ䑈ᘉ㰔ヸ买ミ丘ᗯ譠ᗯ帀#廨ĽԈ㌸ĵԈ㳄ヸ翸ᘊ㰔ヸ买ミ譠ᗯ豠ᗯ帀#廨ĭԈ㋸ĥԈ忘აĝԈ趈˥ĕԈ㳄ヸ흨ᕱ㰔ヸ买ミ觠ᗯ詠ᗯ帀#廨čԈ穰຀ąԈ㳄ヸ஘๾㰔ヸ买ミ谠ᗯ亘ᗯ帀#廨ǽԈ㳄ヸ駨ᘹ㰔ヸ买ミ豠ᗯ诠ᗯ帀#廨ǵԈ㳄ヸꓸᙄ㰔ヸ买ミ詠ᗯ谠ᗯ帀#廨ǭԈ뾐ᘃຐǥԈ㳄ヸഈᕬ㰔ヸ买ミ躠ᗯ辠ᗯ帀#廨ǝԈ㳄ヸ꿸ᖭ㰔ヸ买ミ遠ᗯ楰ᗯ帀#廨ǕԈƸჄǍԈ˚ǅԈ㳄ヸ庀჆㰔ヸ买ミ蹠ᗯ遠ᗯ帀#廨ƽԈ箠຀ƵԈ㳄ヸ㙸ᗧ㰔ヸ买ミ輠ᗯ跠ᗯ帀#廨ƭԈ㳄ヸ蔘ᖑ㰔ヸ买ミ亘ᗯ賠ᗯ帀#廨ƥԈ㳄ヸ쭐ᖋ㰔ヸ买ミ辠ᗯ輠ᗯ帀#廨ƝԈ㳄ヸᥨႨ㰔ヸ买ミ軠ᗯ蹠ᗯ帀#廨ƕԈ믨ᖁƍԈ㳄ヸ鏨ᗠ㰔ヸ买ミ賠ᗯ軠ᗯ帀#廨ƅԈ뾐ᘃຐŽԈ쏠˚ŵԈ㳄ヸ忸ᗨ㰔ヸ买ミ跠ᗯ贠ᗯ帀#廨ŭԈ㳄ヸ矸ᛌ㰔ヸ买ミ捨ᚴ拨ᚴ쿨຀廨ťԈdeŠԈlosşԌ뱈ឌ뱈ឌŝԈ죰ŕԈ㳄ヸ䏈˥㰔ヸ买ミ塸ᘂ宀ᗯ쿨຀廨ōԐ.욈ବℚ頠ᘑŉԈ,ńԈdeŃԈdelľԈlaĽԈdeĸԌۘrķԐpor띘຀ĳԈ&#10;buena ĮԌ㺬ヸ佈ミ㹼ヸ㐠ꗜヘ唘ᗯ ħԐ佴ミ㐠䈼ᗯ馨ᗯ˚ġԔ봰ង봰ង壸ᘂ鉐ᗯĜԈ쵰#ĔԈ㍐ᖾ왠ᖾﳸႴⷨ˟茨˥䙈˥㍐ᖾ햰ᗌďԈ佴ミ㐠ê꿄ᗵ恰ᗳĈԈse ćԌ㺬ヸ佈ミ㹼ヸ㐠ꗜヘ鐘ᗯa  ǼԈ鏴ᗯ铐ᗯ똨ᗱe AzǹԈ,, prǴԈ佴ミ㐠Ø铴ᗯ钀ᗯ ǱԌ㺬ヸ佈ミ㹼ヸ㐠ꗜヘ铈ᗯol ǦԈ钤ᗯ閐ᗯ鐠ᗯnizaǣԈnacionalidadsǜԈ佴ミ㐠ä閴ᗯ镀ᗯ ǙԌ㺬ヸ佈ミ㹼ヸ㐠ꗜヘ閈ᗯES ǎԈ镤ᗯ陀ᗯ铐ᗯnizaǋԈ,la CǆԈ佴ミ㐠æ除ᗯ闰ᗯ ǃԌ㺬ヸ佈ミ㹼ヸ㐠ꗜヘ阸ᗯ C ƸԈ阔ᗯ需ᗯ閐ᗯy diƵԈreligiónamentƮԈ佴ミ㐠î霤ᗯ隰ᗯ ƫԌ㺬ヸ佈ミ㹼ヸ㐠ꗜヘ雸ᗯde ƠԈ雔ᗯ鞰ᗯ陀ᗯ un ƝԈ,ernaƘԈ佴ミ㐠ð韔ᗯ靠ᗯ ƕԌ㺬ヸ佈ミ㹼ヸ㐠ꗜヘ鞨ᗯmu ƊԈ鞄ᗯ顰ᗯ需ᗯo inƇԈidioma, cuyo ƀԈ佴ミ㐠ö颔ᗯ頠ᗯ ŽԌ㺬ヸ佈ミ㹼ヸ㐠ꗜヘ顨ᗯde ŲԈ顄ᗯ餠ᗯ鞰ᗯjer ůԈ,álogŪԈ佴ミ㐠ø饄ᗯ飐ᗯ ŧԌ㺬ヸ佈ミ㹼ヸ㐠ꗜヘ餘ᗯer ŜԈ飴ᗯ馈ᗯ顰ᗯnos řԈsexoeŔԈ佴ミ㐠ü뛔ᗱ뚈ᗱőԈ뚬ᗱ띠ᗱ餠ᗯer.&#10; ŊԌ㺬ヸ佈ミ㹼ヸ㐠ꗜヘ駰ᗯ ŃԈ駌ᗯ骐ᗯ唠ᗯļԈ佴ミ㐠ᗮ驀ᗯ ĹԌ㺬ヸ佈ミ㹼ヸ㐠ꗜヘ骈ᗯ˰ ĮԈ驤ᗯ鬨ᗯ駸ᗯīԈ佴ミ㐠 &#10;魌ᗯ高ᗯ ĤԌ㺬ヸ佈ミ㹼ヸ㐠ꗜヘ鬠ᗯ̃ ĝԈ髼ᗯ鯨ᗯ骐ᗯ̈ĖԈiniciativaēԈ佴ミ㐠鈤ᗯ鮘ᗯ ČԌ㺬ヸ佈ミ㹼ヸ㐠ꗜヘ鯠ᗯଊ串 ąԈ鮼ᗯ鲀ᗯ鬨ᗯǾԈ佴ミ㐠鈌ᗯ鰰ᗯ ǻԌ㺬ヸ佈ミ㹼ヸ㐠ꗜヘ鱸ᗯ ǰԈ鱔ᗯ鴘ᗯ鯨ᗯ肀ǭԈ佴ミ㐠鴼ᗯ鳈ᗯ ǦԌ㺬ヸ佈ミ㹼ヸ㐠ꗜヘ鴐ᗯ ǟԈ鳬ᗯ鷘ᗯ鲀ᗯǘԈesposaǕԈ佴ミ㐠!釴ᗯ鶈ᗯ ǎԌ㺬ヸ佈ミ㹼ヸ㐠ꗜヘ鷐ᗯ ǇԈ鶬ᗯ鹰ᗯ鴘ᗯǀԈ佴ミ㐠%&#10;麔ᗯ鸠ᗯ ƽԌ㺬ヸ佈ミ㹼ヸ㐠ꗜヘ鹨ᗯ肀 ƲԈ鹄ᗯ鼰ᗯ鷘ᗯÿƯԈPresidenteƨԈ佴ミ㐠0釜ᗯ黠ᗯ ƥԌ㺬ヸ佈ミ㹼ヸ㐠ꗜヘ鼨ᗯ ƚԈ鼄ᗯ鿈ᗯ鹰ᗯÿƗԈ佴ミ㐠3&#10;鿬ᗯ齸ᗯ ƐԌ㺬ヸ佈ミ㹼ヸ㐠ꗜヘ鿀ᗯ肀 ƉԈ龜ᗯꂈᗯ鼰ᗯƂԈAzerbaiyánſԈ佴ミ㐠=釄ᗯꀸᗯ ŸԌ㺬ヸ佈ミ㹼ヸ㐠ꗜヘꂀᗯ`` űԈꁜᗯꄠᗯ鿈ᗯϨϨŪԈ佴ミ㐠?&#10;ꅄᗯꃐᗯ ŧԌ㺬ヸ佈ミ㹼ヸ㐠ꗜヘꄘᗯς ŜԈꃴᗯꇠᗯꂈᗯχřԈpresidentaόŒԈ佴ミ㐠J᳴๼ꆐᗯ ŏԌ㺬ヸ佈ミ㹼ヸ㐠ꗜヘꇘᗯϚ ńԈꆴᗯꉸᗯꄠᗯϟŁԈ佴ミ㐠N衼ᗯꈨᗯ ĺԌ㺬ヸ佈ミ㹼ヸ㐠ꗜヘꉰᗯϭ ĳԈꉌᗯ㉨ᗱꇠᗯϲĬԈ佴ミ㐠T㊌ᗱꋀᗯ ĩԌ㺬ヸ佈ミ㹼ヸ㐠ꗜヘ㉠ᗱ ĞԈ,ĝԈlasᏕĘԎt佈ミ㹼ヸ㐠ꗜヘ⧨ᕶ. ŮЈ佴ミ㐠 ⣜ᕶ♰ᕶūЈ⚔ᕶ⥸ᕶ⠈ᕶŤЈseguridadšЈ佴ミ㐠¨⦜ᕶ⤨ᕶ ŚЌ㺬ヸ佈ミ㹼ヸ㐠ꗜヘ⥰ᕶ œЈ⥌ᕶ⧰ᕶ⢸ᕶŌЈsocialŉЈ佴ミ㐠®⨔ᕶ⡀ᕶłЈ⡤ᕶ⪠ᕶ⥸ᕶĿЈ.ĺЈ佴ミ㐠¯⫄ᕶ⩐ᕶ ķЌ㺬ヸ佈ミ㹼ヸ㐠ꗜヘ⪘ᕶ ĬЈ⩴ᕶ⮠ᕶ⧰ᕶĩЈ&#10;ĤЈ.7.ģЈel1ĞЈDeĝЈ.ken ListdĖЈconformidadēЈconal.adČЈ⯤ᕶⲀᕶ⪠ᕶTag ĉЌ㺬ヸ佈ミ㹼ヸ㐠ꗜヘ⮘ᕶ ǾЈ佴ミ㐠⫝̸ᕶⰰᕶ ǻЌ㺬ヸ佈ミ㹼ヸ㐠ꗜヘⱸᕶ ǰЈⱔᕶⴘᕶ⮠ᕶǭЈ佴ミ㐠⬌ᕶⳈᕶ ǦЌ㺬ヸ佈ミ㹼ヸ㐠ꗜヘⴐᕶ ǟЈⳬᕶⶰᕶⲀᕶǘЈ佴ミ㐠 ⭌ᕶⵠᕶ ǕЌ㺬ヸ佈ミ㹼ヸ㐠ꗜヘⶨᕶ ǊЈⶄᕶ⹈ᕶⴘᕶǇЈ佴ミ㐠⭴ᕶⷸᕶ ǀЌ㺬ヸ佈ミ㹼ヸ㐠ꗜヘ⹀ᕶ ƹЈ⸜ᕶ⻠ᕶⶰᕶƲЈ佴ミ㐠⫴ᕶ⺐ᕶ ƯЌ㺬ヸ佈ミ㹼ヸ㐠ꗜヘ⻘ᕶ ƤЈ⺴ᕶ⽸ᕶ⹈ᕶơЈ佴ミ㐠⾜ᕶ⼨ᕶ ƚЌ㺬ヸ佈ミ㹼ヸ㐠ꗜヘ⽰ᕶ ƓЈ⽌ᕶ〸ᕶ⻠ᕶƌЈpárrafoƉЈ佴ミ㐠$ぜᕶ⿨ᕶ ƂЌ㺬ヸ佈ミ㹼ヸ㐠ꗜヘ〰ᕶ ŻЈ「ᕶヨᕶ⽸ᕶŴЈIIIųЈ佴ミ㐠(ㄌᕶ゘ᕶ ŬЌ㺬ヸ佈ミ㹼ヸ㐠ꗜヘムᕶ ťЈゼᕶ㆘ᕶ〸ᕶŞЈdeŝЈ佴ミ㐠+ㆼᕶㅈᕶ ŖЌ㺬ヸ佈ミ㹼ヸ㐠ꗜヘ㆐ᕶ ŏЈㅬᕶ㉈ᕶヨᕶňЈ&#10;dichoŇЈ佴ミ㐠1㉬ᕶㇸᕶ ŀЌ㺬ヸ佈ミ㹼ヸ㐠ꗜヘ㉀ᕶ ĹЈ㈜ᕶ㌈ᕶ㆘ᕶĲЈartículoįЈ佴ミ㐠:㌬ᕶ㊸ᕶ ĨЌ㺬ヸ佈ミ㹼ヸ㐠ꗜヘ㌀ᕶ ġЈ㋜ᕶ㎸ᕶ㉈ᕶĚЈdeęЈ佴ミ㐠=㏜ᕶ㍨ᕶ ĒЌ㺬ヸ佈ミ㹼ヸ㐠ꗜヘ㎰ᕶ ċЈ㎌ᕶ㑨ᕶ㌈ᕶĄЈlaăЈ佴ミ㐠@㒌ᕶ㐘ᕶ ǼЌ㺬ヸ佈ミ㹼ヸ㐠ꗜヘ㑠ᕶ ǵЈ㐼ᕶ㔨ᕶ㎸ᕶǮЈConstituciónǫЈ佴ミ㐠L㕌ᕶ㓘ᕶ ǤЌ㺬ヸ佈ミ㹼ヸ㐠ꗜヘ㔠ᕶ ǝЈ㓼ᕶ㗘ᕶ㑨ᕶǖЈ,ǕЈ佴ミ㐠N㗼ᕶ㖈ᕶ ǎЌ㺬ヸ佈ミ㹼ヸ㐠ꗜヘ㗐ᕶ ǇЈ㖬ᕶ㚈ᕶ㔨ᕶǀЈtodaƿЈ佴ミ㐠S㚬ᕶ㘸ᕶ ƸЌ㺬ヸ佈ミ㹼ヸ㐠ꗜヘ㚀ᕶ ƱЈ㙜ᕶ㝈ᕶ㗘ᕶƪЈpersonaƧЈ佴ミ㐠[㝬ᕶ㛸ᕶ ƠЌ㺬ヸ佈ミ㹼ヸ㐠ꗜヘ㝀ᕶ ƙЈ㜜ᕶ㟸ᕶ㚈ᕶƒЈ&#10;tieneƑЈ佴ミ㐠a㠜ᕶ㞨ᕶ ƊЌ㺬ヸ佈ミ㹼ヸ㐠ꗜヘ㟰ᕶ ƃЈ㟌ᕶ㢸ᕶ㝈ᕶżЈderechoŹЈ佴ミ㐠i㣜ᕶ㡨ᕶ ŲЌ㺬ヸ佈ミ㹼ヸ㐠ꗜヘ㢰ᕶ ūЈ㢌ᕶ㥨ᕶ㟸ᕶŤЈaţЈ佴ミ㐠k㦌ᕶ㤘ᕶ ŜЌ㺬ヸ佈ミ㹼ヸ㐠ꗜヘ㥠ᕶ ŕЈ㤼ᕶ㨘ᕶ㢸ᕶŎЈlaōЈ佴ミ㐠n 㨼ᕶ㧈ᕶ ņЌ㺬ヸ佈ミ㹼ヸ㐠ꗜヘ㨐ᕶ ĿЈ㧬ᕶ㫘ᕶ㥨ᕶĸЈseguridadĵЈ佴ミ㐠x㫼ᕶ㪈ᕶ ĮЌ㺬ヸ佈ミ㹼ヸ㐠ꗜヘ㫐ᕶ ħЈ㪬ᕶ㮘ᕶ㨘ᕶĠЈsocialĝЈ佴ミ㐠㮼ᕶ㭈ᕶ ĖЌ㺬ヸ佈ミ㹼ヸ㐠ꗜヘ㮐ᕶ ďЈ㭬ᕶ㱈ᕶ㫘ᕶĈЈalćЈ佴ミ㐠㱬ᕶ㯸ᕶ ĀЌ㺬ヸ佈ミ㹼ヸ㐠ꗜヘ㱀ᕶ ǹЈ㰜ᕶ㴈ᕶ㮘ᕶǲЈcumplirǯЈ佴ミ㐠㴬ᕶ㲸ᕶ ǨЌ㺬ヸ佈ミ㹼ヸ㐠ꗜヘ㴀ᕶ ǡЈ㳜ᕶ㶸ᕶ㱈ᕶǚЈlaǙЈ佴ミ㐠㷜ᕶ㵨ᕶ ǒЌ㺬ヸ佈ミ㹼ヸ㐠ꗜヘ㶰ᕶ ǋЈ㶌ᕶ㹨ᕶ㴈ᕶǄЈedadǃЈ佴ミ㐠㺌ᕶ㸘ᕶ ƼЌ㺬ヸ佈ミ㹼ヸ㐠ꗜヘ㹠ᕶ ƵЈ㸼ᕶ㼨ᕶ㶸ᕶƮЈestablecidaƫЈ佴ミ㐠㽌ᕶ㻘ᕶ ƤЌ㺬ヸ佈ミ㹼ヸ㐠ꗜヘ㼠ᕶ ƝЈ㻼ᕶ㿘ᕶ㹨ᕶƖЈporƕЈ佴ミ㐠¢㿼ᕶ㾈ᕶ ƎЌ㺬ヸ佈ミ㹼ヸ㐠ꗜヘ㿐ᕶ ƇЈ㾬ᕶ䂈ᕶ㼨ᕶƀЈleyကЀſЈ佴ミ㐠¥䂬ᕶ䀸ᕶ ŸЌ㺬ヸ佈ミ㹼ヸ㐠ꗜヘ䂀ᕶ űЈ䁜ᕶ䄸ᕶ㿘ᕶŪЈ,ũЈ佴ミ㐠§䅜ᕶ䃨ᕶ ŢЌ㺬ヸ佈ミ㹼ヸ㐠ꗜヘ䄰ᕶ śЈ䄌ᕶ䇨ᕶ䂈ᕶŔЈenœЈ佴ミ㐠ª䈌ᕶ䆘ᕶ ŌЌ㺬ヸ佈ミ㹼ヸ㐠ꗜヘ䇠ᕶ ŅЈ䆼ᕶ䊘ᕶ䄸ᕶľЈcasoĽЈ佴ミ㐠¯䊼ᕶ䉈ᕶ ĶЌ㺬ヸ佈ミ㹼ヸ㐠ꗜヘ䊐ᕶ įЈ䉬ᕶ䍈ᕶ䇨ᕶĨЈdeħЈ佴ミ㐠²&#10;䍬ᕶ䋸ᕶ ĠЌ㺬ヸ佈ミ㹼ヸ㐠ꗜヘ䍀ᕶ ęЈ䌜ᕶ䐈ᕶ䊘ᕶĒЈenfermedadďЈ佴ミ㐠¼䐬ᕶ䎸ᕶ ĈЌ㺬ヸ佈ミ㹼ヸ㐠ꗜヘ䐀ᕶ āЈ䏜ᕶ䒸ᕶ䍈ᕶǺЈ,ǹЈ佴ミ㐠¾䓜ᕶ䑨ᕶ ǲЌ㺬ヸ佈ミ㹼ヸ㐠ꗜヘ䒰ᕶ ǫЈ䒌ᕶ䕸ᕶ䐈ᕶǤЈdiscapacidadǡЈ佴ミ㐠Ê䖜ᕶ䔨ᕶ ǚЌ㺬ヸ佈ミ㹼ヸ㐠ꗜヘ䕰ᕶ ǓЈ䕌ᕶ䘨ᕶ䒸ᕶǌЈ,ǋЈ佴ミ㐠Ì䙌ᕶ䗘ᕶ ǄЌ㺬ヸ佈ミ㹼ヸ㐠ꗜヘ䘠ᕶ ƽЈ䗼ᕶ䛨ᕶ䕸ᕶƶЈpérdidaƳЈ佴ミ㐠Ô䜌ᕶ䚘ᕶ ƬЌ㺬ヸ佈ミ㹼ヸ㐠ꗜヘ䛠ᕶ ƥЈ䚼ᕶ䞘ᕶ䘨ᕶƞЈdelƝЈ佴ミ㐠Ø䞼ᕶ䝈ᕶ ƖЌ㺬ヸ佈ミ㹼ヸ㐠ꗜヘ䞐ᕶ ƏЈ䝬ᕶ䡘ᕶ䛨ᕶƈЈsosténƅЈ佴ミ㐠ß䡼ᕶ䠈ᕶ žЌ㺬ヸ佈ミ㹼ヸ㐠ꗜヘ䡐ᕶ ŷЈ䠬ᕶ䤈ᕶ䞘ᕶŰЈdeůЈ佴ミ㐠â䤬ᕶ䢸ᕶ ŨЌ㺬ヸ佈ミ㹼ヸ㐠ꗜヘ䤀ᕶ šЈ䣜ᕶ䦸ᕶ䡘ᕶŚЈlařЈ佴ミ㐠å䧜ᕶ䥨ᕶ ŒЌ㺬ヸ佈ミ㹼ヸ㐠ꗜヘ䦰ᕶ ŋЈ䦌ᕶ䩸ᕶ䤈ᕶńЈfamiliaŁЈ佴ミ㐠ì䪜ᕶ䨨ᕶ ĺЌ㺬ヸ佈ミ㹼ヸ㐠ꗜヘ䩰ᕶ ĳЈ䩌ᕶ䬨ᕶ䦸ᕶĬЈ,īЈ佴ミ㐠î䭌ᕶ䫘ᕶ ĤЌ㺬ヸ佈ミ㹼ヸ㐠ꗜヘ䬠ᕶ ĝЈ䫼ᕶ䯨ᕶ䩸ᕶĖЈpérdidaēЈ佴ミ㐠ö䰌ᕶ䮘ᕶ ČЌ㺬ヸ佈ミ㹼ヸ㐠ꗜヘ䯠ᕶ ąЈ䮼ᕶ䲘ᕶ䬨ᕶǾЈdeǽЈ佴ミ㐠ù䲼ᕶ䱈ᕶ ǶЌ㺬ヸ佈ミ㹼ヸ㐠ꗜヘ䲐ᕶ ǯЈ䱬ᕶ䵈ᕶ䯨ᕶǨЈlaǧЈ佴ミ㐠ü 䵬ᕶ䳸ᕶ ǠЌ㺬ヸ佈ミ㹼ヸ㐠ꗜヘ䵀ᕶ ǙЈ䴜ᕶ丈ᕶ䲘ᕶǒЈcapacidadǏЈ佴ミ㐠Ć丬ᕶ䶸ᕶ ǈЌ㺬ヸ佈ミ㹼ヸ㐠ꗜヘ一ᕶ ǁЈ䷜ᕶ仈ᕶ䵈ᕶƺЈlaboralƷЈ佴ミ㐠č们ᕶ乸ᕶ ưЌ㺬ヸ佈ミ㹼ヸ㐠ꗜヘ什ᕶ ƩЈ亜ᕶ佸ᕶ丈ᕶƢЈ,ơЈ佴ミ㐠ď 侜ᕶ伨ᕶ ƚЌ㺬ヸ佈ミ㹼ヸ㐠ꗜヘ佰ᕶ ƓЈ佌ᕶ倸ᕶ仈ᕶƌЈdesempleoƉЈ佴ミ㐠ę停ᕶ俨ᕶ ƂЌ㺬ヸ佈ミ㹼ヸ㐠ꗜヘ倰ᕶ ŻЈ倌ᕶ僨ᕶ佸ᕶŴЈyųЈ佴ミ㐠ě儌ᕶ傘ᕶ ŬЌ㺬ヸ佈ミ㹼ヸ㐠ꗜヘ僠ᕶ ťЈ傼ᕶ冘ᕶ倸ᕶŞЈ&#10;otrasŝЈ佴ミ㐠ġ쎬ᕵ先ᕶ ŖЌ㺬ヸ佈ミ㹼ヸ㐠ꗜヘ冐ᕶ ŏЈ公ᕶ到ᕶ僨ᕶňЈ佴ミ㐠İ 剔ᕶ几ᕶ ŅЌ㺬ヸ佈ミ㹼ヸ㐠ꗜヘ刨ᕶ ĺЈ刄ᕶ勰ᕶ冘ᕶķЈprevistasİЈ佴ミ㐠ĺ匔ᕶ加ᕶ ĭЌ㺬ヸ佈ミ㹼ヸ㐠ꗜヘ勨ᕶ ĢЈ勄ᕶ厠ᕶ到ᕶğЈenĚЈ佴ミ㐠Ľ叄ᕶ卐ᕶ ėЌ㺬ヸ佈ミ㹼ヸ㐠ꗜヘ厘ᕶ ČЈ却ᕶ呐ᕶ勰ᕶĉЈlaĄЈ佴ミ㐠ŀ呴ᕶ吀ᕶ āЌ㺬ヸ佈ミ㹼ヸ㐠ꗜヘ呈ᕶ ǶЈ吤ᕶ唀ᕶ厠ᕶǳЈleyǮЈ佴ミ㐠Ń唤ᕶ咰ᕶ ǫЌ㺬ヸ佈ミ㹼ヸ㐠ꗜヘ哸ᕶ ǠЈ哔ᕶ喰ᕶ呐ᕶǝЈ.ǘЈ佴ミ㐠Ņ嗔ᕶ啠ᕶ ǕЌ㺬ヸ佈ミ㹼ヸ㐠ꗜヘ喨ᕶ ǊЈ善ᕶ圠ᕶ唀ᕶǇЈ&#10;ǂЈeseǁЈ&#10;SegúnƼЈde.ƻЈ240n ListdƴЈartículoadƱЈ239y.dƪЈ佴ミ㐠嚄ᕶ囐ᕶ ƧЌ㺬ヸ佈ミ㹼ヸ㐠ꗜヘ團ᕶ ƜЈ围ᕶ垸ᕶ喰ᕶƙЈ佴ミ㐠⬤ᕶ坨ᕶ ƒЌ㺬ヸ佈ミ㹼ヸ㐠ꗜヘ垰ᕶ ƋЈ垌ᕶ塐ᕶ圠ᕶƄЈ佴ミ㐠嘄ᕶ堀ᕶ ƁЌ㺬ヸ佈ミ㹼ヸ㐠ꗜヘ塈ᕶ ŶЈ堤ᕶ壨ᕶ垸ᕶųЈ佴ミ㐠嗬ᕶ墘ᕶ ŬЌ㺬ヸ佈ミ㹼ヸ㐠ꗜヘ壠ᕶ ťЈ墼ᕶ妀ᕶ塐ᕶŞЈ佴ミ㐠噜ᕶ夰ᕶ śЌ㺬ヸ佈ミ㹼ヸ㐠ꗜヘ奸ᕶ ŐЈ奔ᕶ娘ᕶ壨ᕶōЈ佴ミ㐠嘜ᕶ姈ᕶ ņЌ㺬ヸ佈ミ㹼ヸ㐠ꗜヘ娐ᕶ ĿЈ姬ᕶ媰ᕶ妀ᕶĸЈ佴ミ㐠嫔ᕶ婠ᕶ ĵЌ㺬ヸ佈ミ㹼ヸ㐠ꗜヘ媨ᕶ ĪЈ媄ᕶ孠ᕶ娘ᕶħЈlaĢЈ佴ミ㐠宄ᕶ嬐ᕶ ğЌ㺬ヸ佈ミ㹼ヸ㐠ꗜヘ存ᕶ ĔЈ嬴ᕶ尠ᕶ媰ᕶđЈConstituciónĊЈ佴ミ㐠+屄ᕶ寐ᕶ ćЌ㺬ヸ佈ミ㹼ヸ㐠ꗜヘ尘ᕶ ǼЈ寴ᕶ峐ᕶ孠ᕶǹЈ,ǴЈ佴ミ㐠-峴ᕶ岀ᕶ ǱЌ㺬ヸ佈ミ㹼ヸ㐠ꗜヘ峈ᕶ ǦЈ岤ᕶ嶀ᕶ尠ᕶǣЈseǞЈ佴ミ㐠0嶤ᕶ崰ᕶ ǛЌ㺬ヸ佈ミ㹼ヸ㐠ꗜヘ嵸ᕶ ǐЈ嵔ᕶ幀ᕶ峐ᕶǍЈestableceráǆЈ佴ミ㐠&lt;幤ᕶ巰ᕶ ǃЌ㺬ヸ佈ミ㹼ヸ㐠ꗜヘ常ᕶ ƸЈ帔ᕶ廰ᕶ嶀ᕶƵЈporưЈ佴ミ㐠@弔ᕶ庠ᕶ ƭЌ㺬ヸ佈ミ㹼ヸ㐠ꗜヘ廨ᕶ ƢЈ廄ᕶ徠ᕶ幀ᕶƟЈleyƚЈ佴ミ㐠D忄ᕶ彐ᕶ ƗЌ㺬ヸ佈ミ㹼ヸ㐠ꗜヘ徘ᕶ ƌЈ彴ᕶ恘ᕶ廰ᕶƉЈlaƄА佴ミ㐠G恼ᕶ怈ᕶ žЌ㺬ヸ佈ミ㹼ヸ㐠ꗜヘ恐ᕶ ŷЈ怬ᕶ愘ᕶ徠ᕶŰЈpensiónŭЈ佴ミ㐠O愼ᕶ惈ᕶ ŦЌ㺬ヸ佈ミ㹼ヸ㐠ꗜヘ愐ᕶ şЈ惬ᕶ懘ᕶ恘ᕶŘЈmínimaŕЈ佴ミ㐠V懼ᕶ憈ᕶ ŎЌ㺬ヸ佈ミ㹼ヸ㐠ꗜヘ懐ᕶ ŇЈ憬ᕶ抈ᕶ愘ᕶŀЈyĿЈ佴ミ㐠X抬ᕶ戸ᕶ ĸЌ㺬ヸ佈ミ㹼ヸ㐠ꗜヘ技ᕶ ıЈ扜ᕶ挸ᕶ懘ᕶĪЈlaĩЈ佴ミ㐠[&#10;捜ᕶ拨ᕶ ĢЌ㺬ヸ佈ミ㹼ヸ㐠ꗜヘ挰ᕶ ěЈ挌ᕶ揸ᕶ抈ᕶĔЈprestaciónđЈ佴ミ㐠f搜ᕶ推ᕶ ĊЌ㺬ヸ佈ミ㹼ヸ㐠ꗜヘ揰ᕶ ăЈ揌ᕶ撸ᕶ挸ᕶǼЈsocialǹЈ佴ミ㐠m擜ᕶ摨ᕶ ǲЌ㺬ヸ佈ミ㹼ヸ㐠ꗜヘ撰ᕶ ǫЈ撌ᕶ數ᕶ揸ᕶǤЈmínimaǡЈ佴ミ㐠t斜ᕶ攨ᕶ ǚЌ㺬ヸ佈ミ㹼ヸ㐠ꗜヘ数ᕶ ǓЈ敌ᕶ昨ᕶ撸ᕶǌЈyǋЈ佴ミ㐠v晌ᕶ旘ᕶ ǄЌ㺬ヸ佈ミ㹼ヸ㐠ꗜヘ映ᕶ ƽЈ旼ᕶ曘ᕶ數ᕶƶЈelƵЈ佴ミ㐠y曼ᕶ暈ᕶ ƮЌ㺬ヸ佈ミ㹼ヸ㐠ꗜヘ曐ᕶ ƧЈ暬ᕶ枘ᕶ昨ᕶƠЈEstadoƝЈ佴ミ㐠枼ᕶ杈ᕶ ƖЌ㺬ヸ佈ミ㹼ヸ㐠ꗜヘ析ᕶ ƏЈ杬ᕶ桘ᕶ曘ᕶƈЈcrearáƅЈ佴ミ㐠桼ᕶ栈ᕶ žЌ㺬ヸ佈ミ㹼ヸ㐠ꗜヘ桐ᕶ ŷЈ栬ᕶ椈ᕶ枘ᕶŰЈlasůЈ佴ミ㐠&#10;椬ᕶ梸ᕶ ŨЌ㺬ヸ佈ミ㹼ヸ㐠ꗜヘ椀ᕶ šЈ棜ᕶ槈ᕶ桘ᕶŚЈposibilidadesŗЈ佴ミ㐠槬ᕶ楸ᕶ ŐЌ㺬ヸ佈ミ㹼ヸ㐠ꗜヘ槀ᕶ ŉЈ榜ᕶ橸ᕶ椈ᕶłЈparaŁЈ佴ミ㐠檜ᕶ樨ᕶ ĺЌ㺬ヸ佈ミ㹼ヸ㐠ꗜヘ橰ᕶ ĳЈ橌ᕶ欨ᕶ槈ᕶĬЈelīЈ佴ミ㐠¡&#10;歌ᕶ櫘ᕶ ĤЌ㺬ヸ佈ミ㹼ヸ㐠ꗜヘ欠ᕶ ĝЈ櫼ᕶ毨ᕶ橸ᕶĖЈdesarrolloēЈ佴ミ㐠¬氌ᕶ殘ᕶ ČЌ㺬ヸ佈ミ㹼ヸ㐠ꗜヘ毠ᕶ ąЈ殼ᕶ沘ᕶ欨ᕶǾЈdeǽЈ佴ミ㐠¯沼ᕶ汈ᕶ ǶЌ㺬ヸ佈ミ㹼ヸ㐠ꗜヘ沐ᕶ ǯЈ汬ᕶ浈ᕶ毨ᕶǨЈlaǧЈ佴ミ㐠² 浬ᕶ泸ᕶ ǠЌ㺬ヸ佈ミ㹼ヸ㐠ꗜヘ浀ᕶ ǙЈ洜ᕶ済ᕶ沘ᕶǒЈactividadǏЈ佴ミ㐠¼測ᕶ涸ᕶ ǈЌ㺬ヸ佈ミ㹼ヸ㐠ꗜヘ渀ᕶ ǁЈ淜ᕶ滈ᕶ浈ᕶƺЈfilantrópicaƷЈ佴ミ㐠È滬ᕶ湸ᕶ ưЌ㺬ヸ佈ミ㹼ヸ㐠ꗜヘ滀ᕶ ƩЈ溜ᕶ潸ᕶ済ᕶƢЈ,ơЈ佴ミ㐠Ê澜ᕶ漨ᕶ ƚЌ㺬ヸ佈ミ㹼ヸ㐠ꗜヘ潰ᕶ ƓЈ潌ᕶ瀨ᕶ滈ᕶƌЈelƋЈ佴ミ㐠Í灌ᕶ濘ᕶ ƄЌ㺬ヸ佈ミ㹼ヸ㐠ꗜヘ瀠ᕶ ŽЈ濼ᕶ烨ᕶ潸ᕶŶЈrégimenųЈ佴ミ㐠Õ&#10;焌ᕶ炘ᕶ ŬЌ㺬ヸ佈ミ㹼ヸ㐠ꗜヘ烠ᕶ ťЈ炼ᕶ熨ᕶ瀨ᕶŞЈvoluntariośЈ佴ミ㐠à燌ᕶ煘ᕶ ŔЌ㺬ヸ佈ミ㹼ヸ㐠ꗜヘ熠ᕶ ōЈ煼ᕶ牘ᕶ烨ᕶņЈdeŅЈ佴ミ㐠ã牼ᕶ爈ᕶ ľЌ㺬ヸ佈ミ㹼ヸ㐠ꗜヘ牐ᕶ ķЈ爬ᕶ猘ᕶ熨ᕶİЈseguroĭЈ佴ミ㐠ê猼ᕶ狈ᕶ ĦЌ㺬ヸ佈ミ㹼ヸ㐠ꗜヘ猐ᕶ ğЈ独ᕶ珘ᕶ牘ᕶĘЈsocialĕЈ佴ミ㐠ñ珼ᕶ玈ᕶ ĎЌ㺬ヸ佈ミ㹼ヸ㐠ꗜヘ珐ᕶ ćЈ玬ᕶ璈ᕶ猘ᕶĀЈyǿЈ佴ミ㐠ó璬ᕶ琸ᕶ ǸЌ㺬ヸ佈ミ㹼ヸ㐠ꗜヘ璀ᕶ ǱЈ瑜ᕶ甸ᕶ珘ᕶǪЈ&#10;otrasǩЈ佴ミ㐠ù畜ᕶ瓨ᕶ ǢЌ㺬ヸ佈ミ㹼ヸ㐠ꗜヘ田ᕶ ǛЈ甌ᕶ痸ᕶ璈ᕶǔЈformasǑЈ佴ミ㐠Ā瘜ᕶ疨ᕶ ǊЌ㺬ヸ佈ミ㹼ヸ㐠ꗜヘ痰ᕶ ǃЈ痌ᕶ皨ᕶ甸ᕶƼЈdeƻЈ佴ミ㐠ă 盌ᕶ癘ᕶ ƴЌ㺬ヸ佈ミ㹼ヸ㐠ꗜヘ皠ᕶ ƭЈ發ᕶ睨ᕶ痸ᕶƦЈbienestarƣЈ佴ミ㐠č瞌ᕶ眘ᕶ ƜЌ㺬ヸ佈ミ㹼ヸ㐠ꗜヘ睠ᕶ ƕЈ眼ᕶ砨ᕶ皨ᕶƎЈsocialƋЈ佴ミ㐠ē硌ᕶ矘ᕶ ƄЌ㺬ヸ佈ミ㹼ヸ㐠ꗜヘ砠ᕶ ŽЈ矼ᕶ磘ᕶ睨ᕶŶЈ.ŵЈ佴ミ㐠Ĕ磼ᕶ碈ᕶ ŮЌ㺬ヸ佈ミ㹼ヸ㐠ꗜヘ磐ᕶ ŧЈ碬ᕶ穈ᕶ砨ᕶŠЈ&#10;şЈen1ŚЈ. nřЈCabeŔЈqueal.caőЈseñalarioŊЈ241n ListoŇЈ佴ミ㐠嘴ᕶ秸ᕶ ŀЌ㺬ヸ佈ミ㹼ヸ㐠ꗜヘ穀ᕶ ĹЈ稜ᕶ章ᕶ磘ᕶĲЈ佴ミ㐠礬ᕶ窐ᕶ įЌ㺬ヸ佈ミ㹼ヸ㐠ꗜヘ竘ᕶ ĤЈ窴ᕶ筸ᕶ穈ᕶġЈ佴ミ㐠祄ᕶ笨ᕶ ĚЌ㺬ヸ佈ミ㹼ヸ㐠ꗜヘ筰ᕶ ēЈ筌ᕶ簐ᕶ章ᕶČЈ佴ミ㐠禄ᕶ節ᕶ ĉЌ㺬ヸ佈ミ㹼ヸ㐠ꗜヘ簈ᕶ ǾЈ篤ᕶ粨ᕶ筸ᕶǻЈ佴ミ㐠祜ᕶ籘ᕶ ǴЌ㺬ヸ佈ミ㹼ヸ㐠ꗜヘ粠ᕶ ǭЈ籼ᕶ絀ᕶ簐ᕶǦЈ佴ミ㐠礔ᕶ糰ᕶ ǣЌ㺬ヸ佈ミ㹼ヸ㐠ꗜヘ紸ᕶ ǘЈ純ᕶ緘ᕶ粨ᕶǕЈ佴ミ㐠緼ᕶ綈ᕶ ǎЌ㺬ヸ佈ミ㹼ヸ㐠ꗜヘ緐ᕶ ǇЈ綬ᕶ纈ᕶ絀ᕶǀЈlaƿЈ佴ミ㐠 纬ᕶ縸ᕶ ƸЌ㺬ヸ佈ミ㹼ヸ㐠ꗜヘ纀ᕶ ƱЈ繜ᕶ罈ᕶ緘ᕶƪЈRepúblicaƧЈ佴ミ㐠'罬ᕶ绸ᕶ ƠЌ㺬ヸ佈ミ㹼ヸ㐠ꗜヘ罀ᕶ ƙЈ缜ᕶ翸ᕶ纈ᕶƒЈdeƑЈ佴ミ㐠*&#10;耜ᕶ羨ᕶ ƊЌ㺬ヸ佈ミ㹼ヸ㐠ꗜヘ翰ᕶ ƃЈ翌ᕶ肸ᕶ罈ᕶżЈAzerbaiyánŹЈ佴ミ㐠5胜ᕶ聨ᕶ ŲЌ㺬ヸ佈ミ㹼ヸ㐠ꗜヘ肰ᕶ ūЈ肌ᕶ腨ᕶ翸ᕶŤЈseţЈ佴ミ㐠8膌ᕶ脘ᕶ ŜЌ㺬ヸ佈ミ㹼ヸ㐠ꗜヘ腠ᕶ ŕЈ脼ᕶ舘ᕶ肸ᕶŎЈhanōЈ佴ミ㐠&lt;舼ᕶ臈ᕶ ņЌ㺬ヸ佈ミ㹼ヸ㐠ꗜヘ舐ᕶ ĿЈ臬ᕶ苘ᕶ腨ᕶĸЈllevadoĵЈ佴ミ㐠D苼ᕶ芈ᕶ ĮЌ㺬ヸ佈ミ㹼ヸ㐠ꗜヘ苐ᕶ ħЈ芬ᕶ莈ᕶ舘ᕶĠЈağЈ佴ミ㐠F莬ᕶ茸ᕶ ĘЌ㺬ヸ佈ミ㹼ヸ㐠ꗜヘ莀ᕶ đЈ荜ᕶ萸ᕶ苘ᕶĊЈcaboĉЈ佴ミ㐠K葜ᕶ菨ᕶ ĂЌ㺬ヸ佈ミ㹼ヸ㐠ꗜヘ萰ᕶ ǻЈ萌ᕶ蓨ᕶ莈ᕶǴЈconǳЈ佴ミ㐠O蔌ᕶ蒘ᕶ ǬЌ㺬ヸ佈ミ㹼ヸ㐠ꗜヘ蓠ᕶ ǥЈ蒼ᕶ薘ᕶ萸ᕶǞЈ&#10;éxitoǝЈ佴ミ㐠U薼ᕶ蕈ᕶ ǖЌ㺬ヸ佈ミ㹼ヸ㐠ꗜヘ薐ᕶ ǏЈ蕬ᕶ虘ᕶ蓨ᕶǈЈreformasǅЈ佴ミ㐠^虼ᕶ蘈ᕶ ƾЌ㺬ヸ佈ミ㹼ヸ㐠ꗜヘ虐ᕶ ƷЈ蘬ᕶ蜈ᕶ薘ᕶưЈenƯЈ佴ミ㐠a蜬ᕶ蚸ᕶ ƨЌ㺬ヸ佈ミ㹼ヸ㐠ꗜヘ蜀ᕶ ơЈ蛜ᕶ螸ᕶ虘ᕶƚЈlaƙЈ佴ミ㐠d蟜ᕶ蝨ᕶ ƒЌ㺬ヸ佈ミ㹼ヸ㐠ꗜヘ螰ᕶ ƋЈ螌ᕶ衸ᕶ蜈ᕶƄЈesferaƁЈ佴ミ㐠k袜ᕶ蠨ᕶ źЌ㺬ヸ佈ミ㹼ヸ㐠ꗜヘ衰ᕶ ųЈ行ᕶ褨ᕶ螸ᕶŬЈdeūЈ佴ミ㐠n襌ᕶ裘ᕶ ŤЌ㺬ヸ佈ミ㹼ヸ㐠ꗜヘ褠ᕶ ŝЈ裼ᕶ觘ᕶ衸ᕶŖЈlaŕЈ佴ミ㐠q&#10;觼ᕶ覈ᕶ ŎЌ㺬ヸ佈ミ㹼ヸ㐠ꗜヘ觐ᕶ ŇЈ覬ᕶ誘ᕶ褨ᕶŀЈprotecciónĽЈ佴ミ㐠|誼ᕶ詈ᕶ ĶЌ㺬ヸ佈ミ㹼ヸ㐠ꗜヘ誐ᕶ įЈ詬ᕶ識ᕶ觘ᕶĨЈsocialĥЈ佴ミ㐠譼ᕶ謈ᕶ ĞЌ㺬ヸ佈ミ㹼ヸ㐠ꗜヘ譐ᕶ ėЈ謬ᕶ谈ᕶ誘ᕶĐЈdeďЈ佴ミ㐠谬ᕶ许ᕶ ĈЌ㺬ヸ佈ミ㹼ヸ㐠ꗜヘ谀ᕶ āЈ诜ᕶ貸ᕶ識ᕶǺЈlaǹЈ佴ミ㐠 賜ᕶ豨ᕶ ǲЌ㺬ヸ佈ミ㹼ヸ㐠ꗜヘ貰ᕶ ǫЈ貌ᕶ赸ᕶ谈ᕶǤЈpoblaciónǡЈ佴ミ㐠趜ᕶ质ᕶ ǚЌ㺬ヸ佈ミ㹼ヸ㐠ꗜヘ走ᕶ ǓЈ赌ᕶ踨ᕶ貸ᕶǌЈ.ǋЈ佴ミ㐠蹌ᕶ跘ᕶ ǄЌ㺬ヸ佈ミ㹼ヸ㐠ꗜヘ踠ᕶ ƽЈ跼ᕶ軘ᕶ赸ᕶƶЈ&#10;DesdeƵЈ佴ミ㐠軼ᕶ躈ᕶ ƮЌ㺬ヸ佈ミ㹼ヸ㐠ꗜヘ軐ᕶ ƧЈ躬ᕶ辈ᕶ踨ᕶƠЈelƟЈ佴ミ㐠辬ᕶ輸ᕶ ƘЌ㺬ヸ佈ミ㹼ヸ㐠ꗜヘ辀ᕶ ƑЈ轜ᕶ逸ᕶ軘ᕶƊЈ7ƉЈ佴ミ㐠遜ᕶ迨ᕶ ƂЌ㺬ヸ佈ミ㹼ヸ㐠ꗜヘ逰ᕶ ŻЈ逌ᕶ部ᕶ辈ᕶŴЈdeųЈ佴ミ㐠¢鄌ᕶ邘ᕶ ŬЌ㺬ヸ佈ミ㹼ヸ㐠ꗜヘ郠ᕶ ťЈ邼ᕶ醨ᕶ逸ᕶŞЈfebrerośЈ佴ミ㐠ª里ᕶ酘ᕶ ŔЌ㺬ヸ佈ミ㹼ヸ㐠ꗜヘ醠ᕶ ōЈ酼ᕶ鉘ᕶ部ᕶņЈdeŅЈ佴ミ㐠­鉼ᕶ鈈ᕶ ľЌ㺬ヸ佈ミ㹼ヸ㐠ꗜヘ鉐ᕶ ķЈ鈬ᕶ錈ᕶ醨ᕶİЈ2006įЈ佴ミ㐠²錬ᕶ銸ᕶ ĨЌ㺬ヸ佈ミ㹼ヸ㐠ꗜヘ錀ᕶ ġЈ鋜ᕶ鎸ᕶ鉘ᕶĚЈ&#10;entróęЈ佴ミ㐠¸鏜ᕶ鍨ᕶ ĒЌ㺬ヸ佈ミ㹼ヸ㐠ꗜヘ鎰ᕶ ċЈ鎌ᕶ鑨ᕶ錈ᕶĄЈenăЈ佴ミ㐠»钌ᕶ鐘ᕶ ǼЌ㺬ヸ佈ミ㹼ヸ㐠ꗜヘ鑠ᕶ ǵЈ鐼ᕶ锘ᕶ鎸ᕶǮЈ&#10;vigorǭЈ佴ミ㐠Á锼ᕶ铈ᕶ ǦЌ㺬ヸ佈ミ㹼ヸ㐠ꗜヘ锐ᕶ ǟЈ铬ᕶ闈ᕶ鑨ᕶǘЈlaǗЈ佴ミ㐠Ä闬ᕶ镸ᕶ ǐЌ㺬ヸ佈ミ㹼ヸ㐠ꗜヘ闀ᕶ ǉЈ閜ᕶ陸ᕶ锘ᕶǂЈLeyǁЈ佴ミ㐠È障ᕶ阨ᕶ ƺЌ㺬ヸ佈ミ㹼ヸ㐠ꗜヘ陰ᕶ ƳЈ陌ᕶ霨ᕶ闈ᕶƬЈdeƫЈ佴ミ㐠Ë 靌ᕶ雘ᕶ ƤЌ㺬ヸ佈ミ㹼ヸ㐠ꗜヘ霠ᕶ ƝЈ雼ᕶ韨ᕶ陸ᕶƖЈpensionesƓЈ佴ミ㐠Õ頌ᕶ鞘ᕶ ƌЌ㺬ヸ佈ミ㹼ヸ㐠ꗜヘ韠ᕶ ƅЈ鞼ᕶ题ᕶ霨ᕶžЈdeŽЈ佴ミ㐠Ø&#10;颼ᕶ顈ᕶ ŶЌ㺬ヸ佈ミ㹼ヸ㐠ꗜヘ颐ᕶ ůЈ顬ᕶ饘ᕶ韨ᕶŨЈjubilaciónťЈ佴ミ㐠ã饼ᕶ餈ᕶ ŞЌ㺬ヸ佈ミ㹼ヸ㐠ꗜヘ饐ᕶ ŗЈ餬ᕶ騈ᕶ题ᕶŐЈyŏЈ佴ミ㐠å騬ᕶ馸ᕶ ňЌ㺬ヸ佈ミ㹼ヸ㐠ꗜヘ騀ᕶ ŁЈ駜ᕶ骸ᕶ饘ᕶĺЈdeĹЈ佴ミ㐠è髜ᕶ驨ᕶ ĲЌ㺬ヸ佈ミ㹼ヸ㐠ꗜヘ骰ᕶ īЈ验ᕶ魸ᕶ騈ᕶĤЈprestacionesġЈ佴ミ㐠õ鮜ᕶ鬨ᕶ ĚЌ㺬ヸ佈ミ㹼ヸ㐠ꗜヘ魰ᕶ ēЈ魌ᕶ鰸ᕶ骸ᕶČЈsocialesĉЈ佴ミ㐠ý鱜ᕶ鯨ᕶ ĂЌ㺬ヸ佈ミ㹼ヸ㐠ꗜヘ鰰ᕶ ǻЈ鰌ᕶ鳨ᕶ魸ᕶǴЈ,ǳЈ佴ミ㐠ÿ鴌ᕶ鲘ᕶ ǬЌ㺬ヸ佈ミ㹼ヸ㐠ꗜヘ鳠ᕶ ǥЈ鲼ᕶ鶘ᕶ鰸ᕶǞЈtrasǝЈ佴ミ㐠Ą鶼ᕶ鵈ᕶ ǖЌ㺬ヸ佈ミ㹼ヸ㐠ꗜヘ鶐ᕶ ǏЈ鵬ᕶ鹈ᕶ鳨ᕶǈЈloǇЈ佴ミ㐠ć鹬ᕶ鷸ᕶ ǀЌ㺬ヸ佈ミ㹼ヸ㐠ꗜヘ鹀ᕶ ƹЈ鸜ᕶ黸ᕶ鶘ᕶƲЈcualƱЈ佴ミ㐠Č鼜ᕶ麨ᕶ ƪЌ㺬ヸ佈ミ㹼ヸ㐠ꗜヘ黰ᕶ ƣЈ黌ᕶ龨ᕶ鹈ᕶƜЈseƛЈ佴ミ㐠ď&#10;鿌ᕶ齘ᕶ ƔЌ㺬ヸ佈ミ㹼ヸ㐠ꗜヘ龠ᕶ ƍЈ齼ᕶꁨᕶ黸ᕶƆЈestablecióƃЈ佴ミ㐠Ěꂌᕶꀘᕶ żЌ㺬ヸ佈ミ㹼ヸ㐠ꗜヘꁠᕶ ŵЈꀼᕶꄘᕶ龨ᕶŮЈlaŭЈ佴ミ㐠ĝꄼᕶꃈᕶ ŦЌ㺬ヸ佈ミ㹼ヸ㐠ꗜヘꄐᕶ şЈꃬᕶꇘᕶꁨᕶŘЈdivisiónŕЈ佴ミ㐠Ħꇼᕶꆈᕶ ŎЌ㺬ヸ佈ミ㹼ヸ㐠ꗜヘꇐᕶ ŇЈꆬᕶꊈᕶꄘᕶŀЈlasĿЈ佴ミ㐠Ī ꊬᕶꈸᕶ ĸЌ㺬ヸ佈ミ㹼ヸ㐠ꗜヘꊀᕶ ıЈꉜᕶꍈᕶꇘᕶĪЈpensionesħЈ佴ミ㐠Ĵꍬᕶꋸᕶ ĠЌ㺬ヸ佈ミ㹼ヸ㐠ꗜヘꍀᕶ ęЈꌜᕶꐈᕶꊈᕶĒЈsocialesďЈ佴ミ㐠Ľꐬᕶꎸᕶ ĈЌ㺬ヸ佈ミ㹼ヸ㐠ꗜヘꐀᕶ āЈꏜᕶ꓈ᕶꍈᕶǺЈfinanciadasǷЈ佴ミ㐠ŉꓬᕶꑸᕶ ǰЌ㺬ヸ佈ミ㹼ヸ㐠ꗜヘ꓀ᕶ ǩЈ꒜ᕶꕸᕶꐈᕶǢЈconǡЈ佴ミ㐠ōꖜᕶꔨᕶ ǚЌ㺬ヸ佈ミ㹼ヸ㐠ꗜヘꕰᕶ ǓЈꕌᕶ꘨ᕶ꓈ᕶǌЈ&#10;cargoǋЈ佴ミ㐠œꙌᕶꗘᕶ ǄЌ㺬ヸ佈ミ㹼ヸ㐠ꗜヘ꘠ᕶ ƽЈꗼᕶꛘᕶꕸᕶƶЈalƵЈ佴ミ㐠Ŗ꛼ᕶꚈᕶ ƮЌ㺬ヸ佈ミ㹼ヸ㐠ꗜヘꛐᕶ ƧЈꚬᕶꞘᕶ꘨ᕶƠЈpresupuestoƝЈ佴ミ㐠ŢꞼᕶꝈᕶ ƖЌ㺬ヸ佈ミ㹼ヸ㐠ꗜヘꞐᕶ ƏЈꝬᕶꡘᕶꛘᕶƈЈestatalƅЈ佴ミ㐠Ū꡼ᕶꠈᕶ žЌ㺬ヸ佈ミ㹼ヸ㐠ꗜヘꡐᕶ ŷЈ꠬ᕶ꤈ᕶꞘᕶŰЈyůЈ佴ミ㐠Ŭ꤬ᕶꢸᕶ ŨЌ㺬ヸ佈ミ㹼ヸ㐠ꗜヘ꤀ᕶ šЈ꣜ᕶꦸᕶꡘᕶŚЈlasřЈ佴ミ㐠Ű ꧜ᕶꥨᕶ ŒЌ㺬ヸ佈ミ㹼ヸ㐠ꗜヘꦰᕶ ŋЈꦌᕶ꩸ᕶ꤈ᕶńЈpen"/>
        </w:smartTagPr>
        <w:r>
          <w:rPr>
            <w:spacing w:val="0"/>
            <w:lang w:val="es-ES"/>
          </w:rPr>
          <w:t>la población. Además</w:t>
        </w:r>
      </w:smartTag>
      <w:r>
        <w:rPr>
          <w:spacing w:val="0"/>
          <w:lang w:val="es-ES"/>
        </w:rPr>
        <w:t>, según la encuesta, más del 85% de los recursos destinados a ayuda social benefician al 20% de los hogares más pobres. Si bien el nivel de pobr</w:t>
      </w:r>
      <w:r>
        <w:rPr>
          <w:spacing w:val="0"/>
          <w:lang w:val="es-ES"/>
        </w:rPr>
        <w:t>e</w:t>
      </w:r>
      <w:r>
        <w:rPr>
          <w:spacing w:val="0"/>
          <w:lang w:val="es-ES"/>
        </w:rPr>
        <w:t>za de las personas que reciben prestaciones pero no ayuda social representa el 67%, teniendo en cuenta la ayuda social asignada, el nivel de pobreza de este sector de la población representa el 48%. Por otra parte, es muy significativa la influencia que ejerce este programa de ayuda social en el nivel de extrema pobreza. Por eso, si no se ejecutara ese programa, el número de personas en situación de extrema pobreza, que reciben otras prestaciones sociales pero no ayuda social, podría ser el doble.</w:t>
      </w:r>
    </w:p>
    <w:p w:rsidR="001D2E73" w:rsidRDefault="001D2E73">
      <w:pPr>
        <w:pStyle w:val="SingleTxtGR"/>
        <w:rPr>
          <w:spacing w:val="0"/>
          <w:lang w:val="es-ES"/>
        </w:rPr>
      </w:pPr>
      <w:r>
        <w:rPr>
          <w:spacing w:val="0"/>
          <w:lang w:val="es-ES"/>
        </w:rPr>
        <w:t>685.</w:t>
      </w:r>
      <w:r>
        <w:rPr>
          <w:spacing w:val="0"/>
          <w:lang w:val="es-ES"/>
        </w:rPr>
        <w:tab/>
        <w:t xml:space="preserve">El crecimiento económico estable y la intensificación de las medidas para garantizar el empleo de la población influyeron directamente en la reducción del nivel de pobreza en Azerbaiyán del 49% en 2003 al 13,2%, según datos de 2008. </w:t>
      </w:r>
    </w:p>
    <w:p w:rsidR="001D2E73" w:rsidRDefault="001D2E73">
      <w:pPr>
        <w:pStyle w:val="H23GR"/>
        <w:rPr>
          <w:spacing w:val="0"/>
          <w:lang w:val="es-ES"/>
        </w:rPr>
      </w:pPr>
      <w:r>
        <w:rPr>
          <w:spacing w:val="0"/>
          <w:lang w:val="es-ES"/>
        </w:rPr>
        <w:tab/>
      </w:r>
      <w:r>
        <w:rPr>
          <w:spacing w:val="0"/>
          <w:lang w:val="es-ES"/>
        </w:rPr>
        <w:tab/>
        <w:t>Párrafo 36 de las observaciones finales</w:t>
      </w:r>
    </w:p>
    <w:p w:rsidR="001D2E73" w:rsidRDefault="001D2E73">
      <w:pPr>
        <w:pStyle w:val="SingleTxtGR"/>
        <w:rPr>
          <w:snapToGrid w:val="0"/>
          <w:spacing w:val="0"/>
          <w:lang w:val="es-ES"/>
        </w:rPr>
      </w:pPr>
      <w:r>
        <w:rPr>
          <w:spacing w:val="0"/>
          <w:lang w:val="es-ES"/>
        </w:rPr>
        <w:t>686.</w:t>
      </w:r>
      <w:r>
        <w:rPr>
          <w:spacing w:val="0"/>
          <w:lang w:val="es-ES"/>
        </w:rPr>
        <w:tab/>
        <w:t xml:space="preserve">De conformidad con la </w:t>
      </w:r>
      <w:r>
        <w:rPr>
          <w:snapToGrid w:val="0"/>
          <w:spacing w:val="0"/>
          <w:lang w:val="es-ES"/>
        </w:rPr>
        <w:t>Ley sobre el examen de las comunicaciones de los ciudadanos, de 10 de junio de 1997, toda persona tiene derecho a apelar de la decisión de cualquier órgano o funcionario ante la instancia superior correspondiente</w:t>
      </w:r>
      <w:r>
        <w:rPr>
          <w:spacing w:val="0"/>
          <w:lang w:val="es-ES"/>
        </w:rPr>
        <w:t>.</w:t>
      </w:r>
    </w:p>
    <w:p w:rsidR="001D2E73" w:rsidRDefault="001D2E73">
      <w:pPr>
        <w:pStyle w:val="SingleTxtGR"/>
        <w:rPr>
          <w:spacing w:val="0"/>
          <w:lang w:val="es-ES"/>
        </w:rPr>
      </w:pPr>
      <w:r>
        <w:rPr>
          <w:spacing w:val="0"/>
          <w:lang w:val="es-ES"/>
        </w:rPr>
        <w:t>687.</w:t>
      </w:r>
      <w:r>
        <w:rPr>
          <w:spacing w:val="0"/>
          <w:lang w:val="es-ES"/>
        </w:rPr>
        <w:tab/>
        <w:t>Otra forma de protección extrajudicial es la posibilidad de recurrir a la Comisionada para los Derechos Humanos (Defensora Pública) de Azerbaiyán.</w:t>
      </w:r>
    </w:p>
    <w:p w:rsidR="001D2E73" w:rsidRDefault="001D2E73">
      <w:pPr>
        <w:pStyle w:val="SingleTxtGR"/>
        <w:rPr>
          <w:spacing w:val="0"/>
          <w:lang w:val="es-ES"/>
        </w:rPr>
      </w:pPr>
      <w:r>
        <w:rPr>
          <w:spacing w:val="0"/>
          <w:lang w:val="es-ES"/>
        </w:rPr>
        <w:t>688.</w:t>
      </w:r>
      <w:r>
        <w:rPr>
          <w:spacing w:val="0"/>
          <w:lang w:val="es-ES"/>
        </w:rPr>
        <w:tab/>
        <w:t xml:space="preserve">Además, toda persona tiene derecho a apelar ante los tribunales conforme al procedimiento establecido en la </w:t>
      </w:r>
      <w:r>
        <w:rPr>
          <w:snapToGrid w:val="0"/>
          <w:spacing w:val="0"/>
          <w:lang w:val="es-ES"/>
        </w:rPr>
        <w:t>Ley de denuncias judiciales (resoluciones y actos u omisiones que infrinjan los derechos y las libertades de los ciudadanos)</w:t>
      </w:r>
      <w:r>
        <w:rPr>
          <w:spacing w:val="0"/>
          <w:lang w:val="es-ES"/>
        </w:rPr>
        <w:t>.</w:t>
      </w:r>
    </w:p>
    <w:p w:rsidR="001D2E73" w:rsidRDefault="001D2E73">
      <w:pPr>
        <w:pStyle w:val="SingleTxtGR"/>
        <w:rPr>
          <w:spacing w:val="0"/>
          <w:lang w:val="es-ES"/>
        </w:rPr>
      </w:pPr>
      <w:r>
        <w:rPr>
          <w:spacing w:val="0"/>
          <w:lang w:val="es-ES"/>
        </w:rPr>
        <w:t>689.</w:t>
      </w:r>
      <w:r>
        <w:rPr>
          <w:spacing w:val="0"/>
          <w:lang w:val="es-ES"/>
        </w:rPr>
        <w:tab/>
        <w:t>El 21 de octubre de 2005 fue aprobada la Ley de procedimiento administrativo, por la que se establecen los fundamentos y los mecanismos jurídicos de la actividad de los órganos administrativos en relación con la adopción, ejecución o derogación de instrumentos administrativos.</w:t>
      </w:r>
    </w:p>
    <w:p w:rsidR="001D2E73" w:rsidRDefault="001D2E73">
      <w:pPr>
        <w:pStyle w:val="SingleTxtGR"/>
        <w:rPr>
          <w:spacing w:val="0"/>
          <w:lang w:val="es-ES"/>
        </w:rPr>
      </w:pPr>
      <w:r>
        <w:rPr>
          <w:spacing w:val="0"/>
          <w:lang w:val="es-ES"/>
        </w:rPr>
        <w:t>690.</w:t>
      </w:r>
      <w:r>
        <w:rPr>
          <w:spacing w:val="0"/>
          <w:lang w:val="es-ES"/>
        </w:rPr>
        <w:tab/>
        <w:t>En estos momentos el Parlamento examina un proyecto de código de procedimiento administrativo.</w:t>
      </w:r>
    </w:p>
    <w:p w:rsidR="001D2E73" w:rsidRDefault="001D2E73">
      <w:pPr>
        <w:pStyle w:val="SingleTxtGR"/>
        <w:rPr>
          <w:spacing w:val="0"/>
          <w:lang w:val="es-ES"/>
        </w:rPr>
      </w:pPr>
      <w:r>
        <w:rPr>
          <w:spacing w:val="0"/>
          <w:lang w:val="es-ES"/>
        </w:rPr>
        <w:t>691.</w:t>
      </w:r>
      <w:r>
        <w:rPr>
          <w:spacing w:val="0"/>
          <w:lang w:val="es-ES"/>
        </w:rPr>
        <w:tab/>
        <w:t>Para garantizar el cumplimiento de las obligaciones dimanantes del Convenio Europeo para la Protección de los Derechos Humanos y de las Libertades Fundamentales, en 2004 se introdujeron las correspondientes enmiendas y adiciones al Código de Procedimiento Civil y al Código de Procedimiento Penal, que han entrado en vigor, relativas a la revisión judicial, debido a que se han aportado nuevas pruebas, y que se basan en el examen por el Tribunal Constitucional de los autos dictados por el Tribunal Supremo o de los veredictos, que violan el derecho de apelar ante un tribunal y que no están en consonancia con la Constitución y las leyes de Azerbaiyán, así como en la constatación por el Tribunal Europeo de Derechos Humanos de que se han violado las disposiciones del Convenio para la Protección de los Derechos Humanos y de las Libertades Fundamentales, cuando un tribunal de Azerbaiyán ha examinado el caso.</w:t>
      </w:r>
    </w:p>
    <w:p w:rsidR="001D2E73" w:rsidRDefault="001D2E73">
      <w:pPr>
        <w:pStyle w:val="H23GR"/>
        <w:rPr>
          <w:spacing w:val="0"/>
          <w:lang w:val="es-ES"/>
        </w:rPr>
      </w:pPr>
      <w:r>
        <w:rPr>
          <w:spacing w:val="0"/>
          <w:lang w:val="es-ES"/>
        </w:rPr>
        <w:tab/>
      </w:r>
      <w:r>
        <w:rPr>
          <w:spacing w:val="0"/>
          <w:lang w:val="es-ES"/>
        </w:rPr>
        <w:tab/>
        <w:t>Párrafo 37 de las observaciones finales</w:t>
      </w:r>
    </w:p>
    <w:p w:rsidR="001D2E73" w:rsidRDefault="001D2E73">
      <w:pPr>
        <w:pStyle w:val="SingleTxtGR"/>
        <w:rPr>
          <w:spacing w:val="0"/>
          <w:lang w:val="es-ES"/>
        </w:rPr>
      </w:pPr>
      <w:r>
        <w:rPr>
          <w:spacing w:val="0"/>
          <w:lang w:val="es-ES"/>
        </w:rPr>
        <w:t>692.</w:t>
      </w:r>
      <w:r>
        <w:rPr>
          <w:spacing w:val="0"/>
          <w:lang w:val="es-ES"/>
        </w:rPr>
        <w:tab/>
        <w:t xml:space="preserve">Atendiendo a </w:t>
      </w:r>
      <w:smartTag w:uri="urn:schemas-microsoft-com:office:smarttags" w:element="PersonName">
        <w:smartTagPr>
          <w:attr w:name="ProductID" w:val="la Conclusi￳n N"/>
        </w:smartTagPr>
        <w:r>
          <w:rPr>
            <w:spacing w:val="0"/>
            <w:lang w:val="es-ES"/>
          </w:rPr>
          <w:t>la Conclusión N</w:t>
        </w:r>
      </w:smartTag>
      <w:r>
        <w:rPr>
          <w:spacing w:val="0"/>
          <w:lang w:val="es-ES"/>
        </w:rPr>
        <w:t>º 4 del Consejo Consultivo de Jueces Europeos sobre la formación inicial y continuada de los jueces a nivel nacional y europeo (2003), se creó la Sección de Educación de los Jueces y Fiscales del Consejo, donde también se lleva a cabo la formación de aspirantes a ocupar la magistratura.</w:t>
      </w:r>
    </w:p>
    <w:p w:rsidR="001D2E73" w:rsidRDefault="001D2E73">
      <w:pPr>
        <w:pStyle w:val="SingleTxtGR"/>
        <w:rPr>
          <w:spacing w:val="0"/>
          <w:lang w:val="es-ES"/>
        </w:rPr>
      </w:pPr>
      <w:r>
        <w:rPr>
          <w:spacing w:val="0"/>
          <w:lang w:val="es-ES"/>
        </w:rPr>
        <w:t>693.</w:t>
      </w:r>
      <w:r>
        <w:rPr>
          <w:spacing w:val="0"/>
          <w:lang w:val="es-ES"/>
        </w:rPr>
        <w:tab/>
        <w:t>De conformidad con un Decreto presidencial de 17 de agosto de 2006, con el fin de aumentar el profesionalismo de los graduados de ciencias jurídicas, en el Centro de Estudios Jurídicos del Ministerio de Justicia se creó la Academia de Justicia de Azerbaiyán, en cuyo plan de estudios se incluyeron temas como el Pacto Internacional.</w:t>
      </w:r>
    </w:p>
    <w:p w:rsidR="001D2E73" w:rsidRDefault="001D2E73">
      <w:pPr>
        <w:pStyle w:val="SingleTxtGR"/>
        <w:rPr>
          <w:spacing w:val="0"/>
          <w:lang w:val="es-ES"/>
        </w:rPr>
      </w:pPr>
      <w:r>
        <w:rPr>
          <w:spacing w:val="0"/>
          <w:lang w:val="es-ES"/>
        </w:rPr>
        <w:t>694.</w:t>
      </w:r>
      <w:r>
        <w:rPr>
          <w:spacing w:val="0"/>
          <w:lang w:val="es-ES"/>
        </w:rPr>
        <w:tab/>
        <w:t>De conformidad con la Constitución (artículo 12), los derechos y las libertades consagrados en ella se aplican de conformidad con los convenios internacionales, en los que Azerbaiyán es parte. Las normas de los tratados internacionales fundamentales se implementaron en la legislación nacional y los tribunales de Azerbaiyán se encargan de aplicarlas.</w:t>
      </w:r>
    </w:p>
    <w:p w:rsidR="001D2E73" w:rsidRDefault="001D2E73">
      <w:pPr>
        <w:pStyle w:val="SingleTxtGR"/>
        <w:rPr>
          <w:spacing w:val="0"/>
          <w:lang w:val="es-ES"/>
        </w:rPr>
      </w:pPr>
      <w:r>
        <w:rPr>
          <w:spacing w:val="0"/>
          <w:lang w:val="es-ES"/>
        </w:rPr>
        <w:t>695.</w:t>
      </w:r>
      <w:r>
        <w:rPr>
          <w:spacing w:val="0"/>
          <w:lang w:val="es-ES"/>
        </w:rPr>
        <w:tab/>
        <w:t>De conformidad con el artículo 4 de la Ley de tribunales y jueces, cuando conocen de casos, los jueces se rigen no solo por la Constitución y las leyes y otros instrumentos legislativos del país, sino también por los tratados internacionales.</w:t>
      </w:r>
    </w:p>
    <w:p w:rsidR="001D2E73" w:rsidRDefault="001D2E73">
      <w:pPr>
        <w:pStyle w:val="SingleTxtGR"/>
        <w:rPr>
          <w:spacing w:val="0"/>
          <w:lang w:val="es-ES"/>
        </w:rPr>
      </w:pPr>
      <w:r>
        <w:rPr>
          <w:spacing w:val="0"/>
          <w:lang w:val="es-ES"/>
        </w:rPr>
        <w:t>696.</w:t>
      </w:r>
      <w:r>
        <w:rPr>
          <w:spacing w:val="0"/>
          <w:lang w:val="es-ES"/>
        </w:rPr>
        <w:tab/>
        <w:t>El cumplimiento cabal de los compromisos dimanantes de los pactos de las Naciones Unidas y de otros convenios internacionales se prevé en el Plan de acción nacional de protección de los derechos humanos de Azerbaiyán, aprobado por Instrucción del Presidente de 28 de diciembre 2006.</w:t>
      </w:r>
    </w:p>
    <w:p w:rsidR="001D2E73" w:rsidRDefault="001D2E73">
      <w:pPr>
        <w:pStyle w:val="SingleTxtGR"/>
        <w:rPr>
          <w:spacing w:val="0"/>
          <w:lang w:val="es-ES"/>
        </w:rPr>
      </w:pPr>
      <w:r>
        <w:rPr>
          <w:spacing w:val="0"/>
          <w:lang w:val="es-ES"/>
        </w:rPr>
        <w:t>697.</w:t>
      </w:r>
      <w:r>
        <w:rPr>
          <w:spacing w:val="0"/>
          <w:lang w:val="es-ES"/>
        </w:rPr>
        <w:tab/>
        <w:t xml:space="preserve">Por otra parte, es habitual aplicar en toda circunstancia los convenios internacionales en los autos del Tribunal Constitucional, por ejemplo citando como fuente </w:t>
      </w:r>
      <w:smartTag w:uri="urn:schemas-microsoft-com:office:smarttags" w:element="PersonName">
        <w:smartTagPr>
          <w:attr w:name="ProductID" w:val="la Declaraci￳n Universal"/>
        </w:smartTagPr>
        <w:r>
          <w:rPr>
            <w:spacing w:val="0"/>
            <w:lang w:val="es-ES"/>
          </w:rPr>
          <w:t>la Declaración Universal</w:t>
        </w:r>
      </w:smartTag>
      <w:r>
        <w:rPr>
          <w:spacing w:val="0"/>
          <w:lang w:val="es-ES"/>
        </w:rPr>
        <w:t xml:space="preserve"> de Derechos Humanos y los pactos internacionales de las Naciones Unidas.</w:t>
      </w:r>
    </w:p>
    <w:p w:rsidR="001D2E73" w:rsidRDefault="001D2E73">
      <w:pPr>
        <w:pStyle w:val="H23GR"/>
        <w:rPr>
          <w:spacing w:val="0"/>
          <w:lang w:val="es-ES"/>
        </w:rPr>
      </w:pPr>
      <w:r>
        <w:rPr>
          <w:spacing w:val="0"/>
          <w:lang w:val="es-ES"/>
        </w:rPr>
        <w:tab/>
      </w:r>
      <w:r>
        <w:rPr>
          <w:spacing w:val="0"/>
          <w:lang w:val="es-ES"/>
        </w:rPr>
        <w:tab/>
        <w:t>Párrafo 38 de las observaciones finales</w:t>
      </w:r>
    </w:p>
    <w:p w:rsidR="001D2E73" w:rsidRDefault="001D2E73">
      <w:pPr>
        <w:pStyle w:val="SingleTxtGR"/>
        <w:rPr>
          <w:spacing w:val="0"/>
          <w:lang w:val="es-ES"/>
        </w:rPr>
      </w:pPr>
      <w:r>
        <w:rPr>
          <w:spacing w:val="0"/>
          <w:lang w:val="es-ES"/>
        </w:rPr>
        <w:t>698.</w:t>
      </w:r>
      <w:r>
        <w:rPr>
          <w:spacing w:val="0"/>
          <w:lang w:val="es-ES"/>
        </w:rPr>
        <w:tab/>
        <w:t xml:space="preserve">En los últimos años, la legislación que regula la administración de justicia ha sido objeto de estudio en todos sus aspectos, conjuntamente con expertos del Consejo de Europa, y se ha ido perfeccionando a fin de que llegue a estar en consonancia con las normas europeas. Para ello se han tomado en cuenta las recomendaciones del Comité Ministerial del Consejo de Europa sobre la independencia, la eficacia y el papel de los jueces (1994), </w:t>
      </w:r>
      <w:smartTag w:uri="urn:schemas-microsoft-com:office:smarttags" w:element="PersonName">
        <w:smartTagPr>
          <w:attr w:name="ProductID" w:val="la Carta Europea"/>
        </w:smartTagPr>
        <w:r>
          <w:rPr>
            <w:spacing w:val="0"/>
            <w:lang w:val="es-ES"/>
          </w:rPr>
          <w:t>la Carta Europea</w:t>
        </w:r>
      </w:smartTag>
      <w:r>
        <w:rPr>
          <w:spacing w:val="0"/>
          <w:lang w:val="es-ES"/>
        </w:rPr>
        <w:t xml:space="preserve"> sobre el Estatuto de los Jueces (1998), la conclusión del Consejo Consultivo de Jueces Europeos sobre las normas relativas a la independencia judicial y a la inamovilidad de los jueces (2001).</w:t>
      </w:r>
    </w:p>
    <w:p w:rsidR="001D2E73" w:rsidRDefault="001D2E73">
      <w:pPr>
        <w:pStyle w:val="SingleTxtGR"/>
        <w:rPr>
          <w:i/>
          <w:spacing w:val="0"/>
          <w:lang w:val="es-ES"/>
        </w:rPr>
      </w:pPr>
      <w:r>
        <w:rPr>
          <w:spacing w:val="0"/>
          <w:lang w:val="es-ES"/>
        </w:rPr>
        <w:t>699.</w:t>
      </w:r>
      <w:r>
        <w:rPr>
          <w:spacing w:val="0"/>
          <w:lang w:val="es-ES"/>
        </w:rPr>
        <w:tab/>
        <w:t>A fin de garantizar la independencia del poder judicial, se perfeccionó la Ley sobre los tribunales y los magistrados, además se aprobaron y se están aplicando con éxito la Ley del Consejo Judicial, la Resolución sobre la selección de los jurados, el Reglamento para la selección de candidatos a magistrado, el Código Deontológico de los Jueces, la Instrucción sobre la tramitación de casos en los tribunales y otros documentos.</w:t>
      </w:r>
    </w:p>
    <w:p w:rsidR="001D2E73" w:rsidRDefault="001D2E73">
      <w:pPr>
        <w:pStyle w:val="SingleTxtGR"/>
        <w:rPr>
          <w:spacing w:val="0"/>
          <w:lang w:val="es-ES"/>
        </w:rPr>
      </w:pPr>
      <w:r>
        <w:rPr>
          <w:spacing w:val="0"/>
          <w:lang w:val="es-ES"/>
        </w:rPr>
        <w:t>700.</w:t>
      </w:r>
      <w:r>
        <w:rPr>
          <w:spacing w:val="0"/>
          <w:lang w:val="es-ES"/>
        </w:rPr>
        <w:tab/>
        <w:t>En cumplimiento de la nueva legislación se creó una Comisión Judicial, órgano independiente y permanente, que realiza las funciones de dirección autónoma del poder judicial.</w:t>
      </w:r>
    </w:p>
    <w:p w:rsidR="001D2E73" w:rsidRDefault="001D2E73">
      <w:pPr>
        <w:pStyle w:val="SingleTxtGR"/>
        <w:rPr>
          <w:spacing w:val="0"/>
          <w:lang w:val="es-ES"/>
        </w:rPr>
      </w:pPr>
      <w:r>
        <w:rPr>
          <w:spacing w:val="0"/>
          <w:lang w:val="es-ES"/>
        </w:rPr>
        <w:t>701.</w:t>
      </w:r>
      <w:r>
        <w:rPr>
          <w:spacing w:val="0"/>
          <w:lang w:val="es-ES"/>
        </w:rPr>
        <w:tab/>
        <w:t xml:space="preserve">Con el fin de seleccionar a los candidatos a jueces (exámenes escritos, entrevistas personales, cursos de larga duración), </w:t>
      </w:r>
      <w:smartTag w:uri="urn:schemas-microsoft-com:office:smarttags" w:element="PersonName">
        <w:smartTagPr>
          <w:attr w:name="ProductID" w:val="la Comisi￳n Judicial"/>
        </w:smartTagPr>
        <w:r>
          <w:rPr>
            <w:spacing w:val="0"/>
            <w:lang w:val="es-ES"/>
          </w:rPr>
          <w:t>la Comisión Judicial</w:t>
        </w:r>
      </w:smartTag>
      <w:r>
        <w:rPr>
          <w:spacing w:val="0"/>
          <w:lang w:val="es-ES"/>
        </w:rPr>
        <w:t xml:space="preserve"> cuenta con un comité de selección de jueces, en el que participan representantes de la sociedad civil y las organizaciones no gubernamentales.</w:t>
      </w:r>
    </w:p>
    <w:p w:rsidR="001D2E73" w:rsidRDefault="001D2E73">
      <w:pPr>
        <w:pStyle w:val="SingleTxtGR"/>
        <w:rPr>
          <w:spacing w:val="0"/>
          <w:lang w:val="es-ES"/>
        </w:rPr>
      </w:pPr>
      <w:r>
        <w:rPr>
          <w:spacing w:val="0"/>
          <w:lang w:val="es-ES"/>
        </w:rPr>
        <w:t>702.</w:t>
      </w:r>
      <w:r>
        <w:rPr>
          <w:spacing w:val="0"/>
          <w:lang w:val="es-ES"/>
        </w:rPr>
        <w:tab/>
        <w:t>El nuevo reglamento se ha aplicado ya en dos oposiciones en las que participaron más de 1.700 candidatos, de los cuales fueron seleccionados 157. Esto permitió aumentar en un 50% el número de jueces. En estos momentos, Azerbaiyán cuenta con 6 jueces por cada 100.000 habitantes, mientras que en 2000 eran solo 4. Cabe señalar que los observadores nacionales e internacionales expresaron opiniones favorables acerca del procedimiento de selección transparente y objetivo. Además, ya en el mes de mayo del año en curso deberán celebrarse nuevos exámenes.</w:t>
      </w:r>
    </w:p>
    <w:p w:rsidR="001D2E73" w:rsidRDefault="001D2E73">
      <w:pPr>
        <w:pStyle w:val="SingleTxtGR"/>
        <w:rPr>
          <w:spacing w:val="0"/>
          <w:lang w:val="es-ES"/>
        </w:rPr>
      </w:pPr>
      <w:r>
        <w:rPr>
          <w:spacing w:val="0"/>
          <w:lang w:val="es-ES"/>
        </w:rPr>
        <w:t>703.</w:t>
      </w:r>
      <w:r>
        <w:rPr>
          <w:spacing w:val="0"/>
          <w:lang w:val="es-ES"/>
        </w:rPr>
        <w:tab/>
        <w:t>De conformidad con la nueva ley, basta la propuesta del Consejo Judicial para que se nombre en el cargo o se libere a un juez de su responsabilidad, sin embargo en el caso de magistrados de tribunales de instancia superior, la decisión compete al Presidente del país, y en otras instancias, al Parlamento. El nombramiento de los jueces en el cargo es por tiempo indefinido. La edad límite para ocupar el cargo es 65 años. En casos excepcionales y a propuesta del Consejo Judicial, se podrá prorrogar hasta los 70 años.</w:t>
      </w:r>
    </w:p>
    <w:p w:rsidR="001D2E73" w:rsidRDefault="001D2E73">
      <w:pPr>
        <w:pStyle w:val="SingleTxtGR"/>
        <w:rPr>
          <w:spacing w:val="0"/>
          <w:lang w:val="es-ES"/>
        </w:rPr>
      </w:pPr>
      <w:r>
        <w:rPr>
          <w:spacing w:val="0"/>
          <w:lang w:val="es-ES"/>
        </w:rPr>
        <w:t>704.</w:t>
      </w:r>
      <w:r>
        <w:rPr>
          <w:spacing w:val="0"/>
          <w:lang w:val="es-ES"/>
        </w:rPr>
        <w:tab/>
        <w:t>La ley establece la responsabilidad penal por la injerencia en el procedimiento judicial con el objeto de obstaculizar la administración de justicia, atentar contra la vida de los jueces, amenazarlos de muerte, infligir daños a su salud, y destruir o causar daños a sus bienes inmuebles.</w:t>
      </w:r>
    </w:p>
    <w:p w:rsidR="001D2E73" w:rsidRDefault="001D2E73">
      <w:pPr>
        <w:pStyle w:val="SingleTxtGR"/>
        <w:rPr>
          <w:spacing w:val="0"/>
          <w:lang w:val="es-ES"/>
        </w:rPr>
      </w:pPr>
      <w:r>
        <w:rPr>
          <w:spacing w:val="0"/>
          <w:lang w:val="es-ES"/>
        </w:rPr>
        <w:t>705.</w:t>
      </w:r>
      <w:r>
        <w:rPr>
          <w:spacing w:val="0"/>
          <w:lang w:val="es-ES"/>
        </w:rPr>
        <w:tab/>
        <w:t>Además, a los efectos de administrar justicia para garantizar la protección por parte del Estado de la vida, la salud, la vivienda y los bienes de los jueces, se aprobó una ley especial de protección estatal de los funcionarios judiciales y de orden público.</w:t>
      </w:r>
    </w:p>
    <w:p w:rsidR="001D2E73" w:rsidRDefault="001D2E73">
      <w:pPr>
        <w:pStyle w:val="SingleTxtGR"/>
        <w:rPr>
          <w:spacing w:val="0"/>
          <w:lang w:val="es-ES"/>
        </w:rPr>
      </w:pPr>
      <w:r>
        <w:rPr>
          <w:spacing w:val="0"/>
          <w:lang w:val="es-ES"/>
        </w:rPr>
        <w:t>706.</w:t>
      </w:r>
      <w:r>
        <w:rPr>
          <w:spacing w:val="0"/>
          <w:lang w:val="es-ES"/>
        </w:rPr>
        <w:tab/>
        <w:t xml:space="preserve">Gracias a la atención especial que se presta al bienestar material y social de los jueces, su sueldo aumentó en 25 veces en comparación con lo que se les pagaba en 2000, y también han mejorado significativamente sus condiciones de trabajo. </w:t>
      </w:r>
    </w:p>
    <w:p w:rsidR="001D2E73" w:rsidRDefault="001D2E73">
      <w:pPr>
        <w:pStyle w:val="SingleTxtGR"/>
        <w:rPr>
          <w:iCs/>
          <w:spacing w:val="0"/>
          <w:lang w:val="es-ES"/>
        </w:rPr>
      </w:pPr>
      <w:r>
        <w:rPr>
          <w:spacing w:val="0"/>
          <w:lang w:val="es-ES"/>
        </w:rPr>
        <w:t>707.</w:t>
      </w:r>
      <w:r>
        <w:rPr>
          <w:spacing w:val="0"/>
          <w:lang w:val="es-ES"/>
        </w:rPr>
        <w:tab/>
        <w:t>Un importante papel en la consolidación de la independencia del poder judicial corresponde también a las asociaciones de jueces y magistrados. Así, según la ley, los jueces asociados según sus intereses pueden establecer sus propias organizaciones sociales basadas en los principios de voluntariedad e igualdad entre los miembros</w:t>
      </w:r>
      <w:r>
        <w:rPr>
          <w:iCs/>
          <w:spacing w:val="0"/>
          <w:lang w:val="es-ES"/>
        </w:rPr>
        <w:t>.</w:t>
      </w:r>
    </w:p>
    <w:p w:rsidR="001D2E73" w:rsidRDefault="001D2E73">
      <w:pPr>
        <w:pStyle w:val="SingleTxtGR"/>
        <w:rPr>
          <w:spacing w:val="0"/>
          <w:lang w:val="es-ES"/>
        </w:rPr>
      </w:pPr>
      <w:r>
        <w:rPr>
          <w:spacing w:val="0"/>
          <w:lang w:val="es-ES"/>
        </w:rPr>
        <w:t>708.</w:t>
      </w:r>
      <w:r>
        <w:rPr>
          <w:spacing w:val="0"/>
          <w:lang w:val="es-ES"/>
        </w:rPr>
        <w:tab/>
        <w:t>Las reformas realizadas en el sistema judicial contribuyeron a captar la atención y el interés de prestigiosas organizaciones internacionales, en particular las instituciones financieras, cuyo resultado visible es la ejecución del proyecto conjunto con el Banco Mundial para la modernización del sistema judicial.</w:t>
      </w:r>
    </w:p>
    <w:p w:rsidR="001D2E73" w:rsidRDefault="001D2E73">
      <w:pPr>
        <w:pStyle w:val="SingleTxtGR"/>
        <w:rPr>
          <w:spacing w:val="0"/>
          <w:lang w:val="es-ES"/>
        </w:rPr>
      </w:pPr>
      <w:r>
        <w:rPr>
          <w:spacing w:val="0"/>
          <w:lang w:val="es-ES"/>
        </w:rPr>
        <w:t>709.</w:t>
      </w:r>
      <w:r>
        <w:rPr>
          <w:spacing w:val="0"/>
          <w:lang w:val="es-ES"/>
        </w:rPr>
        <w:tab/>
        <w:t>El 6 de febrero de 2009 por Instrucción del Presidente fue aprobado el Programa estatal de desarrollo de la justicia en Azerbaiyán para 2009-2013, en el que también se prevé un conjunto de medidas encaminadas a fortalecer la independencia del sistema judicial, a perfeccionar la actividad de los tribunales de conformidad con los requisitos de nuestros tiempos y aumentar la transparencia en su actividad.</w:t>
      </w:r>
    </w:p>
    <w:p w:rsidR="001D2E73" w:rsidRDefault="001D2E73">
      <w:pPr>
        <w:pStyle w:val="SingleTxtGR"/>
        <w:rPr>
          <w:spacing w:val="0"/>
          <w:lang w:val="es-ES"/>
        </w:rPr>
      </w:pPr>
      <w:r>
        <w:rPr>
          <w:spacing w:val="0"/>
          <w:lang w:val="es-ES"/>
        </w:rPr>
        <w:t>710.</w:t>
      </w:r>
      <w:r>
        <w:rPr>
          <w:spacing w:val="0"/>
          <w:lang w:val="es-ES"/>
        </w:rPr>
        <w:tab/>
        <w:t>Asimismo conviene subrayar que en el acta del referendo sobre enmiendas y adiciones a la Constitución, celebrado el 18 de marzo de este año, figuran normas encaminadas a consagrar con firmeza las cuestiones relacionadas con la administración de justicia y la independencia del poder judicial. Esas adiciones y enmiendas entraron en vigor el 31 de marzo de 2009.</w:t>
      </w:r>
    </w:p>
    <w:p w:rsidR="001D2E73" w:rsidRDefault="001D2E73">
      <w:pPr>
        <w:pStyle w:val="SingleTxtGR"/>
        <w:rPr>
          <w:spacing w:val="0"/>
          <w:lang w:val="es-ES"/>
        </w:rPr>
      </w:pPr>
      <w:r>
        <w:rPr>
          <w:spacing w:val="0"/>
          <w:lang w:val="es-ES"/>
        </w:rPr>
        <w:t>711.</w:t>
      </w:r>
      <w:r>
        <w:rPr>
          <w:spacing w:val="0"/>
          <w:lang w:val="es-ES"/>
        </w:rPr>
        <w:tab/>
        <w:t>En 2006 Azerbaiyán fue uno de los fundadores de la Asociación internacional de organismos contra la corrupción, promovida por las Naciones Unidas, y el Ministro de Justicia fue elegido vicepresidente de esa organización. En el marco de la lucha contra la corrupción, el Consejo Judicial aplicó medidas disciplinarias contra 6 jueces en 2007 y contra 4 en 2008 en relación con casos de corrupción.</w:t>
      </w:r>
    </w:p>
    <w:p w:rsidR="001D2E73" w:rsidRDefault="001D2E73">
      <w:pPr>
        <w:pStyle w:val="H23G"/>
        <w:rPr>
          <w:lang w:val="es-ES"/>
        </w:rPr>
      </w:pPr>
      <w:r>
        <w:rPr>
          <w:lang w:val="es-ES"/>
        </w:rPr>
        <w:tab/>
      </w:r>
      <w:r>
        <w:rPr>
          <w:lang w:val="es-ES"/>
        </w:rPr>
        <w:tab/>
        <w:t>Párrafo 42 de las observaciones finales</w:t>
      </w:r>
    </w:p>
    <w:p w:rsidR="001D2E73" w:rsidRDefault="001D2E73">
      <w:pPr>
        <w:pStyle w:val="SingleTxtGR"/>
        <w:rPr>
          <w:spacing w:val="0"/>
          <w:lang w:val="es-ES"/>
        </w:rPr>
      </w:pPr>
      <w:r>
        <w:rPr>
          <w:spacing w:val="0"/>
          <w:lang w:val="es-ES"/>
        </w:rPr>
        <w:t>712.</w:t>
      </w:r>
      <w:r>
        <w:rPr>
          <w:spacing w:val="0"/>
          <w:lang w:val="es-ES"/>
        </w:rPr>
        <w:tab/>
        <w:t xml:space="preserve">En 2006 para proseguir las reformas que se estaban llevando a cabo en el sistema de dirección estatal, por Decreto presidencial se creó </w:t>
      </w:r>
      <w:smartTag w:uri="urn:schemas-microsoft-com:office:smarttags" w:element="PersonName">
        <w:smartTagPr>
          <w:attr w:name="ProductID" w:val="la Comisi￳n Nacional"/>
        </w:smartTagPr>
        <w:r>
          <w:rPr>
            <w:spacing w:val="0"/>
            <w:lang w:val="es-ES"/>
          </w:rPr>
          <w:t>la Comisión Nacional</w:t>
        </w:r>
      </w:smartTag>
      <w:r>
        <w:rPr>
          <w:spacing w:val="0"/>
          <w:lang w:val="es-ES"/>
        </w:rPr>
        <w:t xml:space="preserve"> de Asuntos de la F</w:t>
      </w:r>
      <w:r>
        <w:rPr>
          <w:spacing w:val="0"/>
          <w:lang w:val="es-ES"/>
        </w:rPr>
        <w:t>a</w:t>
      </w:r>
      <w:r>
        <w:rPr>
          <w:spacing w:val="0"/>
          <w:lang w:val="es-ES"/>
        </w:rPr>
        <w:t>milia, la Mujer y la Infancia.</w:t>
      </w:r>
    </w:p>
    <w:p w:rsidR="001D2E73" w:rsidRDefault="001D2E73">
      <w:pPr>
        <w:pStyle w:val="SingleTxtGR"/>
        <w:rPr>
          <w:i/>
          <w:spacing w:val="0"/>
          <w:lang w:val="es-ES"/>
        </w:rPr>
      </w:pPr>
      <w:r>
        <w:rPr>
          <w:spacing w:val="0"/>
          <w:lang w:val="es-ES"/>
        </w:rPr>
        <w:t>713.</w:t>
      </w:r>
      <w:r>
        <w:rPr>
          <w:spacing w:val="0"/>
          <w:lang w:val="es-ES"/>
        </w:rPr>
        <w:tab/>
        <w:t>Atendiendo a las recomendaciones del Comité de Derechos Económicos, Sociales y Culturales en esa esfera, en 2006 fue aprobada la Ley de igualdad de género. En la ley se establecen las directrices fundamentales de la política nacional para asegurar la igualdad entre los sexos, la obligación del Estado de garantizarla, la garantía de la igualdad entre los sexos en las relaciones económicas y sociales, el ejercicio del derecho al trabajo, a recibir instrucción y así sucesivamente.</w:t>
      </w:r>
    </w:p>
    <w:p w:rsidR="001D2E73" w:rsidRDefault="001D2E73">
      <w:pPr>
        <w:pStyle w:val="SingleTxtGR"/>
        <w:rPr>
          <w:spacing w:val="0"/>
          <w:lang w:val="es-ES"/>
        </w:rPr>
      </w:pPr>
      <w:r>
        <w:rPr>
          <w:spacing w:val="0"/>
          <w:lang w:val="es-ES"/>
        </w:rPr>
        <w:t>714.</w:t>
      </w:r>
      <w:r>
        <w:rPr>
          <w:spacing w:val="0"/>
          <w:lang w:val="es-ES"/>
        </w:rPr>
        <w:tab/>
        <w:t>Entre 2003 y 2008 se llevaron a cabo medidas encaminadas a prevenir la discriminación contra la mujer, aumentar su protección social y estimular su participación en la actividad económica y de esta forma se dio cumplimiento a las recomendaciones del Comité.</w:t>
      </w:r>
    </w:p>
    <w:p w:rsidR="001D2E73" w:rsidRDefault="001D2E73">
      <w:pPr>
        <w:pStyle w:val="SingleTxtGR"/>
        <w:rPr>
          <w:spacing w:val="0"/>
          <w:lang w:val="es-ES"/>
        </w:rPr>
      </w:pPr>
      <w:r>
        <w:rPr>
          <w:spacing w:val="0"/>
          <w:lang w:val="es-ES"/>
        </w:rPr>
        <w:t>715.</w:t>
      </w:r>
      <w:r>
        <w:rPr>
          <w:spacing w:val="0"/>
          <w:lang w:val="es-ES"/>
        </w:rPr>
        <w:tab/>
        <w:t>En 2007 por Instrucción del Presidente fue aprobado el Programa estatal de aplicación de la Estrategia de e</w:t>
      </w:r>
      <w:r>
        <w:rPr>
          <w:spacing w:val="0"/>
          <w:lang w:val="es-ES"/>
        </w:rPr>
        <w:t>m</w:t>
      </w:r>
      <w:r>
        <w:rPr>
          <w:spacing w:val="0"/>
          <w:lang w:val="es-ES"/>
        </w:rPr>
        <w:t>pleo de la República de Azerbaiyán (2007-2010), uno de cuyos fines es garantizar la igualdad de género en el empleo. En el Plan de acción de ese Programa se prevé el aumento de la competitividad de la mujer en el mercado de trabajo, el desarrollo de su capacidad empresarial, el aumento de su calificación profesional y la determinación de las causas del desempleo entre las mujeres.</w:t>
      </w:r>
    </w:p>
    <w:p w:rsidR="001D2E73" w:rsidRDefault="001D2E73">
      <w:pPr>
        <w:pStyle w:val="SingleTxtGR"/>
        <w:rPr>
          <w:spacing w:val="0"/>
          <w:lang w:val="es-ES"/>
        </w:rPr>
      </w:pPr>
      <w:r>
        <w:rPr>
          <w:spacing w:val="0"/>
          <w:lang w:val="es-ES"/>
        </w:rPr>
        <w:t>716.</w:t>
      </w:r>
      <w:r>
        <w:rPr>
          <w:spacing w:val="0"/>
          <w:lang w:val="es-ES"/>
        </w:rPr>
        <w:tab/>
        <w:t>En 2008, por Instrucción del jefe de Estado fue aprobado el Programa estatal de reducción de la pobreza y desarrollo estable de Azerbaiyán en 2008-2015. En este programa se incluyeron las cuestiones relacionadas con el desarrollo de la capacidad empresarial de la mujer, la organización de su readiestramiento, la mejora de sus condiciones de trabajo y otras medidas.</w:t>
      </w:r>
    </w:p>
    <w:p w:rsidR="001D2E73" w:rsidRDefault="001D2E73">
      <w:pPr>
        <w:pStyle w:val="SingleTxtGR"/>
        <w:rPr>
          <w:spacing w:val="0"/>
          <w:lang w:val="es-ES"/>
        </w:rPr>
      </w:pPr>
      <w:r>
        <w:rPr>
          <w:spacing w:val="0"/>
          <w:lang w:val="es-ES"/>
        </w:rPr>
        <w:t>717.</w:t>
      </w:r>
      <w:r>
        <w:rPr>
          <w:spacing w:val="0"/>
          <w:lang w:val="es-ES"/>
        </w:rPr>
        <w:tab/>
        <w:t>Con el fin de garantizar la igualdad de género, en 2008 se introdujeron enmiendas y adiciones a la Ley de administración pública y a la Ley de empleo.</w:t>
      </w:r>
    </w:p>
    <w:p w:rsidR="001D2E73" w:rsidRDefault="001D2E73">
      <w:pPr>
        <w:pStyle w:val="SingleTxtGR"/>
        <w:rPr>
          <w:spacing w:val="0"/>
          <w:lang w:val="es-ES"/>
        </w:rPr>
      </w:pPr>
      <w:r>
        <w:rPr>
          <w:spacing w:val="0"/>
          <w:lang w:val="es-ES"/>
        </w:rPr>
        <w:t>718.</w:t>
      </w:r>
      <w:r>
        <w:rPr>
          <w:spacing w:val="0"/>
          <w:lang w:val="es-ES"/>
        </w:rPr>
        <w:tab/>
        <w:t>A raíz del referendo se añadieron normas constitucionales que reafirman el d</w:t>
      </w:r>
      <w:r>
        <w:rPr>
          <w:spacing w:val="0"/>
          <w:lang w:val="es-ES"/>
        </w:rPr>
        <w:t>e</w:t>
      </w:r>
      <w:r>
        <w:rPr>
          <w:spacing w:val="0"/>
          <w:lang w:val="es-ES"/>
        </w:rPr>
        <w:t xml:space="preserve">recho a </w:t>
      </w:r>
      <w:smartTag w:uri="urn:schemas-microsoft-com:office:smarttags" w:element="PersonName">
        <w:smartTagPr>
          <w:attr w:name="ProductID" w:val="la igualdad. En"/>
        </w:smartTagPr>
        <w:r>
          <w:rPr>
            <w:spacing w:val="0"/>
            <w:lang w:val="es-ES"/>
          </w:rPr>
          <w:t>la igualdad. En</w:t>
        </w:r>
      </w:smartTag>
      <w:r>
        <w:rPr>
          <w:spacing w:val="0"/>
          <w:lang w:val="es-ES"/>
        </w:rPr>
        <w:t xml:space="preserve"> el artículo 25 de la Constitución en particular se añadieron disposiciones que prohíben otorgar ventajas y privilegios o negarse a otorgarlas por motivo de raza, nacionalidad, religión, idi</w:t>
      </w:r>
      <w:r>
        <w:rPr>
          <w:spacing w:val="0"/>
          <w:lang w:val="es-ES"/>
        </w:rPr>
        <w:t>o</w:t>
      </w:r>
      <w:r>
        <w:rPr>
          <w:spacing w:val="0"/>
          <w:lang w:val="es-ES"/>
        </w:rPr>
        <w:t>ma, sexo y otras características.</w:t>
      </w:r>
    </w:p>
    <w:p w:rsidR="001D2E73" w:rsidRDefault="001D2E73">
      <w:pPr>
        <w:pStyle w:val="SingleTxtGR"/>
        <w:rPr>
          <w:spacing w:val="0"/>
          <w:lang w:val="es-ES"/>
        </w:rPr>
      </w:pPr>
      <w:r>
        <w:rPr>
          <w:spacing w:val="0"/>
          <w:lang w:val="es-ES"/>
        </w:rPr>
        <w:t>719.</w:t>
      </w:r>
      <w:r>
        <w:rPr>
          <w:spacing w:val="0"/>
          <w:lang w:val="es-ES"/>
        </w:rPr>
        <w:tab/>
        <w:t>Cabe señalar, que el 17 de marzo del año en curso, el Parlamento del país aprobó la Resolución sobre la declaración de amnistía con ocasión de la celebración del Novruz</w:t>
      </w:r>
      <w:r>
        <w:rPr>
          <w:iCs/>
          <w:spacing w:val="0"/>
          <w:lang w:val="es-ES"/>
        </w:rPr>
        <w:t>. De conformidad con esta normativa quedaron amparadas por la amnis</w:t>
      </w:r>
      <w:r>
        <w:rPr>
          <w:iCs/>
          <w:spacing w:val="0"/>
          <w:lang w:val="es-ES"/>
        </w:rPr>
        <w:t>t</w:t>
      </w:r>
      <w:r>
        <w:rPr>
          <w:iCs/>
          <w:spacing w:val="0"/>
          <w:lang w:val="es-ES"/>
        </w:rPr>
        <w:t>ía cerca de 9.000 personas</w:t>
      </w:r>
      <w:r>
        <w:rPr>
          <w:spacing w:val="0"/>
          <w:lang w:val="es-ES"/>
        </w:rPr>
        <w:t>.</w:t>
      </w:r>
    </w:p>
    <w:p w:rsidR="001D2E73" w:rsidRDefault="001D2E73">
      <w:pPr>
        <w:pStyle w:val="H23G"/>
        <w:rPr>
          <w:lang w:val="es-ES"/>
        </w:rPr>
      </w:pPr>
      <w:r>
        <w:rPr>
          <w:lang w:val="es-ES"/>
        </w:rPr>
        <w:tab/>
      </w:r>
      <w:r>
        <w:rPr>
          <w:lang w:val="es-ES"/>
        </w:rPr>
        <w:tab/>
        <w:t>Párrafo 44 de las observaciones finales</w:t>
      </w:r>
    </w:p>
    <w:p w:rsidR="001D2E73" w:rsidRDefault="001D2E73">
      <w:pPr>
        <w:pStyle w:val="SingleTxtGR"/>
        <w:rPr>
          <w:spacing w:val="0"/>
          <w:lang w:val="es-ES"/>
        </w:rPr>
      </w:pPr>
      <w:r>
        <w:rPr>
          <w:spacing w:val="0"/>
          <w:lang w:val="es-ES"/>
        </w:rPr>
        <w:t>720.</w:t>
      </w:r>
      <w:r>
        <w:rPr>
          <w:spacing w:val="0"/>
          <w:lang w:val="es-ES"/>
        </w:rPr>
        <w:tab/>
        <w:t>En cumplimiento de las recomendaciones del Comité relativas a la incorporación al trabajo de las personas con discapacidad se perfeccionó la legislación y se aprobaron programas en esta esfera.</w:t>
      </w:r>
    </w:p>
    <w:p w:rsidR="001D2E73" w:rsidRDefault="001D2E73">
      <w:pPr>
        <w:pStyle w:val="SingleTxtGR"/>
        <w:rPr>
          <w:spacing w:val="0"/>
          <w:lang w:val="es-ES"/>
        </w:rPr>
      </w:pPr>
      <w:r>
        <w:rPr>
          <w:spacing w:val="0"/>
          <w:lang w:val="es-ES"/>
        </w:rPr>
        <w:t>721.</w:t>
      </w:r>
      <w:r>
        <w:rPr>
          <w:spacing w:val="0"/>
          <w:lang w:val="es-ES"/>
        </w:rPr>
        <w:tab/>
        <w:t>En 2004, por Instrucción del Presidente fue aprobado el Programa estatal de desarrollo socioeconómico de las regiones de Azerbaiyán (2004-2008), en el que se prevé un conjunto de medidas encaminadas a garantizar los derechos de los grupos vulnerables de la población, por ejemplo las personas con discapacidad.</w:t>
      </w:r>
    </w:p>
    <w:p w:rsidR="001D2E73" w:rsidRDefault="001D2E73">
      <w:pPr>
        <w:pStyle w:val="SingleTxtGR"/>
        <w:rPr>
          <w:spacing w:val="0"/>
          <w:lang w:val="es-ES"/>
        </w:rPr>
      </w:pPr>
      <w:r>
        <w:rPr>
          <w:spacing w:val="0"/>
          <w:lang w:val="es-ES"/>
        </w:rPr>
        <w:t>722.</w:t>
      </w:r>
      <w:r>
        <w:rPr>
          <w:spacing w:val="0"/>
          <w:lang w:val="es-ES"/>
        </w:rPr>
        <w:tab/>
        <w:t xml:space="preserve">En la Ley sobre prevención de la discapacidad y la minusvalía en los niños y de </w:t>
      </w:r>
      <w:r>
        <w:rPr>
          <w:iCs/>
          <w:spacing w:val="0"/>
          <w:lang w:val="es-ES"/>
        </w:rPr>
        <w:t>rehabilitación y protección social de los discapacitados y los niños minusválidos se introdujeron en 2004 enmiendas y adiciones sustanciales para reforzar las medidas especiales encaminadas a facilitar el empleo de las personas con discapacidad</w:t>
      </w:r>
    </w:p>
    <w:p w:rsidR="001D2E73" w:rsidRDefault="001D2E73">
      <w:pPr>
        <w:pStyle w:val="SingleTxtGR"/>
        <w:rPr>
          <w:spacing w:val="0"/>
          <w:lang w:val="es-ES"/>
        </w:rPr>
      </w:pPr>
      <w:r>
        <w:rPr>
          <w:spacing w:val="0"/>
          <w:lang w:val="es-ES"/>
        </w:rPr>
        <w:t>723.</w:t>
      </w:r>
      <w:r>
        <w:rPr>
          <w:spacing w:val="0"/>
          <w:lang w:val="es-ES"/>
        </w:rPr>
        <w:tab/>
        <w:t>Las autoridades competentes, las empresas y organizaciones, junto con las organizaciones sociales garantizan a las personas con discapacidad la posibilidad de trabajar mediante la creación de empresas con condiciones para ello y la instrucción mediante programas especiales. En las empresas, instituciones y organizaciones, sean públicas o privadas, se establecen cupos para la admisión al empleo de estas personas.</w:t>
      </w:r>
    </w:p>
    <w:p w:rsidR="001D2E73" w:rsidRDefault="001D2E73">
      <w:pPr>
        <w:pStyle w:val="SingleTxtGR"/>
        <w:rPr>
          <w:spacing w:val="0"/>
          <w:lang w:val="es-ES"/>
        </w:rPr>
      </w:pPr>
      <w:r>
        <w:rPr>
          <w:spacing w:val="0"/>
          <w:lang w:val="es-ES"/>
        </w:rPr>
        <w:t>724.</w:t>
      </w:r>
      <w:r>
        <w:rPr>
          <w:spacing w:val="0"/>
          <w:lang w:val="es-ES"/>
        </w:rPr>
        <w:tab/>
        <w:t>Además, en el artículo 9 de la Ley de empleo se establecen garantías adicionales para que accedan al empleo los ciudadanos que necesitan de protección social especial y que experimentan dificultades para encontrar empleo (personas con discapacidad, padres que crían a hijos que tienen impedimentos físicos).</w:t>
      </w:r>
    </w:p>
    <w:p w:rsidR="001D2E73" w:rsidRDefault="001D2E73">
      <w:pPr>
        <w:pStyle w:val="SingleTxtGR"/>
        <w:rPr>
          <w:spacing w:val="0"/>
          <w:lang w:val="es-ES"/>
        </w:rPr>
      </w:pPr>
      <w:r>
        <w:rPr>
          <w:spacing w:val="0"/>
          <w:lang w:val="es-ES"/>
        </w:rPr>
        <w:t>725.</w:t>
      </w:r>
      <w:r>
        <w:rPr>
          <w:spacing w:val="0"/>
          <w:lang w:val="es-ES"/>
        </w:rPr>
        <w:tab/>
        <w:t>En 2005 por Instrucción del Jefe de Estado fue aprobada la Estrategia de empleo en Azerbaiyán para 2006-2015, en la que se dispone la asignación de cupos en los puestos de trabajo para las personas con discapacidad, la aplicación de la responsabilidad administrativa a las empresas que no garanticen ese cupo, según se establece en la ley, así como la incentivación de los empresarios que creen puestos de trabajo especiales para las personas con discapacidad.</w:t>
      </w:r>
    </w:p>
    <w:p w:rsidR="001D2E73" w:rsidRDefault="001D2E73">
      <w:pPr>
        <w:pStyle w:val="SingleTxtGR"/>
        <w:rPr>
          <w:spacing w:val="0"/>
          <w:lang w:val="es-ES"/>
        </w:rPr>
      </w:pPr>
      <w:r>
        <w:rPr>
          <w:spacing w:val="0"/>
          <w:lang w:val="es-ES"/>
        </w:rPr>
        <w:t>726.</w:t>
      </w:r>
      <w:r>
        <w:rPr>
          <w:spacing w:val="0"/>
          <w:lang w:val="es-ES"/>
        </w:rPr>
        <w:tab/>
        <w:t>Por otra parte, en 2005 el Consejo de Ministros aprobó el Procedimiento para aplicar los cupos de</w:t>
      </w:r>
      <w:r>
        <w:rPr>
          <w:spacing w:val="0"/>
          <w:lang w:val="es-ES"/>
        </w:rPr>
        <w:t>s</w:t>
      </w:r>
      <w:r>
        <w:rPr>
          <w:spacing w:val="0"/>
          <w:lang w:val="es-ES"/>
        </w:rPr>
        <w:t>tinados a ciudadanos que requieren protección social especial y tienen dificultades para hallar empleo y la Lista de empresas donde no se aplican los cupos</w:t>
      </w:r>
      <w:r>
        <w:rPr>
          <w:bCs/>
          <w:spacing w:val="0"/>
          <w:lang w:val="es-ES"/>
        </w:rPr>
        <w:t>, conforme a los cuales las oficinas locales de empleo calculan el número de puesto de trabajo sujetos a cupo, que anualmente es aprobado por el gobierno local</w:t>
      </w:r>
      <w:r>
        <w:rPr>
          <w:spacing w:val="0"/>
          <w:lang w:val="es-ES"/>
        </w:rPr>
        <w:t>. La instrucción sobre la admisión de esas personas al empleo es obligatoria para todas las empresas, sean públicas o privadas.</w:t>
      </w:r>
    </w:p>
    <w:p w:rsidR="001D2E73" w:rsidRDefault="001D2E73">
      <w:pPr>
        <w:pStyle w:val="SingleTxtGR"/>
        <w:rPr>
          <w:spacing w:val="0"/>
          <w:lang w:val="es-ES"/>
        </w:rPr>
      </w:pPr>
      <w:r>
        <w:rPr>
          <w:spacing w:val="0"/>
          <w:lang w:val="es-ES"/>
        </w:rPr>
        <w:t>727.</w:t>
      </w:r>
      <w:r>
        <w:rPr>
          <w:spacing w:val="0"/>
          <w:lang w:val="es-ES"/>
        </w:rPr>
        <w:tab/>
        <w:t>Las empresas, instituciones y organiz</w:t>
      </w:r>
      <w:r>
        <w:rPr>
          <w:spacing w:val="0"/>
          <w:lang w:val="es-ES"/>
        </w:rPr>
        <w:t>a</w:t>
      </w:r>
      <w:r>
        <w:rPr>
          <w:spacing w:val="0"/>
          <w:lang w:val="es-ES"/>
        </w:rPr>
        <w:t xml:space="preserve">ciones que no cumplan los cupos ingresarán al Fondo Estatal de Protección Social el triple del salario mensual medio establecido en el país por cada puesto de trabajo durante los meses en que no garantice trabajo a esas personas. </w:t>
      </w:r>
    </w:p>
    <w:p w:rsidR="001D2E73" w:rsidRDefault="001D2E73">
      <w:pPr>
        <w:pStyle w:val="SingleTxtGR"/>
        <w:rPr>
          <w:spacing w:val="0"/>
          <w:lang w:val="es-ES"/>
        </w:rPr>
      </w:pPr>
      <w:r>
        <w:rPr>
          <w:spacing w:val="0"/>
          <w:lang w:val="es-ES"/>
        </w:rPr>
        <w:t>728.</w:t>
      </w:r>
      <w:r>
        <w:rPr>
          <w:spacing w:val="0"/>
          <w:lang w:val="es-ES"/>
        </w:rPr>
        <w:tab/>
        <w:t>En 2007 fue aprobado el Programa estatal de aplicación de la Estrategia de empleo de la República de Azerbaiyán (2007-2010 años)", en la que se prevé la integración en la sociedad de las personas con discapacidad.</w:t>
      </w:r>
    </w:p>
    <w:p w:rsidR="001D2E73" w:rsidRDefault="001D2E73">
      <w:pPr>
        <w:pStyle w:val="SingleTxtGR"/>
        <w:rPr>
          <w:spacing w:val="0"/>
          <w:lang w:val="es-ES"/>
        </w:rPr>
      </w:pPr>
      <w:r>
        <w:rPr>
          <w:spacing w:val="0"/>
          <w:lang w:val="es-ES"/>
        </w:rPr>
        <w:t>729.</w:t>
      </w:r>
      <w:r>
        <w:rPr>
          <w:spacing w:val="0"/>
          <w:lang w:val="es-ES"/>
        </w:rPr>
        <w:tab/>
        <w:t>Por resolución del Consejo de Ministros, anualmente se aprueban los programas estatales de financiación de las actividades relacionadas con la protección social de las personas con discapacidad. El último programa fue aprobado el 3 de febrero de 2009. En ese programa se destinan gastos a la protección social y la rehabilitación de las personas con discapacidad en 2009, se resuelven de manera integral las cuestiones relacionadas con la rehabilitación social y médica y se garantiza su protección social y su integración en la sociedad.</w:t>
      </w:r>
    </w:p>
    <w:p w:rsidR="001D2E73" w:rsidRDefault="001D2E73">
      <w:pPr>
        <w:pStyle w:val="H23G"/>
        <w:rPr>
          <w:lang w:val="es-ES"/>
        </w:rPr>
      </w:pPr>
      <w:r>
        <w:rPr>
          <w:lang w:val="es-ES"/>
        </w:rPr>
        <w:tab/>
      </w:r>
      <w:r>
        <w:rPr>
          <w:lang w:val="es-ES"/>
        </w:rPr>
        <w:tab/>
        <w:t>Párrafo 48 de las observaciones finales</w:t>
      </w:r>
    </w:p>
    <w:p w:rsidR="001D2E73" w:rsidRDefault="001D2E73">
      <w:pPr>
        <w:pStyle w:val="SingleTxtGR"/>
        <w:rPr>
          <w:spacing w:val="0"/>
          <w:lang w:val="es-ES"/>
        </w:rPr>
      </w:pPr>
      <w:r>
        <w:rPr>
          <w:spacing w:val="0"/>
          <w:lang w:val="es-ES"/>
        </w:rPr>
        <w:t>730.</w:t>
      </w:r>
      <w:r>
        <w:rPr>
          <w:spacing w:val="0"/>
          <w:lang w:val="es-ES"/>
        </w:rPr>
        <w:tab/>
        <w:t xml:space="preserve">De conformidad con el párrafo 8 de la Ley de prestaciones sociales, el monto de las prestaciones sociales aumento por lo menos una vez al año. </w:t>
      </w:r>
    </w:p>
    <w:p w:rsidR="001D2E73" w:rsidRDefault="001D2E73">
      <w:pPr>
        <w:pStyle w:val="SingleTxtGR"/>
        <w:rPr>
          <w:spacing w:val="0"/>
          <w:lang w:val="es-ES"/>
        </w:rPr>
      </w:pPr>
      <w:r>
        <w:rPr>
          <w:spacing w:val="0"/>
          <w:lang w:val="es-ES"/>
        </w:rPr>
        <w:t>731.</w:t>
      </w:r>
      <w:r>
        <w:rPr>
          <w:spacing w:val="0"/>
          <w:lang w:val="es-ES"/>
        </w:rPr>
        <w:tab/>
        <w:t>Conforme al Decreto presidencial de 20 de febrero de 2003, por el que se aprobó el Programa estatal de reducción de la pobreza y de desarrollo económico de Azerbaiyán para 2003-2005, para lograr una de las seis tareas fundamentales de la estrategia de reducción de la pobreza y, en particular, aumentar la protección social de los grupos más vulnerables de la población fue aprobada la Ley de asignación de la ayuda social del Estado y desde el 1º de julio de 2006 comenzó a asignarse esta ayuda a las familias de bajos ingresos. De conformidad con el artículo 4 de esa Ley, uno de los tres principios fundament</w:t>
      </w:r>
      <w:r>
        <w:rPr>
          <w:spacing w:val="0"/>
          <w:lang w:val="es-ES"/>
        </w:rPr>
        <w:t>a</w:t>
      </w:r>
      <w:r>
        <w:rPr>
          <w:spacing w:val="0"/>
          <w:lang w:val="es-ES"/>
        </w:rPr>
        <w:t>les de la ayuda social es el principio de igualdad, lo que significa que la ayuda social se asigna a todas las familias de pocos recursos. También reciben ayuda social en caso de necesidad los ciudadanos de Azerbaiyán y los apátridas con residencia pe</w:t>
      </w:r>
      <w:r>
        <w:rPr>
          <w:spacing w:val="0"/>
          <w:lang w:val="es-ES"/>
        </w:rPr>
        <w:t>r</w:t>
      </w:r>
      <w:r>
        <w:rPr>
          <w:spacing w:val="0"/>
          <w:lang w:val="es-ES"/>
        </w:rPr>
        <w:t xml:space="preserve">manente en territorio del país. </w:t>
      </w:r>
    </w:p>
    <w:p w:rsidR="001D2E73" w:rsidRDefault="001D2E73">
      <w:pPr>
        <w:pStyle w:val="SingleTxtGR"/>
        <w:rPr>
          <w:spacing w:val="0"/>
          <w:lang w:val="es-ES"/>
        </w:rPr>
      </w:pPr>
      <w:r>
        <w:rPr>
          <w:spacing w:val="0"/>
          <w:lang w:val="es-ES"/>
        </w:rPr>
        <w:t>732.</w:t>
      </w:r>
      <w:r>
        <w:rPr>
          <w:spacing w:val="0"/>
          <w:lang w:val="es-ES"/>
        </w:rPr>
        <w:tab/>
        <w:t xml:space="preserve">Según informes, al 31 de diciembre de 2008 en todo el país se asignó ayuda social específica a 163.409 familias (de ellas 9% eran familias de refugiados y desplazados), cuyos miembros sumaban en total 749.965 miembros, por un monto de 22 manat (27,5 dólares de los Estados Unidos) por personas y 101 manat (126,25 dólares de los Estados Unidos) por familia. </w:t>
      </w:r>
    </w:p>
    <w:p w:rsidR="001D2E73" w:rsidRDefault="001D2E73">
      <w:pPr>
        <w:pStyle w:val="SingleTxtGR"/>
        <w:rPr>
          <w:spacing w:val="0"/>
          <w:lang w:val="es-ES"/>
        </w:rPr>
      </w:pPr>
      <w:r>
        <w:rPr>
          <w:spacing w:val="0"/>
          <w:lang w:val="es-ES"/>
        </w:rPr>
        <w:t>733.</w:t>
      </w:r>
      <w:r>
        <w:rPr>
          <w:spacing w:val="0"/>
          <w:lang w:val="es-ES"/>
        </w:rPr>
        <w:tab/>
        <w:t xml:space="preserve">La Ley del mínimo vital para 2009, aprobada el 25 de noviembre de 2008, fijó ese mínimo en la cifra media de 84 manat (105 dólares de los Estados Unidos) por persona. </w:t>
      </w:r>
    </w:p>
    <w:p w:rsidR="001D2E73" w:rsidRDefault="001D2E73">
      <w:pPr>
        <w:pStyle w:val="SingleTxtGR"/>
        <w:rPr>
          <w:spacing w:val="0"/>
          <w:lang w:val="es-ES"/>
        </w:rPr>
      </w:pPr>
      <w:r>
        <w:rPr>
          <w:spacing w:val="0"/>
          <w:lang w:val="es-ES"/>
        </w:rPr>
        <w:t>734.</w:t>
      </w:r>
      <w:r>
        <w:rPr>
          <w:spacing w:val="0"/>
          <w:lang w:val="es-ES"/>
        </w:rPr>
        <w:tab/>
        <w:t>La Ley sobre el criterio del umbral de pobreza para 2009, de 25 de noviembre de 2008, estableció en 60 manat (75 dólares de los Estados Unidos) el umbral de pobreza para 2009.</w:t>
      </w:r>
    </w:p>
    <w:p w:rsidR="001D2E73" w:rsidRDefault="001D2E73">
      <w:pPr>
        <w:pStyle w:val="SingleTxtGR"/>
        <w:rPr>
          <w:spacing w:val="0"/>
          <w:lang w:val="es-ES"/>
        </w:rPr>
      </w:pPr>
      <w:r>
        <w:rPr>
          <w:spacing w:val="0"/>
          <w:lang w:val="es-ES"/>
        </w:rPr>
        <w:t>735.</w:t>
      </w:r>
      <w:r>
        <w:rPr>
          <w:spacing w:val="0"/>
          <w:lang w:val="es-ES"/>
        </w:rPr>
        <w:tab/>
        <w:t xml:space="preserve">Según datos de la encuesta de evaluación y análisis del nivel de vida de 6.600 familias, realizada en 2008 por el Ministerio de Trabajo y Protección Social de la Población con el apoyo técnico del Grupo de evaluación pragmática de la pobreza del Banco Mundial, Azerbaiyán tiene uno de los mejores índices del mundo y ocupa los lugares primero y segundo, junto con Ucrania, entre los países de la CEI en cuanto a la eficacia de la asignación de la ayuda social. </w:t>
      </w:r>
    </w:p>
    <w:p w:rsidR="001D2E73" w:rsidRDefault="001D2E73">
      <w:pPr>
        <w:pStyle w:val="SingleTxtGR"/>
        <w:rPr>
          <w:spacing w:val="0"/>
          <w:lang w:val="es-ES"/>
        </w:rPr>
      </w:pPr>
      <w:r>
        <w:rPr>
          <w:spacing w:val="0"/>
          <w:lang w:val="es-ES"/>
        </w:rPr>
        <w:t>736.</w:t>
      </w:r>
      <w:r>
        <w:rPr>
          <w:spacing w:val="0"/>
          <w:lang w:val="es-ES"/>
        </w:rPr>
        <w:tab/>
        <w:t xml:space="preserve">La encuesta demostró, entre otras cosas, que más de la mitad de los ingresos de las familias más pobres (20% de familias) que reciben ayuda, proviene de la ayuda social, lo que significa que la prestación de ayuda desempeña una importante función en la subsistencia de este sector de </w:t>
      </w:r>
      <w:smartTag w:uri="urn:schemas-microsoft-com:office:smarttags" w:element="PersonName">
        <w:smartTagPr>
          <w:attr w:name="ProductID" w:val="la poblaci￳n. Adem￡s"/>
        </w:smartTagPr>
        <w:r>
          <w:rPr>
            <w:spacing w:val="0"/>
            <w:lang w:val="es-ES"/>
          </w:rPr>
          <w:t>la población. Además</w:t>
        </w:r>
      </w:smartTag>
      <w:r>
        <w:rPr>
          <w:spacing w:val="0"/>
          <w:lang w:val="es-ES"/>
        </w:rPr>
        <w:t>, según la encuesta, más del 85% de los recursos destinados a ayuda social benefician al 20% de los hogares más pobres. Si bien el nivel de pobr</w:t>
      </w:r>
      <w:r>
        <w:rPr>
          <w:spacing w:val="0"/>
          <w:lang w:val="es-ES"/>
        </w:rPr>
        <w:t>e</w:t>
      </w:r>
      <w:r>
        <w:rPr>
          <w:spacing w:val="0"/>
          <w:lang w:val="es-ES"/>
        </w:rPr>
        <w:t xml:space="preserve">za de las personas que reciben prestaciones, pero no ayuda social, representa el 67%, teniendo en cuenta la ayuda social asignada, el nivel de pobreza de este sector de la población representa el 48%. Por otra parte, es muy significativa la influencia que ejerce este programa de ayuda social en el nivel de extrema pobreza. Por eso, si no se ejecutara ese programa, el número de personas en situación de extrema pobreza que reciben otras prestaciones sociales, pero no reciben ayuda social, podría ser el doble.   </w:t>
      </w:r>
    </w:p>
    <w:p w:rsidR="001D2E73" w:rsidRDefault="001D2E73">
      <w:pPr>
        <w:pStyle w:val="SingleTxtGR"/>
        <w:rPr>
          <w:bCs/>
          <w:spacing w:val="0"/>
          <w:lang w:val="es-ES"/>
        </w:rPr>
      </w:pPr>
      <w:r>
        <w:rPr>
          <w:spacing w:val="0"/>
          <w:lang w:val="es-ES"/>
        </w:rPr>
        <w:t>737.</w:t>
      </w:r>
      <w:r>
        <w:rPr>
          <w:spacing w:val="0"/>
          <w:lang w:val="es-ES"/>
        </w:rPr>
        <w:tab/>
        <w:t>Son muchos los indicadores que demuestran que la ayuda social específica que se presta en Azerbaiyán está a la altura de los mejores programas de esta índole que llevan a cabo distintos países del mundo.</w:t>
      </w:r>
    </w:p>
    <w:p w:rsidR="001D2E73" w:rsidRDefault="001D2E73">
      <w:pPr>
        <w:pStyle w:val="H23GR"/>
        <w:rPr>
          <w:spacing w:val="0"/>
          <w:lang w:val="es-ES"/>
        </w:rPr>
      </w:pPr>
      <w:r>
        <w:rPr>
          <w:spacing w:val="0"/>
          <w:lang w:val="es-ES"/>
        </w:rPr>
        <w:tab/>
      </w:r>
      <w:r>
        <w:rPr>
          <w:spacing w:val="0"/>
          <w:lang w:val="es-ES"/>
        </w:rPr>
        <w:tab/>
        <w:t>Párrafo 49 de las observaciones finales</w:t>
      </w:r>
    </w:p>
    <w:p w:rsidR="001D2E73" w:rsidRDefault="001D2E73">
      <w:pPr>
        <w:pStyle w:val="SingleTxtGR"/>
        <w:rPr>
          <w:spacing w:val="0"/>
          <w:lang w:val="es-ES"/>
        </w:rPr>
      </w:pPr>
      <w:r>
        <w:rPr>
          <w:spacing w:val="0"/>
          <w:lang w:val="es-ES"/>
        </w:rPr>
        <w:t>738.</w:t>
      </w:r>
      <w:r>
        <w:rPr>
          <w:spacing w:val="0"/>
          <w:lang w:val="es-ES"/>
        </w:rPr>
        <w:tab/>
        <w:t xml:space="preserve">En la legislación de Azerbaiyán se prevén mecanismos suficientes para exigir responsabilidad penal a las personas que ejerzan la violencia contra </w:t>
      </w:r>
      <w:smartTag w:uri="urn:schemas-microsoft-com:office:smarttags" w:element="PersonName">
        <w:smartTagPr>
          <w:attr w:name="ProductID" w:val="la mujer. En"/>
        </w:smartTagPr>
        <w:r>
          <w:rPr>
            <w:spacing w:val="0"/>
            <w:lang w:val="es-ES"/>
          </w:rPr>
          <w:t>la mujer. En</w:t>
        </w:r>
      </w:smartTag>
      <w:r>
        <w:rPr>
          <w:spacing w:val="0"/>
          <w:lang w:val="es-ES"/>
        </w:rPr>
        <w:t xml:space="preserve"> particular en el Código se establecieron las penas por homicidio, trato cruel que ocasione lesiones corporales de distinto grado, agresión física, aplicación de la tortura, amenaza de muerte o de causar daños graves a la salud, violación, coerción ejercida para la realización de actos de carácter sexual, y otros. Además, en el capítulo 22 del Código Penal de Azerbaiyán (Delitos contra los menores y las relaciones familiares) se tipifican también los delitos correspondientes. </w:t>
      </w:r>
    </w:p>
    <w:p w:rsidR="001D2E73" w:rsidRDefault="001D2E73">
      <w:pPr>
        <w:pStyle w:val="SingleTxtGR"/>
        <w:rPr>
          <w:spacing w:val="0"/>
          <w:lang w:val="es-ES"/>
        </w:rPr>
      </w:pPr>
      <w:r>
        <w:rPr>
          <w:spacing w:val="0"/>
          <w:lang w:val="es-ES"/>
        </w:rPr>
        <w:t>739.</w:t>
      </w:r>
      <w:r>
        <w:rPr>
          <w:spacing w:val="0"/>
          <w:lang w:val="es-ES"/>
        </w:rPr>
        <w:tab/>
        <w:t>Entre 2003 y 2008 se juzgó a 199 personas en relación con el artículo 149 del Código Penal (violación), y a 23 personas en relación con el artículo 151 de ese Código (coerción ejercida para la realización de actos de carácter sexual</w:t>
      </w:r>
      <w:r>
        <w:rPr>
          <w:bCs/>
          <w:spacing w:val="0"/>
          <w:lang w:val="es-ES"/>
        </w:rPr>
        <w:t>).</w:t>
      </w:r>
    </w:p>
    <w:p w:rsidR="001D2E73" w:rsidRDefault="001D2E73">
      <w:pPr>
        <w:pStyle w:val="SingleTxtGR"/>
        <w:rPr>
          <w:spacing w:val="0"/>
          <w:lang w:val="es-ES"/>
        </w:rPr>
      </w:pPr>
      <w:r>
        <w:rPr>
          <w:spacing w:val="0"/>
          <w:lang w:val="es-ES"/>
        </w:rPr>
        <w:t>740.</w:t>
      </w:r>
      <w:r>
        <w:rPr>
          <w:spacing w:val="0"/>
          <w:lang w:val="es-ES"/>
        </w:rPr>
        <w:tab/>
        <w:t xml:space="preserve">La República de Azerbaiyán se sumó a la campaña del Consejo de Europa para combatir la violencia contra </w:t>
      </w:r>
      <w:smartTag w:uri="urn:schemas-microsoft-com:office:smarttags" w:element="PersonName">
        <w:smartTagPr>
          <w:attr w:name="ProductID" w:val="la mujer. El"/>
        </w:smartTagPr>
        <w:r>
          <w:rPr>
            <w:spacing w:val="0"/>
            <w:lang w:val="es-ES"/>
          </w:rPr>
          <w:t>la mujer. El</w:t>
        </w:r>
      </w:smartTag>
      <w:r>
        <w:rPr>
          <w:spacing w:val="0"/>
          <w:lang w:val="es-ES"/>
        </w:rPr>
        <w:t xml:space="preserve"> 21 de diciembre de 2006, el Parlamento de Azerbaiyán aprobó una declaración especial para combatir la violencia contra la mujer, incluida la violencia en el hogar.</w:t>
      </w:r>
    </w:p>
    <w:p w:rsidR="001D2E73" w:rsidRDefault="001D2E73">
      <w:pPr>
        <w:pStyle w:val="SingleTxtGR"/>
        <w:rPr>
          <w:spacing w:val="0"/>
          <w:lang w:val="es-ES"/>
        </w:rPr>
      </w:pPr>
      <w:r>
        <w:rPr>
          <w:spacing w:val="0"/>
          <w:lang w:val="es-ES"/>
        </w:rPr>
        <w:t>741.</w:t>
      </w:r>
      <w:r>
        <w:rPr>
          <w:spacing w:val="0"/>
          <w:lang w:val="es-ES"/>
        </w:rPr>
        <w:tab/>
        <w:t>El Plan de acción nacional para la protección de los derechos humanos en Azerbaiyán (párrafo 17) se encargó a las autoridades competentes la tarea de intensificar la lucha contra la violencia, en particular la violencia en el hogar ejercida contra la mujer, de proporcionar a las víctimas de esos actos la protección jurídica, la indemnización necesaria, la rehabilitación, la atención médica y psicológica, y de organizar una amplia labor de difusión de la información en esta esfera.</w:t>
      </w:r>
    </w:p>
    <w:p w:rsidR="001D2E73" w:rsidRDefault="001D2E73">
      <w:pPr>
        <w:pStyle w:val="SingleTxtGR"/>
        <w:rPr>
          <w:spacing w:val="0"/>
          <w:lang w:val="es-ES"/>
        </w:rPr>
      </w:pPr>
      <w:r>
        <w:rPr>
          <w:spacing w:val="0"/>
          <w:lang w:val="es-ES"/>
        </w:rPr>
        <w:t>742.</w:t>
      </w:r>
      <w:r>
        <w:rPr>
          <w:spacing w:val="0"/>
          <w:lang w:val="es-ES"/>
        </w:rPr>
        <w:tab/>
      </w:r>
      <w:smartTag w:uri="urn:schemas-microsoft-com:office:smarttags" w:element="PersonName">
        <w:smartTagPr>
          <w:attr w:name="ProductID" w:val="ឆ蔰ᘂ㱸ឆlƺԈMeylis.ѶﳍѻﳊƷԈ퀐຀새粘㲀ឆưԈ薘ᘂƯԌӬ鿰ចrƪԌԀ#ƩԈE䙈˥ԣ¤Ԉ俸ឆ쀈ណ⣇ᇒက❚떙&#10;૘૔|粝Ã粝ÃHX`ԐƱ᳾଼૧鰅૧鰅଼Ѐ＀ÿ@ ＀ÿ ＀ÿ＀ÿ肀ÿÿÿÿÿÿÿÿÿÿÿÿÿ샀Àÿ샀À肀ÿ肀ÿ肀ÿ肀ÿ肀ÿ肀샀Àÿ肀肀肀肀肀肀샀Àÿ샀À肀샀À肀샀À肀샀À肀샀À肀샀À肀샀Àÿ肀肀肀肀肀肀샀Àÿ샀Àÿ샀Àÿ샀Àÿ샀Àÿ샀Àÿ샀Àÿ샀À샀À肀肀肀肀肀肀肀肀肀肀肀肀肀￷￷埵꯺ﯿƀƀ````    ```````````````؀ȠȠiax倀一ǨĘЋÈה逈ឞធ탈Ô탈Ô탈Ô탈Ô탈Ô탈Ô탈Ô탈Ô탈Ô탈Ô탈Ô탈Ô탈Ô탈Ô탈Ô탈Ô탈Ô탈Ô탈Ô탈ÔČԈ怈ᘃ퀈ᘂ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 Ԉ幐ᘄŸ Ѐ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탈ÔԣƃԌٸ 儘ᘂَȐžԌధڰ఩థథߠᜎs ȐŮԈ暈ɹ츘Ⴜ鿐ᘃosofūԈ岸෩賀Ⴖ츘ᘂ드ឌ써ᘂŤԈ迌෨裰჉豈ႶšԈⷘᝨ철ᘂ흨ჃŚԈᝦ션ᘂ뙈ឌ위ᘂ은ᘂŗԈ⢐ᝨ솀ᘂ섰ᘂŐԈ⣬ᝨ쇰ᘂ션ᘂ잴ᘂ쟰ᘂ ōԌ䮤㼀ุᘃ鄀ᛄ쳀ᘂꗜヘ걸ႽĀӤ łԈ⪈ᝨ수ᘂ솀ᘂĿԈɼᝨ슈ᘂ쇰ᘂ쩴ᘂ좠ᘂ ĸԌ䮤㼀ุᘃ鄀ᛄ췸ᘂ暦ꬭ䛱ǌꟈᕣչ聸ᚯӤ ıԈ⤈ᝨ슰ᘂ수ᘂĪԈᑫ쌠ᘂ슈ᘂ ħԌ⁯敶楲楦畱e㸀㈠瀠污癡慲s‾″慰慬牶獡㸀㐠瀠污癡慲sE ĜԈᑫ썈ᘂ슰ᘂęԈ␀ɿ⡐˥쌠ᘂ쯔ᘂ쨀ᘂ ĒԌ⁯敶楲楦畱e㔀‰慰慬牶獡〶瀠污癡慲s㜀‰慰慬牶獡 ċԈ쫔ᘂ亸ឆ躠ងĄԈ佴ミ㐠磌ច쟰ᘂ āԌ⁯敶楲楦畱e㸀㈠瀠污癡慲s‾″慰慬牶獡㸀㐠瀠污癡慲s ǶԈ젔ᘂ䪀ᘃ⡐˥ǳԈ哄ᘂ亠ᘃង ǬԌ⁯敶楲楦畱e㔀‰慰慬牶獡〶瀠污癡慲s㜀‰慰慬牶獡 ǥԈ佴ミ㐠잴ᘂ찐ᘂǞԈ찴ᘂ옰ᘂ䯈ᘃ ǛԌ⁯敶楲楦畱e㸀㈠瀠污癡慲s‾″慰慬牶獡㸀㐠瀠污癡慲s ǐԈⵈᝨ០˟쮰ᘂǍԌچႾrǈԈ佴ミ㐠왔ᘂ쳘ᘂ ǅԌ⁯敶楲楦畱e㔀‰慰慬牶獡〶瀠污癡慲s㜀‰慰慬牶獡 ƺԈ쳼ᘂ웠ᘂ씐ᘂƷԈ/y1ƲԈ佴ミ㐠咬ᘃ춈ᘂ ƯԌ⁯敶楲楦畱e㸀㈠瀠污癡慲s‾″慰慬牶獡㸀㐠瀠污癡慲s ƤԈ춬ᘂ자ᘂ옰ᘂơԈ-DƜԈ佴ミ㐠脤ច쯨Ⴜ ƙԌ⁯敶楲楦畱e㔀‰慰慬牶獡〶瀠污癡慲s㜀‰慰慬牶獡 ƎԈ찌Ⴜ졀ᘂ웠ᘂƋԈCRPDƆԈ佴ミ㐠艼ច찰Ⴜ ƃԌ㺬ヸ佈ミ㹼ヸ㐠ꗜヘ쑈ᘂ ŸԈ챔Ⴜ죰ᘂ자ᘂŵԌٰ斨ŰԈ佴ミ㐠ដ첐Ⴜ ŭԌ㺬ヸ佈ミ㹼ヸ㐠ꗜヘ䩸ᘃ ŢԈ체Ⴜ쩐ᘂ졀ᘂşԈ䛰㼀ႾŚԈ佴ミ㐠쬤ᘂ츸ᘂ ŗԌ㺬ヸ佈ミ㹼ヸ㐠ꗜヘ䯀ᘃ ŌԈⴘᝨ쮰ᘂ蘐჉ŉԈ&#10;9ńԈ⸈ᝨ雐ᘃ철ᘂ ŁԌ㺬ヸ佈ミ㹼ヸ㐠ꗜヘ躘ង&gt;? ĶԈ친ᘂ쯰ᘂ죰ᘂĳԌ꺘ຓ撄瑫ĮԈCHNn Listឌ쨀ᘂ īԌ㺬ヸ佈ミ㹼ヸ㐠ꗜヘ쎰ᘂ ĠԈ佴ミ㐠쿜ᘂ筸វĝԈHKGĘԈ佴ミ㐠랤ᘃ榈ច ĕԌ㺬ヸ佈ミ㹼ヸ㐠ꗜヘ亰ឆ ĊԈⴰᝨ얀ᘂ즠ᘂ懄써ᘂćԌԄ邀ᘍĂԈ箜វ쵨ᘂ쩐ᘂ ǿԌ㺬ヸ佈ミ㹼ヸ㐠ꗜヘ씈ᘂ ǴԈ㒘ᅇ诐Ⴖ诸ႶǱԌӬ꿰ᘂrǬԈⷰᝨ짠ᘂ섈ᘂ얤ᘂ엠ᘂǩԈ䛰㼀솠ᘂ ǤԌ㺬ヸ佈ミ㹼ヸ㐠ꗜヘ온ᘂ ǝԈ佴ミ㐠糔វ簐វǖԊ敐獲湯污穩摡oǕԈ簴វ羠វ쯰ᘂ ǎԌ㺬ヸ佈ミ㹼ヸ㐠ꗜヘ웘ᘂ ǇԈ佴ミ㐠진ᘂ䦘ᘃǀԈ䛰㼀숸ᘂƿԈ෨삸ᘂ賨Ⴖ ƸԌ㺬ヸ佈ミ㹼ヸ㐠ꗜヘ쩈ᘂ ƱԈ㒨ᝣ쿰ᘂ&quot;⎬Ԑᄽᄽ̤°&quot;ƊԌ있˚擀຀ƉԈ/GƄԈ/ƃԌ踠ᕦ砀ᙐžԈ佴ミ㐠v키ᘂ퀰ᘂ ŻԌ㺬ヸ佈ミ㹼ヸ㐠ꗜヘ큸ᘂｘ ŰԈ큔ᘂ텀ᘂ煀ចҁＹŭԈvoluntadӌｧŦԈ佴ミ㐠텤ᘂ탰ᘂ ţԌ㺬ヸ佈ミ㹼ヸ㐠ꗜヘ털ᘂ ŘԈ턔ᘂ퇰ᘂ킀ᘂբﾟŕԈdeｻŐԈ佴ミ㐠툔ᘂ토ᘂ ōԌ㺬ヸ佈ミ㹼ヸ㐠ꗜヘ퇨ᘂ＠ łԈ퇄ᘂ튠ᘂ텀ᘂԐＰĿԈlaＹĺԈ佴ミ㐠틄ᘂ퉐ᘂ ķԌ㺬ヸ佈ミ㹼ヸ㐠ꗜヘ튘ᘂﾰ ĬԈ퉴ᘂ퍠ᘂ퇰ᘂښﾢĩԈOrganizaciónĢԈ佴ミ㐠펄ᘂ판ᘂ ğԌ㺬ヸ佈ミ㹼ヸ㐠ꗜヘ퍘ᘂｧ ĔԈ팴ᘂ퐐ᘂ튠ᘂג］đԈde：ČԈ佴ミ㐠퐴ᘂ폀ᘂ ĉԌ㺬ヸ佈ミ㹼ヸ㐠ꗜヘ퐈ᘂ＃ ǾԈ폤ᘂ퓀ᘂ퍠ᘂђ，ǻԈlas＄ǶԈ佴ミ㐠퓤ᘂ푰ᘂ ǳԌ㺬ヸ佈ミ㹼ヸ㐠ꗜヘ풸ᘂｊ ǨԈ풔ᘂ햀ᘂ퐐ᘂʊｮǥԈNacionesȖｮǞԈ佴ミ㐠¢햤ᘂ픰ᘂ ǛԌ㺬ヸ佈ミ㹼ヸ㐠ꗜヘ핸ᘂｲ ǐԈ핔ᘂ홀ᘂ퓀ᘂȋﾍǍԈUnidasﾫɥﾰǆԈ佴ミ㐠©홤ᘂ헰ᘂ ǃԌ㺬ヸ佈ミ㹼ヸ㐠ꗜヘ호ᘂｾ ƸԈ혔ᘂ훰ᘂ햀ᘂβｆƵԈparaưԈ佴ミ㐠®휔ᘂ횠ᘂ ƭԌ㺬ヸ佈ミ㹼ヸ㐠ꗜヘ훨ᘂｑ ƢԈ후ᘂ힠ᘂ홀ᘂΤﾆƟԈlaﾬƚԈ佴ミ㐠± ퟄᘂ흐ᘂ ƗԌ㺬ヸ佈ミ㹼ヸ㐠ꗜヘ힘ᘂǘ ƌԈ흴ᘂ哈យ훰ᘂ ıЌƉԈEducaciónAcadƂԈ㏴ឆᘂ㎈ឆࣰ܀íſԈ佴ミ㐠ដᘂ ŸԌ㺬ヸ佈ミ㹼ヸ㐠ꗜヘᘂကௐ űԈᘂᘂퟰᘂကঀ଀楣ŪԈ佴ミ㐠㐜ឆᘂ ŧԌ㺬ヸ佈ミ㹼ヸ㐠ꗜヘᘂr ŜԈᘂᘂᘂ 攎浬řԈ&#10;뀀ᬰŔԈ691œԈ710n Listঠ؀慰ŌԈ&#10;69710Listl肰ŉԈ佴ミ㐠軴ᛊᘂłԈ710 ŁԌ㺬ヸ佈ミ㹼ヸ㐠ꗜヘᘂ䔀 ĶԈᘂᘂᘂ洉牯뀀ĳԈ佴ミ㐠ᘂᘂ ĬԌ㺬ヸ佈ミ㹼ヸ㐠ꗜヘᘂ뀀ᬰ ĥԈᘂ瘠ចᘂຠༀ楮慣ĞԈ6910ĝԈᘂ玨ច瘠ចĖԈ&#10;710Ȩ`  ēԌ㺬ヸ佈ミ㹼ヸ㐠ꗜヘᘂpŀ&#10; ĈԌ滈瑫溴瑫.袄˚撄瑫ᖜ瑫 &#10;ǾԌ㺬ヸ佈ミ㹼ヸ㐠ꗜヘ㥠ឆal ǷԈ群ចᘂ쾀ណ湯ીЀǰԈ佴ミ㐠#贄ႯᘂǭԈᘂᘂᘂ慩n퀐ǦԈ佴ミ㐠&amp;邔ᚮដǣԈដᘂᘂ攈汳潡耀ǜԈ佴ミ㐠,ᘂដǙԈដᘂᘂ済灩来耀ǒԈgeneral步耀漆獷耀ǏԈ佴ミ㐠4廤ᘃ碸ឈǈԈ磜ឈᘂᘂ&#10;w眄ǅԈ佴ミ㐠7忴ᘃ习ᛍƾԈ亄ᛍᘂᘂ쀀ௐ⸀ƻԈ佴ミ㐠: ᘂដƴԈដ炘ឈᘂ锁óƱԈpoblaciónˬ°ƪԈ佴ミ㐠D䛤ᚮដ ƧԌ㺬ヸ佈ミ㹼ヸ㐠ꗜヘ콸ណ  ƜԌ㺬ヸ佈ミ㹼ヸ㐠ꗜヘ瑀ᚬF.  ƕԌ㺬ヸ佈ミ㹼ヸ㐠ꗜヘᘂ ƊԌâ/皀ႶƉԈ&#10;ƄԈ䒡꒵ીႵ䒡꒵䎍䭁▓閆쟖üžԌŸ⣇ᇒက❚떙&#10;૘૔L¼¼HX`Ԑϗ͔࠶䀅૘焅૘焅࠶䀅Ѐ＀ÿ@ ＀ÿ ＀ÿ＀ÿ肀ÿÿÿÿÿÿÿÿÿÿÿÿÿ샀Àÿ샀À肀ÿ肀ÿ肀ÿ肀ÿ肀ÿ肀샀Àÿ肀肀肀肀肀肀샀Àÿ샀À肀샀À肀샀À肀샀À肀샀À肀샀À肀샀Àÿ肀肀肀肀肀肀샀Àÿ샀Àÿ샀Àÿ샀Àÿ샀Àÿ샀Àÿ샀Àÿ샀À샀À肀肀肀肀肀肀肀肀肀肀肀肀肀￷￷埵꯺ﯿƀƀؤ窱ا类ب缾ب荒ا覆ئ調ؤ謁آ諭ؠ謹؟變ؠ響ء響ء響ء響iaüüƂԌŸx¸üƆԌ槐瑫榀瑫楀瑫椬瑫椘瑫棼瑫棨瑫棘瑫梼瑫ᗘ瑫撄瑫ᗘ瑫ᕜཐᖜ瑫산ທ셰ທ섰ທ샰ທ솈ທᖜ瑫ᖜ瑫圐ᘂᖜ瑫ᖜ瑫ᖜ瑫碀ចᖜ瑫ᗘ瑫쬰႒塈ᘃ¸ǎԌ焨瑫첔뺺峓䙢ㇳ䦙椶鶖壉⾛䋎뺑怘苸IdiomaEspañol (alfabetización internacional)켐焔瑫烤瑫ϗ͖Español (alfabetización internacional)礀#ఊĺԈ屣㑴닰䞄枋቞烈ㄚఊЊEspañol澨̯ᇓ놵쀀썏ꄤ㳑떧荕䉫憡頥ᑫ之৪䛎䑩傴䍪뭛Reconocimiento de vozƫԈ屣㑴닰䞄枋቞烈ㄚЃЊEspañol"/>
        </w:smartTagPr>
        <w:r>
          <w:rPr>
            <w:spacing w:val="0"/>
            <w:lang w:val="es-ES"/>
          </w:rPr>
          <w:t>La Comisión Nacional</w:t>
        </w:r>
      </w:smartTag>
      <w:r>
        <w:rPr>
          <w:spacing w:val="0"/>
          <w:lang w:val="es-ES"/>
        </w:rPr>
        <w:t xml:space="preserve"> de Asuntos de la Familia, la Mujer y la Infancia, en colaboración con el Fondo de Población de las Naciones Unidas, preparó un proyecto de ley de prevención de la violencia en el hogar, que sometió a consideración de la Comisión de Política Social del Milli Meylis.</w:t>
      </w:r>
    </w:p>
    <w:p w:rsidR="001D2E73" w:rsidRDefault="001D2E73">
      <w:pPr>
        <w:pStyle w:val="H4G"/>
        <w:rPr>
          <w:lang w:val="es-ES"/>
        </w:rPr>
      </w:pPr>
      <w:r>
        <w:rPr>
          <w:lang w:val="es-ES"/>
        </w:rPr>
        <w:tab/>
      </w:r>
      <w:r>
        <w:rPr>
          <w:lang w:val="es-ES"/>
        </w:rPr>
        <w:tab/>
        <w:t>Capacitación de jueces sobre la violencia en el hogar</w:t>
      </w:r>
    </w:p>
    <w:p w:rsidR="001D2E73" w:rsidRDefault="001D2E73">
      <w:pPr>
        <w:pStyle w:val="SingleTxtGR"/>
        <w:rPr>
          <w:spacing w:val="0"/>
          <w:lang w:val="es-ES"/>
        </w:rPr>
      </w:pPr>
      <w:r>
        <w:rPr>
          <w:spacing w:val="0"/>
          <w:lang w:val="es-ES"/>
        </w:rPr>
        <w:t>743.</w:t>
      </w:r>
      <w:r>
        <w:rPr>
          <w:spacing w:val="0"/>
          <w:lang w:val="es-ES"/>
        </w:rPr>
        <w:tab/>
        <w:t>Como ya se señaló en otros párrafos, tras la creación en el Consejo Judicial de la Sección de Educación de los Jueces y Fiscales, donde también se preparan candidatos para ocupar puestos de magistrado, se están llevando a cabo seminarios dedicados a distintos aspectos del derecho, como la lucha contra la violencia en el hogar. Esos especialistas participan también en actividades relacionadas con este tema, organizadas por ONG locales e internacionales.</w:t>
      </w:r>
    </w:p>
    <w:p w:rsidR="001D2E73" w:rsidRDefault="001D2E73">
      <w:pPr>
        <w:pStyle w:val="SingleTxtGR"/>
        <w:rPr>
          <w:spacing w:val="0"/>
          <w:lang w:val="es-ES"/>
        </w:rPr>
      </w:pPr>
      <w:r>
        <w:rPr>
          <w:spacing w:val="0"/>
          <w:lang w:val="es-ES"/>
        </w:rPr>
        <w:t>744.</w:t>
      </w:r>
      <w:r>
        <w:rPr>
          <w:spacing w:val="0"/>
          <w:lang w:val="es-ES"/>
        </w:rPr>
        <w:tab/>
        <w:t>En el plan de estudios de la Academia de Justicia se incluyen temas relacionados con el estudio de tratados internacionales sobre derechos humanos y libertades fundamentales, entre otros la Convención sobre la eliminación de todas las formas de discriminación contra la mujer.</w:t>
      </w:r>
    </w:p>
    <w:p w:rsidR="001D2E73" w:rsidRDefault="001D2E73">
      <w:pPr>
        <w:pStyle w:val="H23G"/>
        <w:rPr>
          <w:lang w:val="es-ES"/>
        </w:rPr>
      </w:pPr>
      <w:r>
        <w:rPr>
          <w:lang w:val="es-ES"/>
        </w:rPr>
        <w:tab/>
      </w:r>
      <w:r>
        <w:rPr>
          <w:lang w:val="es-ES"/>
        </w:rPr>
        <w:tab/>
        <w:t>Párrafo 50 de las observaciones finales</w:t>
      </w:r>
    </w:p>
    <w:p w:rsidR="001D2E73" w:rsidRDefault="001D2E73">
      <w:pPr>
        <w:pStyle w:val="SingleTxtGR"/>
        <w:rPr>
          <w:spacing w:val="0"/>
          <w:lang w:val="es-ES"/>
        </w:rPr>
      </w:pPr>
      <w:r>
        <w:rPr>
          <w:spacing w:val="0"/>
          <w:lang w:val="es-ES"/>
        </w:rPr>
        <w:t>745.</w:t>
      </w:r>
      <w:r>
        <w:rPr>
          <w:spacing w:val="0"/>
          <w:lang w:val="es-ES"/>
        </w:rPr>
        <w:tab/>
        <w:t>En 2005 en el Código Penal se introdujeron adiciones y se establecieron las penas por la trata de personas (artículo 144-1), el trabajo forzoso (artículo 144-2), así como la difusión de información confidencial sobre una persona que haya sido víctima de la trata de personas (artículo 316-1). En los dos últimos años se ha condenado a 167 personas en relación con el artículo 144-1 del Código Penal.</w:t>
      </w:r>
    </w:p>
    <w:p w:rsidR="001D2E73" w:rsidRDefault="001D2E73">
      <w:pPr>
        <w:pStyle w:val="SingleTxtGR"/>
        <w:rPr>
          <w:spacing w:val="0"/>
          <w:lang w:val="es-ES"/>
        </w:rPr>
      </w:pPr>
      <w:r>
        <w:rPr>
          <w:spacing w:val="0"/>
          <w:lang w:val="es-ES"/>
        </w:rPr>
        <w:t>746.</w:t>
      </w:r>
      <w:r>
        <w:rPr>
          <w:spacing w:val="0"/>
          <w:lang w:val="es-ES"/>
        </w:rPr>
        <w:tab/>
        <w:t>En 2004 por Instrucción del Presidente fue aprobado el Plan de acción nacional de lucha contra la trata de personas en Azerbaiyán, en el que se establecieron las responsabilidades fundamentales de los organismos estatales en la esfera de la lucha contra la trata de personas, las cuestiones de la colaboración de esos órganos con las organizaciones no gubernamentales e internacionales en su cumplimiento y la coordinación de las actividades de esas entidades por medio de un Coordinador nacional.</w:t>
      </w:r>
    </w:p>
    <w:p w:rsidR="001D2E73" w:rsidRDefault="001D2E73">
      <w:pPr>
        <w:pStyle w:val="SingleTxtGR"/>
        <w:rPr>
          <w:spacing w:val="0"/>
          <w:lang w:val="es-ES"/>
        </w:rPr>
      </w:pPr>
      <w:r>
        <w:rPr>
          <w:spacing w:val="0"/>
          <w:lang w:val="es-ES"/>
        </w:rPr>
        <w:t>747.</w:t>
      </w:r>
      <w:r>
        <w:rPr>
          <w:spacing w:val="0"/>
          <w:lang w:val="es-ES"/>
        </w:rPr>
        <w:tab/>
        <w:t>En 2005 fue aprobada la Ley de lucha contra la trata de personas para establecer el fundamento jurídico y organizativo de la lucha contra la trata y su prevención, determinar el régimen jurídico de las víctimas de la trata de personas, normar la cuestión de la protección de esas personas y prestarles ayuda.</w:t>
      </w:r>
    </w:p>
    <w:p w:rsidR="001D2E73" w:rsidRDefault="001D2E73">
      <w:pPr>
        <w:pStyle w:val="SingleTxtGR"/>
        <w:rPr>
          <w:spacing w:val="0"/>
          <w:lang w:val="es-ES"/>
        </w:rPr>
      </w:pPr>
      <w:r>
        <w:rPr>
          <w:spacing w:val="0"/>
          <w:lang w:val="es-ES"/>
        </w:rPr>
        <w:t>748.</w:t>
      </w:r>
      <w:r>
        <w:rPr>
          <w:spacing w:val="0"/>
          <w:lang w:val="es-ES"/>
        </w:rPr>
        <w:tab/>
        <w:t>Según lo dispuesto en la Ley, se estableció una línea telefónica de ayuda que funciona las 24 horas, se crearon los correspondientes albergues y centros de ayuda en los que las víctimas de la trata de personas reciben alimentación y asistencia médica, psicológica, social y jurídica.</w:t>
      </w:r>
    </w:p>
    <w:p w:rsidR="001D2E73" w:rsidRDefault="001D2E73">
      <w:pPr>
        <w:pStyle w:val="SingleTxtGR"/>
        <w:rPr>
          <w:spacing w:val="0"/>
          <w:lang w:val="es-ES"/>
        </w:rPr>
      </w:pPr>
      <w:r>
        <w:rPr>
          <w:spacing w:val="0"/>
          <w:lang w:val="es-ES"/>
        </w:rPr>
        <w:t>749.</w:t>
      </w:r>
      <w:r>
        <w:rPr>
          <w:spacing w:val="0"/>
          <w:lang w:val="es-ES"/>
        </w:rPr>
        <w:tab/>
        <w:t>Si la víctima de la trata lo pide, se le proporciona albergue por 30 días, quiera o no colaborar con los órganos judiciales. Los niños que están en esos albergues, por regla general, están separados de los adultos; sin embargo, teniendo en cuenta los intereses del niño, se les puede colocar con sus padres. Los niños tienen la posibilidad de continuar sus estudios y mantener la comunicación y las relaciones con sus padres.</w:t>
      </w:r>
    </w:p>
    <w:p w:rsidR="001D2E73" w:rsidRDefault="001D2E73">
      <w:pPr>
        <w:pStyle w:val="SingleTxtGR"/>
        <w:rPr>
          <w:spacing w:val="0"/>
          <w:lang w:val="es-ES"/>
        </w:rPr>
      </w:pPr>
      <w:r>
        <w:rPr>
          <w:spacing w:val="0"/>
          <w:lang w:val="es-ES"/>
        </w:rPr>
        <w:t>750.</w:t>
      </w:r>
      <w:r>
        <w:rPr>
          <w:spacing w:val="0"/>
          <w:lang w:val="es-ES"/>
        </w:rPr>
        <w:tab/>
        <w:t>Los centros de ayuda se crean para informar a las víctimas de la trata sobre los correspondientes procedimientos administrativos y legales para proteger sus derechos e intereses, prestarles asistencia médica, psicológica y de otra índole necesaria, así como contribuir a su rehabilitación social. En esos centros, la ayuda que se presta deben solicitarla los propios interesados, independientemente de si desean o no colaborar con los órganos judiciales.</w:t>
      </w:r>
    </w:p>
    <w:p w:rsidR="001D2E73" w:rsidRDefault="001D2E73">
      <w:pPr>
        <w:pStyle w:val="SingleTxtGR"/>
        <w:rPr>
          <w:spacing w:val="0"/>
          <w:lang w:val="es-ES"/>
        </w:rPr>
      </w:pPr>
      <w:r>
        <w:rPr>
          <w:spacing w:val="0"/>
          <w:lang w:val="es-ES"/>
        </w:rPr>
        <w:t>751.</w:t>
      </w:r>
      <w:r>
        <w:rPr>
          <w:spacing w:val="0"/>
          <w:lang w:val="es-ES"/>
        </w:rPr>
        <w:tab/>
        <w:t>En 2006 por Resolución del Consejo de Ministros fueron aprobadas las Normas para la rehabilitación social de las víctimas de la trata de personas, y se prevé la preparación de un plan individual de rehabilitación social para cada víctima.</w:t>
      </w:r>
    </w:p>
    <w:p w:rsidR="001D2E73" w:rsidRDefault="001D2E73">
      <w:pPr>
        <w:pStyle w:val="SingleTxtGR"/>
        <w:rPr>
          <w:spacing w:val="0"/>
          <w:lang w:val="es-ES"/>
        </w:rPr>
      </w:pPr>
      <w:r>
        <w:rPr>
          <w:spacing w:val="0"/>
          <w:lang w:val="es-ES"/>
        </w:rPr>
        <w:t>752.</w:t>
      </w:r>
      <w:r>
        <w:rPr>
          <w:spacing w:val="0"/>
          <w:lang w:val="es-ES"/>
        </w:rPr>
        <w:tab/>
        <w:t>También en 2006 por Resolución del Consejo de Ministros fue aprobado el Reglamento del Fondo de ayuda a las víctimas de la trata de personas. La tarea fundamental del Fondo es garantizar el pago de los gastos de las víctimas de la trata de personas, aprobar la financiación dentro de los límites de sus facultades y otras tareas relacionadas con la rehabilitación social de esas personas, y otras tareas.</w:t>
      </w:r>
    </w:p>
    <w:p w:rsidR="001D2E73" w:rsidRDefault="001D2E73">
      <w:pPr>
        <w:pStyle w:val="SingleTxtGR"/>
        <w:rPr>
          <w:spacing w:val="0"/>
          <w:lang w:val="es-ES"/>
        </w:rPr>
      </w:pPr>
      <w:r>
        <w:rPr>
          <w:spacing w:val="0"/>
          <w:lang w:val="es-ES"/>
        </w:rPr>
        <w:t>753.</w:t>
      </w:r>
      <w:r>
        <w:rPr>
          <w:spacing w:val="0"/>
          <w:lang w:val="es-ES"/>
        </w:rPr>
        <w:tab/>
        <w:t>Por otra parte, en 2006 el Consejo de Ministros aprobó la Resolución sobre la determinación del monto de la prestación pagadera durante la reinserción social de las víctimas de la trata de personas, que se ha fijado en 30 unidades financieras convencionales.</w:t>
      </w:r>
    </w:p>
    <w:p w:rsidR="001D2E73" w:rsidRDefault="001D2E73">
      <w:pPr>
        <w:pStyle w:val="SingleTxtGR"/>
        <w:rPr>
          <w:spacing w:val="0"/>
          <w:lang w:val="es-ES"/>
        </w:rPr>
      </w:pPr>
      <w:r>
        <w:rPr>
          <w:spacing w:val="0"/>
          <w:lang w:val="es-ES"/>
        </w:rPr>
        <w:t>754.</w:t>
      </w:r>
      <w:r>
        <w:rPr>
          <w:spacing w:val="0"/>
          <w:lang w:val="es-ES"/>
        </w:rPr>
        <w:tab/>
        <w:t>En 2009 se siguieron aplicando medidas para combatir la trata de personas, perfeccionar la base jurídica y normativa y los mecanismos institucionalizados y, en particular, aumentar la eficacia de la actividad de los órganos estatales. Por Instrucción del Jefe de Estado fue aprobado el Plan de acción nacional de lucha contra la trata de personas (2009-2013 años). En el Plan nacional se dispone el perfeccionamiento del procedimiento penal en la lucha contra la trata de personas, el aumento de la seguridad de las víctimas, su rehabilitación, la colaboración, coordinación y difusión en esta esfera.</w:t>
      </w:r>
    </w:p>
    <w:p w:rsidR="001D2E73" w:rsidRDefault="001D2E73">
      <w:pPr>
        <w:pStyle w:val="H23G"/>
        <w:rPr>
          <w:bCs/>
          <w:lang w:val="es-ES"/>
        </w:rPr>
      </w:pPr>
      <w:r>
        <w:rPr>
          <w:bCs/>
          <w:lang w:val="es-ES"/>
        </w:rPr>
        <w:tab/>
      </w:r>
      <w:r>
        <w:rPr>
          <w:bCs/>
          <w:lang w:val="es-ES"/>
        </w:rPr>
        <w:tab/>
        <w:t xml:space="preserve">Párrafo 51 </w:t>
      </w:r>
      <w:r>
        <w:rPr>
          <w:lang w:val="es-ES"/>
        </w:rPr>
        <w:t>de las observaciones finales</w:t>
      </w:r>
    </w:p>
    <w:p w:rsidR="001D2E73" w:rsidRDefault="001D2E73">
      <w:pPr>
        <w:pStyle w:val="SingleTxtGR"/>
        <w:rPr>
          <w:spacing w:val="0"/>
          <w:lang w:val="es-ES"/>
        </w:rPr>
      </w:pPr>
      <w:r>
        <w:rPr>
          <w:spacing w:val="0"/>
          <w:lang w:val="es-ES"/>
        </w:rPr>
        <w:t>755.</w:t>
      </w:r>
      <w:r>
        <w:rPr>
          <w:spacing w:val="0"/>
          <w:lang w:val="es-ES"/>
        </w:rPr>
        <w:tab/>
        <w:t xml:space="preserve">El Código Penal (art. 174) prevé las penas por la adopción ilícita de niños, su entrega a centros de tutela (guarda) y su crianza con familias de acogida con fines de lucro. La persona que tenga la responsabilidad de proteger al niño y cuidarlo incurrirá en responsabilidad penal por la sustitución de un niño en centros hospitalarios por intereses egoístas, venganza o cualesquiera otros bajos instintos (art. 172). </w:t>
      </w:r>
    </w:p>
    <w:p w:rsidR="001D2E73" w:rsidRDefault="001D2E73">
      <w:pPr>
        <w:pStyle w:val="SingleTxtGR"/>
        <w:rPr>
          <w:spacing w:val="0"/>
          <w:lang w:val="es-ES"/>
        </w:rPr>
      </w:pPr>
      <w:r>
        <w:rPr>
          <w:spacing w:val="0"/>
          <w:lang w:val="es-ES"/>
        </w:rPr>
        <w:t>756.</w:t>
      </w:r>
      <w:r>
        <w:rPr>
          <w:spacing w:val="0"/>
          <w:lang w:val="es-ES"/>
        </w:rPr>
        <w:tab/>
        <w:t xml:space="preserve">En 2004 la República de Azerbaiyán se adhirió al Convenio de La Haya relativo a la Protección del Niño y a la Cooperación en materia de Adopción Internacional. Por Decreto presidencial de 12 de marzo de 2007, </w:t>
      </w:r>
      <w:smartTag w:uri="urn:schemas-microsoft-com:office:smarttags" w:element="PersonName">
        <w:smartTagPr>
          <w:attr w:name="ProductID" w:val="ヸ买ミ豈˥桐ᗯ帀#廨ĒԈ丨˜ĊԐlaବ᮰ᘥĆԈ댨ᘒǾԐ,7￼膘ᘒǺԐ3욈ବ᮫霘ᘥ ǶԌ㺬ヸ佈ミ㹼ヸ㐠ꗜヘ뒐ᘒ ǯԈ둬ᘒ따ᘒ냸ᘒǨԈ佴ミ㐠뇌ᘒ든ᘒ ǥԌ㺬ヸ佈ミ㹼ヸ㐠ꗜヘ딨ᘒ ǚԈ딄ᘒ뗈ᘒ뒘ᘒǗԈ佴ミ㐠넴ᘒ땸ᘒ ǐԌ㺬ヸ佈ミ㹼ヸ㐠ꗜヘ뗀ᘒ ǉԈ떜ᘒ뙠ᘒ따ᘒǂԈ佴ミ㐠 녌ᘒ또ᘒ ƿԌ㺬ヸ佈ミ㹼ヸ㐠ꗜヘ뙘ᘒ ƴԈ똴ᘒ뛸ᘒ뗈ᘒƱԈ佴ミ㐠논ᘒ뚨ᘒ ƪԌ㺬ヸ佈ミ㹼ヸ㐠ꗜヘ뛰ᘒ ƣԈ뛌ᘒ랐ᘒ뙠ᘒƜԈ佴ミ㐠랴ᘒ띀ᘒ ƙԌ㺬ヸ佈ミ㹼ヸ㐠ꗜヘ랈ᘒ ƎԈ띤ᘒ롐ᘒ뛸ᘒƋԈintrodujeronƄԈ佴ミ㐠 롴ᘒ렀ᘒ ƁԌ㺬ヸ佈ミ㹼ヸ㐠ꗜヘ롈ᘒ ŶԈ려ᘒ뤐ᘒ랐ᘒųԈenmiendasŬԈ佴ミ㐠(녤ᘒ룀ᘒ ũԌ㺬ヸ佈ミ㹼ヸ㐠ꗜヘ뤈ᘒ ŞԈ룤ᘒ릨ᘒ롐ᘒśԈ佴ミ㐠+만ᘒ류ᘒ ŔԌ㺬ヸ佈ミ㹼ヸ㐠ꗜヘ릠ᘒ ōԈ를ᘒ멘ᘒ뤐ᘒņԈelŅԈ佴ミ㐠.멼ᘒ먈ᘒ ľԌ㺬ヸ佈ミ㹼ヸ㐠ꗜヘ멐ᘒ ķԈ먬ᘒ묘ᘒ릨ᘒİԈCódigoĭԈ佴ミ㐠5물ᘒ뫈ᘒ ĦԌ㺬ヸ佈ミ㹼ヸ㐠ꗜヘ묐ᘒ ğԈ뫬ᘒ믈ᘒ멘ᘒĘԈdeėԈ佴ミ㐠8믬ᘒ뭸ᘒ ĐԌ㺬ヸ佈ミ㹼ヸ㐠ꗜヘ므ᘒ ĉԈ뮜ᘒ뱸ᘒ묘ᘒĂԈlaāԈ佴ミ㐠;벜ᘒ밨ᘒ ǺԌ㺬ヸ佈ミ㹼ヸ㐠ꗜヘ뱰ᘒ ǳԈ뱌ᘒ봸ᘒ믈ᘒǬԈFamiliaǩԈ佴ミ㐠C뵜ᘒ볨ᘒ ǢԌ㺬ヸ佈ミ㹼ヸ㐠ꗜヘ봰ᘒ ǛԈ봌ᘒ뷨ᘒ뱸ᘒǔԈyǓԈ佴ミ㐠E브ᘒ붘ᘒ ǌԌ㺬ヸ佈ミ㹼ヸ㐠ꗜヘ뷠ᘒ ǅԈ붼ᘒ뺘ᘒ봸ᘒƾԈelƽԈ佴ミ㐠H뺼ᘒ빈ᘒ ƶԌ㺬ヸ佈ミ㹼ヸ㐠ꗜヘ뺐ᘒ ƯԈ빬ᘒ뽘ᘒ뷨ᘒƨԈCódigoƥԈ佴ミ㐠O뽼ᘒ뼈ᘒ ƞԌ㺬ヸ佈ミ㹼ヸ㐠ꗜヘ뽐ᘒ ƗԈ뼬ᘒ쀐ᘒ뺘ᘒƐԈdeƏԈ佴ミ㐠R&#10;삜ᘒ뾸ᘒ&#10;ƈԔ㺬ヸ佈ミ㹼ヸ㐠ꗜヘ쀈ᘒ&#10;žԈ뿜ᘒ세ᘒ뽘ᘒŻԈ艤ᘒ䨐ᘒᘑŴԈ佴ミ㐠䈜ᘒ䫨ᗓűԈporŬԈProcedimientoũԈ佴ミ㐠`셜ᘒ샨ᘒ ŢԌ㺬ヸ佈ミ㹼ヸ㐠ꗜヘ섰ᘒ śԈ섌ᘒ쇨ᘒ쀐ᘒŔԈ&#10;CivilœԈ佴ミ㐠f숌ᘒ솘ᘒ ŌԌ㺬ヸ佈ミ㹼ヸ㐠ꗜヘ쇠ᘒ ŅԈ솼ᘒ슘ᘒ세ᘒľԈconĽԈ佴ミ㐠j슼ᘒ쉈ᘒ ĶԌ㺬ヸ佈ミ㹼ヸ㐠ꗜヘ슐ᘒ įԈ쉬ᘒ썈ᘒ쇨ᘒĨԈelħԈ佴ミ㐠m썬ᘒ싸ᘒ ĠԌ㺬ヸ佈ミ㹼ヸ㐠ꗜヘ썀ᘒ ęԈ쌜ᘒ쏸ᘒ슘ᘒĒԈfinđԈ佴ミ㐠q쐜ᘒ쎨ᘒ ĊԌ㺬ヸ佈ミ㹼ヸ㐠ꗜヘ쏰ᘒ ăԈ쏌ᘒ쒨ᘒ썈ᘒǼԈdeǻԈ佴ミ㐠t쓌ᘒ쑘ᘒ ǴԌ㺬ヸ佈ミ㹼ヸ㐠ꗜヘ쒠ᘒ ǭԈ쑼ᘒ았ᘒ쏸ᘒǦԈ&#10;crearǥԈ佴ミ㐠z야ᘒ씈ᘒ ǞԌ㺬ヸ佈ミ㹼ヸ㐠ꗜヘ앐ᘒ ǗԈ씬ᘒ예ᘒ쒨ᘒǐԈunǏԈ佴ミ㐠}올ᘒ언ᘒ ǈԌ㺬ヸ佈ミ㹼ヸ㐠ꗜヘ였ᘒ ǁԈ엜ᘒ웈ᘒ았ᘒƺԈsistemaƷԈ佴ミ㐠웬ᘒ외ᘒ ưԌ㺬ヸ佈ミ㹼ヸ㐠ꗜヘ움ᘒ ƩԈ욜ᘒ있ᘒ예ᘒƢԈeficazƟԈ佴ミ㐠재ᘒ윸ᘒ ƘԌ㺬ヸ佈ミ㹼ヸ㐠ꗜヘ잀ᘒ ƑԈ읜ᘒ져ᘒ웈ᘒƊԈdeƉԈ佴ミ㐠졜ᘒ쟨ᘒ ƂԌ㺬ヸ佈ミ㹼ヸ㐠ꗜヘ젰ᘒ ŻԈ젌ᘒ죸ᘒ있ᘒŴԈcontrolűԈ佴ミ㐠줜ᘒ좨ᘒ ŪԌ㺬ヸ佈ミ㹼ヸ㐠ꗜヘ죰ᘒ ţԈ죌ᘒ즨ᘒ져ᘒŜԈyśԈ佴ミ㐠胜ᘒ쥘ᘒ ŔԌ㺬ヸ佈ミ㹼ヸ㐠ꗜヘ즠ᘒ ōԈ쥼ᘒ쩀ᘒ죸ᘒņԈ佴ミ㐠«쩤ᘒ짰ᘒ ŃԌ㺬ヸ佈ミ㹼ヸ㐠ꗜヘ쨸ᘒ ĸԈ쨔ᘒ쫰ᘒ즨ᘒĵԈdeİԈ佴ミ㐠®쬔ᘒ쪠ᘒ ĭԌ㺬ヸ佈ミ㹼ヸ㐠ꗜヘ쫨ᘒ ĢԈ쫄ᘒ쮠ᘒ쩀ᘒğԈlaĚԈ佴ミ㐠±쯄ᘒ쭐ᘒ ėԌ㺬ヸ佈ミ㹼ヸ㐠ꗜヘ쮘ᘒ ČԈ쭴ᘒ챠ᘒ쫰ᘒĉԈgestiónĂԈ佴ミ㐠¹첄ᘒ찐ᘒ ǿԌ㺬ヸ佈ミ㹼ヸ㐠ꗜヘ챘ᘒ ǴԈ찴ᘒ촐ᘒ쮠ᘒǱԈ&#10;entreǬԈ佴ミ㐠¿촴ᘒ쳀ᘒ ǩԌ㺬ヸ佈ミ㹼ヸ㐠ꗜヘ초ᘒ ǞԈ쳤ᘒ췐ᘒ챠ᘒǛԈEstadosǔԈ佴ミ㐠Ç췴ᘒ춀ᘒ ǑԌ㺬ヸ佈ミ㹼ヸ㐠ꗜヘ췈ᘒ ǆԈ춤ᘒ캀ᘒ촐ᘒǃԈyƾԈ佴ミ㐠É캤ᘒ츰ᘒ ƻԌ㺬ヸ佈ミ㹼ヸ㐠ꗜヘ칸ᘒ ưԈ칔ᘒ켰ᘒ췐ᘒƭԈlosƨԈ佴ミ㐠Í畄ᘑ컠ᘒ ƥԌ㺬ヸ佈ミ㹼ヸ㐠ꗜヘ켨ᘒ ƚԈ켄ᘒ쿈ᘒ캀ᘒƗԈ佴ミ㐠Ü쿬ᘒ콸ᘒ ƐԌ㺬ヸ佈ミ㹼ヸ㐠ꗜヘ쿀ᘒ ƉԈ쾜ᘒ킈ᘒ켰ᘒƂԈinternosȀကԀſԈ佴ミ㐠å킬ᘒ퀸ᘒ ŸԌ㺬ヸ佈ミ㹼ヸ㐠ꗜヘ킀ᘒ űԈ큜ᘒ텈ᘒ쿈ᘒŪԈrelacionadosŧԈ佴ミ㐠ò텬ᘒ탸ᘒ ŠԌ㺬ヸ佈ミ㹼ヸ㐠ꗜヘ텀ᘒ řԈ턜ᘒ퇸ᘒ킈ᘒŒԈconőԈ佴ミ㐠ö툜ᘒ톨ᘒ ŊԌ㺬ヸ佈ミ㹼ヸ㐠ꗜヘ퇰ᘒ ŃԈ퇌ᘒ튨ᘒ텈ᘒļԈlaĻԈ佴ミ㐠ù틌ᘒ퉘ᘒ ĴԌ㺬ヸ佈ミ㹼ヸ㐠ꗜヘ튠ᘒ ĭԈ퉼ᘒ퍨ᘒ퇸ᘒĦԈadopciónģԈ佴ミ㐠Ă&#10;펌ᘒ팘ᘒ ĜԌ㺬ヸ佈ミ㹼ヸ㐠ꗜヘ퍠ᘒ ĕԈ팼ᘒ퐨ᘒ튨ᘒĎԈinternacionalċԈ佴ミ㐠ď푌ᘒ폘ᘒ ĄԌ㺬ヸ佈ミ㹼ヸ㐠ꗜヘ퐠ᘒ ǽԈ폼ᘒ퓘ᘒ퍨ᘒǶԈ.ǵԈ佴ミ㐠đ퓼ᘒ품ᘒ ǮԌ㺬ヸ佈ミ㹼ヸ㐠ꗜヘ퓐ᘒ ǧԈ풬ᘒ햘ᘒ퐨ᘒǠԈGraciasǝԈ佴ミ㐠ę햼ᘒ핈ᘒ ǖԌ㺬ヸ佈ミ㹼ヸ㐠ꗜヘ햐ᘒ ǏԈ핬ᘒ홈ᘒ퓘ᘒǈԈaǇԈ佴ミ㐠ě홬ᘒ헸ᘒ ǀԌ㺬ヸ佈ミ㹼ヸ㐠ꗜヘ홀ᘒ ƹԈ혜ᘒ훸ᘒ햘ᘒƲԈesteƱԈ佴ミ㐠Ġ&#10;휜ᘒ효ᘒ ƪԌ㺬ヸ佈ミ㹼ヸ㐠ꗜヘ훰ᘒ ƣԈ훌ᘒힸᘒ홈ᘒƜԈprocedimientoƙԈ佴ミ㐠ĭퟜᘒ흨ᘒ ƒԌ㺬ヸ佈ミ㹼ヸ㐠ꗜヘힰᘒ ƋԈ힌ᘒᘒ훸ᘒƄԈ,ƃԈ佴ミ㐠įᘒᘒ żԌ㺬ヸ佈ミ㹼ヸ㐠ꗜヘᘒ ŵԈᘒᘒힸᘒŮԈla ŭԌ㺬ヸ佈ミ㹼ヸ㐠ꗜヘᘒ ŢԈᘒᘒᘒşԈgestiónŘԈ佴ミ㐠ĺᘒᘒ ŕԌ㺬ヸ佈ミ㹼ヸ㐠ꗜヘᘒ ŊԈᘒᘒᘒŇԈ&#10;entrełԈ佴ミ㐠ŀᘒᘒ ĿԌ㺬ヸ佈ミ㹼ヸ㐠ꗜヘᘒ ĴԈᘒᘒᘒıԈEstadosĪԈ佴ミ㐠ňᘒᘒ ħԌ㺬ヸ佈ミ㹼ヸ㐠ꗜヘᘒ ĜԈᘒᘒᘒęԈseĔԈ佴ミ㐠ŋᘒᘒ đԌ㺬ヸ佈ミ㹼ヸ㐠ꗜヘᘒ ĆԈᘒᘒᘒăԈaplicanǼԈ佴ミ㐠œ肤ᘒᘒ ǹԌ㺬ヸ佈ミ㹼ヸ㐠ꗜヘᘒ ǮԈᘒᘒᘒǫԈ佴ミ㐠Ţᘒᘒ ǤԌ㺬ヸ佈ミ㹼ヸ㐠ꗜヘᘒ ǝԈᘒᘒᘒǖԈ&#10;muchoǕԈ佴ミ㐠Ũᘒᘒ ǎԌ㺬ヸ佈ミ㹼ヸ㐠ꗜヘᘒ ǇԈᘒᘒᘒǀԈmásƿԈ佴ミ㐠Ŭ ᘒᘒ ƸԌ㺬ヸ佈ミ㹼ヸ㐠ꗜヘᘒ ƱԈᘒᘒᘒƪԈrigurososƧԈ佴ミ㐠Ŷᘒᘒ ƠԌ㺬ヸ佈ミ㹼ヸ㐠ꗜヘᘒ ƙԈᘒᘒᘒƒԈyƑԈ佴ミ㐠Ÿᘒᘒ ƊԌ㺬ヸ佈ミ㹼ヸ㐠ꗜヘᘒ ƃԈᘒᘒᘒżԈseŻԈ佴ミ㐠Ż&#10;ᘒᘒ ŴԌ㺬ヸ佈ミ㹼ヸ㐠ꗜヘᘒ ŭԈᘒᘒᘒŦԈestablecióţԈ佴ミ㐠Ɔᘒᘒ ŜԌ㺬ヸ佈ミ㹼ヸ㐠ꗜヘᘒ ŕԈᘒᘒᘒŎԈelōԈ佴ミ㐠Ɖᘒᘒ ņԌ㺬ヸ佈ミ㹼ヸ㐠ꗜヘᘒ ĿԈᘒᘒᘒĸԈcontrolĵԈ佴ミ㐠Ƒᘒᘒ ĮԌ㺬ヸ佈ミ㹼ヸ㐠ꗜヘᘒ ħԈᘒᘒᘒĠԈestatalĝԈ佴ミ㐠ƙᘒᘒ ĖԌ㺬ヸ佈ミ㹼ヸ㐠ꗜヘᘒ ďԈᘒᘒᘒĈԈdelćԈ佴ミ㐠Ɲᘒᘒ ĀԌ㺬ヸ佈ミ㹼ヸ㐠ꗜヘᘒ ǹԈᘒᘒᘒǲԈprocesoǯԈ佴ミ㐠ƥᘒᘒ ǨԌ㺬ヸ佈ミ㹼ヸ㐠ꗜヘᘒ ǡԈᘒᘒᘒǚԈdeǙԈ佴ミ㐠ƨᘒᘒ ǒԌ㺬ヸ佈ミ㹼ヸ㐠ꗜヘᘒ ǋԈᘒᘒᘒǄԈadopciónǁԈ佴ミ㐠Ʊᘒᘒ ƺԌ㺬ヸ佈ミ㹼ヸ㐠ꗜヘᘒ ƳԈᘒᘒᘒƬԈenƫԈ佴ミ㐠ƴᘒᘒ ƤԌ㺬ヸ佈ミ㹼ヸ㐠ꗜヘᘒ ƝԈᘒᘒᘒƖԈlasƕԈ佴ミ㐠Ƹ ᘒᘒ ƎԌ㺬ヸ佈ミ㹼ヸ㐠ꗜヘᘒ ƇԈᘒᘒᘒƀԈdistintasŽԈ佴ミ㐠ǂ&#10;ᘒᘒ ŶԌ㺬ヸ佈ミ㹼ヸ㐠ꗜヘᘒ ůԈᘒᘒᘒŨԈinstanciasťԈ佴ミ㐠ǌᘒᘒ ŞԌ㺬ヸ佈ミ㹼ヸ㐠ꗜヘᘒ ŗԈᘒᘒᘒŐԈ,ŏԈ佴ミ㐠ǎᘒᘒ ňԌ㺬ヸ佈ミ㹼ヸ㐠ꗜヘᘒ ŁԈᘒᘒᘒĺԈalĹԈ佴ミ㐠Ǒᘒᘒ ĲԌ㺬ヸ佈ミ㹼ヸ㐠ꗜヘᘒ īԈᘒᘒᘒĤԈqueģԈ佴ミ㐠Ǖᘒᘒ ĜԌ㺬ヸ佈ミ㹼ヸ㐠ꗜヘᘒ ĕԈᘒᘒᘒĎԈsečԈ佴ミ㐠ǘᘒᘒ ĆԌ㺬ヸ佈ミ㹼ヸ㐠ꗜヘᘒ ǿԈᘒᘒᘒǸԈhanǷԈ佴ミ㐠ǜᘒᘒ ǰԌ㺬ヸ佈ミ㹼ヸ㐠ꗜヘᘒ ǩԈᘒᘒᘒǢԈincorporadoǟԈ佴ミ㐠Ǩᘒᘒ ǘԌ㺬ヸ佈ミ㹼ヸ㐠ꗜヘᘒ ǑԈᘒᘒᘒǊԈ&#10;todosǉԈ佴ミ㐠Ǯᘒᘒ ǂԌ㺬ヸ佈ミ㹼ヸ㐠ꗜヘᘒ ƻԈᘒᘒᘒƴԈlosƳԈ佴ミ㐠ǲ&#10;ᘒᘒ ƬԌ㺬ヸ佈ミ㹼ヸ㐠ꗜヘᘒ ƥԈᘒᘒᘒƞԈorganismosƛԈ佴ミ㐠ǽ ᘒᘒ ƔԌ㺬ヸ佈ミ㹼ヸ㐠ꗜヘᘒ ƍԈᘒᘒᘒƆԈestatalesƃԈ佴ミ㐠ȇᘒᘒ żԌ㺬ヸ佈ミ㹼ヸ㐠ꗜヘᘒ ŵԈᘒᘒᘒŮԈqueŭԈ佴ミ㐠ȋᘒᘒ ŦԌ㺬ヸ佈ミ㹼ヸ㐠ꗜヘᘒ şԈᘒᘒᘒŘԈseŗԈ佴ミ㐠Ȏᘒᘒ ŐԌ㺬ヸ佈ミ㹼ヸ㐠ꗜヘᘒ ŉԈᘒᘒᘒłԈocupanĿԈ佴ミ㐠ȕᘒᘒ ĸԌ㺬ヸ佈ミ㹼ヸ㐠ꗜヘᘒ ıԈᘒᘒᘒĪԈdeĩԈ佴ミ㐠Șᘒᘒ ĢԌ㺬ヸ佈ミ㹼ヸ㐠ꗜヘᘒ ěԈᘒᘒᘒĔԈestaēԈ佴ミ㐠ȝᘒᘒ ČԌ㺬ヸ佈ミ㹼ヸ㐠ꗜヘᘒ ąԈᘒᘒᘒǾԈcuestiónǻԈ佴ミ㐠ȥᘒᘒ ǴԌ㺬ヸ佈ミ㹼ヸ㐠ꗜヘᘒ ǭԈᘒᘒᘒǦԈ.ǥԈ佴ミ㐠ȧᘒᘒ ǞԌ㺬ヸ佈ミ㹼ヸ㐠ꗜヘᘒ ǗԈᘒᘒᘒǐԈAsimismoǍԈ佴ミ㐠ȯᘒᘒ ǆԌ㺬ヸ佈ミ㹼ヸ㐠ꗜヘᘒ ƿԈᘒᘒᘒƸԈ,ƷԈ佴ミ㐠ȱᘒᘒ ưԌ㺬ヸ佈ミ㹼ヸ㐠ꗜヘᘒ ƩԈᘒᘒᘒƢԈquedaronƟԈ佴ミ㐠Ⱥ&#10;ᘒᘒ ƘԌ㺬ヸ佈ミ㹼ヸ㐠ꗜヘᘒ ƑԈᘒᘒᘒƊԈclaramenteƇԈ佴ミ㐠Ʌᘒᘒ ƀԌ㺬ヸ佈ミ㹼ヸ㐠ꗜヘᘒ ŹԈᘒ龜ᘒᘒŲԈdelimitadasůԈ佴ミ㐠ɑ郎ᘒᘒ ŨԌ㺬ヸ佈ミ㹼ヸ㐠ꗜヘ豈ᘒ šԈᘒ隸ᘒᘒŚԈlasřԈ佴ミ㐠ɕ&#10;隆ᘒ泌ᘒ ŒԌ㺬ヸ佈ミ㹼ヸ㐠ꗜヘ聆ᘒ ŋԈ歷ᘒ喝ᘒ龜ᘒńԈfacultadesŁԈ佴ミ㐠ɠ煮ᘒ﨨ᘒ ĺԌ㺬ヸ佈ミ㹼ヸ㐠ꗜヘ並ᘒ ĳԈ社ᘒﬨᘒ隸ᘒĬԈdeīԈ佴ミ㐠ɣבֿᘒ齃ᘒ ĤԌ㺬ヸ佈ミ㹼ヸ㐠ꗜヘﬠᘒ ĝԈ﫼ᘒﯘᘒ喝ᘒĖԈcadaĕԈ佴ミ㐠ɨﯼᘒﮈᘒ ĎԌ㺬ヸ佈ミ㹼ヸ㐠ꗜヘ﯐ᘒ ćԈﮬᘒﲈᘒﬨᘒĀԈunoǿԈ佴ミ㐠ɬﲬᘒﰸᘒ ǸԌ㺬ヸ佈ミ㹼ヸ㐠ꗜヘﲀᘒ ǱԈﱜᘒﴸᘒﯘᘒǪԈdeǩԈ佴ミ㐠ɯﵜᘒﳨᘒ ǢԌ㺬ヸ佈ミ㹼ヸ㐠ꗜヘﴰᘒ ǛԈﴌᘒ﷨ᘒﲈᘒǔԈ&#10;estosǓԈ佴ミ㐠ɵ&#10;︌ᘒﶘᘒ ǌԌ㺬ヸ佈ミ㹼ヸ㐠ꗜヘ﷠ᘒ ǅԈﶼᘒﺨᘒﴸᘒƾԈorganismosƻԈ佴ミ㐠ʀﻌᘒ﹘ᘒ ƴԌ㺬ヸ佈ミ㹼ヸ㐠ꗜヘﺠᘒ ƭԈﹼᘒｘᘒ﷨ᘒƦԈyƥԈ佴ミ㐠ʂｼᘒ（ᘒ ƞԌ㺬ヸ佈ミ㹼ヸ㐠ꗜヘｐᘒ ƗԈＬᘒᘓﺨᘒƐԈseƏԈ佴ミ㐠ʅ Lᘓﾸᘒ&#10;ƈԔ㺬ヸ佈ミ㹼ヸ㐠ꗜヘᘓ&#10;žԈￜᘒèᘓｘᘒŻԈ,,6￼ŶԈaclararonųԈ佴ミ㐠ʏČᘓᘓ ŬԌ㺬ヸ佈ミ㹼ヸ㐠ꗜヘàᘓ ťԈ¼ᘓƘᘓᘓŞԈlasŝԈ佴ミ㐠ʓ&#10;Ƽᘓňᘓ ŖԌ㺬ヸ佈ミ㹼ヸ㐠ꗜヘƐᘓ ŏԈŬᘓɘᘓèᘓňԈfacultadesŅԈ佴ミ㐠ʞɼᘓȈᘓ ľԌ㺬ヸ佈ミ㹼ヸ㐠ꗜヘɐᘓ ķԈȬᘓ̈ᘓƘᘓİԈdeįԈ佴ミ㐠ʡ̬ᘓʸᘓ ĨԌ㺬ヸ佈ミ㹼ヸ㐠ꗜヘ̀ᘓ ġԈ˜ᘓψᘓɘᘓĚԈcontrolėԈ佴ミ㐠ʩϬᘓ͸ᘓ ĐԌ㺬ヸ佈ミ㹼ヸ㐠ꗜヘπᘓ ĉԈΜᘓѸᘓ̈ᘓĂԈdelāԈ佴ミ㐠ʭ ҜᘓШᘓ ǺԌ㺬ヸ佈ミ㹼ヸ㐠ꗜヘѰᘓ ǳԈьᘓԸᘓψᘓǬԈorganismoǩԈ佴ミ㐠ʷ՜ᘓӨᘓ ǢԌ㺬ヸ佈ミ㹼ヸ㐠ꗜヘ԰ᘓ ǛԈԌᘓ׸ᘓѸᘓǔԈcentralǑԈ佴ミ㐠ʿ؜ᘓ֨ᘓ ǊԌ㺬ヸ佈ミ㹼ヸ㐠ꗜヘװᘓ ǃԈ׌ᘓڸᘓԸᘓƼԈduranteƹԈ佴ミ㐠ˇۜᘓ٨ᘓ ƲԌ㺬ヸ佈ミ㹼ヸ㐠ꗜヘڰᘓ ƫԈڌᘓݨᘓ׸ᘓƤԈlasƣԈ佴ミ㐠ˋތᘓܘᘓ ƜԌ㺬ヸ佈ミ㹼ヸ㐠ꗜヘݠᘓ ƕԈܼᘓࠨᘓڸᘓƎԈactuacionesƋԈ佴ミ㐠˗ࡌᘓߘᘓ ƄԌ㺬ヸ佈ミ㹼ヸ㐠ꗜヘࠠᘓ ŽԈ߼ᘓࣨᘓݨᘓŶԈpreliminaresųԈ佴ミ㐠ˣऌᘓ࢘ᘓ ŬԌ㺬ヸ佈ミ㹼ヸ㐠ꗜヘ࣠ᘓ ťԈࢼᘓঘᘓࠨᘓŞԈ.ŝԈ佴ミ㐠ˤ়ᘓैᘓ ŖԌ㺬ヸ佈ミ㹼ヸ㐠ꗜヘঐᘓ ŏԈ६ᘓຘᘓࣨᘓňԈ&#10;ŇԈorganizacionesameľԈpenitenciariosn.11ĹԈ,0￼ĴԈelĳԈdelĮԈ.lararonóīԈPárrafostĤԈcorrespondiente11ğԈresponsabilidadoĖԈ758minaresēԈcomoĎԈPIB￼ čԌ㺬ヸ佈ミ㹼ヸ㐠ꗜヘఠᘓ ĂԐparaǾԈ,5￼ǽԈ௄ᘓ၀ᘓ䨐ᘒǶԈ佴ミ㐠脼ᘒസᘓǳԈporǮԈEnliminares. ǫԌ㺬ヸ佈ミ㹼ヸ㐠ꗜヘ쟠ᘓ ǠԐdeǜԐel3￼ᘼ ǘԌ㺬ヸ佈ミ㹼ヸ㐠ꗜヘးᘓ ǑԐlaǍԈ佴ミ㐠ୌᘓ่ᘓǆԐ4ศᘓǂԐ,2￼酰ᘤƾԐ11挀ᘥƺԐ(y137￼ᙲ ƶԌ㺬ヸ佈ミ㹼ヸ㐠ꗜヘຐᘓ ƯԈ๬ᘓ༰ᘓঘᘓƨԈ佴ミ㐠ઌᘓ໠ᘓ ƥԌ㺬ヸ佈ミ㹼ヸ㐠ꗜヘ༨ᘓ ƚԈ༄ᘓ࿈ᘓຘᘓƗԈ佴ミ㐠ಌᘓླྀᘓ ƐԌ㺬ヸ佈ミ㹼ヸ㐠ꗜヘ࿀ᘓ ƉԈྜᘓ჈ᘓ༰ᘓƂԈ佴ミ㐠 놤ᘒၸᘓſԈ38,8￼ŸԈ൜ᘓᨰᖉనᘓŵԈsus ŰԌ㺬ヸ佈ミ㹼ヸ㐠ꗜヘჀᘓ ũԈႜᘓᅠᘓ࿈ᘓŢԈ佴ミ㐠ੜᘓᄐᘓ şԌ㺬ヸ佈ミ㹼ヸ㐠ꗜヘᅘᘓ ŔԈᄴᘓᇸᘓ჈ᘓőԈ佴ミ㐠ሜᘓᆨᘓ ŊԌ㺬ヸ佈ミ㹼ヸ㐠ꗜヘᇰᘓ ŃԈᇌᘓኸᘓᅠᘓļԈConsejoĹԈ佴ミ㐠ዜᘓቨᘓ ĲԌ㺬ヸ佈ミ㹼ヸ㐠ꗜヘኰᘓ īԈኌᘓ፨ᘓᇸᘓĤԈdeģԈ佴ミ㐠 ᎌᘓጘᘓ ĜԌ㺬ヸ佈ミ㹼ヸ㐠ꗜヘ፠ᘓ ĕԈጼᘓᐨᘓኸᘓĎԈMinistrosċԈ佴ミ㐠&amp;ᑌᘓᏘᘓ ĄԌ㺬ヸ佈ミ㹼ヸ㐠ꗜヘᐠᘓ ǽԈᏼᘓᓨᘓ፨ᘓǶԈaprobóǳԈ佴ミ㐠-ᔌᘓᒘᘓ ǬԌ㺬ヸ佈ミ㹼ヸ㐠ꗜヘᓠᘓ ǥԈᒼᘓᖨᘓᐨᘓǞԈtambiénǛԈ佴ミ㐠5ᗌᘓᕘᘓ ǔԌ㺬ヸ佈ミ㹼ヸ㐠ꗜヘᖠᘓ ǍԈᕼᘓᙘᘓᓨᘓǆԈlasǅԈ佴ミ㐠9ᙼᘓᘈᘓ ƾԌ㺬ヸ佈ミ㹼ヸ㐠ꗜヘᙐᘓ ƷԈᘬᘓ᜘ᘓᖨᘓưԈnormasƭԈ佴ミ㐠@᜼ᘓᛈᘓ ƦԌ㺬ヸ佈ミ㹼ヸ㐠ꗜヘᜐᘓ ƟԈ᛬ᘓៈᘓᙘᘓƘԈdeƗԈ佴ミ㐠C៬ᘓ᝸ᘓ ƐԌ㺬ヸ佈ミ㹼ヸ㐠ꗜヘៀᘓ ƉԈវᘓᢈᘓ᜘ᘓƂԈacreditaciónſԈ佴ミ㐠P᢬ᘓᠸᘓ ŸԌ㺬ヸ佈ミ㹼ヸ㐠ꗜヘᢀᘓ űԈᡜᘓᤸᘓៈᘓŪԈdeũԈ佴ミ㐠Sᥜᘓᣨᘓ ŢԌ㺬ヸ佈ミ㹼ヸ㐠ꗜヘᤰᘓ śԈᤌᘓ᧨ᘓᢈᘓŔԈlosœԈ佴ミ㐠Wᨌᘓᦘᘓ ŌԌ㺬ヸ佈ミ㹼ヸ㐠ꗜヘ᧠ᘓ ŅԈᦼᘓ᪨ᘓᤸᘓľԈórganosĻԈ佴ミ㐠_ᫌᘓᩘᘓ ĴԌ㺬ヸ佈ミ㹼ヸ㐠ꗜヘ᪠ᘓ ĭԈ᩼ᘓ᭘ᘓ᧨ᘓĦԈqueĥԈ佴ミ㐠c᭼ᘓᬈᘓ ĞԌ㺬ヸ佈ミ㹼ヸ㐠ꗜヘ᭐ᘓ ėԈᬬᘓᰘᘓ᪨ᘓĐԈprestančԈ佴ミ㐠k ᰼ᘓᯈᘓ ĆԌ㺬ヸ佈ミ㹼ヸ㐠ꗜヘᰐᘓ ǿԈᯬᘓ᳘ᘓ᭘ᘓǸԈserviciosǵԈ佴ミ㐠u᳼ᘓᲈᘓ ǮԌ㺬ヸ佈ミ㹼ヸ㐠ꗜヘ᳐ᘓ ǧԈᲬᘓᶘᘓᰘᘓǠԈlegalesǝԈ佴ミ㐠}ᶼᘓᵈᘓ ǖԌ㺬ヸ佈ミ㹼ヸ㐠ꗜヘᶐᘓ ǏԈᵬᘓṈᘓ᳘ᘓǈԈenǇԈ佴ミ㐠Ṭᘓ᷸ᘓ ǀԌ㺬ヸ佈ミ㹼ヸ㐠ꗜヘṀᘓ ƹԈḜᘓἈᘓᶘᘓƲԈrelaciónƯԈ佴ミ㐠ἬᘓẸᘓ ƨԌ㺬ヸ佈ミ㹼ヸ㐠ꗜヘἀᘓ ơԈỜᘓᾸᘓṈᘓƚԈconƙԈ佴ミ㐠῜ᘓὨᘓ ƒԌ㺬ヸ佈ミ㹼ヸ㐠ꗜヘᾰᘓ ƋԈᾌᘓ⁨ᘓἈᘓƄԈlaƃԈ佴ミ㐠₌ᘓ‘ᘓ żԌ㺬ヸ佈ミ㹼ヸ㐠ꗜヘ⁠ᘓ ŵԈ‼ᘓℨᘓᾸᘓŮԈadopciónūԈ佴ミ㐠⅌ᘓ⃘ᘓ ŤԌ㺬ヸ佈ミ㹼ヸ㐠ꗜヘ℠ᘓ ŝԈ⃼ᘓ⇘ᘓ⁨ᘓŖԈ.ŕԈ佴ミ㐠⇼ᘓↈᘓ ŎԌ㺬ヸ佈ミ㹼ヸ㐠ꗜヘ⇐ᘓ ŇԈ↬ᘓ냈ᘌℨᘓŀԈ&#10;ĿԈ&#10; ĺԈde1ĹԈ52ĴԈlasción.nıԈobservacionesĪԈ佴ミ㐠뀬ᘌ⋐ᘓ ħԌ㺬ヸ佈ミ㹼ヸ㐠ꗜヘ⌘ᘓ ĜԈ⋴ᘓ⎸ᘓ뗐ᘌęԈ佴ミ㐠⏜ᘓ⍨ᘓ ĒԌ㺬ヸ佈ミ㹼ヸ㐠ꗜヘ⎰ᘓ ċԈ⎌ᘓ⑸ᘓ⌠ᘓĄԈReconociendoāԈ佴ミ㐠&#10;⒜ᘓ␨ᘓ ǺԌ㺬ヸ佈ミ㹼ヸ㐠ꗜヘ⑰ᘓ ǳԈ⑌ᘓ┸ᘓ⎸ᘓǬԈplenamenteǩԈ佴ミ㐠╜ᘓⓨᘓ ǢԌ㺬ヸ佈ミ㹼ヸ㐠ꗜヘ┰ᘓ ǛԈ┌ᘓ◨ᘓ⑸ᘓǔԈsuǓԈ佴ミ㐠!ଔᘓ▘ᘓ ǌԌ㺬ヸ佈ミ㹼ヸ㐠ꗜヘ◠ᘓ ǅԈ▼ᘓ⚀ᘓ┸ᘓƾԈ佴ミ㐠1⚤ᘓ☰ᘓ ƻԌ㺬ヸ佈ミ㹼ヸ㐠ꗜヘ♸ᘓ ưԈ♔ᘓ✰ᘓ◨ᘓƭԈdeƨԈ佴ミ㐠4❔ᘓ⛠ᘓ ƥԌ㺬ヸ佈ミ㹼ヸ㐠ꗜヘ✨ᘓ ƚԈ✄ᘓ⟰ᘓ⚀ᘓƗԈprotegerƐԈ佴ミ㐠=⠔ᘓ➠ᘓ ƍԌ㺬ヸ佈ミ㹼ヸ㐠ꗜヘ⟨ᘓ ƂԈ⟄ᘓ⢠ᘓ✰ᘓſԈaźԈ佴ミ㐠?⣄ᘓ⡐ᘓ ŷԌ㺬ヸ佈ミ㹼ヸ㐠ꗜヘ⢘ᘓ ŬԈ⡴ᘓ⥐ᘓ⟰ᘓũԈlosŤԈ佴ミ㐠C&#10;⥴ᘓ⤀ᘓ šԌ㺬ヸ佈ミ㹼ヸ㐠ꗜヘ⥈ᘓ ŖԈ⤤ᘓ⨐ᘓ⢠ᘓœԈrefugiadosŌԈ佴ミ㐠N⨴ᘓ⧀ᘓ ŉԌ㺬ヸ佈ミ㹼ヸ㐠ꗜヘ⨈ᘓ ľԈ⧤ᘓ⫀ᘓ⥐ᘓĻԈyĶԈ佴ミ㐠P⫤ᘓ⩰ᘓ ĳԌ㺬ヸ佈ミ㹼ヸ㐠ꗜヘ⪸ᘓ ĨԈ⪔ᘓ⮀ᘓ⨐ᘓĥԈdesplazadosĞԈ佴ミ㐠\⮤ᘓ⬰ᘓ ěԌ㺬ヸ佈ミ㹼ヸ㐠ꗜヘ⭸ᘓ"/>
        </w:smartTagPr>
        <w:r>
          <w:rPr>
            <w:spacing w:val="0"/>
            <w:lang w:val="es-ES"/>
          </w:rPr>
          <w:t>la Comisión N</w:t>
        </w:r>
        <w:r>
          <w:rPr>
            <w:spacing w:val="0"/>
            <w:lang w:val="es-ES"/>
          </w:rPr>
          <w:t>a</w:t>
        </w:r>
        <w:r>
          <w:rPr>
            <w:spacing w:val="0"/>
            <w:lang w:val="es-ES"/>
          </w:rPr>
          <w:t>cional</w:t>
        </w:r>
      </w:smartTag>
      <w:r>
        <w:rPr>
          <w:spacing w:val="0"/>
          <w:lang w:val="es-ES"/>
        </w:rPr>
        <w:t xml:space="preserve"> de Asuntos de la Familia, la Mujer y la Infancia será nombrada órgano central encargado de la aplicación del Convenio.</w:t>
      </w:r>
    </w:p>
    <w:p w:rsidR="001D2E73" w:rsidRDefault="001D2E73">
      <w:pPr>
        <w:pStyle w:val="SingleTxtGR"/>
        <w:rPr>
          <w:spacing w:val="0"/>
          <w:lang w:val="es-ES"/>
        </w:rPr>
      </w:pPr>
      <w:r>
        <w:rPr>
          <w:spacing w:val="0"/>
          <w:lang w:val="es-ES"/>
        </w:rPr>
        <w:t>757.</w:t>
      </w:r>
      <w:r>
        <w:rPr>
          <w:spacing w:val="0"/>
          <w:lang w:val="es-ES"/>
        </w:rPr>
        <w:tab/>
        <w:t>En 2006 se introdujeron enmiendas en el Código de la Familia y el Código de Procedimiento Civil con el fin de crear un sistema eficaz de control y perfeccionamiento de la gestión entre Estados y los procedimientos internos relacionados con la adopción internacional. Gracias a este procedimiento, en la gestión entre Estados se aplican procedimientos mucho más rigurosos y se estableció el control estatal del proceso de adopción en las distintas instancias, al que se han incorporado todos los organismos estatales que se ocupan de esta cuestión. Asimismo, quedaron claramente delimitadas las facultades de cada uno de estos organismos y se aclararon las facultades de control del organismo central durante las actuaciones preliminares.</w:t>
      </w:r>
    </w:p>
    <w:p w:rsidR="001D2E73" w:rsidRDefault="001D2E73">
      <w:pPr>
        <w:pStyle w:val="SingleTxtGR"/>
        <w:rPr>
          <w:spacing w:val="0"/>
          <w:lang w:val="es-ES"/>
        </w:rPr>
      </w:pPr>
      <w:r>
        <w:rPr>
          <w:spacing w:val="0"/>
          <w:lang w:val="es-ES"/>
        </w:rPr>
        <w:t>758.</w:t>
      </w:r>
      <w:r>
        <w:rPr>
          <w:spacing w:val="0"/>
          <w:lang w:val="es-ES"/>
        </w:rPr>
        <w:tab/>
        <w:t>En 2008 el Consejo de Ministros aprobó también las normas de acreditación de los órganos que prestan servicios legales en relación con la adopción.</w:t>
      </w:r>
    </w:p>
    <w:p w:rsidR="001D2E73" w:rsidRDefault="001D2E73">
      <w:pPr>
        <w:pStyle w:val="H23G"/>
        <w:rPr>
          <w:lang w:val="es-ES"/>
        </w:rPr>
      </w:pPr>
      <w:r>
        <w:rPr>
          <w:lang w:val="es-ES"/>
        </w:rPr>
        <w:tab/>
      </w:r>
      <w:r>
        <w:rPr>
          <w:lang w:val="es-ES"/>
        </w:rPr>
        <w:tab/>
        <w:t>Párrafo 52 de las observaciones finales</w:t>
      </w:r>
    </w:p>
    <w:p w:rsidR="001D2E73" w:rsidRDefault="001D2E73">
      <w:pPr>
        <w:pStyle w:val="SingleTxtGR"/>
        <w:rPr>
          <w:spacing w:val="0"/>
          <w:lang w:val="es-ES"/>
        </w:rPr>
      </w:pPr>
      <w:r>
        <w:rPr>
          <w:spacing w:val="0"/>
          <w:lang w:val="es-ES"/>
        </w:rPr>
        <w:t>759.</w:t>
      </w:r>
      <w:r>
        <w:rPr>
          <w:spacing w:val="0"/>
          <w:lang w:val="es-ES"/>
        </w:rPr>
        <w:tab/>
        <w:t xml:space="preserve">Reconociendo plenamente su responsabilidad de proteger a los refugiados y desplazados forzosos, el Gobierno de Azerbaiyán sigue ejecutando un conjunto de medidas encaminadas a mejorar la situación socio-económica de esta categoría de personas y su integración provisional en la sociedad, considerando que en el futuro ejercerán su derecho a regresar a su tierra natal. </w:t>
      </w:r>
    </w:p>
    <w:p w:rsidR="001D2E73" w:rsidRDefault="001D2E73">
      <w:pPr>
        <w:pStyle w:val="SingleTxtGR"/>
        <w:rPr>
          <w:spacing w:val="0"/>
          <w:lang w:val="es-ES"/>
        </w:rPr>
      </w:pPr>
      <w:r>
        <w:rPr>
          <w:spacing w:val="0"/>
          <w:lang w:val="es-ES"/>
        </w:rPr>
        <w:t>760.</w:t>
      </w:r>
      <w:r>
        <w:rPr>
          <w:spacing w:val="0"/>
          <w:lang w:val="es-ES"/>
        </w:rPr>
        <w:tab/>
        <w:t>En virtud de una Instrucción del Presidente de 2004 quedó aprobado el Programa Estatal destinado a mejorar las condiciones de vida y aumentar el porcentaje de trabajadores entre los refugiados y desplazados forzosos. En el marco de ese pr</w:t>
      </w:r>
      <w:r>
        <w:rPr>
          <w:spacing w:val="0"/>
          <w:lang w:val="es-ES"/>
        </w:rPr>
        <w:t>o</w:t>
      </w:r>
      <w:r>
        <w:rPr>
          <w:spacing w:val="0"/>
          <w:lang w:val="es-ES"/>
        </w:rPr>
        <w:t>grama se construyeron más de cien escuelas, decenas de centros médicos e instituciones p</w:t>
      </w:r>
      <w:r>
        <w:rPr>
          <w:spacing w:val="0"/>
          <w:lang w:val="es-ES"/>
        </w:rPr>
        <w:t>a</w:t>
      </w:r>
      <w:r>
        <w:rPr>
          <w:spacing w:val="0"/>
          <w:lang w:val="es-ES"/>
        </w:rPr>
        <w:t>ra la infancia, se crearon puestos de trabajo y se resolvieron otros problemas soci</w:t>
      </w:r>
      <w:r>
        <w:rPr>
          <w:spacing w:val="0"/>
          <w:lang w:val="es-ES"/>
        </w:rPr>
        <w:t>a</w:t>
      </w:r>
      <w:r>
        <w:rPr>
          <w:spacing w:val="0"/>
          <w:lang w:val="es-ES"/>
        </w:rPr>
        <w:t xml:space="preserve">les. </w:t>
      </w:r>
    </w:p>
    <w:p w:rsidR="001D2E73" w:rsidRDefault="001D2E73">
      <w:pPr>
        <w:pStyle w:val="SingleTxtGR"/>
        <w:rPr>
          <w:spacing w:val="0"/>
          <w:lang w:val="es-ES"/>
        </w:rPr>
      </w:pPr>
      <w:r>
        <w:rPr>
          <w:spacing w:val="0"/>
          <w:lang w:val="es-ES"/>
        </w:rPr>
        <w:t>761.</w:t>
      </w:r>
      <w:r>
        <w:rPr>
          <w:spacing w:val="0"/>
          <w:lang w:val="es-ES"/>
        </w:rPr>
        <w:tab/>
        <w:t>En los últimos siete años se han construido 61 asentamientos para refugiados y desplazados forzosos con la correspondiente infraestructura social. En diciembre de 2007, se eliminaron en Azerbaiyán los últimos campamentos de tiendas de ca</w:t>
      </w:r>
      <w:r>
        <w:rPr>
          <w:spacing w:val="0"/>
          <w:lang w:val="es-ES"/>
        </w:rPr>
        <w:t>m</w:t>
      </w:r>
      <w:r>
        <w:rPr>
          <w:spacing w:val="0"/>
          <w:lang w:val="es-ES"/>
        </w:rPr>
        <w:t>paña. En los últimos 5 años se han gastado 607,5 millones de dólares de los Estados Unidos en la construcción de nuevos asentamientos para despl</w:t>
      </w:r>
      <w:r>
        <w:rPr>
          <w:spacing w:val="0"/>
          <w:lang w:val="es-ES"/>
        </w:rPr>
        <w:t>a</w:t>
      </w:r>
      <w:r>
        <w:rPr>
          <w:spacing w:val="0"/>
          <w:lang w:val="es-ES"/>
        </w:rPr>
        <w:t xml:space="preserve">zados forzosos, de los cuales se asignaron para estos fines 183,5 millones de dólares de los Estados Unidos en 2008. </w:t>
      </w:r>
    </w:p>
    <w:p w:rsidR="001D2E73" w:rsidRDefault="001D2E73">
      <w:pPr>
        <w:pStyle w:val="SingleTxtGR"/>
        <w:rPr>
          <w:spacing w:val="0"/>
          <w:lang w:val="es-ES"/>
        </w:rPr>
      </w:pPr>
      <w:r>
        <w:rPr>
          <w:spacing w:val="0"/>
          <w:lang w:val="es-ES"/>
        </w:rPr>
        <w:t>762.</w:t>
      </w:r>
      <w:r>
        <w:rPr>
          <w:spacing w:val="0"/>
          <w:lang w:val="es-ES"/>
        </w:rPr>
        <w:tab/>
        <w:t>En la actualidad, Azerbaiyán ha eliminado los últimos asentamientos de tie</w:t>
      </w:r>
      <w:r>
        <w:rPr>
          <w:spacing w:val="0"/>
          <w:lang w:val="es-ES"/>
        </w:rPr>
        <w:t>n</w:t>
      </w:r>
      <w:r>
        <w:rPr>
          <w:spacing w:val="0"/>
          <w:lang w:val="es-ES"/>
        </w:rPr>
        <w:t>das de campaña, lo que significa que han mejorado las condiciones de vivienda de más de 70.000 desplazados forzoso. En los últimos cinco años, 72.647 refugiados y desplazados forzosos encontraron empleo. Gracias a los esfuerzos desplegados por el Gobierno de Azerbaiyán, el nivel de pobreza de los refugiados y desplazados forzosos se red</w:t>
      </w:r>
      <w:r>
        <w:rPr>
          <w:spacing w:val="0"/>
          <w:lang w:val="es-ES"/>
        </w:rPr>
        <w:t>u</w:t>
      </w:r>
      <w:r>
        <w:rPr>
          <w:spacing w:val="0"/>
          <w:lang w:val="es-ES"/>
        </w:rPr>
        <w:t xml:space="preserve">jo de 74% a 35%. </w:t>
      </w:r>
    </w:p>
    <w:p w:rsidR="001D2E73" w:rsidRDefault="001D2E73">
      <w:pPr>
        <w:pStyle w:val="SingleTxtGR"/>
        <w:rPr>
          <w:bCs/>
          <w:spacing w:val="0"/>
          <w:lang w:val="es-ES"/>
        </w:rPr>
      </w:pPr>
      <w:r>
        <w:rPr>
          <w:bCs/>
          <w:spacing w:val="0"/>
          <w:lang w:val="es-ES"/>
        </w:rPr>
        <w:t>763.</w:t>
      </w:r>
      <w:r>
        <w:rPr>
          <w:bCs/>
          <w:spacing w:val="0"/>
          <w:lang w:val="es-ES"/>
        </w:rPr>
        <w:tab/>
        <w:t>Durante ese período, el Gobierno asignó 1.250 millones de dólares de los Estados Unidos a la protección social de los refugiados y desplazados forzosos.</w:t>
      </w:r>
    </w:p>
    <w:p w:rsidR="001D2E73" w:rsidRDefault="001D2E73">
      <w:pPr>
        <w:pStyle w:val="SingleTxtGR"/>
        <w:rPr>
          <w:bCs/>
          <w:spacing w:val="0"/>
          <w:lang w:val="es-ES"/>
        </w:rPr>
      </w:pPr>
      <w:r>
        <w:rPr>
          <w:bCs/>
          <w:spacing w:val="0"/>
          <w:lang w:val="es-ES"/>
        </w:rPr>
        <w:t>764.</w:t>
      </w:r>
      <w:r>
        <w:rPr>
          <w:bCs/>
          <w:spacing w:val="0"/>
          <w:lang w:val="es-ES"/>
        </w:rPr>
        <w:tab/>
        <w:t>A partir del 1º de septiembre de 2008, por Instrucción del Presidente se incrementó en 50% la prestación mensual para alimentos que reciben los desplaz</w:t>
      </w:r>
      <w:r>
        <w:rPr>
          <w:bCs/>
          <w:spacing w:val="0"/>
          <w:lang w:val="es-ES"/>
        </w:rPr>
        <w:t>a</w:t>
      </w:r>
      <w:r>
        <w:rPr>
          <w:bCs/>
          <w:spacing w:val="0"/>
          <w:lang w:val="es-ES"/>
        </w:rPr>
        <w:t xml:space="preserve">dos forzosos. </w:t>
      </w:r>
    </w:p>
    <w:p w:rsidR="001D2E73" w:rsidRDefault="001D2E73">
      <w:pPr>
        <w:pStyle w:val="H23G"/>
        <w:rPr>
          <w:lang w:val="es-ES"/>
        </w:rPr>
      </w:pPr>
      <w:r>
        <w:rPr>
          <w:lang w:val="es-ES"/>
        </w:rPr>
        <w:tab/>
      </w:r>
      <w:r>
        <w:rPr>
          <w:lang w:val="es-ES"/>
        </w:rPr>
        <w:tab/>
        <w:t>Párrafo 54 de las observaciones finales</w:t>
      </w:r>
    </w:p>
    <w:p w:rsidR="001D2E73" w:rsidRDefault="001D2E73">
      <w:pPr>
        <w:pStyle w:val="SingleTxtGR"/>
        <w:rPr>
          <w:spacing w:val="0"/>
          <w:lang w:val="es-ES"/>
        </w:rPr>
      </w:pPr>
      <w:r>
        <w:rPr>
          <w:spacing w:val="0"/>
          <w:lang w:val="es-ES"/>
        </w:rPr>
        <w:t>765.</w:t>
      </w:r>
      <w:r>
        <w:rPr>
          <w:spacing w:val="0"/>
          <w:lang w:val="es-ES"/>
        </w:rPr>
        <w:tab/>
        <w:t>De conformidad con la Constitución (artículo 43), el Estado promueve la construcción de viviendas y adopta medidas especiales para que la población ejerza su derecho a la vivienda.</w:t>
      </w:r>
    </w:p>
    <w:p w:rsidR="001D2E73" w:rsidRDefault="001D2E73">
      <w:pPr>
        <w:pStyle w:val="SingleTxtGR"/>
        <w:rPr>
          <w:spacing w:val="0"/>
          <w:lang w:val="es-ES"/>
        </w:rPr>
      </w:pPr>
      <w:r>
        <w:rPr>
          <w:spacing w:val="0"/>
          <w:lang w:val="es-ES"/>
        </w:rPr>
        <w:t>766.</w:t>
      </w:r>
      <w:r>
        <w:rPr>
          <w:spacing w:val="0"/>
          <w:lang w:val="es-ES"/>
        </w:rPr>
        <w:tab/>
        <w:t>Los extranjeros y apátridas, con residencia permanente en Azerbaiyán tienen derecho a obtener una vivienda del fondo estatal, departamental o social, en las mi</w:t>
      </w:r>
      <w:r>
        <w:rPr>
          <w:spacing w:val="0"/>
          <w:lang w:val="es-ES"/>
        </w:rPr>
        <w:t>s</w:t>
      </w:r>
      <w:r>
        <w:rPr>
          <w:spacing w:val="0"/>
          <w:lang w:val="es-ES"/>
        </w:rPr>
        <w:t>mas condiciones y por el mismo procedimiento establecido para los ciudadanos de Azerbaiyán.</w:t>
      </w:r>
    </w:p>
    <w:p w:rsidR="001D2E73" w:rsidRDefault="001D2E73">
      <w:pPr>
        <w:pStyle w:val="SingleTxtGR"/>
        <w:rPr>
          <w:spacing w:val="0"/>
          <w:lang w:val="es-ES"/>
        </w:rPr>
      </w:pPr>
      <w:r>
        <w:rPr>
          <w:spacing w:val="0"/>
          <w:lang w:val="es-ES"/>
        </w:rPr>
        <w:t>767.</w:t>
      </w:r>
      <w:r>
        <w:rPr>
          <w:spacing w:val="0"/>
          <w:lang w:val="es-ES"/>
        </w:rPr>
        <w:tab/>
        <w:t>De conformidad con la Ley de la política para la juventud, de 9 de abril de 2002, para la construcción de una vivienda o la adquisición de un apartamento y fundar un hogar, las familias jóvenes reciben préstamos en condiciones favorables, cuya amortización, monto y procedimiento de otorgamiento se establecen en la legislación.</w:t>
      </w:r>
    </w:p>
    <w:p w:rsidR="001D2E73" w:rsidRDefault="001D2E73">
      <w:pPr>
        <w:pStyle w:val="SingleTxtGR"/>
        <w:rPr>
          <w:spacing w:val="0"/>
          <w:lang w:val="es-ES"/>
        </w:rPr>
      </w:pPr>
      <w:r>
        <w:rPr>
          <w:spacing w:val="0"/>
          <w:lang w:val="es-ES"/>
        </w:rPr>
        <w:t>768.</w:t>
      </w:r>
      <w:r>
        <w:rPr>
          <w:spacing w:val="0"/>
          <w:lang w:val="es-ES"/>
        </w:rPr>
        <w:tab/>
        <w:t>En la Ley de hipotecas, aprobada el 15 de abril de 2005, se establecen los fu</w:t>
      </w:r>
      <w:r>
        <w:rPr>
          <w:spacing w:val="0"/>
          <w:lang w:val="es-ES"/>
        </w:rPr>
        <w:t>n</w:t>
      </w:r>
      <w:r>
        <w:rPr>
          <w:spacing w:val="0"/>
          <w:lang w:val="es-ES"/>
        </w:rPr>
        <w:t>damentos para la creación de hipotecas, su registro estatal, el reglamento sobre el deber ciudadano de pagar las deudas y otras obligaciones contraídas en virtud de de una hipoteca y los derechos y deberes de las partes en un contrato de préstamo hipotec</w:t>
      </w:r>
      <w:r>
        <w:rPr>
          <w:spacing w:val="0"/>
          <w:lang w:val="es-ES"/>
        </w:rPr>
        <w:t>a</w:t>
      </w:r>
      <w:r>
        <w:rPr>
          <w:spacing w:val="0"/>
          <w:lang w:val="es-ES"/>
        </w:rPr>
        <w:t>rio.</w:t>
      </w:r>
    </w:p>
    <w:p w:rsidR="001D2E73" w:rsidRDefault="001D2E73">
      <w:pPr>
        <w:pStyle w:val="SingleTxtGR"/>
        <w:rPr>
          <w:spacing w:val="0"/>
          <w:lang w:val="es-ES"/>
        </w:rPr>
      </w:pPr>
      <w:r>
        <w:rPr>
          <w:spacing w:val="0"/>
          <w:lang w:val="es-ES"/>
        </w:rPr>
        <w:t>769.</w:t>
      </w:r>
      <w:r>
        <w:rPr>
          <w:spacing w:val="0"/>
          <w:lang w:val="es-ES"/>
        </w:rPr>
        <w:tab/>
        <w:t>En 2005 por Decreto presidencial sobre la creación de un sistema de prést</w:t>
      </w:r>
      <w:r>
        <w:rPr>
          <w:spacing w:val="0"/>
          <w:lang w:val="es-ES"/>
        </w:rPr>
        <w:t>a</w:t>
      </w:r>
      <w:r>
        <w:rPr>
          <w:spacing w:val="0"/>
          <w:lang w:val="es-ES"/>
        </w:rPr>
        <w:t>mos hipotecarios en Azerbaiyán en el Banco Nacional se creó el Fondo Azerbaiyano de Hipotecas.</w:t>
      </w:r>
    </w:p>
    <w:p w:rsidR="001D2E73" w:rsidRDefault="001D2E73">
      <w:pPr>
        <w:pStyle w:val="SingleTxtGR"/>
        <w:rPr>
          <w:spacing w:val="0"/>
          <w:lang w:val="es-ES"/>
        </w:rPr>
      </w:pPr>
      <w:r>
        <w:rPr>
          <w:spacing w:val="0"/>
          <w:lang w:val="es-ES"/>
        </w:rPr>
        <w:t>770.</w:t>
      </w:r>
      <w:r>
        <w:rPr>
          <w:spacing w:val="0"/>
          <w:lang w:val="es-ES"/>
        </w:rPr>
        <w:tab/>
        <w:t>Asimismo, en 2005 por Decreto presidencial se ratificaron el Reglamento del Fondo Azerbaiyano de Hipotecas del Banco Nacional de Azerbaiyán, así como el Reglamento de concesión de préstamos hipotecarios con cargo al Fondo Azerbaiyano de Hipotecas del Banco Nacional de Azerbaiyán.</w:t>
      </w:r>
    </w:p>
    <w:p w:rsidR="001D2E73" w:rsidRDefault="001D2E73">
      <w:pPr>
        <w:pStyle w:val="SingleTxtGR"/>
        <w:rPr>
          <w:spacing w:val="0"/>
          <w:lang w:val="es-ES"/>
        </w:rPr>
      </w:pPr>
      <w:r>
        <w:rPr>
          <w:spacing w:val="0"/>
          <w:lang w:val="es-ES"/>
        </w:rPr>
        <w:t>771.</w:t>
      </w:r>
      <w:r>
        <w:rPr>
          <w:spacing w:val="0"/>
          <w:lang w:val="es-ES"/>
        </w:rPr>
        <w:tab/>
        <w:t>En 2007, de conformidad con el Decreto presidencial sobre el perfeccion</w:t>
      </w:r>
      <w:r>
        <w:rPr>
          <w:spacing w:val="0"/>
          <w:lang w:val="es-ES"/>
        </w:rPr>
        <w:t>a</w:t>
      </w:r>
      <w:r>
        <w:rPr>
          <w:spacing w:val="0"/>
          <w:lang w:val="es-ES"/>
        </w:rPr>
        <w:t>miento del mecanismo de concesión de préstamos hipotecarios en Azerbaiyán, a</w:t>
      </w:r>
      <w:r>
        <w:rPr>
          <w:spacing w:val="0"/>
          <w:lang w:val="es-ES"/>
        </w:rPr>
        <w:t>u</w:t>
      </w:r>
      <w:r>
        <w:rPr>
          <w:spacing w:val="0"/>
          <w:lang w:val="es-ES"/>
        </w:rPr>
        <w:t>mentó de 15 a 25 años el plazo de amortización del préstamo hipotecario. El monto del crédito aumento a 50.000 manat. Por otra parte, el tipo de interés del préstamo hipotecario se redujo de 12 a 8%.</w:t>
      </w:r>
    </w:p>
    <w:p w:rsidR="001D2E73" w:rsidRDefault="001D2E73">
      <w:pPr>
        <w:pStyle w:val="SingleTxtGR"/>
        <w:rPr>
          <w:spacing w:val="0"/>
          <w:lang w:val="es-ES"/>
        </w:rPr>
      </w:pPr>
      <w:r>
        <w:rPr>
          <w:spacing w:val="0"/>
          <w:lang w:val="es-ES"/>
        </w:rPr>
        <w:t>772.</w:t>
      </w:r>
      <w:r>
        <w:rPr>
          <w:spacing w:val="0"/>
          <w:lang w:val="es-ES"/>
        </w:rPr>
        <w:tab/>
        <w:t>En virtud de esa Ley y con el fin de mejorar la situación social de las familias jóvenes y de militares se aprobó también el Reglamento de concesión de préstamos hipotecarios en condiciones favorables. De conformidad con ese Reglamento, los préstamos hipotecarios en condiciones favorables, que no pueden ser superiores a 35.000 manat, se conceden por un plazo de entre 3 y 30 años, y el tipo de interés anual no puede rebasar el 4%.</w:t>
      </w:r>
    </w:p>
    <w:p w:rsidR="001D2E73" w:rsidRDefault="001D2E73">
      <w:pPr>
        <w:pStyle w:val="SingleTxtGR"/>
        <w:rPr>
          <w:spacing w:val="0"/>
          <w:lang w:val="es-ES"/>
        </w:rPr>
      </w:pPr>
      <w:r>
        <w:rPr>
          <w:spacing w:val="0"/>
          <w:lang w:val="es-ES"/>
        </w:rPr>
        <w:t>773.</w:t>
      </w:r>
      <w:r>
        <w:rPr>
          <w:spacing w:val="0"/>
          <w:lang w:val="es-ES"/>
        </w:rPr>
        <w:tab/>
        <w:t xml:space="preserve">Una gran parte de la población armenia de Azerbaiyán ha vendido o permutado su vivienda o apartamento, de conformidad con la legislación azerbaiyana. Se sabe de muchos casos en que personas de nacionalidad armenia con residencia en Azerbaiyán se han reasentado en forma ilegal en Armenia y han expulsado por la fuerza de sus hogares y apartamentos a azerbaiyanos que viven en Armenia. </w:t>
      </w:r>
    </w:p>
    <w:p w:rsidR="001D2E73" w:rsidRDefault="001D2E73">
      <w:pPr>
        <w:pStyle w:val="SingleTxtGR"/>
        <w:rPr>
          <w:spacing w:val="0"/>
          <w:lang w:val="es-ES"/>
        </w:rPr>
      </w:pPr>
      <w:r>
        <w:rPr>
          <w:spacing w:val="0"/>
          <w:lang w:val="es-ES"/>
        </w:rPr>
        <w:t>774.</w:t>
      </w:r>
      <w:r>
        <w:rPr>
          <w:spacing w:val="0"/>
          <w:lang w:val="es-ES"/>
        </w:rPr>
        <w:tab/>
        <w:t xml:space="preserve">Teniendo presentes las características de esta cuestión y su vinculación directa con el conflicto militar entre Armenia y Azerbaiyán, tenemos a bien subrayar que cabe analizar la cuestión de la debida indemnización o la entrega de otra vivienda en el contexto de la liquidación de las consecuencias de esa ocupación, después de que los territorios queden libres de sus ocupantes y los desplazados forzosos regresen a sus hogares en las regiones ocupadas de Azerbaiyán, incluido Nagorno-Karabaj. </w:t>
      </w:r>
    </w:p>
    <w:p w:rsidR="001D2E73" w:rsidRDefault="001D2E73">
      <w:pPr>
        <w:pStyle w:val="H23G"/>
        <w:rPr>
          <w:lang w:val="es-ES"/>
        </w:rPr>
      </w:pPr>
      <w:r>
        <w:rPr>
          <w:lang w:val="es-ES"/>
        </w:rPr>
        <w:tab/>
      </w:r>
      <w:r>
        <w:rPr>
          <w:lang w:val="es-ES"/>
        </w:rPr>
        <w:tab/>
        <w:t>Párrafo 57 de las observaciones finales</w:t>
      </w:r>
    </w:p>
    <w:p w:rsidR="001D2E73" w:rsidRDefault="001D2E73">
      <w:pPr>
        <w:pStyle w:val="SingleTxtGR"/>
        <w:rPr>
          <w:spacing w:val="0"/>
          <w:lang w:val="es-ES"/>
        </w:rPr>
      </w:pPr>
      <w:r>
        <w:rPr>
          <w:spacing w:val="0"/>
          <w:lang w:val="es-ES"/>
        </w:rPr>
        <w:t>775.</w:t>
      </w:r>
      <w:r>
        <w:rPr>
          <w:spacing w:val="0"/>
          <w:lang w:val="es-ES"/>
        </w:rPr>
        <w:tab/>
        <w:t xml:space="preserve">En relación con el funcionamiento del sistema penitenciario de conformidad con las normas internacionales, se ha perfeccionado la base legislativa, se han adoptado medidas para garantizar los derechos de los reclusos y se ha multiplicado la cuantía de los recursos que se asignan al servicio penitenciario en el presupuesto estatal. </w:t>
      </w:r>
    </w:p>
    <w:p w:rsidR="001D2E73" w:rsidRDefault="001D2E73">
      <w:pPr>
        <w:pStyle w:val="SingleTxtGR"/>
        <w:rPr>
          <w:spacing w:val="0"/>
          <w:lang w:val="es-ES"/>
        </w:rPr>
      </w:pPr>
      <w:r>
        <w:rPr>
          <w:spacing w:val="0"/>
          <w:lang w:val="es-ES"/>
        </w:rPr>
        <w:t>776.</w:t>
      </w:r>
      <w:r>
        <w:rPr>
          <w:spacing w:val="0"/>
          <w:lang w:val="es-ES"/>
        </w:rPr>
        <w:tab/>
        <w:t>En el marco de la reforma del sistema penitenciario del país, se presta atención especial a la colaboración con las autoridades de las organizaciones internacionales, así como al cumplimiento de las recomendaciones de esas organizaciones, incluido el Comité de Derechos Económicos, Sociales y Culturales de las Naciones Unidas.</w:t>
      </w:r>
    </w:p>
    <w:p w:rsidR="001D2E73" w:rsidRDefault="001D2E73">
      <w:pPr>
        <w:pStyle w:val="SingleTxtGR"/>
        <w:rPr>
          <w:spacing w:val="0"/>
          <w:lang w:val="es-ES"/>
        </w:rPr>
      </w:pPr>
      <w:r>
        <w:rPr>
          <w:spacing w:val="0"/>
          <w:lang w:val="es-ES"/>
        </w:rPr>
        <w:t>777.</w:t>
      </w:r>
      <w:r>
        <w:rPr>
          <w:spacing w:val="0"/>
          <w:lang w:val="es-ES"/>
        </w:rPr>
        <w:tab/>
        <w:t xml:space="preserve">En 2000 el Gobierno de la República de Azerbaiyán firmó un Acuerdo con el Comité Internacional de </w:t>
      </w:r>
      <w:smartTag w:uri="urn:schemas-microsoft-com:office:smarttags" w:element="PersonName">
        <w:smartTagPr>
          <w:attr w:name="ProductID" w:val="la Cruz Roja"/>
        </w:smartTagPr>
        <w:r>
          <w:rPr>
            <w:spacing w:val="0"/>
            <w:lang w:val="es-ES"/>
          </w:rPr>
          <w:t>la Cruz Roja</w:t>
        </w:r>
      </w:smartTag>
      <w:r>
        <w:rPr>
          <w:spacing w:val="0"/>
          <w:lang w:val="es-ES"/>
        </w:rPr>
        <w:t xml:space="preserve"> (CICR), cuya vigencia se ha prorrogado en varias ocasiones. Dicho Acuerdo ha creado amplias posibilidades para que los representantes del CICR visiten sin obstáculo alguno a los reclusos en los establecimientos penitenciarios.</w:t>
      </w:r>
    </w:p>
    <w:p w:rsidR="001D2E73" w:rsidRDefault="001D2E73">
      <w:pPr>
        <w:pStyle w:val="SingleTxtGR"/>
        <w:rPr>
          <w:spacing w:val="0"/>
          <w:lang w:val="es-ES"/>
        </w:rPr>
      </w:pPr>
      <w:r>
        <w:rPr>
          <w:spacing w:val="0"/>
          <w:lang w:val="es-ES"/>
        </w:rPr>
        <w:t>778.</w:t>
      </w:r>
      <w:r>
        <w:rPr>
          <w:spacing w:val="0"/>
          <w:lang w:val="es-ES"/>
        </w:rPr>
        <w:tab/>
        <w:t>El 31 de mayo de 1996 Azerbaiyán se adhirió a la Convención sobre la Tortura y Otros Tratos o Penas Crueles, Inhumanos o Degradantes, y el 21 de diciembre de 2001 al Convenio Europeo de Prevención de la Tortura y Otros Tratos o Penas Crueles, Inhumanos o Degradantes.</w:t>
      </w:r>
    </w:p>
    <w:p w:rsidR="001D2E73" w:rsidRDefault="001D2E73">
      <w:pPr>
        <w:pStyle w:val="SingleTxtGR"/>
        <w:rPr>
          <w:spacing w:val="0"/>
          <w:lang w:val="es-ES"/>
        </w:rPr>
      </w:pPr>
      <w:r>
        <w:rPr>
          <w:spacing w:val="0"/>
          <w:lang w:val="es-ES"/>
        </w:rPr>
        <w:t>779</w:t>
      </w:r>
      <w:r>
        <w:rPr>
          <w:b/>
          <w:spacing w:val="0"/>
          <w:lang w:val="es-ES"/>
        </w:rPr>
        <w:t>.</w:t>
      </w:r>
      <w:r>
        <w:rPr>
          <w:b/>
          <w:spacing w:val="0"/>
          <w:lang w:val="es-ES"/>
        </w:rPr>
        <w:tab/>
      </w:r>
      <w:r>
        <w:rPr>
          <w:spacing w:val="0"/>
          <w:lang w:val="es-ES"/>
        </w:rPr>
        <w:t>El 2 de diciembre</w:t>
      </w:r>
      <w:r>
        <w:rPr>
          <w:b/>
          <w:spacing w:val="0"/>
          <w:lang w:val="es-ES"/>
        </w:rPr>
        <w:t xml:space="preserve"> </w:t>
      </w:r>
      <w:r>
        <w:rPr>
          <w:spacing w:val="0"/>
          <w:lang w:val="es-ES"/>
        </w:rPr>
        <w:t>2008 Azerbaiyán ratificó el Protocolo Facultativo de la Convención contra la Tortura y Otros Tratos o Penas Crueles, Inhumanos o Degradantes.</w:t>
      </w:r>
    </w:p>
    <w:p w:rsidR="001D2E73" w:rsidRDefault="001D2E73">
      <w:pPr>
        <w:pStyle w:val="SingleTxtGR"/>
        <w:rPr>
          <w:spacing w:val="0"/>
          <w:lang w:val="es-ES"/>
        </w:rPr>
      </w:pPr>
      <w:r>
        <w:rPr>
          <w:spacing w:val="0"/>
          <w:lang w:val="es-ES"/>
        </w:rPr>
        <w:t>780.</w:t>
      </w:r>
      <w:r>
        <w:rPr>
          <w:spacing w:val="0"/>
          <w:lang w:val="es-ES"/>
        </w:rPr>
        <w:tab/>
        <w:t>Azerbaiyán se adhirió también al correspondiente Convenio Europeo, en cuyo marco se le permitió al Comité Europeo contra la Tortura (CPT) visitar los establecimientos penitenciarios sin obstáculo alguno.</w:t>
      </w:r>
    </w:p>
    <w:p w:rsidR="001D2E73" w:rsidRDefault="001D2E73">
      <w:pPr>
        <w:pStyle w:val="SingleTxtGR"/>
        <w:rPr>
          <w:spacing w:val="0"/>
          <w:lang w:val="es-ES"/>
        </w:rPr>
      </w:pPr>
      <w:r>
        <w:rPr>
          <w:spacing w:val="0"/>
          <w:lang w:val="es-ES"/>
        </w:rPr>
        <w:t>781.</w:t>
      </w:r>
      <w:r>
        <w:rPr>
          <w:spacing w:val="0"/>
          <w:lang w:val="es-ES"/>
        </w:rPr>
        <w:tab/>
        <w:t xml:space="preserve">Se asigna suma importancia a la colaboración en esta esfera con el Consejo de Europa y </w:t>
      </w:r>
      <w:smartTag w:uri="urn:schemas-microsoft-com:office:smarttags" w:element="PersonName">
        <w:smartTagPr>
          <w:attr w:name="ProductID" w:val="la Comisi￳n Europea. Desde"/>
        </w:smartTagPr>
        <w:r>
          <w:rPr>
            <w:spacing w:val="0"/>
            <w:lang w:val="es-ES"/>
          </w:rPr>
          <w:t>la Comisión Europea. Desde</w:t>
        </w:r>
      </w:smartTag>
      <w:r>
        <w:rPr>
          <w:spacing w:val="0"/>
          <w:lang w:val="es-ES"/>
        </w:rPr>
        <w:t xml:space="preserve"> 2006, conjuntamente con las organizaciones antes mencionadas, fue aprobado el Programa Conjunto de reforma del sistema penitenciario de Azerbaiyán, con un presupuesto de 1,4 millones de euros. En el marco de ese Programa se formularon propuestas para seguir perfeccionando la legislación y el sistema de gestión, se organizaron cursos de capacitación y se llevaron a cabo tareas de rehabilitación de los reclusos. </w:t>
      </w:r>
    </w:p>
    <w:p w:rsidR="001D2E73" w:rsidRDefault="001D2E73">
      <w:pPr>
        <w:pStyle w:val="SingleTxtGR"/>
        <w:rPr>
          <w:spacing w:val="0"/>
          <w:lang w:val="es-ES"/>
        </w:rPr>
      </w:pPr>
      <w:r>
        <w:rPr>
          <w:spacing w:val="0"/>
          <w:lang w:val="es-ES"/>
        </w:rPr>
        <w:t>782.</w:t>
      </w:r>
      <w:r>
        <w:rPr>
          <w:spacing w:val="0"/>
          <w:lang w:val="es-ES"/>
        </w:rPr>
        <w:tab/>
        <w:t xml:space="preserve">Uno de los propósitos del Programa de apoyo a la reforma de la justicia, que se ejecuta conjuntamente con </w:t>
      </w:r>
      <w:smartTag w:uri="urn:schemas-microsoft-com:office:smarttags" w:element="PersonName">
        <w:smartTagPr>
          <w:attr w:name="ProductID" w:val="la Comisi￳n Europea"/>
        </w:smartTagPr>
        <w:r>
          <w:rPr>
            <w:spacing w:val="0"/>
            <w:lang w:val="es-ES"/>
          </w:rPr>
          <w:t>la Comisión Europea</w:t>
        </w:r>
      </w:smartTag>
      <w:r>
        <w:rPr>
          <w:spacing w:val="0"/>
          <w:lang w:val="es-ES"/>
        </w:rPr>
        <w:t xml:space="preserve"> desde 2009 es modernizar el sistema penitenciario de Azerbaiyán.</w:t>
      </w:r>
    </w:p>
    <w:p w:rsidR="001D2E73" w:rsidRDefault="001D2E73">
      <w:pPr>
        <w:pStyle w:val="SingleTxtGR"/>
        <w:rPr>
          <w:spacing w:val="0"/>
          <w:lang w:val="es-ES"/>
        </w:rPr>
      </w:pPr>
      <w:r>
        <w:rPr>
          <w:spacing w:val="0"/>
          <w:lang w:val="es-ES"/>
        </w:rPr>
        <w:t>783.</w:t>
      </w:r>
      <w:r>
        <w:rPr>
          <w:spacing w:val="0"/>
          <w:lang w:val="es-ES"/>
        </w:rPr>
        <w:tab/>
        <w:t>El proceso de reforma del régimen penitenciario va acompañado de la aplicación de medidas importantes para aumentar el bienestar, mejorar las condiciones de reclusión y la alimentación de los reos.</w:t>
      </w:r>
    </w:p>
    <w:p w:rsidR="001D2E73" w:rsidRDefault="001D2E73">
      <w:pPr>
        <w:pStyle w:val="SingleTxtGR"/>
        <w:rPr>
          <w:spacing w:val="0"/>
          <w:lang w:val="es-ES"/>
        </w:rPr>
      </w:pPr>
      <w:r>
        <w:rPr>
          <w:spacing w:val="0"/>
          <w:lang w:val="es-ES"/>
        </w:rPr>
        <w:t>784.</w:t>
      </w:r>
      <w:r>
        <w:rPr>
          <w:spacing w:val="0"/>
          <w:lang w:val="es-ES"/>
        </w:rPr>
        <w:tab/>
        <w:t>En los últimos años, con miras a crear condiciones de reclusión que respondan a los requisitos contemporáneos, en los establecimientos penitenciarios se realizaron trabajos de reparación general de los edificios, se han construido nuevos pabellones, para la organización del tiempo libre de los reclusos se han puesto en funcionamiento nuevos estadios e instalaciones deportivos, clubes y bibliotecas. Con miras a crear las condiciones necesarias para la visitas de los familiares de los reclusos se ampliaron los salones destinados a encuentros de corta y larga duración. Además se han creado lugares para la celebración de ceremonias religiosas y ha mejorado notablemente la calidad de la alimentación de los reclusos.</w:t>
      </w:r>
    </w:p>
    <w:p w:rsidR="001D2E73" w:rsidRDefault="001D2E73">
      <w:pPr>
        <w:pStyle w:val="SingleTxtGR"/>
        <w:rPr>
          <w:spacing w:val="0"/>
          <w:lang w:val="es-ES"/>
        </w:rPr>
      </w:pPr>
      <w:r>
        <w:rPr>
          <w:iCs/>
          <w:spacing w:val="0"/>
          <w:lang w:val="es-ES"/>
        </w:rPr>
        <w:t>785.</w:t>
      </w:r>
      <w:r>
        <w:rPr>
          <w:iCs/>
          <w:spacing w:val="0"/>
          <w:lang w:val="es-ES"/>
        </w:rPr>
        <w:tab/>
        <w:t>Con miras a perfeccionar y modernizar la infraestructura de los establecimientos penitenciarios se están construyendo nuevos edificios que cumplen las normas internacionales.</w:t>
      </w:r>
    </w:p>
    <w:p w:rsidR="001D2E73" w:rsidRDefault="001D2E73">
      <w:pPr>
        <w:pStyle w:val="SingleTxtGR"/>
        <w:rPr>
          <w:spacing w:val="0"/>
          <w:lang w:val="es-ES"/>
        </w:rPr>
      </w:pPr>
      <w:r>
        <w:rPr>
          <w:spacing w:val="0"/>
          <w:lang w:val="es-ES"/>
        </w:rPr>
        <w:t>786.</w:t>
      </w:r>
      <w:r>
        <w:rPr>
          <w:spacing w:val="0"/>
          <w:lang w:val="es-ES"/>
        </w:rPr>
        <w:tab/>
        <w:t>Con este fin el Ministerio de Justicia pidió al Comité Europeo para la prevención de la tortura que lo asesorara en el estudio de las prácticas de organización y puesta en funcionamiento de establecimientos penitenciarios en los países de Europa. Sobre la base de las recomendaciones del Comité Europeo se estudió la experiencia de los establecimientos penitenciarios de Estonia y Finlandia.</w:t>
      </w:r>
    </w:p>
    <w:p w:rsidR="001D2E73" w:rsidRDefault="001D2E73">
      <w:pPr>
        <w:pStyle w:val="SingleTxtGR"/>
        <w:rPr>
          <w:spacing w:val="0"/>
          <w:lang w:val="es-ES"/>
        </w:rPr>
      </w:pPr>
      <w:r>
        <w:rPr>
          <w:spacing w:val="0"/>
          <w:lang w:val="es-ES"/>
        </w:rPr>
        <w:t>787.</w:t>
      </w:r>
      <w:r>
        <w:rPr>
          <w:spacing w:val="0"/>
          <w:lang w:val="es-ES"/>
        </w:rPr>
        <w:tab/>
        <w:t xml:space="preserve">En abril del año pasado en </w:t>
      </w:r>
      <w:smartTag w:uri="urn:schemas-microsoft-com:office:smarttags" w:element="PersonName">
        <w:smartTagPr>
          <w:attr w:name="ProductID" w:val="la Rep￺blica Aut￳noma"/>
        </w:smartTagPr>
        <w:r>
          <w:rPr>
            <w:spacing w:val="0"/>
            <w:lang w:val="es-ES"/>
          </w:rPr>
          <w:t>la República Autónoma</w:t>
        </w:r>
      </w:smartTag>
      <w:r>
        <w:rPr>
          <w:spacing w:val="0"/>
          <w:lang w:val="es-ES"/>
        </w:rPr>
        <w:t xml:space="preserve"> de Najicheván se puso en funcionamiento un establecimiento penitenciario de régimen mixto con una capacidad límite 400 personas. Continúa la construcción de instalaciones de este tipo en Cheki (capacidad: 900 personas) y Lankaran (capacidad: 1.000 personas) y una nueva cárcel (capacidad: 1.500 personas) en </w:t>
      </w:r>
      <w:smartTag w:uri="urn:schemas-microsoft-com:office:smarttags" w:element="PersonName">
        <w:smartTagPr>
          <w:attr w:name="ProductID" w:val="la aldea Umbaku"/>
        </w:smartTagPr>
        <w:r>
          <w:rPr>
            <w:spacing w:val="0"/>
            <w:lang w:val="es-ES"/>
          </w:rPr>
          <w:t>la aldea Umbaku</w:t>
        </w:r>
      </w:smartTag>
      <w:r>
        <w:rPr>
          <w:spacing w:val="0"/>
          <w:lang w:val="es-ES"/>
        </w:rPr>
        <w:t xml:space="preserve"> del distrito de Garad en la ciudad de Bakú. </w:t>
      </w:r>
    </w:p>
    <w:p w:rsidR="001D2E73" w:rsidRDefault="001D2E73">
      <w:pPr>
        <w:pStyle w:val="SingleTxtGR"/>
        <w:rPr>
          <w:spacing w:val="0"/>
          <w:lang w:val="es-ES"/>
        </w:rPr>
      </w:pPr>
      <w:r>
        <w:rPr>
          <w:spacing w:val="0"/>
          <w:lang w:val="es-ES"/>
        </w:rPr>
        <w:t>788.</w:t>
      </w:r>
      <w:r>
        <w:rPr>
          <w:spacing w:val="0"/>
          <w:lang w:val="es-ES"/>
        </w:rPr>
        <w:tab/>
        <w:t xml:space="preserve">El 29 de mayo de 2009 se puso en funcionamiento en Zabarat, Bakú, el nuevo edificio del Centro de detención preventiva del Servicio penitenciario del Ministerio de Justicia, dotado de equipo moderno y construido conforme a las normas internacionales en esta esfera. </w:t>
      </w:r>
    </w:p>
    <w:p w:rsidR="001D2E73" w:rsidRDefault="001D2E73">
      <w:pPr>
        <w:pStyle w:val="SingleTxtGR"/>
        <w:rPr>
          <w:spacing w:val="0"/>
          <w:lang w:val="es-ES"/>
        </w:rPr>
      </w:pPr>
      <w:r>
        <w:rPr>
          <w:spacing w:val="0"/>
          <w:lang w:val="es-ES"/>
        </w:rPr>
        <w:t>789.</w:t>
      </w:r>
      <w:r>
        <w:rPr>
          <w:spacing w:val="0"/>
          <w:lang w:val="es-ES"/>
        </w:rPr>
        <w:tab/>
        <w:t>Se proyecta la construcción de nuevos establecimientos penitenciarios en las ciudades de Gandja (con capacidad para 1.500 personas) y Kurdemir (para 1.000 personas), así como una nueva cárcel de mujeres en el distrito Garadag de la ciudad de Bakú. La moderna infraestructura de estos establecimientos y el acondicionamiento de las celdas en la forma de habitaciones contribuye a que los reclusos realicen un trabajo útil y hagan deportes y a que pasen tiempo suficiente al aire libre.</w:t>
      </w:r>
    </w:p>
    <w:p w:rsidR="001D2E73" w:rsidRDefault="001D2E73">
      <w:pPr>
        <w:pStyle w:val="SingleTxtGR"/>
        <w:rPr>
          <w:spacing w:val="0"/>
          <w:lang w:val="es-ES"/>
        </w:rPr>
      </w:pPr>
      <w:r>
        <w:rPr>
          <w:spacing w:val="0"/>
          <w:lang w:val="es-ES"/>
        </w:rPr>
        <w:t>790.</w:t>
      </w:r>
      <w:r>
        <w:rPr>
          <w:spacing w:val="0"/>
          <w:lang w:val="es-ES"/>
        </w:rPr>
        <w:tab/>
        <w:t xml:space="preserve">En los establecimientos penitenciarios se procura especialmente prestar atención médica calificada a los reclusos, se lleva a cabo una labor curativa, preventiva y sanitaria y epidemiológica y han mejorado las condiciones para mantener </w:t>
      </w:r>
      <w:smartTag w:uri="urn:schemas-microsoft-com:office:smarttags" w:element="PersonName">
        <w:smartTagPr>
          <w:attr w:name="ProductID" w:val="la higiene. El Estado"/>
        </w:smartTagPr>
        <w:r>
          <w:rPr>
            <w:spacing w:val="0"/>
            <w:lang w:val="es-ES"/>
          </w:rPr>
          <w:t>la higiene. El Estado</w:t>
        </w:r>
      </w:smartTag>
      <w:r>
        <w:rPr>
          <w:spacing w:val="0"/>
          <w:lang w:val="es-ES"/>
        </w:rPr>
        <w:t xml:space="preserve"> sufraga los gastos de atención médica y entrega de medicamentos a los reclusos.</w:t>
      </w:r>
    </w:p>
    <w:p w:rsidR="001D2E73" w:rsidRDefault="001D2E73">
      <w:pPr>
        <w:pStyle w:val="SingleTxtGR"/>
        <w:rPr>
          <w:spacing w:val="0"/>
          <w:lang w:val="es-ES"/>
        </w:rPr>
      </w:pPr>
      <w:r>
        <w:rPr>
          <w:spacing w:val="0"/>
          <w:lang w:val="es-ES"/>
        </w:rPr>
        <w:t>791.</w:t>
      </w:r>
      <w:r>
        <w:rPr>
          <w:spacing w:val="0"/>
          <w:lang w:val="es-ES"/>
        </w:rPr>
        <w:tab/>
        <w:t>En cumplimiento de una Instrucción especial del Ministro de Justicia, todos los reclusos de los establecimientos penitenciarios pasan un examen médico tras su admisión en el centro y tienen garantizado su derecho a recibir la asistencia médica necesaria en esos centros.</w:t>
      </w:r>
    </w:p>
    <w:p w:rsidR="001D2E73" w:rsidRDefault="001D2E73">
      <w:pPr>
        <w:pStyle w:val="SingleTxtGR"/>
        <w:rPr>
          <w:spacing w:val="0"/>
          <w:lang w:val="es-ES"/>
        </w:rPr>
      </w:pPr>
      <w:r>
        <w:rPr>
          <w:spacing w:val="0"/>
          <w:lang w:val="es-ES"/>
        </w:rPr>
        <w:t>792.</w:t>
      </w:r>
      <w:r>
        <w:rPr>
          <w:spacing w:val="0"/>
          <w:lang w:val="es-ES"/>
        </w:rPr>
        <w:tab/>
        <w:t xml:space="preserve">Aunque se presta asistencia médica a los reclusos a la altura de las normas modernas y se garantiza la independencia de los especialistas médicos, el servicio médico no está incluido en la plantilla del Servicio penitenciario; en el marco de la estructura aprobada del Ministerio se creó </w:t>
      </w:r>
      <w:smartTag w:uri="urn:schemas-microsoft-com:office:smarttags" w:element="PersonName">
        <w:smartTagPr>
          <w:attr w:name="ProductID" w:val="la Direcci￳n General"/>
        </w:smartTagPr>
        <w:r>
          <w:rPr>
            <w:spacing w:val="0"/>
            <w:lang w:val="es-ES"/>
          </w:rPr>
          <w:t>la Dirección General</w:t>
        </w:r>
      </w:smartTag>
      <w:r>
        <w:rPr>
          <w:spacing w:val="0"/>
          <w:lang w:val="es-ES"/>
        </w:rPr>
        <w:t xml:space="preserve"> de Medicina, que ya está funcionando. Para completar el personal directivo y profesional se hizo una convocatoria en los medios de información y se organizaron oposiciones para ocupar puestos de plantilla. Por instrucción especial del Ministro de Justicia en todos los establecimientos penitenciarios se creó un puesto de psicólogo.</w:t>
      </w:r>
    </w:p>
    <w:p w:rsidR="001D2E73" w:rsidRDefault="001D2E73">
      <w:pPr>
        <w:pStyle w:val="SingleTxtGR"/>
        <w:rPr>
          <w:spacing w:val="0"/>
          <w:lang w:val="es-ES"/>
        </w:rPr>
      </w:pPr>
      <w:r>
        <w:rPr>
          <w:iCs/>
          <w:spacing w:val="0"/>
          <w:lang w:val="es-ES"/>
        </w:rPr>
        <w:t>793.</w:t>
      </w:r>
      <w:r>
        <w:rPr>
          <w:iCs/>
          <w:spacing w:val="0"/>
          <w:lang w:val="es-ES"/>
        </w:rPr>
        <w:tab/>
        <w:t>Paralelamente se formuló un proyecto de ley sobre detención y acusados bajo custodia</w:t>
      </w:r>
      <w:r>
        <w:rPr>
          <w:spacing w:val="0"/>
          <w:lang w:val="es-ES"/>
        </w:rPr>
        <w:t xml:space="preserve"> en los centros de detención, en el que se dispone la realización de exámenes médicos no solo por parte del personal médico que trabaja en los centros de detención, sino también en establecimientos médicos estatales o privados previa solicitud del sospechoso o el acusado o de su abogado defensor.</w:t>
      </w:r>
    </w:p>
    <w:p w:rsidR="001D2E73" w:rsidRDefault="001D2E73">
      <w:pPr>
        <w:pStyle w:val="SingleTxtGR"/>
        <w:rPr>
          <w:spacing w:val="0"/>
          <w:lang w:val="es-ES"/>
        </w:rPr>
      </w:pPr>
      <w:r>
        <w:rPr>
          <w:spacing w:val="0"/>
          <w:lang w:val="es-ES"/>
        </w:rPr>
        <w:t>794.</w:t>
      </w:r>
      <w:r>
        <w:rPr>
          <w:spacing w:val="0"/>
          <w:lang w:val="es-ES"/>
        </w:rPr>
        <w:tab/>
        <w:t xml:space="preserve">Con el fin de garantizar y proteger los derechos de los reclusos y los procesados e interactuar directamente con las organizaciones no gubernamentales que se ocupan de proteger los derechos en esta esfera, en el Ministerio se creó una Dirección de Derechos Humanos y Relaciones con </w:t>
      </w:r>
      <w:smartTag w:uri="urn:schemas-microsoft-com:office:smarttags" w:element="PersonName">
        <w:smartTagPr>
          <w:attr w:name="ProductID" w:val="la Opini￳n P￺blica. En"/>
        </w:smartTagPr>
        <w:r>
          <w:rPr>
            <w:spacing w:val="0"/>
            <w:lang w:val="es-ES"/>
          </w:rPr>
          <w:t>la Opinión Pública. En</w:t>
        </w:r>
      </w:smartTag>
      <w:r>
        <w:rPr>
          <w:spacing w:val="0"/>
          <w:lang w:val="es-ES"/>
        </w:rPr>
        <w:t xml:space="preserve"> el Ministerio funciona también un Cuerpo especial de inspectores que se encarga del control interno del cumplimiento de las condenas. Esta dependencia comprueba de manera inmediata, independiente y exhaustiva la información relacionada con la garantía de los derechos humanos en el sistema de justicia y adopta las medidas pertinentes.</w:t>
      </w:r>
    </w:p>
    <w:p w:rsidR="001D2E73" w:rsidRDefault="001D2E73">
      <w:pPr>
        <w:pStyle w:val="SingleTxtGR"/>
        <w:rPr>
          <w:spacing w:val="0"/>
          <w:lang w:val="es-ES"/>
        </w:rPr>
      </w:pPr>
      <w:r>
        <w:rPr>
          <w:spacing w:val="0"/>
          <w:lang w:val="es-ES"/>
        </w:rPr>
        <w:t>795.</w:t>
      </w:r>
      <w:r>
        <w:rPr>
          <w:spacing w:val="0"/>
          <w:lang w:val="es-ES"/>
        </w:rPr>
        <w:tab/>
        <w:t>Además, en 2006 el Ministerio de Justicia instituyó un Comité de Asuntos Públicos, que garantiza la participación de la opinión pública en la supervisión del cumplimiento de las condenas y del funcionamiento de los establecimientos penitenciarios. Los miembros del Comité, que está integrado por connotados defensores de los derechos y representantes de organizaciones no gubernamentales que se ocupan de los derechos humanos, realizan visitas periódicas de supervisión de los establecimientos penitenciarios y presentan informes sobre sus resultados.</w:t>
      </w:r>
    </w:p>
    <w:p w:rsidR="001D2E73" w:rsidRDefault="001D2E73">
      <w:pPr>
        <w:pStyle w:val="SingleTxtGR"/>
        <w:rPr>
          <w:spacing w:val="0"/>
          <w:lang w:val="es-ES"/>
        </w:rPr>
      </w:pPr>
      <w:r>
        <w:rPr>
          <w:spacing w:val="0"/>
          <w:lang w:val="es-ES"/>
        </w:rPr>
        <w:t>796.</w:t>
      </w:r>
      <w:r>
        <w:rPr>
          <w:spacing w:val="0"/>
          <w:lang w:val="es-ES"/>
        </w:rPr>
        <w:tab/>
        <w:t>Las medidas relacionadas con la mejora de la condiciones de los reclusos se señalaron también en el Programa estatal de desarrollo de la justicia para 2009-2013. En el Programa se prevé el perfeccionamiento de la legislación que regula las condiciones y el régimen de reclusión de los reos, se resuelven cuestiones relacionadas con la participación de la opinión pública en la supervisión de los derechos y las condiciones de reclusión de los detenidos. Uno de los párrafos del Programa se dedica a la creación de condiciones en los establecimientos penitenciarios y los centros de detención preventiva compatibles con las normas internacionales y la mejora de las condiciones de los establecimientos penitenciarios conforme a las recomendaciones de las organizaciones internacionales y a los requisitos de las Reglas penitenciarias europeas.</w:t>
      </w:r>
    </w:p>
    <w:p w:rsidR="001D2E73" w:rsidRDefault="001D2E73">
      <w:pPr>
        <w:pStyle w:val="SingleTxtGR"/>
        <w:rPr>
          <w:spacing w:val="0"/>
          <w:lang w:val="es-ES"/>
        </w:rPr>
      </w:pPr>
      <w:r>
        <w:rPr>
          <w:bCs/>
          <w:spacing w:val="0"/>
          <w:lang w:val="es-ES"/>
        </w:rPr>
        <w:t>797.</w:t>
      </w:r>
      <w:r>
        <w:rPr>
          <w:bCs/>
          <w:spacing w:val="0"/>
          <w:lang w:val="es-ES"/>
        </w:rPr>
        <w:tab/>
        <w:t xml:space="preserve">En </w:t>
      </w:r>
      <w:r>
        <w:rPr>
          <w:spacing w:val="0"/>
          <w:lang w:val="es-ES"/>
        </w:rPr>
        <w:t>2008 se trató de humanizar las normas de cumplimiento y aplicación de las condenas mediante la adopción de la Ley de introducción de enmiendas y adiciones en el Código de Aplicación de las Sentencias y en el Código de Procedimiento Penal y se ampliaron los derechos de los reclusos a recibir educación, ayuda psicológica, y se abolió la censura de la correspondencia, disminuyeron las retenciones de sueldo de los reclusos que trabajan, aumentó el monto de los recursos monetarios gastados, la cantidad de visitas permitidas, de conversaciones telefónicas y se ampliaron otros beneficios para los reclusos.</w:t>
      </w:r>
    </w:p>
    <w:p w:rsidR="001D2E73" w:rsidRDefault="001D2E73">
      <w:pPr>
        <w:pStyle w:val="H23G"/>
        <w:rPr>
          <w:lang w:val="es-ES"/>
        </w:rPr>
      </w:pPr>
      <w:r>
        <w:rPr>
          <w:lang w:val="es-ES"/>
        </w:rPr>
        <w:tab/>
      </w:r>
      <w:r>
        <w:rPr>
          <w:lang w:val="es-ES"/>
        </w:rPr>
        <w:tab/>
        <w:t>Párrafo 59 de las observaciones finales</w:t>
      </w:r>
    </w:p>
    <w:p w:rsidR="001D2E73" w:rsidRDefault="001D2E73">
      <w:pPr>
        <w:pStyle w:val="SingleTxtGR"/>
        <w:rPr>
          <w:i/>
          <w:spacing w:val="0"/>
          <w:lang w:val="es-ES"/>
        </w:rPr>
      </w:pPr>
      <w:r>
        <w:rPr>
          <w:spacing w:val="0"/>
          <w:lang w:val="es-ES"/>
        </w:rPr>
        <w:t>798.</w:t>
      </w:r>
      <w:r>
        <w:rPr>
          <w:spacing w:val="0"/>
          <w:lang w:val="es-ES"/>
        </w:rPr>
        <w:tab/>
        <w:t xml:space="preserve">Según la Constitución de Azerbaiyán, el Estado garantiza el derecho a </w:t>
      </w:r>
      <w:r>
        <w:rPr>
          <w:iCs/>
          <w:spacing w:val="0"/>
          <w:lang w:val="es-ES"/>
        </w:rPr>
        <w:t>la ens</w:t>
      </w:r>
      <w:r>
        <w:rPr>
          <w:iCs/>
          <w:spacing w:val="0"/>
          <w:lang w:val="es-ES"/>
        </w:rPr>
        <w:t>e</w:t>
      </w:r>
      <w:r>
        <w:rPr>
          <w:iCs/>
          <w:spacing w:val="0"/>
          <w:lang w:val="es-ES"/>
        </w:rPr>
        <w:t>ñanza media obligatoria gratuita</w:t>
      </w:r>
      <w:r>
        <w:rPr>
          <w:spacing w:val="0"/>
          <w:lang w:val="es-ES"/>
        </w:rPr>
        <w:t>.</w:t>
      </w:r>
    </w:p>
    <w:p w:rsidR="001D2E73" w:rsidRDefault="001D2E73">
      <w:pPr>
        <w:pStyle w:val="SingleTxtGR"/>
        <w:rPr>
          <w:spacing w:val="0"/>
          <w:lang w:val="es-ES"/>
        </w:rPr>
      </w:pPr>
      <w:r>
        <w:rPr>
          <w:spacing w:val="0"/>
          <w:lang w:val="es-ES"/>
        </w:rPr>
        <w:t>799.</w:t>
      </w:r>
      <w:r>
        <w:rPr>
          <w:spacing w:val="0"/>
          <w:lang w:val="es-ES"/>
        </w:rPr>
        <w:tab/>
        <w:t>En la Ley de derechos del niño se dispone que todo niño tiene derecho a rec</w:t>
      </w:r>
      <w:r>
        <w:rPr>
          <w:spacing w:val="0"/>
          <w:lang w:val="es-ES"/>
        </w:rPr>
        <w:t>i</w:t>
      </w:r>
      <w:r>
        <w:rPr>
          <w:spacing w:val="0"/>
          <w:lang w:val="es-ES"/>
        </w:rPr>
        <w:t xml:space="preserve">bir una educación. </w:t>
      </w:r>
    </w:p>
    <w:p w:rsidR="001D2E73" w:rsidRDefault="001D2E73">
      <w:pPr>
        <w:pStyle w:val="SingleTxtGR"/>
        <w:rPr>
          <w:spacing w:val="0"/>
          <w:lang w:val="es-ES"/>
        </w:rPr>
      </w:pPr>
      <w:r>
        <w:rPr>
          <w:spacing w:val="0"/>
          <w:lang w:val="es-ES"/>
        </w:rPr>
        <w:t>800.</w:t>
      </w:r>
      <w:r>
        <w:rPr>
          <w:spacing w:val="0"/>
          <w:lang w:val="es-ES"/>
        </w:rPr>
        <w:tab/>
        <w:t>De conformidad con las enmiendas introducidas en la Ley del estatuto jurídico de extranjeros y apátridas</w:t>
      </w:r>
      <w:r>
        <w:rPr>
          <w:bCs/>
          <w:spacing w:val="0"/>
          <w:lang w:val="es-ES"/>
        </w:rPr>
        <w:t xml:space="preserve">, los extranjeros y apátridas con residencia permanente en Azerbaiyán </w:t>
      </w:r>
      <w:r>
        <w:rPr>
          <w:spacing w:val="0"/>
          <w:lang w:val="es-ES"/>
        </w:rPr>
        <w:t>tiene derecho a recibir una educación en igualdad de condiciones con los ciudadanos. Los demás deberán pagar ese servicio</w:t>
      </w:r>
      <w:r>
        <w:rPr>
          <w:iCs/>
          <w:spacing w:val="0"/>
          <w:lang w:val="es-ES"/>
        </w:rPr>
        <w:t xml:space="preserve"> (a menos que se trate de la ens</w:t>
      </w:r>
      <w:r>
        <w:rPr>
          <w:iCs/>
          <w:spacing w:val="0"/>
          <w:lang w:val="es-ES"/>
        </w:rPr>
        <w:t>e</w:t>
      </w:r>
      <w:r>
        <w:rPr>
          <w:iCs/>
          <w:spacing w:val="0"/>
          <w:lang w:val="es-ES"/>
        </w:rPr>
        <w:t>ñanza media general obligatoria)</w:t>
      </w:r>
      <w:r>
        <w:rPr>
          <w:spacing w:val="0"/>
          <w:lang w:val="es-ES"/>
        </w:rPr>
        <w:t>.</w:t>
      </w:r>
    </w:p>
    <w:p w:rsidR="001D2E73" w:rsidRDefault="001D2E73">
      <w:pPr>
        <w:pStyle w:val="SingleTxtGR"/>
        <w:rPr>
          <w:spacing w:val="0"/>
          <w:lang w:val="es-ES"/>
        </w:rPr>
      </w:pPr>
      <w:r>
        <w:rPr>
          <w:spacing w:val="0"/>
          <w:lang w:val="es-ES"/>
        </w:rPr>
        <w:t>801.</w:t>
      </w:r>
      <w:r>
        <w:rPr>
          <w:spacing w:val="0"/>
          <w:lang w:val="es-ES"/>
        </w:rPr>
        <w:tab/>
        <w:t>Con el fin de prestar apoyo estatal a los niños y señalar a la atención de las instituciones de la sociedad civil las cuestiones relacionadas con la infancia y determinar las per</w:t>
      </w:r>
      <w:r>
        <w:rPr>
          <w:spacing w:val="0"/>
          <w:lang w:val="es-ES"/>
        </w:rPr>
        <w:t>s</w:t>
      </w:r>
      <w:r>
        <w:rPr>
          <w:spacing w:val="0"/>
          <w:lang w:val="es-ES"/>
        </w:rPr>
        <w:t>pectivas demográficas del país en 2009, el Jefe de Estado firmó una Instrucción en la que se proclamaba 2009 Año del Niño. Entre las medidas previstas para celebrar el Año del Niño figura también un conjunto de actividades en la esfera de la educación.</w:t>
      </w:r>
    </w:p>
    <w:p w:rsidR="001D2E73" w:rsidRDefault="001D2E73">
      <w:pPr>
        <w:pStyle w:val="SingleTxtGR"/>
        <w:jc w:val="center"/>
        <w:rPr>
          <w:spacing w:val="0"/>
          <w:u w:val="single"/>
          <w:lang w:val="es-ES"/>
        </w:rPr>
      </w:pPr>
      <w:r>
        <w:rPr>
          <w:spacing w:val="0"/>
          <w:u w:val="single"/>
          <w:lang w:val="es-ES"/>
        </w:rPr>
        <w:tab/>
      </w:r>
      <w:r>
        <w:rPr>
          <w:spacing w:val="0"/>
          <w:u w:val="single"/>
          <w:lang w:val="es-ES"/>
        </w:rPr>
        <w:tab/>
      </w:r>
      <w:r>
        <w:rPr>
          <w:spacing w:val="0"/>
          <w:u w:val="single"/>
          <w:lang w:val="es-ES"/>
        </w:rPr>
        <w:tab/>
      </w:r>
    </w:p>
    <w:p w:rsidR="001D2E73" w:rsidRDefault="001D2E73">
      <w:pPr>
        <w:tabs>
          <w:tab w:val="left" w:pos="1170"/>
          <w:tab w:val="left" w:pos="6615"/>
        </w:tabs>
      </w:pPr>
    </w:p>
    <w:sectPr w:rsidR="001D2E7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E73" w:rsidRDefault="001D2E73">
      <w:r>
        <w:separator/>
      </w:r>
    </w:p>
  </w:endnote>
  <w:endnote w:type="continuationSeparator" w:id="0">
    <w:p w:rsidR="001D2E73" w:rsidRDefault="001D2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73" w:rsidRDefault="001D2E73">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E95C1B">
      <w:rPr>
        <w:b/>
        <w:noProof/>
        <w:sz w:val="18"/>
      </w:rPr>
      <w:t>116</w:t>
    </w:r>
    <w:r>
      <w:rPr>
        <w:b/>
        <w:sz w:val="18"/>
      </w:rPr>
      <w:fldChar w:fldCharType="end"/>
    </w:r>
    <w:r>
      <w:rPr>
        <w:sz w:val="18"/>
      </w:rPr>
      <w:tab/>
    </w:r>
    <w:r>
      <w:rPr>
        <w:szCs w:val="16"/>
      </w:rPr>
      <w:t>GE.11-42903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73" w:rsidRDefault="001D2E73">
    <w:pPr>
      <w:pStyle w:val="Footer"/>
      <w:tabs>
        <w:tab w:val="right" w:pos="9638"/>
      </w:tabs>
      <w:rPr>
        <w:b/>
        <w:sz w:val="18"/>
      </w:rPr>
    </w:pPr>
    <w:r>
      <w:rPr>
        <w:szCs w:val="16"/>
      </w:rPr>
      <w:t>GE.11-42903 (EXT)</w:t>
    </w:r>
    <w:r>
      <w:tab/>
    </w:r>
    <w:r>
      <w:rPr>
        <w:b/>
        <w:sz w:val="18"/>
      </w:rPr>
      <w:fldChar w:fldCharType="begin"/>
    </w:r>
    <w:r>
      <w:rPr>
        <w:b/>
        <w:sz w:val="18"/>
      </w:rPr>
      <w:instrText xml:space="preserve"> PAGE  \* MERGEFORMAT </w:instrText>
    </w:r>
    <w:r>
      <w:rPr>
        <w:b/>
        <w:sz w:val="18"/>
      </w:rPr>
      <w:fldChar w:fldCharType="separate"/>
    </w:r>
    <w:r w:rsidR="00E95C1B">
      <w:rPr>
        <w:b/>
        <w:noProof/>
        <w:sz w:val="18"/>
      </w:rPr>
      <w:t>115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73" w:rsidRDefault="001D2E7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GE.11-42903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E73" w:rsidRPr="001075E9" w:rsidRDefault="001D2E73">
      <w:pPr>
        <w:tabs>
          <w:tab w:val="right" w:pos="2155"/>
        </w:tabs>
        <w:spacing w:after="80" w:line="240" w:lineRule="auto"/>
        <w:ind w:left="680"/>
        <w:rPr>
          <w:u w:val="single"/>
        </w:rPr>
      </w:pPr>
      <w:r>
        <w:rPr>
          <w:u w:val="single"/>
        </w:rPr>
        <w:tab/>
      </w:r>
    </w:p>
  </w:footnote>
  <w:footnote w:type="continuationSeparator" w:id="0">
    <w:p w:rsidR="001D2E73" w:rsidRDefault="001D2E73">
      <w:r>
        <w:continuationSeparator/>
      </w:r>
    </w:p>
  </w:footnote>
  <w:footnote w:id="1">
    <w:p w:rsidR="001D2E73" w:rsidRPr="00D3622C" w:rsidRDefault="001D2E73">
      <w:pPr>
        <w:pStyle w:val="FootnoteText"/>
        <w:rPr>
          <w:lang w:val="ru-RU"/>
        </w:rPr>
      </w:pPr>
      <w:r>
        <w:tab/>
      </w:r>
      <w:r>
        <w:rPr>
          <w:rStyle w:val="FootnoteReference"/>
          <w:sz w:val="20"/>
          <w:vertAlign w:val="baseline"/>
        </w:rPr>
        <w:t>*</w:t>
      </w:r>
      <w:r w:rsidRPr="002C3765">
        <w:rPr>
          <w:sz w:val="20"/>
        </w:rPr>
        <w:tab/>
      </w:r>
      <w:r w:rsidRPr="002C3765">
        <w:t>Con arreglo a la información transmitida a los Estados partes acerca de</w:t>
      </w:r>
      <w:r>
        <w:t xml:space="preserve"> la publicación</w:t>
      </w:r>
      <w:r w:rsidRPr="002C3765">
        <w:t xml:space="preserve"> de sus informes, el presente documento no fue objeto de revisión editorial oficial antes de ser enviado a los servicios de traducción de las Naciones Unidas</w:t>
      </w:r>
      <w:r w:rsidRPr="00D3622C">
        <w:rPr>
          <w:lang w:val="ru-RU"/>
        </w:rPr>
        <w:t>.</w:t>
      </w:r>
    </w:p>
  </w:footnote>
  <w:footnote w:id="2">
    <w:p w:rsidR="001D2E73" w:rsidRPr="008F1B96" w:rsidRDefault="001D2E73">
      <w:pPr>
        <w:pStyle w:val="FootnoteText"/>
        <w:rPr>
          <w:lang w:val="ru-RU"/>
        </w:rPr>
      </w:pPr>
      <w:r w:rsidRPr="002C3765">
        <w:tab/>
      </w:r>
      <w:r>
        <w:rPr>
          <w:rStyle w:val="FootnoteReference"/>
        </w:rPr>
        <w:footnoteRef/>
      </w:r>
      <w:r>
        <w:t xml:space="preserve"> </w:t>
      </w:r>
      <w:r>
        <w:rPr>
          <w:lang w:val="ru-RU"/>
        </w:rPr>
        <w:tab/>
      </w:r>
      <w:hyperlink r:id="rId1" w:history="1">
        <w:r w:rsidRPr="00B3459E">
          <w:rPr>
            <w:rStyle w:val="Hyperlink"/>
            <w:lang w:val="ru-RU"/>
          </w:rPr>
          <w:t>www.4uth.az</w:t>
        </w:r>
      </w:hyperlink>
      <w:r w:rsidRPr="00B3459E">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73" w:rsidRDefault="001D2E73">
    <w:pPr>
      <w:pStyle w:val="Header"/>
    </w:pPr>
    <w:r>
      <w:t>E/C.12/AZE/3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73" w:rsidRDefault="001D2E73">
    <w:pPr>
      <w:pStyle w:val="Header"/>
      <w:jc w:val="right"/>
    </w:pPr>
    <w:r>
      <w:t>E/C.12/AZE/3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E0BB4"/>
    <w:multiLevelType w:val="multilevel"/>
    <w:tmpl w:val="B22E0BFA"/>
    <w:lvl w:ilvl="0">
      <w:start w:val="1"/>
      <w:numFmt w:val="bullet"/>
      <w:lvlText w:val="•"/>
      <w:lvlJc w:val="left"/>
      <w:pPr>
        <w:tabs>
          <w:tab w:val="num" w:pos="1870"/>
        </w:tabs>
        <w:ind w:left="1870"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870"/>
        </w:tabs>
        <w:ind w:left="1870"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E932E2B"/>
    <w:multiLevelType w:val="hybridMultilevel"/>
    <w:tmpl w:val="A75276B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3">
    <w:nsid w:val="26B940F5"/>
    <w:multiLevelType w:val="hybridMultilevel"/>
    <w:tmpl w:val="55D65A7A"/>
    <w:lvl w:ilvl="0" w:tplc="04090001">
      <w:start w:val="1"/>
      <w:numFmt w:val="bullet"/>
      <w:lvlText w:val=""/>
      <w:lvlJc w:val="left"/>
      <w:pPr>
        <w:tabs>
          <w:tab w:val="num" w:pos="2421"/>
        </w:tabs>
        <w:ind w:left="2421" w:hanging="360"/>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4">
    <w:nsid w:val="274C51F0"/>
    <w:multiLevelType w:val="hybridMultilevel"/>
    <w:tmpl w:val="3FBA189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5">
    <w:nsid w:val="2A232D0C"/>
    <w:multiLevelType w:val="hybridMultilevel"/>
    <w:tmpl w:val="CF3E3D5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6">
    <w:nsid w:val="3698230C"/>
    <w:multiLevelType w:val="hybridMultilevel"/>
    <w:tmpl w:val="54A836F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7">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BD236AC"/>
    <w:multiLevelType w:val="hybridMultilevel"/>
    <w:tmpl w:val="53C40CB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9">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5B30106"/>
    <w:multiLevelType w:val="hybridMultilevel"/>
    <w:tmpl w:val="CE8087C4"/>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1">
    <w:nsid w:val="58574D20"/>
    <w:multiLevelType w:val="hybridMultilevel"/>
    <w:tmpl w:val="16F2810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2">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321374"/>
    <w:multiLevelType w:val="hybridMultilevel"/>
    <w:tmpl w:val="5F64E4B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FDA7C94"/>
    <w:multiLevelType w:val="hybridMultilevel"/>
    <w:tmpl w:val="2BA4AC7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6">
    <w:nsid w:val="65BF12F8"/>
    <w:multiLevelType w:val="hybridMultilevel"/>
    <w:tmpl w:val="43A6C61A"/>
    <w:lvl w:ilvl="0" w:tplc="8C4849AC">
      <w:start w:val="1"/>
      <w:numFmt w:val="bullet"/>
      <w:pStyle w:val="Bullet1G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8862366"/>
    <w:multiLevelType w:val="hybridMultilevel"/>
    <w:tmpl w:val="523E6D94"/>
    <w:lvl w:ilvl="0" w:tplc="8C4849AC">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AFD3DE4"/>
    <w:multiLevelType w:val="hybridMultilevel"/>
    <w:tmpl w:val="569E52D4"/>
    <w:lvl w:ilvl="0" w:tplc="8C4849AC">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7"/>
  </w:num>
  <w:num w:numId="3">
    <w:abstractNumId w:val="30"/>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7"/>
  </w:num>
  <w:num w:numId="18">
    <w:abstractNumId w:val="26"/>
  </w:num>
  <w:num w:numId="19">
    <w:abstractNumId w:val="19"/>
  </w:num>
  <w:num w:numId="20">
    <w:abstractNumId w:val="22"/>
  </w:num>
  <w:num w:numId="21">
    <w:abstractNumId w:val="16"/>
  </w:num>
  <w:num w:numId="22">
    <w:abstractNumId w:val="18"/>
  </w:num>
  <w:num w:numId="23">
    <w:abstractNumId w:val="25"/>
  </w:num>
  <w:num w:numId="24">
    <w:abstractNumId w:val="20"/>
  </w:num>
  <w:num w:numId="25">
    <w:abstractNumId w:val="23"/>
  </w:num>
  <w:num w:numId="26">
    <w:abstractNumId w:val="12"/>
  </w:num>
  <w:num w:numId="27">
    <w:abstractNumId w:val="21"/>
  </w:num>
  <w:num w:numId="28">
    <w:abstractNumId w:val="14"/>
  </w:num>
  <w:num w:numId="29">
    <w:abstractNumId w:val="15"/>
  </w:num>
  <w:num w:numId="30">
    <w:abstractNumId w:val="13"/>
  </w:num>
  <w:num w:numId="3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705E"/>
    <w:rsid w:val="001D2E73"/>
    <w:rsid w:val="0094705E"/>
    <w:rsid w:val="00E95C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Table_GR"/>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4_GR,Footnote symbol"/>
    <w:rPr>
      <w:rFonts w:ascii="Times New Roman" w:hAnsi="Times New Roman"/>
      <w:sz w:val="18"/>
      <w:vertAlign w:val="superscript"/>
    </w:rPr>
  </w:style>
  <w:style w:type="paragraph" w:customStyle="1" w:styleId="HMG">
    <w:name w:val="_ H __M_G"/>
    <w:basedOn w:val="Normal"/>
    <w:next w:val="Normal"/>
    <w:link w:val="HMGCar"/>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lang w:val="en-GB" w:eastAsia="en-US"/>
    </w:r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pacing w:val="4"/>
      <w:w w:val="103"/>
      <w:kern w:val="14"/>
      <w:sz w:val="28"/>
      <w:lang w:val="ru-RU"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pacing w:val="4"/>
      <w:w w:val="103"/>
      <w:kern w:val="14"/>
      <w:sz w:val="34"/>
      <w:lang w:val="ru-RU" w:eastAsia="ru-RU"/>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link w:val="H23GCar"/>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6_GR"/>
    <w:basedOn w:val="Normal"/>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link w:val="SingleTxtGChar"/>
    <w:pPr>
      <w:suppressAutoHyphens/>
      <w:spacing w:after="120"/>
      <w:ind w:left="1134" w:right="1134"/>
      <w:jc w:val="both"/>
    </w:pPr>
    <w:rPr>
      <w:lang w:val="en-GB" w:eastAsia="en-US"/>
    </w:rPr>
  </w:style>
  <w:style w:type="paragraph" w:customStyle="1" w:styleId="SMG">
    <w:name w:val="__S_M_G"/>
    <w:basedOn w:val="Normal"/>
    <w:next w:val="Normal"/>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pPr>
      <w:keepNext/>
      <w:keepLines/>
      <w:suppressAutoHyphens/>
      <w:spacing w:before="240" w:after="240" w:line="300" w:lineRule="exact"/>
      <w:ind w:left="1134" w:right="1134"/>
    </w:pPr>
    <w:rPr>
      <w:b/>
      <w:sz w:val="28"/>
      <w:lang w:val="en-GB" w:eastAsia="en-US"/>
    </w:rPr>
  </w:style>
  <w:style w:type="paragraph" w:styleId="Footer">
    <w:name w:val="footer"/>
    <w:aliases w:val="3_G,3_GR"/>
    <w:basedOn w:val="Normal"/>
    <w:next w:val="Normal"/>
    <w:rPr>
      <w:sz w:val="16"/>
    </w:rPr>
  </w:style>
  <w:style w:type="paragraph" w:customStyle="1" w:styleId="XLargeG">
    <w:name w:val="__XLarge_G"/>
    <w:basedOn w:val="Normal"/>
    <w:next w:val="Normal"/>
    <w:pPr>
      <w:keepNext/>
      <w:keepLines/>
      <w:suppressAutoHyphens/>
      <w:spacing w:before="240" w:after="240" w:line="420" w:lineRule="exact"/>
      <w:ind w:left="1134" w:right="1134"/>
    </w:pPr>
    <w:rPr>
      <w:b/>
      <w:sz w:val="40"/>
      <w:lang w:val="en-GB" w:eastAsia="en-US"/>
    </w:rPr>
  </w:style>
  <w:style w:type="paragraph" w:styleId="FootnoteText">
    <w:name w:val="footnote text"/>
    <w:aliases w:val="5_G,5_GR,Footnote,Podrozdział,Podrozdzia3,single space,footnote text, Märk,Footnote Text Char Char Char Char,Footnote Text Char Char,Footnote Text Char Char Char Char Char,Footnote Text Char Char Char Char Char Char Char Char"/>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7_GR"/>
    <w:rPr>
      <w:b/>
      <w:sz w:val="18"/>
    </w:rPr>
  </w:style>
  <w:style w:type="character" w:styleId="EndnoteReference">
    <w:name w:val="endnote reference"/>
    <w:aliases w:val="1_G,1_GR"/>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2_GR"/>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6"/>
      </w:numPr>
      <w:suppressAutoHyphens/>
      <w:spacing w:after="120"/>
      <w:ind w:right="1134"/>
      <w:jc w:val="both"/>
    </w:pPr>
    <w:rPr>
      <w:lang w:val="en-GB" w:eastAsia="en-US"/>
    </w:rPr>
  </w:style>
  <w:style w:type="paragraph" w:customStyle="1" w:styleId="Bullet2G">
    <w:name w:val="_Bullet 2_G"/>
    <w:basedOn w:val="Normal"/>
    <w:pPr>
      <w:numPr>
        <w:numId w:val="17"/>
      </w:numPr>
      <w:suppressAutoHyphens/>
      <w:spacing w:after="120"/>
      <w:ind w:right="1134"/>
      <w:jc w:val="both"/>
    </w:pPr>
    <w:rPr>
      <w:lang w:val="en-GB" w:eastAsia="en-US"/>
    </w:r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character" w:styleId="CommentReference">
    <w:name w:val="annotation reference"/>
    <w:semiHidden/>
    <w:rPr>
      <w:sz w:val="16"/>
      <w:szCs w:val="16"/>
    </w:rPr>
  </w:style>
  <w:style w:type="character" w:customStyle="1" w:styleId="FootnoteTextChar">
    <w:name w:val="Footnote Text Char"/>
    <w:aliases w:val="5_G Char,5_GR Char,Footnote Char,Podrozdział Char,Podrozdzia3 Char,single space Char,footnote text Char, Märk Char,Footnote Text Char Char Char Char Char1,Footnote Text Char Char Char,Footnote Text Char Char Char Char Char Char"/>
    <w:link w:val="FootnoteText"/>
    <w:semiHidden/>
    <w:locked/>
    <w:rPr>
      <w:sz w:val="18"/>
      <w:lang w:val="es-ES" w:eastAsia="es-ES" w:bidi="ar-SA"/>
    </w:rPr>
  </w:style>
  <w:style w:type="paragraph" w:styleId="CommentText">
    <w:name w:val="annotation text"/>
    <w:basedOn w:val="Normal"/>
    <w:link w:val="CommentTextChar"/>
    <w:rPr>
      <w:spacing w:val="4"/>
      <w:w w:val="103"/>
      <w:kern w:val="14"/>
      <w:lang w:val="ru-RU" w:eastAsia="en-US"/>
    </w:rPr>
  </w:style>
  <w:style w:type="character" w:customStyle="1" w:styleId="CommentTextChar">
    <w:name w:val="Comment Text Char"/>
    <w:link w:val="CommentText"/>
    <w:rPr>
      <w:spacing w:val="4"/>
      <w:w w:val="103"/>
      <w:kern w:val="14"/>
      <w:lang w:val="ru-RU" w:eastAsia="en-US" w:bidi="ar-SA"/>
    </w:rPr>
  </w:style>
  <w:style w:type="character" w:customStyle="1" w:styleId="HMGCar">
    <w:name w:val="_ H __M_G Car"/>
    <w:link w:val="HMG"/>
    <w:rPr>
      <w:b/>
      <w:sz w:val="34"/>
      <w:lang w:val="en-GB" w:eastAsia="en-US" w:bidi="ar-SA"/>
    </w:rPr>
  </w:style>
  <w:style w:type="character" w:customStyle="1" w:styleId="SingleTxtGChar">
    <w:name w:val="_ Single Txt_G Char"/>
    <w:link w:val="SingleTxtG"/>
    <w:rPr>
      <w:lang w:val="en-GB" w:eastAsia="en-US" w:bidi="ar-SA"/>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Bullet1GR">
    <w:name w:val="_Bullet 1_GR"/>
    <w:basedOn w:val="Normal"/>
    <w:pPr>
      <w:numPr>
        <w:numId w:val="18"/>
      </w:numPr>
      <w:spacing w:after="120"/>
      <w:ind w:right="1134"/>
      <w:jc w:val="both"/>
    </w:pPr>
    <w:rPr>
      <w:spacing w:val="4"/>
      <w:w w:val="103"/>
      <w:kern w:val="14"/>
      <w:lang w:val="ru-RU" w:eastAsia="ru-RU"/>
    </w:rPr>
  </w:style>
  <w:style w:type="paragraph" w:customStyle="1" w:styleId="SLGR">
    <w:name w:val="__S_L_GR"/>
    <w:basedOn w:val="Normal"/>
    <w:next w:val="Normal"/>
    <w:pPr>
      <w:keepNext/>
      <w:keepLines/>
      <w:suppressAutoHyphen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pPr>
      <w:keepNext/>
      <w:keepLines/>
      <w:suppressAutoHyphen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pPr>
      <w:keepNext/>
      <w:keepLines/>
      <w:suppressAutoHyphen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pacing w:val="4"/>
      <w:w w:val="103"/>
      <w:kern w:val="14"/>
      <w:sz w:val="40"/>
      <w:lang w:val="ru-RU" w:eastAsia="ru-RU"/>
    </w:rPr>
  </w:style>
  <w:style w:type="paragraph" w:customStyle="1" w:styleId="Bullet2GR">
    <w:name w:val="_Bullet 2_GR"/>
    <w:basedOn w:val="Normal"/>
    <w:pPr>
      <w:numPr>
        <w:numId w:val="19"/>
      </w:numPr>
      <w:spacing w:after="120"/>
      <w:ind w:right="1134"/>
      <w:jc w:val="both"/>
    </w:pPr>
    <w:rPr>
      <w:spacing w:val="4"/>
      <w:w w:val="103"/>
      <w:kern w:val="14"/>
      <w:lang w:val="ru-RU" w:eastAsia="ru-RU"/>
    </w:rPr>
  </w:style>
  <w:style w:type="paragraph" w:customStyle="1" w:styleId="ParaNoGR">
    <w:name w:val="_ParaNo._GR"/>
    <w:basedOn w:val="Normal"/>
    <w:next w:val="Normal"/>
    <w:pPr>
      <w:numPr>
        <w:numId w:val="20"/>
      </w:numPr>
      <w:tabs>
        <w:tab w:val="left" w:pos="567"/>
      </w:tabs>
      <w:spacing w:after="120"/>
      <w:ind w:right="1134"/>
      <w:jc w:val="both"/>
      <w:outlineLvl w:val="0"/>
    </w:pPr>
    <w:rPr>
      <w:spacing w:val="4"/>
      <w:w w:val="103"/>
      <w:kern w:val="14"/>
      <w:lang w:val="ru-RU" w:eastAsia="ru-RU"/>
    </w:rPr>
  </w:style>
  <w:style w:type="paragraph" w:customStyle="1" w:styleId="H23GR">
    <w:name w:val="_ H_2/3_GR"/>
    <w:basedOn w:val="Normal"/>
    <w:next w:val="Normal"/>
    <w:link w:val="H23GR0"/>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w w:val="103"/>
      <w:kern w:val="14"/>
      <w:lang w:val="ru-RU"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spacing w:val="4"/>
      <w:w w:val="103"/>
      <w:kern w:val="14"/>
      <w:lang w:val="ru-RU" w:eastAsia="ru-RU"/>
    </w:rPr>
  </w:style>
  <w:style w:type="paragraph" w:styleId="TOAHeading">
    <w:name w:val="toa heading"/>
    <w:basedOn w:val="Normal"/>
    <w:next w:val="Normal"/>
    <w:semiHidden/>
    <w:pPr>
      <w:spacing w:before="120"/>
    </w:pPr>
    <w:rPr>
      <w:rFonts w:ascii="Arial" w:hAnsi="Arial" w:cs="Arial"/>
      <w:b/>
      <w:bCs/>
      <w:spacing w:val="4"/>
      <w:w w:val="103"/>
      <w:kern w:val="14"/>
      <w:sz w:val="24"/>
      <w:lang w:val="ru-RU" w:eastAsia="en-US"/>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CharCharCharCharChar">
    <w:name w:val=" Знак Char Char Char Char Знак Знак Char"/>
    <w:basedOn w:val="Normal"/>
    <w:pPr>
      <w:autoSpaceDE w:val="0"/>
      <w:autoSpaceDN w:val="0"/>
      <w:spacing w:after="160" w:line="240" w:lineRule="exact"/>
    </w:pPr>
    <w:rPr>
      <w:rFonts w:ascii="Arial" w:eastAsia="MS Mincho" w:hAnsi="Arial" w:cs="Arial"/>
      <w:lang w:val="en-US" w:eastAsia="en-US"/>
    </w:rPr>
  </w:style>
  <w:style w:type="paragraph" w:customStyle="1" w:styleId="CharCharChar">
    <w:name w:val=" Char Char Char"/>
    <w:basedOn w:val="Normal"/>
    <w:pPr>
      <w:spacing w:after="160" w:line="240" w:lineRule="exact"/>
    </w:pPr>
    <w:rPr>
      <w:rFonts w:ascii="Arial" w:eastAsia="MS Mincho" w:hAnsi="Arial" w:cs="Arial"/>
      <w:lang w:val="en-US" w:eastAsia="en-US"/>
    </w:rPr>
  </w:style>
  <w:style w:type="paragraph" w:customStyle="1" w:styleId="p2">
    <w:name w:val="p2"/>
    <w:basedOn w:val="Normal"/>
    <w:pPr>
      <w:spacing w:before="100" w:beforeAutospacing="1" w:after="100" w:afterAutospacing="1" w:line="240" w:lineRule="auto"/>
      <w:jc w:val="both"/>
    </w:pPr>
    <w:rPr>
      <w:rFonts w:ascii="Arial" w:eastAsia="MS Mincho" w:hAnsi="Arial" w:cs="Arial"/>
      <w:color w:val="000000"/>
      <w:lang w:val="ru-RU" w:eastAsia="ru-RU"/>
    </w:rPr>
  </w:style>
  <w:style w:type="paragraph" w:customStyle="1" w:styleId="table">
    <w:name w:val="table"/>
    <w:basedOn w:val="Normal"/>
    <w:pPr>
      <w:keepNext/>
      <w:tabs>
        <w:tab w:val="left" w:pos="1134"/>
      </w:tabs>
      <w:spacing w:after="120" w:line="240" w:lineRule="auto"/>
      <w:ind w:left="1134" w:hanging="1134"/>
      <w:jc w:val="both"/>
    </w:pPr>
    <w:rPr>
      <w:rFonts w:eastAsia="MS Mincho"/>
      <w:b/>
      <w:sz w:val="24"/>
      <w:lang w:val="en-GB" w:eastAsia="de-DE"/>
    </w:rPr>
  </w:style>
  <w:style w:type="paragraph" w:customStyle="1" w:styleId="Cbodytext">
    <w:name w:val="C_bodytext"/>
    <w:basedOn w:val="Normal"/>
    <w:pPr>
      <w:spacing w:after="120" w:line="240" w:lineRule="auto"/>
      <w:jc w:val="both"/>
    </w:pPr>
    <w:rPr>
      <w:rFonts w:eastAsia="MS Mincho"/>
      <w:sz w:val="24"/>
      <w:lang w:val="en-GB" w:eastAsia="de-DE"/>
    </w:rPr>
  </w:style>
  <w:style w:type="paragraph" w:customStyle="1" w:styleId="3">
    <w:name w:val="заголовок 3"/>
    <w:basedOn w:val="Normal"/>
    <w:next w:val="Normal"/>
    <w:pPr>
      <w:keepNext/>
      <w:autoSpaceDE w:val="0"/>
      <w:autoSpaceDN w:val="0"/>
      <w:spacing w:before="240" w:after="60" w:line="240" w:lineRule="auto"/>
    </w:pPr>
    <w:rPr>
      <w:rFonts w:eastAsia="MS Mincho"/>
      <w:b/>
      <w:bCs/>
      <w:sz w:val="24"/>
      <w:szCs w:val="24"/>
      <w:lang w:val="en-GB" w:eastAsia="en-GB"/>
    </w:rPr>
  </w:style>
  <w:style w:type="paragraph" w:customStyle="1" w:styleId="Number">
    <w:name w:val="Number"/>
    <w:basedOn w:val="Normal"/>
    <w:pPr>
      <w:adjustRightInd w:val="0"/>
      <w:spacing w:after="120" w:line="240" w:lineRule="auto"/>
      <w:ind w:left="567" w:hanging="567"/>
      <w:jc w:val="both"/>
    </w:pPr>
    <w:rPr>
      <w:rFonts w:eastAsia="MS Mincho"/>
      <w:kern w:val="24"/>
      <w:szCs w:val="24"/>
      <w:lang w:val="ru-RU" w:eastAsia="ru-RU"/>
    </w:rPr>
  </w:style>
  <w:style w:type="paragraph" w:customStyle="1" w:styleId="a">
    <w:name w:val="Стиль"/>
    <w:pPr>
      <w:widowControl w:val="0"/>
      <w:autoSpaceDE w:val="0"/>
      <w:autoSpaceDN w:val="0"/>
      <w:adjustRightInd w:val="0"/>
    </w:pPr>
    <w:rPr>
      <w:rFonts w:eastAsia="MS Mincho"/>
      <w:sz w:val="24"/>
      <w:szCs w:val="24"/>
      <w:lang w:val="ru-RU" w:eastAsia="ru-RU"/>
    </w:rPr>
  </w:style>
  <w:style w:type="paragraph" w:customStyle="1" w:styleId="NormalWeb1">
    <w:name w:val="Normal (Web)1"/>
    <w:basedOn w:val="Normal"/>
    <w:pPr>
      <w:spacing w:before="100" w:beforeAutospacing="1" w:after="225" w:line="240" w:lineRule="auto"/>
    </w:pPr>
    <w:rPr>
      <w:rFonts w:eastAsia="MS Mincho"/>
      <w:sz w:val="24"/>
      <w:szCs w:val="24"/>
      <w:lang w:val="ru-RU" w:eastAsia="ru-RU"/>
    </w:rPr>
  </w:style>
  <w:style w:type="character" w:customStyle="1" w:styleId="H23GR0">
    <w:name w:val="_ H_2/3_GR Знак"/>
    <w:link w:val="H23GR"/>
    <w:rPr>
      <w:b/>
      <w:spacing w:val="4"/>
      <w:w w:val="103"/>
      <w:kern w:val="14"/>
      <w:lang w:val="ru-RU" w:eastAsia="ru-RU" w:bidi="ar-SA"/>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spacing w:val="4"/>
      <w:w w:val="103"/>
      <w:kern w:val="14"/>
      <w:lang w:val="ru-RU" w:eastAsia="en-US" w:bidi="ar-SA"/>
    </w:rPr>
  </w:style>
  <w:style w:type="paragraph" w:styleId="BalloonText">
    <w:name w:val="Balloon Text"/>
    <w:basedOn w:val="Normal"/>
    <w:link w:val="BalloonTextChar"/>
    <w:pPr>
      <w:spacing w:line="240" w:lineRule="auto"/>
    </w:pPr>
    <w:rPr>
      <w:rFonts w:ascii="Tahoma" w:hAnsi="Tahoma" w:cs="Tahoma"/>
      <w:spacing w:val="4"/>
      <w:w w:val="103"/>
      <w:kern w:val="14"/>
      <w:sz w:val="16"/>
      <w:szCs w:val="16"/>
      <w:lang w:val="ru-RU" w:eastAsia="en-US"/>
    </w:rPr>
  </w:style>
  <w:style w:type="character" w:customStyle="1" w:styleId="BalloonTextChar">
    <w:name w:val="Balloon Text Char"/>
    <w:link w:val="BalloonText"/>
    <w:rPr>
      <w:rFonts w:ascii="Tahoma" w:hAnsi="Tahoma" w:cs="Tahoma"/>
      <w:spacing w:val="4"/>
      <w:w w:val="103"/>
      <w:kern w:val="14"/>
      <w:sz w:val="16"/>
      <w:szCs w:val="16"/>
      <w:lang w:val="ru-RU" w:eastAsia="en-US" w:bidi="ar-SA"/>
    </w:rPr>
  </w:style>
  <w:style w:type="character" w:customStyle="1" w:styleId="a0">
    <w:name w:val="ñ"/>
    <w:basedOn w:val="DefaultParagraphFont"/>
  </w:style>
  <w:style w:type="character" w:customStyle="1" w:styleId="H23GCar">
    <w:name w:val="_ H_2/3_G Car"/>
    <w:link w:val="H23G"/>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4uth.a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Template>
  <TotalTime>4</TotalTime>
  <Pages>1</Pages>
  <Words>53787</Words>
  <Characters>306586</Characters>
  <Application>Microsoft Office Word</Application>
  <DocSecurity>4</DocSecurity>
  <Lines>2554</Lines>
  <Paragraphs>719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359654</CharactersWithSpaces>
  <SharedDoc>false</SharedDoc>
  <HLinks>
    <vt:vector size="6" baseType="variant">
      <vt:variant>
        <vt:i4>4128812</vt:i4>
      </vt:variant>
      <vt:variant>
        <vt:i4>0</vt:i4>
      </vt:variant>
      <vt:variant>
        <vt:i4>0</vt:i4>
      </vt:variant>
      <vt:variant>
        <vt:i4>5</vt:i4>
      </vt:variant>
      <vt:variant>
        <vt:lpwstr>http://www.4uth.az/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2008-01-15T07:58:00Z</cp:lastPrinted>
  <dcterms:created xsi:type="dcterms:W3CDTF">2011-07-22T07:08:00Z</dcterms:created>
  <dcterms:modified xsi:type="dcterms:W3CDTF">2011-07-22T07:08:00Z</dcterms:modified>
</cp:coreProperties>
</file>