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595-м заседании,</w:t>
      </w:r>
    </w:p>
    <w:p w:rsidR="00000000" w:rsidRDefault="00000000">
      <w:r>
        <w:t>состоявшемся в Центральных учреждениях, Нью-Йорк, в четверг, 16 января 2003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 xml:space="preserve"> г</w:t>
      </w:r>
      <w:r>
        <w:noBreakHyphen/>
        <w:t>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 xml:space="preserve">Сводный (первоначальный и второй периодический) доклад Албании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ind w:left="2218" w:hanging="951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 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Сводный (первоначальный и второй периодический) доклад Албании (продолжение) </w:t>
      </w:r>
      <w:r>
        <w:rPr>
          <w:i w:val="0"/>
        </w:rPr>
        <w:t>(CEDAW/C/ALB/1–2)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Албании зан</w:t>
      </w:r>
      <w:r>
        <w:t>и</w:t>
      </w:r>
      <w:r>
        <w:t>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продолжать задавать вопросы делег</w:t>
      </w:r>
      <w:r>
        <w:t>а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Флинтерман </w:t>
      </w:r>
      <w:r>
        <w:t>спрашивает, каким образом правительство Албании планирует повысить ур</w:t>
      </w:r>
      <w:r>
        <w:t>о</w:t>
      </w:r>
      <w:r>
        <w:t>вень участия женщин в занятиях спортом, который является низким из</w:t>
      </w:r>
      <w:r>
        <w:noBreakHyphen/>
        <w:t>за предрассудков (спорт счит</w:t>
      </w:r>
      <w:r>
        <w:t>а</w:t>
      </w:r>
      <w:r>
        <w:t>ется пустым времяпрепровождением), многочи</w:t>
      </w:r>
      <w:r>
        <w:t>с</w:t>
      </w:r>
      <w:r>
        <w:t>ленных семейных обязанностей и ограниченности экономич</w:t>
      </w:r>
      <w:r>
        <w:t>е</w:t>
      </w:r>
      <w:r>
        <w:t>ских средств.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Паттен </w:t>
      </w:r>
      <w:r>
        <w:t>говорит, что в макроэкономич</w:t>
      </w:r>
      <w:r>
        <w:t>е</w:t>
      </w:r>
      <w:r>
        <w:t>ской политике правительства почти все внимание уделяется формальному сектору, а не все обос</w:t>
      </w:r>
      <w:r>
        <w:t>т</w:t>
      </w:r>
      <w:r>
        <w:t>ряющейся проблеме феминизации нищеты. Это я</w:t>
      </w:r>
      <w:r>
        <w:t>в</w:t>
      </w:r>
      <w:r>
        <w:t>ление характеризуется низким уровнем дохода, не способного обеспечивать устойчивый источник средств к существованию, ухудшением состояния здоровья в результате ограниченности доступа к первичным медико-санитарным услугам, высоким уровнем неграмотности, обусловленным огран</w:t>
      </w:r>
      <w:r>
        <w:t>и</w:t>
      </w:r>
      <w:r>
        <w:t>ченностью доступа к образованию, повышением уровней смертности и заболеваемости, широкой распространенностью ВИЧ/СПИДа, наличием бе</w:t>
      </w:r>
      <w:r>
        <w:t>з</w:t>
      </w:r>
      <w:r>
        <w:t>домных и существованием не пригодного для пр</w:t>
      </w:r>
      <w:r>
        <w:t>о</w:t>
      </w:r>
      <w:r>
        <w:t>живания жилья, небезопасной обстановкой, зл</w:t>
      </w:r>
      <w:r>
        <w:t>о</w:t>
      </w:r>
      <w:r>
        <w:t>употреблением наркотиками, незащищенностью от частых проявлений гендерного насилия и торговлей женщинами. Правительство не уделяет должного внимания и проблеме нищеты среди низкооплач</w:t>
      </w:r>
      <w:r>
        <w:t>и</w:t>
      </w:r>
      <w:r>
        <w:t>ваемых категорий трудящихся и других слоев нас</w:t>
      </w:r>
      <w:r>
        <w:t>е</w:t>
      </w:r>
      <w:r>
        <w:t>ления, не охваченных системой оказания поддержки семьям и услугами социальных структур и мех</w:t>
      </w:r>
      <w:r>
        <w:t>а</w:t>
      </w:r>
      <w:r>
        <w:t>низмов социальной защиты, созданных правител</w:t>
      </w:r>
      <w:r>
        <w:t>ь</w:t>
      </w:r>
      <w:r>
        <w:t>ством в ходе проведения в жизнь макроэкономич</w:t>
      </w:r>
      <w:r>
        <w:t>е</w:t>
      </w:r>
      <w:r>
        <w:t>ской пол</w:t>
      </w:r>
      <w:r>
        <w:t>и</w:t>
      </w:r>
      <w:r>
        <w:t>тики.</w:t>
      </w:r>
    </w:p>
    <w:p w:rsidR="00000000" w:rsidRDefault="00000000">
      <w:pPr>
        <w:pStyle w:val="DualTxt"/>
      </w:pPr>
      <w:r>
        <w:t>5.</w:t>
      </w:r>
      <w:r>
        <w:tab/>
        <w:t>Правительство ставит во главу угла политич</w:t>
      </w:r>
      <w:r>
        <w:t>е</w:t>
      </w:r>
      <w:r>
        <w:t>ские, экономические и социальные реформы, не пытаясь добиться ослабления жесткой социальной схемы, в основу которой положена незыблемость гендерных ролей. Однако тот факт, что женщины не имеют широкого доступа к руководящим политич</w:t>
      </w:r>
      <w:r>
        <w:t>е</w:t>
      </w:r>
      <w:r>
        <w:t>ским должностям, образованию, профессиональн</w:t>
      </w:r>
      <w:r>
        <w:t>о</w:t>
      </w:r>
      <w:r>
        <w:t>му обучению и производственным ресурсам, лишь усугубляет их проблемы и повышает уровень их н</w:t>
      </w:r>
      <w:r>
        <w:t>е</w:t>
      </w:r>
      <w:r>
        <w:t>защищенности и уязвимости к сексуальной эк</w:t>
      </w:r>
      <w:r>
        <w:t>с</w:t>
      </w:r>
      <w:r>
        <w:t>плуатации. Правительство должно предпринять серьезные усилия для всестороннего учета генде</w:t>
      </w:r>
      <w:r>
        <w:t>р</w:t>
      </w:r>
      <w:r>
        <w:t>ного фактора при осуществлении экономического анализа и в рамках экономического планир</w:t>
      </w:r>
      <w:r>
        <w:t>о</w:t>
      </w:r>
      <w:r>
        <w:t xml:space="preserve">вания.  </w:t>
      </w:r>
    </w:p>
    <w:p w:rsidR="00000000" w:rsidRDefault="00000000">
      <w:pPr>
        <w:pStyle w:val="DualTxt"/>
      </w:pPr>
      <w:r>
        <w:t>6.</w:t>
      </w:r>
      <w:r>
        <w:tab/>
        <w:t>Она хотела бы получить более подробную и</w:t>
      </w:r>
      <w:r>
        <w:t>н</w:t>
      </w:r>
      <w:r>
        <w:t>формацию о разраб</w:t>
      </w:r>
      <w:r>
        <w:t>о</w:t>
      </w:r>
      <w:r>
        <w:t>танной государством-участником в 1993 году программе социальной п</w:t>
      </w:r>
      <w:r>
        <w:t>о</w:t>
      </w:r>
      <w:r>
        <w:t>мощи и некоммерческих микрокредитах, предо</w:t>
      </w:r>
      <w:r>
        <w:t>с</w:t>
      </w:r>
      <w:r>
        <w:t>тавляемых Албанским фондом развития, а также об их воздействии на положение женщин (CEDAW/C/ALB/1–2, стр. 45). Были бы полезны данные о числе женщин, которые получили реал</w:t>
      </w:r>
      <w:r>
        <w:t>ь</w:t>
      </w:r>
      <w:r>
        <w:t>ные блага в рамках оказания помощи в таких фо</w:t>
      </w:r>
      <w:r>
        <w:t>р</w:t>
      </w:r>
      <w:r>
        <w:t>мах.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>, отмечая, что 60 пр</w:t>
      </w:r>
      <w:r>
        <w:t>о</w:t>
      </w:r>
      <w:r>
        <w:t>центов албанцев живут в сельской местности и ср</w:t>
      </w:r>
      <w:r>
        <w:t>е</w:t>
      </w:r>
      <w:r>
        <w:t>ди них почти половину составляют женщины, в</w:t>
      </w:r>
      <w:r>
        <w:t>ы</w:t>
      </w:r>
      <w:r>
        <w:t>ражает озабоченность в связи с тем, что женщины не могут владеть землей или получить кредиты и не имеют достаточного доступа к медицинским усл</w:t>
      </w:r>
      <w:r>
        <w:t>у</w:t>
      </w:r>
      <w:r>
        <w:t>гам и образованию. Прежде чем заниматься вопр</w:t>
      </w:r>
      <w:r>
        <w:t>о</w:t>
      </w:r>
      <w:r>
        <w:t>сом о стереотипах, Комитет по равным возможн</w:t>
      </w:r>
      <w:r>
        <w:t>о</w:t>
      </w:r>
      <w:r>
        <w:t>стям и правительство Албании должны, может быть в сотрудничестве с международными организаци</w:t>
      </w:r>
      <w:r>
        <w:t>я</w:t>
      </w:r>
      <w:r>
        <w:t>ми и двусторонними организациями, добиться улучшения условий жизни молодых матерей и д</w:t>
      </w:r>
      <w:r>
        <w:t>е</w:t>
      </w:r>
      <w:r>
        <w:t>вочек, чье будущее поставлено под угрозу. Полит</w:t>
      </w:r>
      <w:r>
        <w:t>и</w:t>
      </w:r>
      <w:r>
        <w:t>ку, в рамках которой не уделяется внимания выд</w:t>
      </w:r>
      <w:r>
        <w:t>е</w:t>
      </w:r>
      <w:r>
        <w:t>лению средств на достижение целей, связанных с улучшением положения женщин в сельских ра</w:t>
      </w:r>
      <w:r>
        <w:t>й</w:t>
      </w:r>
      <w:r>
        <w:t>онах, можно назвать по меньшей мере недальн</w:t>
      </w:r>
      <w:r>
        <w:t>о</w:t>
      </w:r>
      <w:r>
        <w:t>видной.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воздает государству-участнику должное за его честное описание тяжелых условий жизни сельского населения, в частности женщин, которые живут за чертой бедности и страдают от низкого уровня грамотности, отсутствия водопр</w:t>
      </w:r>
      <w:r>
        <w:t>о</w:t>
      </w:r>
      <w:r>
        <w:t>вода, плохого энергоснабжения и отсутствия сист</w:t>
      </w:r>
      <w:r>
        <w:t>е</w:t>
      </w:r>
      <w:r>
        <w:t>мы социального страхования, доступа к кредитам и надлежащей системы медицинского обслуживания (в медицинских учреждениях нет врачей, там раб</w:t>
      </w:r>
      <w:r>
        <w:t>о</w:t>
      </w:r>
      <w:r>
        <w:t>тают лишь медицинские сестры и акушерки). В докладе, однако, не приведено никакой информации о том, что делается для исправления такого полож</w:t>
      </w:r>
      <w:r>
        <w:t>е</w:t>
      </w:r>
      <w:r>
        <w:t>ния, если не считать упоминания о «политической воле» во вступительном заявлении делегации. Она хотела бы получить подробную информацию о ко</w:t>
      </w:r>
      <w:r>
        <w:t>н</w:t>
      </w:r>
      <w:r>
        <w:t>кретных мерах, принимаемых правительством с ц</w:t>
      </w:r>
      <w:r>
        <w:t>е</w:t>
      </w:r>
      <w:r>
        <w:t>лью п</w:t>
      </w:r>
      <w:r>
        <w:t>о</w:t>
      </w:r>
      <w:r>
        <w:t>мочь женщинам в сельских районах.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говорит, что права женщин не будут наполнены значением до тех пор, пока женщины не получат равного доступа к средствам правовой защиты. Он выражает озабоченность в связи с тем, что, как отмечено в докладе, албанские женщины не отстаивают свои права, потому что они не всегда в полной мере осведомлены о них, и, в ч</w:t>
      </w:r>
      <w:r>
        <w:t>а</w:t>
      </w:r>
      <w:r>
        <w:t>стности, в связи с тем, что у правительства нет ко</w:t>
      </w:r>
      <w:r>
        <w:t>н</w:t>
      </w:r>
      <w:r>
        <w:t>кретных программ по повышению уровня правовой грамотности женщин (CEDAW/C/ALB/1–2, стр. 50). Он подчеркивает необходимость принятия таких мер, которые можно было бы осуществить совмес</w:t>
      </w:r>
      <w:r>
        <w:t>т</w:t>
      </w:r>
      <w:r>
        <w:t>но с неправительственными организациями, Отд</w:t>
      </w:r>
      <w:r>
        <w:t>е</w:t>
      </w:r>
      <w:r>
        <w:t>лом по улучшению положения женщин и Управл</w:t>
      </w:r>
      <w:r>
        <w:t>е</w:t>
      </w:r>
      <w:r>
        <w:t>нием Верховного комиссара Организации Объед</w:t>
      </w:r>
      <w:r>
        <w:t>и</w:t>
      </w:r>
      <w:r>
        <w:t>ненных Н</w:t>
      </w:r>
      <w:r>
        <w:t>а</w:t>
      </w:r>
      <w:r>
        <w:t>ций по правам человека.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Г-жа Шимонович</w:t>
      </w:r>
      <w:r>
        <w:t xml:space="preserve"> отмечает несоответствие между конституционными гарантиями равенства мужчин и женщин перед законом (CEDAW/C/ALB/1–2, стр. 49) и реальной ситуац</w:t>
      </w:r>
      <w:r>
        <w:t>и</w:t>
      </w:r>
      <w:r>
        <w:t>ей, касающейся права наследования и права собс</w:t>
      </w:r>
      <w:r>
        <w:t>т</w:t>
      </w:r>
      <w:r>
        <w:t>венности. Реальная ситуация, в которой женщина после замужества переезжает в семью мужа, а му</w:t>
      </w:r>
      <w:r>
        <w:t>ж</w:t>
      </w:r>
      <w:r>
        <w:t>чины, как правило, наследуют землю и в которой женщинам отказывается в праве на общее имущес</w:t>
      </w:r>
      <w:r>
        <w:t>т</w:t>
      </w:r>
      <w:r>
        <w:t>во после замужества, поскольку земля обычно рег</w:t>
      </w:r>
      <w:r>
        <w:t>и</w:t>
      </w:r>
      <w:r>
        <w:t>стрируется на главу семьи (CEDAW/C/ALB/1–2, стр. 21), является нарушением как Конституции Албании, так и Европейской конвенции о правах человека. Она хотела бы получить разъяснение на этот счет.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 Морваи</w:t>
      </w:r>
      <w:r>
        <w:t xml:space="preserve"> считает дискриминационной практику, в соответствии с которой бесплатная пр</w:t>
      </w:r>
      <w:r>
        <w:t>а</w:t>
      </w:r>
      <w:r>
        <w:t>вовая помощь предоставляется в рамках всех уг</w:t>
      </w:r>
      <w:r>
        <w:t>о</w:t>
      </w:r>
      <w:r>
        <w:t>ловных дел, в которых среди обвиняемых 90 процентов составляют мужчины, и не предоста</w:t>
      </w:r>
      <w:r>
        <w:t>в</w:t>
      </w:r>
      <w:r>
        <w:t>ляется при рассмотрении гражданских и семейных дел или связанных с трудовыми спорами исков, возбуждаемых, как правило, женщинами. Что особо касается случаев развода или бытового насилия, то пострадавшие женщины, лишенные доступа к си</w:t>
      </w:r>
      <w:r>
        <w:t>с</w:t>
      </w:r>
      <w:r>
        <w:t>теме правовой защиты, могут быть вынуждены и далее жить с мужем, который грубо обращается со своей супр</w:t>
      </w:r>
      <w:r>
        <w:t>у</w:t>
      </w:r>
      <w:r>
        <w:t>гой.</w:t>
      </w:r>
    </w:p>
    <w:p w:rsidR="00000000" w:rsidRDefault="00000000">
      <w:pPr>
        <w:pStyle w:val="DualTxt"/>
      </w:pPr>
      <w:r>
        <w:t>12.</w:t>
      </w:r>
      <w:r>
        <w:tab/>
        <w:t>Касаясь вопросов свободы передвижения и выбора места проживания, она спрашивает, на чем — на законе или на обычае — основывается переезд жены после замужества в дом мужа. Она задается также вопросом по поводу процедуры, р</w:t>
      </w:r>
      <w:r>
        <w:t>е</w:t>
      </w:r>
      <w:r>
        <w:t>гулирующей выборы главы домохозяйства в крест</w:t>
      </w:r>
      <w:r>
        <w:t>ь</w:t>
      </w:r>
      <w:r>
        <w:t>янских семьях на основании Гражданского кодекса, и выражает надежду на то, что действующий закон будет пересмотрен.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 Гнанкаджа</w:t>
      </w:r>
      <w:r>
        <w:t xml:space="preserve"> хотела бы получить завер</w:t>
      </w:r>
      <w:r>
        <w:t>е</w:t>
      </w:r>
      <w:r>
        <w:t>ния в том, что психическое заболевание и отст</w:t>
      </w:r>
      <w:r>
        <w:t>а</w:t>
      </w:r>
      <w:r>
        <w:t>лость в умственном развитии не будут служить о</w:t>
      </w:r>
      <w:r>
        <w:t>с</w:t>
      </w:r>
      <w:r>
        <w:t>нованием для лишения женщин их правоспособн</w:t>
      </w:r>
      <w:r>
        <w:t>о</w:t>
      </w:r>
      <w:r>
        <w:t>сти. Положение, в соответствии с которым женщ</w:t>
      </w:r>
      <w:r>
        <w:t>и</w:t>
      </w:r>
      <w:r>
        <w:t>ны должны обратиться к другим мужчинам в семье, прежде чем они смогут взять на себя ведение дел или, при необходимости, возбудить судебный иск, если глава семьи продал семейное имущество или плохо управляет им, является в высшей степени дискриминационным. Вызывает тревогу и то, что частные компании не могут быть зарегистрированы на имя женщины, поскольку это означает, что даже женщины, которые вложили значительные средства в создание компании, не имеют по закону права представлять ее. Она призвала осуществить прав</w:t>
      </w:r>
      <w:r>
        <w:t>о</w:t>
      </w:r>
      <w:r>
        <w:t>вую реформу, с тем чтобы привести законодател</w:t>
      </w:r>
      <w:r>
        <w:t>ь</w:t>
      </w:r>
      <w:r>
        <w:t>ство Албании в соответствие с ее Конституц</w:t>
      </w:r>
      <w:r>
        <w:t>и</w:t>
      </w:r>
      <w:r>
        <w:t>ей.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 Паттен</w:t>
      </w:r>
      <w:r>
        <w:t xml:space="preserve"> просит делегацию сообщить, к</w:t>
      </w:r>
      <w:r>
        <w:t>а</w:t>
      </w:r>
      <w:r>
        <w:t>кие конкретно правительственные ассоциации пр</w:t>
      </w:r>
      <w:r>
        <w:t>е</w:t>
      </w:r>
      <w:r>
        <w:t>доставляют уязвимым группам бесплатную прав</w:t>
      </w:r>
      <w:r>
        <w:t>о</w:t>
      </w:r>
      <w:r>
        <w:t>вую помощь по гражданским делам (CEDAW/C/ALB/1–2, стр. 51), и представить да</w:t>
      </w:r>
      <w:r>
        <w:t>н</w:t>
      </w:r>
      <w:r>
        <w:t>ные о числе женщин, которые реально получили т</w:t>
      </w:r>
      <w:r>
        <w:t>а</w:t>
      </w:r>
      <w:r>
        <w:t>кую помощь, и уровне преступности среди женщин. Государство-участник должно представить более по</w:t>
      </w:r>
      <w:r>
        <w:t>д</w:t>
      </w:r>
      <w:r>
        <w:t>робную информацию о статье 22 Гражданско-процессуального кодекса, касающейся обязательн</w:t>
      </w:r>
      <w:r>
        <w:t>о</w:t>
      </w:r>
      <w:r>
        <w:t>го юридического представительства в уголовных делах, и конкретные данные о средствах, выделя</w:t>
      </w:r>
      <w:r>
        <w:t>е</w:t>
      </w:r>
      <w:r>
        <w:t>мых в бюджете Албании на оказание правовой п</w:t>
      </w:r>
      <w:r>
        <w:t>о</w:t>
      </w:r>
      <w:r>
        <w:t>мощи.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Г-жа Куеньехия</w:t>
      </w:r>
      <w:r>
        <w:t xml:space="preserve"> спрашивает, какие шаги пр</w:t>
      </w:r>
      <w:r>
        <w:t>а</w:t>
      </w:r>
      <w:r>
        <w:t>вительство предпринимает для обеспечения того, чтобы равенство мужчин и женщин было обеспеч</w:t>
      </w:r>
      <w:r>
        <w:t>е</w:t>
      </w:r>
      <w:r>
        <w:t>но не только де-юре, но и де-факто. Одним из п</w:t>
      </w:r>
      <w:r>
        <w:t>о</w:t>
      </w:r>
      <w:r>
        <w:t>ложений, которое можно было бы пересмотреть, я</w:t>
      </w:r>
      <w:r>
        <w:t>в</w:t>
      </w:r>
      <w:r>
        <w:t>ляется положение, предусматривающее различия в установленном законом брачном возрасте. Далее, поскольку в соответствии с Гражданским кодексом супруги имеют равные права на общую собстве</w:t>
      </w:r>
      <w:r>
        <w:t>н</w:t>
      </w:r>
      <w:r>
        <w:t>ность, но женщина, которая после замужества пер</w:t>
      </w:r>
      <w:r>
        <w:t>е</w:t>
      </w:r>
      <w:r>
        <w:t>ехала в дом мужа, часто не может претендовать на этот дом, неясно, что происходит в случае развода или смерти м</w:t>
      </w:r>
      <w:r>
        <w:t>у</w:t>
      </w:r>
      <w:r>
        <w:t>жа.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Г-жа Сайга</w:t>
      </w:r>
      <w:r>
        <w:t xml:space="preserve"> спрашивает, кто входит в состав группы экспертов, работающей над новым кодексом законов о семье, и каков вклад в эту работу Комит</w:t>
      </w:r>
      <w:r>
        <w:t>е</w:t>
      </w:r>
      <w:r>
        <w:t>та по равным возможностям. Было бы интересно узнать о том, какова процедура внесения этого предложения на рассмотрение парламента и какие ко</w:t>
      </w:r>
      <w:r>
        <w:t>н</w:t>
      </w:r>
      <w:r>
        <w:t>кретные вопросы сейчас обсуждаются.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 Руци</w:t>
      </w:r>
      <w:r>
        <w:t xml:space="preserve"> (Албания) благодарит членов К</w:t>
      </w:r>
      <w:r>
        <w:t>о</w:t>
      </w:r>
      <w:r>
        <w:t>митета за их конструктивные вопросы, коммент</w:t>
      </w:r>
      <w:r>
        <w:t>а</w:t>
      </w:r>
      <w:r>
        <w:t>рии и предложения и говорит, что делегация пре</w:t>
      </w:r>
      <w:r>
        <w:t>д</w:t>
      </w:r>
      <w:r>
        <w:t>ставит о</w:t>
      </w:r>
      <w:r>
        <w:t>т</w:t>
      </w:r>
      <w:r>
        <w:t>вет в запланированные сроки.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15 ч. 40 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NO&gt;&gt;N0321477R&lt;&lt;ODS JOB NO&gt;&gt;</w:t>
      </w:r>
    </w:p>
    <w:p w:rsidR="00000000" w:rsidRDefault="00000000">
      <w:pPr>
        <w:pStyle w:val="CommentText"/>
      </w:pPr>
      <w:r>
        <w:t>&lt;&lt;ODS DOC SYMBOL1&gt;&gt;CEDAW/C/SR.595&lt;&lt;ODS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03-21477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*0321477*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/C/SR.595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6</w:t>
          </w:r>
          <w:r>
            <w:t xml:space="preserve"> February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5/02/2004 5:09: PM"/>
    <w:docVar w:name="DocCategory" w:val="SROthers"/>
    <w:docVar w:name="DocType" w:val="Final"/>
    <w:docVar w:name="JobNo" w:val="0321477R"/>
    <w:docVar w:name="OandT" w:val=" "/>
    <w:docVar w:name="Symbol1" w:val="CEDAW/C/SR.59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1419</Words>
  <Characters>8093</Characters>
  <Application>Microsoft Office Word</Application>
  <DocSecurity>4</DocSecurity>
  <Lines>67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9938</CharactersWithSpaces>
  <SharedDoc>false</SharedDoc>
  <HLinks>
    <vt:vector size="6" baseType="variant">
      <vt:variant>
        <vt:i4>4522087</vt:i4>
      </vt:variant>
      <vt:variant>
        <vt:i4>20888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2004-02-05T19:49:00Z</cp:lastPrinted>
  <dcterms:created xsi:type="dcterms:W3CDTF">2004-02-05T19:48:00Z</dcterms:created>
  <dcterms:modified xsi:type="dcterms:W3CDTF">2004-02-05T20:19:00Z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0321477</vt:lpwstr>
  </property>
  <property fmtid="{D5CDD505-2E9C-101B-9397-08002B2CF9AE}" pid="3" name="Symbol1">
    <vt:lpwstr>CEDAW/C/SR.595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4</vt:lpwstr>
  </property>
  <property fmtid="{D5CDD505-2E9C-101B-9397-08002B2CF9AE}" pid="8" name="Operator">
    <vt:lpwstr>Kananykina</vt:lpwstr>
  </property>
</Properties>
</file>