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3A0" w:rsidRDefault="006323A0">
      <w:pPr>
        <w:spacing w:line="60" w:lineRule="exact"/>
      </w:pPr>
      <w:r>
        <w:rPr>
          <w:rStyle w:val="CommentReference"/>
          <w:rFonts w:hint="eastAsia"/>
          <w:vanish/>
        </w:rPr>
        <w:commentReference w:id="0"/>
      </w:r>
    </w:p>
    <w:p w:rsidR="006323A0" w:rsidRDefault="006323A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rPr>
      </w:pPr>
      <w:r>
        <w:rPr>
          <w:rFonts w:hint="eastAsia"/>
        </w:rPr>
        <w:t>消除对妇女歧视委员会</w:t>
      </w:r>
    </w:p>
    <w:p w:rsidR="006323A0" w:rsidRDefault="006323A0">
      <w:pPr>
        <w:pStyle w:val="50"/>
        <w:adjustRightInd w:val="0"/>
        <w:spacing w:beforeLines="0" w:before="6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第二十八届会议</w:t>
      </w:r>
    </w:p>
    <w:p w:rsidR="006323A0" w:rsidRDefault="006323A0">
      <w:pPr>
        <w:rPr>
          <w:rFonts w:ascii="SimHei" w:eastAsia="SimHei" w:hint="eastAsia"/>
          <w:color w:val="FF0000"/>
        </w:rPr>
      </w:pPr>
      <w:r>
        <w:rPr>
          <w:rFonts w:ascii="SimHei" w:eastAsia="SimHei" w:hint="eastAsia"/>
          <w:color w:val="FF0000"/>
        </w:rPr>
        <w:t>第59</w:t>
      </w:r>
      <w:r>
        <w:rPr>
          <w:rFonts w:ascii="SimHei" w:eastAsia="SimHei"/>
          <w:color w:val="FF0000"/>
        </w:rPr>
        <w:t>7</w:t>
      </w:r>
      <w:r>
        <w:rPr>
          <w:rFonts w:ascii="SimHei" w:eastAsia="SimHei" w:hint="eastAsia"/>
          <w:color w:val="FF0000"/>
        </w:rPr>
        <w:t>次会议简要记录</w:t>
      </w:r>
    </w:p>
    <w:p w:rsidR="006323A0" w:rsidRDefault="006323A0">
      <w:pPr>
        <w:spacing w:afterLines="50" w:after="120"/>
      </w:pPr>
      <w:r>
        <w:t>2003</w:t>
      </w:r>
      <w:r>
        <w:t>年</w:t>
      </w:r>
      <w:r>
        <w:t>1</w:t>
      </w:r>
      <w:r>
        <w:t>月</w:t>
      </w:r>
      <w:r>
        <w:t>20</w:t>
      </w:r>
      <w:r>
        <w:t>日，星期</w:t>
      </w:r>
      <w:r>
        <w:rPr>
          <w:rFonts w:hint="eastAsia"/>
        </w:rPr>
        <w:t>一</w:t>
      </w:r>
      <w:r>
        <w:t>，</w:t>
      </w:r>
      <w:r>
        <w:rPr>
          <w:rFonts w:hint="eastAsia"/>
        </w:rPr>
        <w:t>上午</w:t>
      </w:r>
      <w:r>
        <w:rPr>
          <w:rFonts w:hint="eastAsia"/>
        </w:rPr>
        <w:t>10</w:t>
      </w:r>
      <w:r>
        <w:rPr>
          <w:rFonts w:hint="eastAsia"/>
        </w:rPr>
        <w:t>时</w:t>
      </w:r>
      <w:r>
        <w:t>在纽约总部举行</w:t>
      </w:r>
    </w:p>
    <w:p w:rsidR="006323A0" w:rsidRDefault="006323A0">
      <w:pPr>
        <w:widowControl/>
        <w:tabs>
          <w:tab w:val="left" w:pos="1260"/>
          <w:tab w:val="right" w:leader="dot" w:pos="8568"/>
        </w:tabs>
        <w:adjustRightInd/>
        <w:spacing w:line="320" w:lineRule="exact"/>
        <w:ind w:right="1267"/>
        <w:jc w:val="left"/>
        <w:textAlignment w:val="auto"/>
      </w:pPr>
      <w:r>
        <w:rPr>
          <w:rFonts w:eastAsia="KaiTi_GB2312" w:hint="eastAsia"/>
          <w:color w:val="0000FF"/>
        </w:rPr>
        <w:t>主席：</w:t>
      </w:r>
      <w:r>
        <w:rPr>
          <w:rFonts w:eastAsia="KaiTi_GB2312" w:hint="eastAsia"/>
          <w:color w:val="0000FF"/>
        </w:rPr>
        <w:tab/>
      </w:r>
      <w:r>
        <w:rPr>
          <w:rFonts w:hint="eastAsia"/>
        </w:rPr>
        <w:t>阿贾尔女士（主席）</w:t>
      </w:r>
    </w:p>
    <w:p w:rsidR="006323A0" w:rsidRDefault="006323A0">
      <w:pPr>
        <w:pStyle w:val="HCh"/>
        <w:rPr>
          <w:rFonts w:eastAsia="SimSun" w:hint="eastAsia"/>
        </w:rPr>
      </w:pPr>
      <w:r>
        <w:rPr>
          <w:rFonts w:eastAsia="SimSun" w:hint="eastAsia"/>
        </w:rPr>
        <w:t>目录</w:t>
      </w:r>
    </w:p>
    <w:p w:rsidR="006323A0" w:rsidRDefault="006323A0">
      <w:pPr>
        <w:pStyle w:val="SingleTxt"/>
        <w:rPr>
          <w:rFonts w:hAnsi="SimSun"/>
        </w:rPr>
      </w:pPr>
      <w:r>
        <w:rPr>
          <w:rFonts w:ascii="Times New Roman"/>
        </w:rPr>
        <w:t>审议缔约国根据《公约》第</w:t>
      </w:r>
      <w:r>
        <w:rPr>
          <w:rFonts w:ascii="Times New Roman"/>
        </w:rPr>
        <w:t>18</w:t>
      </w:r>
      <w:r>
        <w:rPr>
          <w:rFonts w:ascii="Times New Roman"/>
        </w:rPr>
        <w:t>条提交的报告</w:t>
      </w:r>
    </w:p>
    <w:p w:rsidR="006323A0" w:rsidRDefault="006323A0" w:rsidP="00174998">
      <w:pPr>
        <w:pStyle w:val="SingleTxt"/>
        <w:ind w:leftChars="602" w:left="31680" w:firstLineChars="200" w:firstLine="31680"/>
        <w:rPr>
          <w:rFonts w:eastAsia="KaiTi_GB2312"/>
          <w:color w:val="0000FF"/>
        </w:rPr>
      </w:pPr>
      <w:r>
        <w:rPr>
          <w:rFonts w:eastAsia="KaiTi_GB2312" w:hint="eastAsia"/>
          <w:color w:val="0000FF"/>
        </w:rPr>
        <w:t>挪威的第五和第六次定期报告</w:t>
      </w:r>
    </w:p>
    <w:p w:rsidR="006323A0" w:rsidRDefault="006323A0">
      <w:pPr>
        <w:pStyle w:val="50"/>
        <w:spacing w:before="240" w:after="240"/>
        <w:jc w:val="center"/>
        <w:rPr>
          <w:rFonts w:eastAsia="SimHei"/>
          <w:b w:val="0"/>
          <w:color w:val="FF0000"/>
        </w:rPr>
      </w:pPr>
    </w:p>
    <w:p w:rsidR="006323A0" w:rsidRDefault="006323A0">
      <w:pPr>
        <w:spacing w:after="240" w:line="360" w:lineRule="atLeast"/>
        <w:jc w:val="center"/>
        <w:rPr>
          <w:rFonts w:eastAsia="SimHei"/>
          <w:color w:val="FF0000"/>
          <w:sz w:val="28"/>
        </w:rPr>
      </w:pPr>
    </w:p>
    <w:p w:rsidR="006323A0" w:rsidRDefault="006323A0">
      <w:pPr>
        <w:tabs>
          <w:tab w:val="left" w:pos="420"/>
        </w:tabs>
        <w:spacing w:line="120" w:lineRule="exact"/>
        <w:rPr>
          <w:rFonts w:eastAsia="SimHei"/>
          <w:color w:val="FF0000"/>
          <w:sz w:val="28"/>
        </w:rPr>
        <w:sectPr w:rsidR="006323A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color w:val="FF0000"/>
          <w:sz w:val="28"/>
        </w:rPr>
        <w:br w:type="page"/>
      </w:r>
    </w:p>
    <w:p w:rsidR="006323A0" w:rsidRDefault="006323A0">
      <w:pPr>
        <w:tabs>
          <w:tab w:val="left" w:pos="420"/>
        </w:tabs>
        <w:spacing w:after="140" w:line="320" w:lineRule="exact"/>
        <w:rPr>
          <w:rFonts w:ascii="KaiTi_GB2312" w:eastAsia="KaiTi_GB2312" w:hint="eastAsia"/>
          <w:color w:val="0000FF"/>
        </w:rPr>
      </w:pPr>
      <w:r>
        <w:rPr>
          <w:rFonts w:ascii="KaiTi_GB2312" w:eastAsia="KaiTi_GB2312" w:hint="eastAsia"/>
          <w:color w:val="0000FF"/>
        </w:rPr>
        <w:t>上午10时零5分宣布开会</w:t>
      </w:r>
    </w:p>
    <w:p w:rsidR="006323A0" w:rsidRDefault="006323A0">
      <w:pPr>
        <w:tabs>
          <w:tab w:val="left" w:pos="420"/>
        </w:tabs>
        <w:spacing w:after="140" w:line="320" w:lineRule="exact"/>
        <w:rPr>
          <w:rFonts w:ascii="SimHei" w:eastAsia="SimHei" w:hint="eastAsia"/>
          <w:color w:val="FF0000"/>
        </w:rPr>
      </w:pPr>
      <w:r>
        <w:rPr>
          <w:rFonts w:ascii="SimHei" w:eastAsia="SimHei" w:hint="eastAsia"/>
          <w:color w:val="FF0000"/>
        </w:rPr>
        <w:t>审议缔约国根据《公约》第18条提交的报告</w:t>
      </w:r>
    </w:p>
    <w:p w:rsidR="006323A0" w:rsidRDefault="006323A0">
      <w:pPr>
        <w:tabs>
          <w:tab w:val="left" w:pos="420"/>
        </w:tabs>
        <w:spacing w:after="140" w:line="320" w:lineRule="exact"/>
        <w:rPr>
          <w:rFonts w:eastAsia="KaiTi_GB2312" w:hint="eastAsia"/>
          <w:color w:val="0000FF"/>
        </w:rPr>
      </w:pPr>
      <w:r>
        <w:rPr>
          <w:rFonts w:eastAsia="KaiTi_GB2312" w:hint="eastAsia"/>
          <w:color w:val="0000FF"/>
        </w:rPr>
        <w:t>挪威的第五和第六次定期报告</w:t>
      </w:r>
      <w:r>
        <w:rPr>
          <w:rFonts w:eastAsia="KaiTi_GB2312" w:hint="eastAsia"/>
        </w:rPr>
        <w:t>（</w:t>
      </w:r>
      <w:r>
        <w:rPr>
          <w:rFonts w:eastAsia="KaiTi_GB2312" w:hint="eastAsia"/>
        </w:rPr>
        <w:t>CEDAW/C/NOR/5</w:t>
      </w:r>
      <w:r>
        <w:rPr>
          <w:rFonts w:eastAsia="KaiTi_GB2312" w:hint="eastAsia"/>
        </w:rPr>
        <w:t>和</w:t>
      </w:r>
      <w:r>
        <w:rPr>
          <w:rFonts w:eastAsia="KaiTi_GB2312" w:hint="eastAsia"/>
        </w:rPr>
        <w:t>CEDAW/C/NOR/6</w:t>
      </w:r>
      <w:r>
        <w:rPr>
          <w:rFonts w:eastAsia="KaiTi_GB2312" w:hint="eastAsia"/>
        </w:rPr>
        <w:t>）</w:t>
      </w:r>
    </w:p>
    <w:p w:rsidR="006323A0" w:rsidRDefault="006323A0" w:rsidP="006323A0">
      <w:pPr>
        <w:numPr>
          <w:ilvl w:val="0"/>
          <w:numId w:val="5"/>
        </w:numPr>
        <w:tabs>
          <w:tab w:val="clear" w:pos="360"/>
          <w:tab w:val="left" w:pos="420"/>
        </w:tabs>
        <w:spacing w:after="140" w:line="320" w:lineRule="exact"/>
        <w:ind w:left="0" w:firstLine="0"/>
        <w:rPr>
          <w:rFonts w:hint="eastAsia"/>
        </w:rPr>
      </w:pPr>
      <w:r>
        <w:rPr>
          <w:rFonts w:hint="eastAsia"/>
        </w:rPr>
        <w:t>应主席邀请，</w:t>
      </w:r>
      <w:r>
        <w:rPr>
          <w:rFonts w:hint="eastAsia"/>
        </w:rPr>
        <w:t xml:space="preserve"> </w:t>
      </w:r>
      <w:r>
        <w:rPr>
          <w:rFonts w:hint="eastAsia"/>
        </w:rPr>
        <w:t>挪威代表团在委员会议席就座。</w:t>
      </w:r>
    </w:p>
    <w:p w:rsidR="006323A0" w:rsidRDefault="006323A0">
      <w:pPr>
        <w:tabs>
          <w:tab w:val="left" w:pos="420"/>
        </w:tabs>
        <w:spacing w:after="140" w:line="320" w:lineRule="exact"/>
        <w:rPr>
          <w:rFonts w:hint="eastAsia"/>
        </w:rPr>
      </w:pPr>
      <w:r>
        <w:rPr>
          <w:rFonts w:hint="eastAsia"/>
        </w:rPr>
        <w:t>2</w:t>
      </w:r>
      <w:r>
        <w:rPr>
          <w:rFonts w:hint="eastAsia"/>
        </w:rPr>
        <w:t>．</w:t>
      </w:r>
      <w:r>
        <w:rPr>
          <w:rFonts w:hint="eastAsia"/>
        </w:rPr>
        <w:tab/>
      </w:r>
      <w:r>
        <w:rPr>
          <w:rFonts w:eastAsia="SimHei" w:hint="eastAsia"/>
          <w:b/>
          <w:color w:val="FF0000"/>
        </w:rPr>
        <w:t>D</w:t>
      </w:r>
      <w:r>
        <w:rPr>
          <w:rFonts w:eastAsia="SimHei"/>
          <w:b/>
          <w:color w:val="FF0000"/>
        </w:rPr>
        <w:t>á</w:t>
      </w:r>
      <w:r>
        <w:rPr>
          <w:rFonts w:eastAsia="SimHei" w:hint="eastAsia"/>
          <w:b/>
          <w:color w:val="FF0000"/>
        </w:rPr>
        <w:t>v</w:t>
      </w:r>
      <w:r>
        <w:rPr>
          <w:rFonts w:eastAsia="SimHei"/>
          <w:b/>
          <w:color w:val="FF0000"/>
        </w:rPr>
        <w:t>ø</w:t>
      </w:r>
      <w:r>
        <w:rPr>
          <w:rFonts w:eastAsia="SimHei" w:hint="eastAsia"/>
          <w:b/>
          <w:color w:val="FF0000"/>
        </w:rPr>
        <w:t>y</w:t>
      </w:r>
      <w:r>
        <w:rPr>
          <w:rFonts w:eastAsia="SimHei" w:hint="eastAsia"/>
          <w:color w:val="FF0000"/>
        </w:rPr>
        <w:t xml:space="preserve"> </w:t>
      </w:r>
      <w:r>
        <w:rPr>
          <w:rFonts w:eastAsia="SimHei" w:hint="eastAsia"/>
          <w:color w:val="FF0000"/>
        </w:rPr>
        <w:t>女士</w:t>
      </w:r>
      <w:r>
        <w:rPr>
          <w:rFonts w:hint="eastAsia"/>
        </w:rPr>
        <w:t>(</w:t>
      </w:r>
      <w:r>
        <w:rPr>
          <w:rFonts w:hint="eastAsia"/>
        </w:rPr>
        <w:t>挪威</w:t>
      </w:r>
      <w:r>
        <w:rPr>
          <w:rFonts w:hint="eastAsia"/>
        </w:rPr>
        <w:t>)</w:t>
      </w:r>
      <w:r>
        <w:rPr>
          <w:rFonts w:hint="eastAsia"/>
        </w:rPr>
        <w:t>，在介绍挪威的第五次和第六次定期报告时说，在过去的几十年内，挪威为建立一个促进妇女权利和两性平等的社会做出了巨大努力。</w:t>
      </w:r>
      <w:r>
        <w:rPr>
          <w:rFonts w:hint="eastAsia"/>
        </w:rPr>
        <w:t xml:space="preserve"> </w:t>
      </w:r>
      <w:r>
        <w:rPr>
          <w:rFonts w:hint="eastAsia"/>
        </w:rPr>
        <w:t>挪威政府一直在力求加强人权在国内法律中的地位。</w:t>
      </w:r>
      <w:r>
        <w:rPr>
          <w:rFonts w:hint="eastAsia"/>
        </w:rPr>
        <w:t>1999</w:t>
      </w:r>
      <w:r>
        <w:rPr>
          <w:rFonts w:hint="eastAsia"/>
        </w:rPr>
        <w:t>年的《人权法》赋予《欧洲人权公约》和两项</w:t>
      </w:r>
      <w:r>
        <w:rPr>
          <w:rFonts w:hint="eastAsia"/>
        </w:rPr>
        <w:t>1966</w:t>
      </w:r>
      <w:r>
        <w:rPr>
          <w:rFonts w:hint="eastAsia"/>
        </w:rPr>
        <w:t>年的《联合国公约》及其《任择议定书》挪威法律的效力，在此问题上，它们对挪威具有约束力。儿童和家庭事务部将于</w:t>
      </w:r>
      <w:r>
        <w:rPr>
          <w:rFonts w:hint="eastAsia"/>
        </w:rPr>
        <w:t>2003</w:t>
      </w:r>
      <w:r>
        <w:rPr>
          <w:rFonts w:hint="eastAsia"/>
        </w:rPr>
        <w:t>年年底提出旨在强化《公约》实施的具体提案。提案之一是结合吸收和转换这两种方法以使《公约》得到更广泛的认识。</w:t>
      </w:r>
    </w:p>
    <w:p w:rsidR="006323A0" w:rsidRDefault="006323A0">
      <w:pPr>
        <w:tabs>
          <w:tab w:val="left" w:pos="420"/>
        </w:tabs>
        <w:spacing w:after="140" w:line="320" w:lineRule="exact"/>
        <w:rPr>
          <w:rFonts w:hint="eastAsia"/>
        </w:rPr>
      </w:pPr>
      <w:r>
        <w:rPr>
          <w:rFonts w:hint="eastAsia"/>
        </w:rPr>
        <w:t>3</w:t>
      </w:r>
      <w:r>
        <w:rPr>
          <w:rFonts w:hint="eastAsia"/>
        </w:rPr>
        <w:t>．</w:t>
      </w:r>
      <w:r>
        <w:rPr>
          <w:rFonts w:hint="eastAsia"/>
        </w:rPr>
        <w:t xml:space="preserve"> </w:t>
      </w:r>
      <w:r>
        <w:rPr>
          <w:rFonts w:hint="eastAsia"/>
        </w:rPr>
        <w:t>在挪威，家庭政策与两性平等之间具有密切的联系。国家为改善有幼儿家庭的生活条件做了大量工作。多年以来，家庭政策从整体上促进两性平等和家庭生活价值的重要性，与此同时，把注意力密切集中在父亲身上。经验表明，育儿假不分性别的体制未能给父亲以足够的动力去照顾孩子以达到母亲照顾孩子的程度。</w:t>
      </w:r>
      <w:r>
        <w:rPr>
          <w:rFonts w:hint="eastAsia"/>
        </w:rPr>
        <w:t>1993</w:t>
      </w:r>
      <w:r>
        <w:rPr>
          <w:rFonts w:hint="eastAsia"/>
        </w:rPr>
        <w:t>年采用了父亲配额制度，分配给父亲四周的父亲假，前提是父母双方均有做家长的资格。业已证明配额是鼓励父亲休假的一个有效手段。现在有</w:t>
      </w:r>
      <w:r>
        <w:rPr>
          <w:rFonts w:hint="eastAsia"/>
        </w:rPr>
        <w:t>80%</w:t>
      </w:r>
      <w:r>
        <w:rPr>
          <w:rFonts w:hint="eastAsia"/>
        </w:rPr>
        <w:t>的男性利用父亲配额这个机会。无论从两性平等角度，还是从出现越来越多的破碎家庭来看，这一点都很重要。父亲更多地参与儿童照管，不仅促进了父亲</w:t>
      </w:r>
      <w:r>
        <w:t>—</w:t>
      </w:r>
      <w:r>
        <w:rPr>
          <w:rFonts w:hint="eastAsia"/>
        </w:rPr>
        <w:t>孩子之间关系的稳固，也促进了分居家庭成员关系的稳固。</w:t>
      </w:r>
    </w:p>
    <w:p w:rsidR="006323A0" w:rsidRDefault="006323A0">
      <w:pPr>
        <w:tabs>
          <w:tab w:val="left" w:pos="420"/>
        </w:tabs>
        <w:spacing w:after="140" w:line="320" w:lineRule="exact"/>
        <w:rPr>
          <w:rFonts w:hint="eastAsia"/>
        </w:rPr>
      </w:pPr>
      <w:r>
        <w:rPr>
          <w:rFonts w:hint="eastAsia"/>
        </w:rPr>
        <w:t>4</w:t>
      </w:r>
      <w:r>
        <w:rPr>
          <w:rFonts w:hint="eastAsia"/>
        </w:rPr>
        <w:t>．</w:t>
      </w:r>
      <w:r>
        <w:rPr>
          <w:rFonts w:hint="eastAsia"/>
        </w:rPr>
        <w:t xml:space="preserve"> </w:t>
      </w:r>
      <w:r>
        <w:rPr>
          <w:rFonts w:hint="eastAsia"/>
        </w:rPr>
        <w:t>在妇女参与劳动力市场方面，</w:t>
      </w:r>
      <w:r>
        <w:rPr>
          <w:rFonts w:hint="eastAsia"/>
        </w:rPr>
        <w:t>1998</w:t>
      </w:r>
      <w:r>
        <w:rPr>
          <w:rFonts w:hint="eastAsia"/>
        </w:rPr>
        <w:t>年采用了现金福利金方案，即如果孩子没有参加享有福利金的日托中心，家中每一个</w:t>
      </w:r>
      <w:r>
        <w:rPr>
          <w:rFonts w:hint="eastAsia"/>
        </w:rPr>
        <w:t>1</w:t>
      </w:r>
      <w:r>
        <w:rPr>
          <w:rFonts w:hint="eastAsia"/>
        </w:rPr>
        <w:t>岁至</w:t>
      </w:r>
      <w:r>
        <w:rPr>
          <w:rFonts w:hint="eastAsia"/>
        </w:rPr>
        <w:t>3</w:t>
      </w:r>
      <w:r>
        <w:rPr>
          <w:rFonts w:hint="eastAsia"/>
        </w:rPr>
        <w:t>岁之间的孩子都有资格享有现金福利。该方案的目的是给家庭更多的时间来看护他们自己的孩子，并让他们有决定哪种儿童看护方式更可取的自由。该方案已使人们在兼顾儿童照管和工作的方式上做了轻微的改变，并改善了那些决定在孩子仍很小的时候留一个人在家的夫妻的经济状况。</w:t>
      </w:r>
    </w:p>
    <w:p w:rsidR="006323A0" w:rsidRDefault="006323A0">
      <w:pPr>
        <w:tabs>
          <w:tab w:val="left" w:pos="420"/>
        </w:tabs>
        <w:spacing w:after="140" w:line="320" w:lineRule="exact"/>
        <w:rPr>
          <w:rFonts w:hint="eastAsia"/>
        </w:rPr>
      </w:pPr>
      <w:r>
        <w:rPr>
          <w:rFonts w:hint="eastAsia"/>
        </w:rPr>
        <w:t>5</w:t>
      </w:r>
      <w:r>
        <w:rPr>
          <w:rFonts w:hint="eastAsia"/>
        </w:rPr>
        <w:t>．</w:t>
      </w:r>
      <w:r>
        <w:rPr>
          <w:rFonts w:hint="eastAsia"/>
        </w:rPr>
        <w:t xml:space="preserve"> </w:t>
      </w:r>
      <w:r>
        <w:rPr>
          <w:rFonts w:hint="eastAsia"/>
        </w:rPr>
        <w:t>幼儿的日托中心场所仍然短缺，正在做出积极努力在力所能及的范围内提供更多的日托中心。</w:t>
      </w:r>
      <w:r>
        <w:rPr>
          <w:rFonts w:hint="eastAsia"/>
        </w:rPr>
        <w:t>2003</w:t>
      </w:r>
      <w:r>
        <w:rPr>
          <w:rFonts w:hint="eastAsia"/>
        </w:rPr>
        <w:t>年为此分配的预算拨款已上升了</w:t>
      </w:r>
      <w:r>
        <w:rPr>
          <w:rFonts w:hint="eastAsia"/>
        </w:rPr>
        <w:t>30%</w:t>
      </w:r>
      <w:r>
        <w:rPr>
          <w:rFonts w:hint="eastAsia"/>
        </w:rPr>
        <w:t>。在</w:t>
      </w:r>
      <w:r>
        <w:rPr>
          <w:rFonts w:hint="eastAsia"/>
        </w:rPr>
        <w:t>1990</w:t>
      </w:r>
      <w:r>
        <w:rPr>
          <w:rFonts w:hint="eastAsia"/>
        </w:rPr>
        <w:t>年代期间，挪威妇女比其他欧洲国家的妇女所生孩子都要多，劳动力市场的参与比率也是全世界最高。人们广泛认为，这种结合证明了挪威把两性平等与家庭政策相结合策略的成功。虽说如此，在过去的两年内，挪威的生育率有小幅的下降，这一点应引起关注。</w:t>
      </w:r>
    </w:p>
    <w:p w:rsidR="006323A0" w:rsidRDefault="006323A0">
      <w:pPr>
        <w:tabs>
          <w:tab w:val="left" w:pos="420"/>
        </w:tabs>
        <w:spacing w:after="140" w:line="320" w:lineRule="exact"/>
        <w:rPr>
          <w:rFonts w:hint="eastAsia"/>
        </w:rPr>
      </w:pPr>
      <w:r>
        <w:rPr>
          <w:rFonts w:hint="eastAsia"/>
        </w:rPr>
        <w:t>6</w:t>
      </w:r>
      <w:r>
        <w:rPr>
          <w:rFonts w:hint="eastAsia"/>
        </w:rPr>
        <w:t>．</w:t>
      </w:r>
      <w:r>
        <w:rPr>
          <w:rFonts w:hint="eastAsia"/>
        </w:rPr>
        <w:tab/>
      </w:r>
      <w:r>
        <w:rPr>
          <w:rFonts w:hint="eastAsia"/>
        </w:rPr>
        <w:t>在经济领域，特别是在大型公司和商行中，妇女很少参与制定决策。</w:t>
      </w:r>
      <w:r>
        <w:rPr>
          <w:rFonts w:hint="eastAsia"/>
        </w:rPr>
        <w:t>2002</w:t>
      </w:r>
      <w:r>
        <w:rPr>
          <w:rFonts w:hint="eastAsia"/>
        </w:rPr>
        <w:t>年，在公营公司的董事委员中妇女只占了</w:t>
      </w:r>
      <w:r>
        <w:rPr>
          <w:rFonts w:hint="eastAsia"/>
        </w:rPr>
        <w:t>6.6%</w:t>
      </w:r>
      <w:r>
        <w:rPr>
          <w:rFonts w:hint="eastAsia"/>
        </w:rPr>
        <w:t>。这不能只归因于缺乏合格妇女。应该使掌管经济决策的男性认识到女性的价值并着手利用她们这种资源。妇女的参与对挪威社会的增长和发展至关重要。政府于</w:t>
      </w:r>
      <w:r>
        <w:rPr>
          <w:rFonts w:hint="eastAsia"/>
        </w:rPr>
        <w:t>2002</w:t>
      </w:r>
      <w:r>
        <w:rPr>
          <w:rFonts w:hint="eastAsia"/>
        </w:rPr>
        <w:t>年</w:t>
      </w:r>
      <w:r>
        <w:rPr>
          <w:rFonts w:hint="eastAsia"/>
        </w:rPr>
        <w:t>3</w:t>
      </w:r>
      <w:r>
        <w:rPr>
          <w:rFonts w:hint="eastAsia"/>
        </w:rPr>
        <w:t>月</w:t>
      </w:r>
      <w:r>
        <w:rPr>
          <w:rFonts w:hint="eastAsia"/>
        </w:rPr>
        <w:t>7</w:t>
      </w:r>
      <w:r>
        <w:rPr>
          <w:rFonts w:hint="eastAsia"/>
        </w:rPr>
        <w:t>日通过一项决议，旨在增加执行董事会中的妇女人数。该决议要求在公营和国有公司中，男性和女性要至少各占董事成员的</w:t>
      </w:r>
      <w:r>
        <w:rPr>
          <w:rFonts w:hint="eastAsia"/>
        </w:rPr>
        <w:t>40%</w:t>
      </w:r>
      <w:r>
        <w:rPr>
          <w:rFonts w:hint="eastAsia"/>
        </w:rPr>
        <w:t>。政府希望国有公司能在</w:t>
      </w:r>
      <w:r>
        <w:rPr>
          <w:rFonts w:hint="eastAsia"/>
        </w:rPr>
        <w:t>2003</w:t>
      </w:r>
      <w:r>
        <w:rPr>
          <w:rFonts w:hint="eastAsia"/>
        </w:rPr>
        <w:t>年年底达到这个水平。</w:t>
      </w:r>
    </w:p>
    <w:p w:rsidR="006323A0" w:rsidRDefault="006323A0">
      <w:pPr>
        <w:tabs>
          <w:tab w:val="left" w:pos="420"/>
        </w:tabs>
        <w:spacing w:after="140" w:line="320" w:lineRule="exact"/>
        <w:rPr>
          <w:rFonts w:hint="eastAsia"/>
        </w:rPr>
      </w:pPr>
      <w:r>
        <w:rPr>
          <w:rFonts w:hint="eastAsia"/>
        </w:rPr>
        <w:t>7</w:t>
      </w:r>
      <w:r>
        <w:rPr>
          <w:rFonts w:hint="eastAsia"/>
        </w:rPr>
        <w:t>．</w:t>
      </w:r>
      <w:r>
        <w:rPr>
          <w:rFonts w:hint="eastAsia"/>
        </w:rPr>
        <w:t xml:space="preserve"> </w:t>
      </w:r>
      <w:r>
        <w:rPr>
          <w:rFonts w:hint="eastAsia"/>
        </w:rPr>
        <w:t>在私人公司方面，</w:t>
      </w:r>
      <w:r>
        <w:rPr>
          <w:rFonts w:hint="eastAsia"/>
        </w:rPr>
        <w:t>2003</w:t>
      </w:r>
      <w:r>
        <w:rPr>
          <w:rFonts w:hint="eastAsia"/>
        </w:rPr>
        <w:t>年后半年会提交给议会一份法案，但是政府也在努力与私营部门达成合作协议。如果在</w:t>
      </w:r>
      <w:r>
        <w:rPr>
          <w:rFonts w:hint="eastAsia"/>
        </w:rPr>
        <w:t>2005</w:t>
      </w:r>
      <w:r>
        <w:rPr>
          <w:rFonts w:hint="eastAsia"/>
        </w:rPr>
        <w:t>年年底达到</w:t>
      </w:r>
      <w:r>
        <w:rPr>
          <w:rFonts w:hint="eastAsia"/>
        </w:rPr>
        <w:t>40%</w:t>
      </w:r>
      <w:r>
        <w:rPr>
          <w:rFonts w:hint="eastAsia"/>
        </w:rPr>
        <w:t>配额水平的协议能达成的话，此法案将不会生效。金融机构、雇主组织和其他的商业部门对此提议表示特别强烈的抵制，主要理由是该提议损害了股东的民主权利。尽管如此，越来越多的人认识到多样性可激发创造性，并创造更好的公司业绩。</w:t>
      </w:r>
      <w:r>
        <w:rPr>
          <w:rFonts w:hint="eastAsia"/>
        </w:rPr>
        <w:t xml:space="preserve"> </w:t>
      </w:r>
      <w:r>
        <w:rPr>
          <w:rFonts w:hint="eastAsia"/>
        </w:rPr>
        <w:t>私人公司内被选入执行董事会的女性人数有小幅上升，可能会在规定时间内达到至少</w:t>
      </w:r>
      <w:r>
        <w:rPr>
          <w:rFonts w:hint="eastAsia"/>
        </w:rPr>
        <w:t>40%</w:t>
      </w:r>
      <w:r>
        <w:rPr>
          <w:rFonts w:hint="eastAsia"/>
        </w:rPr>
        <w:t>的要求。</w:t>
      </w:r>
    </w:p>
    <w:p w:rsidR="006323A0" w:rsidRDefault="006323A0">
      <w:pPr>
        <w:tabs>
          <w:tab w:val="left" w:pos="420"/>
        </w:tabs>
        <w:spacing w:after="140" w:line="320" w:lineRule="exact"/>
        <w:rPr>
          <w:rFonts w:hint="eastAsia"/>
        </w:rPr>
      </w:pPr>
      <w:r>
        <w:rPr>
          <w:rFonts w:hint="eastAsia"/>
        </w:rPr>
        <w:t>8</w:t>
      </w:r>
      <w:r>
        <w:rPr>
          <w:rFonts w:hint="eastAsia"/>
        </w:rPr>
        <w:t>．</w:t>
      </w:r>
      <w:r>
        <w:rPr>
          <w:rFonts w:hint="eastAsia"/>
        </w:rPr>
        <w:tab/>
      </w:r>
      <w:r>
        <w:rPr>
          <w:rFonts w:hint="eastAsia"/>
        </w:rPr>
        <w:t>挪威政府对于同酬问题给予高度优先地位。高水平教育和大工作量不是获得高薪的必要条件。过去二十年来，</w:t>
      </w:r>
      <w:r>
        <w:rPr>
          <w:rFonts w:hint="eastAsia"/>
        </w:rPr>
        <w:t xml:space="preserve"> </w:t>
      </w:r>
      <w:r>
        <w:rPr>
          <w:rFonts w:hint="eastAsia"/>
        </w:rPr>
        <w:t>男性与女性之间工资的差距已经缩小，但还有很长一段路要走。</w:t>
      </w:r>
      <w:r>
        <w:rPr>
          <w:rFonts w:hint="eastAsia"/>
        </w:rPr>
        <w:t>2002</w:t>
      </w:r>
      <w:r>
        <w:rPr>
          <w:rFonts w:hint="eastAsia"/>
        </w:rPr>
        <w:t>年修改了《性别平等法》的同酬条款，把同一雇主下跨工种、跨职位的同等价值的工作包含在内。然而，该法律不是消除工资差距的唯一手段，政府还想集中关注工资整体结构形成，以及工资差距如何在机构安排、社会规范、市场机制和支付政策领域内确立等问题。已按照该方针执行了若干项目。在这一方面，提高公众认识、指导研究、发展网络工作和鼓励国际合作也非常关键。</w:t>
      </w:r>
    </w:p>
    <w:p w:rsidR="006323A0" w:rsidRDefault="006323A0">
      <w:pPr>
        <w:tabs>
          <w:tab w:val="left" w:pos="420"/>
        </w:tabs>
        <w:spacing w:after="140" w:line="320" w:lineRule="exact"/>
        <w:rPr>
          <w:rFonts w:hint="eastAsia"/>
        </w:rPr>
      </w:pPr>
      <w:r>
        <w:rPr>
          <w:rFonts w:hint="eastAsia"/>
        </w:rPr>
        <w:t>9</w:t>
      </w:r>
      <w:r>
        <w:rPr>
          <w:rFonts w:hint="eastAsia"/>
        </w:rPr>
        <w:t>．</w:t>
      </w:r>
      <w:r>
        <w:rPr>
          <w:rFonts w:hint="eastAsia"/>
        </w:rPr>
        <w:tab/>
      </w:r>
      <w:r>
        <w:rPr>
          <w:rFonts w:hint="eastAsia"/>
        </w:rPr>
        <w:t>挪威和其他五个欧洲国家一起，管理了一个由欧洲委员会两性平等社区框架方案资助的欧洲项目。该项目以工资结构和工资支付体制为背景，旨在从广泛的视角来审查性别薪资差距。已确定两个因素为工资差距的来源：妇女和男子被分到不同的职业、公司和职位，工资差额一向有利于男子占大多数的工作。好几个机制同时起作用，这也许是性别薪资差距具有跨时间和跨不同的劳动力市场机构的普遍性和持续性的原因。更灵活的管理和更独立的工作的趋势会如何影响工资差距还不清楚。接受更好教育的劳动人口可能会使工作较少有性别区分，并使工作场所少一些两性隔离。然而，妇女会继续更多地参与劳动力市场，这可能会伴随着更大范围的两性隔离和更大的工资差距。</w:t>
      </w:r>
    </w:p>
    <w:p w:rsidR="006323A0" w:rsidRDefault="006323A0">
      <w:pPr>
        <w:tabs>
          <w:tab w:val="left" w:pos="420"/>
        </w:tabs>
        <w:spacing w:after="140" w:line="330" w:lineRule="exact"/>
        <w:rPr>
          <w:rFonts w:hint="eastAsia"/>
        </w:rPr>
      </w:pPr>
      <w:r>
        <w:rPr>
          <w:rFonts w:hint="eastAsia"/>
        </w:rPr>
        <w:t>10.</w:t>
      </w:r>
      <w:r>
        <w:rPr>
          <w:rFonts w:hint="eastAsia"/>
        </w:rPr>
        <w:tab/>
        <w:t>2002</w:t>
      </w:r>
      <w:r>
        <w:rPr>
          <w:rFonts w:hint="eastAsia"/>
        </w:rPr>
        <w:t>年由北欧国家资助就与工资差异做斗争的新方法和手段为专家和社会伙伴举行了一次会议，会议制定了一项关于同酬问题的为期</w:t>
      </w:r>
      <w:r>
        <w:rPr>
          <w:rFonts w:hint="eastAsia"/>
        </w:rPr>
        <w:t>4</w:t>
      </w:r>
      <w:r>
        <w:rPr>
          <w:rFonts w:hint="eastAsia"/>
        </w:rPr>
        <w:t>年的北欧新项目，由北欧部长理事会资助，于</w:t>
      </w:r>
      <w:r>
        <w:rPr>
          <w:rFonts w:hint="eastAsia"/>
        </w:rPr>
        <w:t>2003</w:t>
      </w:r>
      <w:r>
        <w:rPr>
          <w:rFonts w:hint="eastAsia"/>
        </w:rPr>
        <w:t>年到</w:t>
      </w:r>
      <w:r>
        <w:rPr>
          <w:rFonts w:hint="eastAsia"/>
        </w:rPr>
        <w:t>2006</w:t>
      </w:r>
      <w:r>
        <w:rPr>
          <w:rFonts w:hint="eastAsia"/>
        </w:rPr>
        <w:t>年期间实施。该项目将探究改进北欧统计数据的方法、分析工资结构与工资差距之间的联系、并检查薪资政策及劳动力市场内的两性隔离与工资差距之间的关系。</w:t>
      </w:r>
      <w:r>
        <w:rPr>
          <w:rFonts w:hint="eastAsia"/>
        </w:rPr>
        <w:t>2002</w:t>
      </w:r>
      <w:r>
        <w:rPr>
          <w:rFonts w:hint="eastAsia"/>
        </w:rPr>
        <w:t>年政府发起了一个项目，以开发可以简单应用的不分性别的工作评价体系。虽然已有一家工作场所报告了有利于女性雇员的首例具体工资调整，该项目仍处于测试阶段。</w:t>
      </w:r>
    </w:p>
    <w:p w:rsidR="006323A0" w:rsidRDefault="006323A0">
      <w:pPr>
        <w:tabs>
          <w:tab w:val="left" w:pos="420"/>
        </w:tabs>
        <w:spacing w:after="140" w:line="320" w:lineRule="exact"/>
        <w:rPr>
          <w:rFonts w:hint="eastAsia"/>
        </w:rPr>
      </w:pPr>
      <w:r>
        <w:rPr>
          <w:rFonts w:hint="eastAsia"/>
        </w:rPr>
        <w:t>11</w:t>
      </w:r>
      <w:r>
        <w:rPr>
          <w:rFonts w:hint="eastAsia"/>
        </w:rPr>
        <w:t>．与暴力做斗争是挪威政府最优先处理的领域之一，在对妇女的暴力方面更是如此。然而，由于问题易于被隐藏，所以不太容易衡量取得进步的程度。提供给受害者的服务已得到改善，但是很难确定在预防此类事件方面取得了多大进步。挪威现行的与暴力做斗争的行动计划，引起最相关的两个部就此议题开展独特有效的合作；禁止对妇女施暴委员会将于</w:t>
      </w:r>
      <w:r>
        <w:rPr>
          <w:rFonts w:hint="eastAsia"/>
        </w:rPr>
        <w:t>2003</w:t>
      </w:r>
      <w:r>
        <w:rPr>
          <w:rFonts w:hint="eastAsia"/>
        </w:rPr>
        <w:t>年</w:t>
      </w:r>
      <w:r>
        <w:rPr>
          <w:rFonts w:hint="eastAsia"/>
        </w:rPr>
        <w:t>9</w:t>
      </w:r>
      <w:r>
        <w:rPr>
          <w:rFonts w:hint="eastAsia"/>
        </w:rPr>
        <w:t>月提交它的报告，有关未来几年的业经修正的行动计划会把报告的调查结果考虑在内。</w:t>
      </w:r>
    </w:p>
    <w:p w:rsidR="006323A0" w:rsidRDefault="006323A0">
      <w:pPr>
        <w:tabs>
          <w:tab w:val="left" w:pos="420"/>
        </w:tabs>
        <w:spacing w:after="140" w:line="320" w:lineRule="exact"/>
        <w:rPr>
          <w:rFonts w:hint="eastAsia"/>
        </w:rPr>
      </w:pPr>
      <w:r>
        <w:rPr>
          <w:rFonts w:hint="eastAsia"/>
        </w:rPr>
        <w:t>12</w:t>
      </w:r>
      <w:r>
        <w:rPr>
          <w:rFonts w:hint="eastAsia"/>
        </w:rPr>
        <w:t>．</w:t>
      </w:r>
      <w:r>
        <w:rPr>
          <w:rFonts w:hint="eastAsia"/>
        </w:rPr>
        <w:t>2000</w:t>
      </w:r>
      <w:r>
        <w:rPr>
          <w:rFonts w:hint="eastAsia"/>
        </w:rPr>
        <w:t>年修正了《刑法典》的条款，进一步的修正已在讨论之中。她对</w:t>
      </w:r>
      <w:r>
        <w:rPr>
          <w:rFonts w:hint="eastAsia"/>
        </w:rPr>
        <w:t>1999</w:t>
      </w:r>
      <w:r>
        <w:rPr>
          <w:rFonts w:hint="eastAsia"/>
        </w:rPr>
        <w:t>年对</w:t>
      </w:r>
      <w:r>
        <w:rPr>
          <w:rFonts w:hint="eastAsia"/>
        </w:rPr>
        <w:t>20</w:t>
      </w:r>
      <w:r>
        <w:t>-</w:t>
      </w:r>
      <w:r>
        <w:rPr>
          <w:rFonts w:hint="eastAsia"/>
        </w:rPr>
        <w:t>49</w:t>
      </w:r>
      <w:r>
        <w:rPr>
          <w:rFonts w:hint="eastAsia"/>
        </w:rPr>
        <w:t>岁之间的妇女健康调查的结果感到吃惊，调查显示有</w:t>
      </w:r>
      <w:r>
        <w:rPr>
          <w:rFonts w:hint="eastAsia"/>
        </w:rPr>
        <w:t>5%</w:t>
      </w:r>
      <w:r>
        <w:rPr>
          <w:rFonts w:hint="eastAsia"/>
        </w:rPr>
        <w:t>的妇女被非性伙伴的人强奸过，有</w:t>
      </w:r>
      <w:r>
        <w:rPr>
          <w:rFonts w:hint="eastAsia"/>
        </w:rPr>
        <w:t>10%</w:t>
      </w:r>
      <w:r>
        <w:rPr>
          <w:rFonts w:hint="eastAsia"/>
        </w:rPr>
        <w:t>的妇女被其性伙伴强奸过。每年都有</w:t>
      </w:r>
      <w:r>
        <w:rPr>
          <w:rFonts w:hint="eastAsia"/>
        </w:rPr>
        <w:t>2700</w:t>
      </w:r>
      <w:r>
        <w:rPr>
          <w:rFonts w:hint="eastAsia"/>
        </w:rPr>
        <w:t>名妇女在庇护所避难，而且经常是和她们的孩子一起。非挪威出生的避难妇女的人数正在稳步上升。这表明挪威的许多新居民没有办法躲开暴力关系。庇护所必须更有效地为这些群体提供帮助。</w:t>
      </w:r>
    </w:p>
    <w:p w:rsidR="006323A0" w:rsidRDefault="006323A0">
      <w:pPr>
        <w:tabs>
          <w:tab w:val="left" w:pos="420"/>
        </w:tabs>
        <w:spacing w:after="140" w:line="320" w:lineRule="exact"/>
        <w:rPr>
          <w:rFonts w:hint="eastAsia"/>
        </w:rPr>
      </w:pPr>
      <w:r>
        <w:rPr>
          <w:rFonts w:hint="eastAsia"/>
        </w:rPr>
        <w:t>13</w:t>
      </w:r>
      <w:r>
        <w:rPr>
          <w:rFonts w:hint="eastAsia"/>
        </w:rPr>
        <w:t>．在挪威，贩卖妇女是一个相对较新的问题。关于卖淫问题的国家报告表明，非挪威国籍的人加入卖淫行业的人数在</w:t>
      </w:r>
      <w:r>
        <w:rPr>
          <w:rFonts w:hint="eastAsia"/>
        </w:rPr>
        <w:t>1990</w:t>
      </w:r>
      <w:r>
        <w:rPr>
          <w:rFonts w:hint="eastAsia"/>
        </w:rPr>
        <w:t>年代有显著上升，在过去几年内暴涨。大多数人来自或经由俄罗斯联邦、波罗的海地区国家和其他东欧和中欧国家。这种现象证明有组织犯罪团伙越来越多地参与这些活动，但人们对人口贩运的许多方面还知之甚少。在预防人口贩运，惩戒人口贩运的各环节及支持并保护受害者等方面，挪威政府给予了高度重视。</w:t>
      </w:r>
    </w:p>
    <w:p w:rsidR="006323A0" w:rsidRDefault="006323A0">
      <w:pPr>
        <w:tabs>
          <w:tab w:val="left" w:pos="420"/>
        </w:tabs>
        <w:spacing w:after="140" w:line="320" w:lineRule="exact"/>
        <w:rPr>
          <w:rFonts w:hint="eastAsia"/>
        </w:rPr>
      </w:pPr>
      <w:r>
        <w:rPr>
          <w:rFonts w:hint="eastAsia"/>
        </w:rPr>
        <w:t>14</w:t>
      </w:r>
      <w:r>
        <w:rPr>
          <w:rFonts w:hint="eastAsia"/>
        </w:rPr>
        <w:t>．挪威正在制定一项为防止贩运妇女和儿童并与这种现象作斗争的行动计划。该计划将于</w:t>
      </w:r>
      <w:r>
        <w:rPr>
          <w:rFonts w:hint="eastAsia"/>
        </w:rPr>
        <w:t>2003</w:t>
      </w:r>
      <w:r>
        <w:rPr>
          <w:rFonts w:hint="eastAsia"/>
        </w:rPr>
        <w:t>年春季实施，覆盖包括提供、转运和需求在内的人口贩运的各个环节。许多非政府组织和其他组织参与到计划制定之中。国际合作是一个关键因素。</w:t>
      </w:r>
      <w:r>
        <w:rPr>
          <w:rFonts w:hint="eastAsia"/>
        </w:rPr>
        <w:t>2002</w:t>
      </w:r>
      <w:r>
        <w:rPr>
          <w:rFonts w:hint="eastAsia"/>
        </w:rPr>
        <w:t>年北欧部长理事会发起了反对人口贩卖的北欧</w:t>
      </w:r>
      <w:r>
        <w:rPr>
          <w:rFonts w:hint="eastAsia"/>
        </w:rPr>
        <w:t>-</w:t>
      </w:r>
      <w:r>
        <w:rPr>
          <w:rFonts w:hint="eastAsia"/>
        </w:rPr>
        <w:t>波罗的海运动，挪威也已签署《联合国打击跨国有组织犯罪公约》及其三项议定书，并准备对其正式批准。</w:t>
      </w:r>
    </w:p>
    <w:p w:rsidR="006323A0" w:rsidRDefault="006323A0">
      <w:pPr>
        <w:tabs>
          <w:tab w:val="left" w:pos="420"/>
        </w:tabs>
        <w:spacing w:after="140" w:line="320" w:lineRule="exact"/>
        <w:rPr>
          <w:rFonts w:hint="eastAsia"/>
        </w:rPr>
      </w:pPr>
      <w:r>
        <w:rPr>
          <w:rFonts w:hint="eastAsia"/>
        </w:rPr>
        <w:t>15</w:t>
      </w:r>
      <w:r>
        <w:rPr>
          <w:rFonts w:hint="eastAsia"/>
        </w:rPr>
        <w:t>．挪威反对强迫婚姻和女性生殖器官切割，已实施好几项行动方案和其他措施与这些做法作斗争。在目前环境下，与非政府组织、个人及这些做法所属文化的代表群体进行对话特别重要。挪威政府已经为关于举行与对妇女的暴力作斗争的最佳做法的全球会议的可行性研究提供资金支持。</w:t>
      </w:r>
    </w:p>
    <w:p w:rsidR="006323A0" w:rsidRDefault="006323A0">
      <w:pPr>
        <w:tabs>
          <w:tab w:val="left" w:pos="420"/>
        </w:tabs>
        <w:spacing w:after="140" w:line="320" w:lineRule="exact"/>
        <w:rPr>
          <w:rFonts w:hint="eastAsia"/>
        </w:rPr>
      </w:pPr>
      <w:r>
        <w:rPr>
          <w:rFonts w:hint="eastAsia"/>
        </w:rPr>
        <w:t>16</w:t>
      </w:r>
      <w:r>
        <w:rPr>
          <w:rFonts w:hint="eastAsia"/>
        </w:rPr>
        <w:t>．</w:t>
      </w:r>
      <w:r>
        <w:rPr>
          <w:rFonts w:eastAsia="SimHei" w:hint="eastAsia"/>
          <w:color w:val="FF0000"/>
        </w:rPr>
        <w:t>主席</w:t>
      </w:r>
      <w:r>
        <w:rPr>
          <w:rFonts w:hint="eastAsia"/>
        </w:rPr>
        <w:t>说，挪威的两性平等政策为世界其他国家和地区提供了一个学习的榜样，但是还有许多工作要做，在经济领域的不平等方面更是如此。挪威还必须处理妇女在决策层面参与率低、工资上性别不平等以及针对妇女的暴力等问题。特别是关于移民妇女的政策应该更积极主动。</w:t>
      </w:r>
    </w:p>
    <w:p w:rsidR="006323A0" w:rsidRDefault="006323A0">
      <w:pPr>
        <w:tabs>
          <w:tab w:val="left" w:pos="420"/>
        </w:tabs>
        <w:spacing w:after="140" w:line="320" w:lineRule="exact"/>
        <w:rPr>
          <w:rFonts w:hint="eastAsia"/>
        </w:rPr>
      </w:pPr>
      <w:r>
        <w:rPr>
          <w:rFonts w:hint="eastAsia"/>
        </w:rPr>
        <w:t>17</w:t>
      </w:r>
      <w:r>
        <w:rPr>
          <w:rFonts w:hint="eastAsia"/>
        </w:rPr>
        <w:t>．</w:t>
      </w:r>
      <w:r>
        <w:rPr>
          <w:rFonts w:eastAsia="SimHei" w:hint="eastAsia"/>
          <w:b/>
          <w:color w:val="FF0000"/>
        </w:rPr>
        <w:t>Tavares da Silva</w:t>
      </w:r>
      <w:r>
        <w:rPr>
          <w:rFonts w:eastAsia="SimHei" w:hint="eastAsia"/>
          <w:color w:val="FF0000"/>
        </w:rPr>
        <w:t>女士</w:t>
      </w:r>
      <w:r>
        <w:rPr>
          <w:rFonts w:hint="eastAsia"/>
        </w:rPr>
        <w:t>说，如能获得关于挪威的国家机构、特别是各机构之间如何相互协作，哪个机构负责贯彻政府政策以及政府政策是如何阐明等方面的信息，她将表示欢迎。妇女参与政治生活被视为其他国家的榜样，但是妇女参与经济生活却比某些整体上仍远远落后挪威的国家的妇女参与还要低，这种现象是反常的。所报道的强奸案件数目有所上升，但是只有</w:t>
      </w:r>
      <w:r>
        <w:rPr>
          <w:rFonts w:hint="eastAsia"/>
        </w:rPr>
        <w:t>6%</w:t>
      </w:r>
      <w:r>
        <w:rPr>
          <w:rFonts w:hint="eastAsia"/>
        </w:rPr>
        <w:t>的案件被定罪，这是极低的百分比。虽然挪威已采取了一些强制性措施，但是看起来并没有清楚地认识到存在的问题。挪威的《刑法典》中没有关于人口贩运的专门条款。由于外国妇女从事卖淫活动的人数已有显著上升，提供有关这一领域内的判罪和指控的信息将会受到欢迎。</w:t>
      </w:r>
    </w:p>
    <w:p w:rsidR="006323A0" w:rsidRDefault="006323A0">
      <w:pPr>
        <w:tabs>
          <w:tab w:val="left" w:pos="420"/>
        </w:tabs>
        <w:spacing w:after="140" w:line="320" w:lineRule="exact"/>
        <w:rPr>
          <w:rFonts w:hint="eastAsia"/>
        </w:rPr>
      </w:pPr>
      <w:r>
        <w:rPr>
          <w:rFonts w:hint="eastAsia"/>
        </w:rPr>
        <w:t>18</w:t>
      </w:r>
      <w:r>
        <w:rPr>
          <w:rFonts w:hint="eastAsia"/>
        </w:rPr>
        <w:t>．</w:t>
      </w:r>
      <w:r>
        <w:rPr>
          <w:rFonts w:eastAsia="SimHei" w:hint="eastAsia"/>
          <w:b/>
          <w:color w:val="FF0000"/>
        </w:rPr>
        <w:t>Melander</w:t>
      </w:r>
      <w:r>
        <w:rPr>
          <w:rFonts w:eastAsia="SimHei" w:hint="eastAsia"/>
          <w:color w:val="FF0000"/>
        </w:rPr>
        <w:t>先生</w:t>
      </w:r>
      <w:r>
        <w:rPr>
          <w:rFonts w:hint="eastAsia"/>
        </w:rPr>
        <w:t>说，委员会很高兴地看到《公约》被纳入到挪威的国内法律之中，这也许会说服它的斯堪的纳维亚邻国效仿这一举措，使其能被人们更好地了解。关于移民妇女，他询问她们在多大程度上受到基于性别的迫害。他想知道当贩卖到挪威的妇女被驱逐时，是否有帮助她们返回自己国家的措施。委员会也愿意听取有关移民妇女离婚时在其拥有的权利之内被给予居留权的条件的更多信息。</w:t>
      </w:r>
    </w:p>
    <w:p w:rsidR="006323A0" w:rsidRDefault="006323A0">
      <w:pPr>
        <w:tabs>
          <w:tab w:val="left" w:pos="420"/>
        </w:tabs>
        <w:spacing w:after="140" w:line="320" w:lineRule="exact"/>
        <w:rPr>
          <w:rFonts w:hint="eastAsia"/>
        </w:rPr>
      </w:pPr>
      <w:r>
        <w:rPr>
          <w:rFonts w:hint="eastAsia"/>
        </w:rPr>
        <w:t>19</w:t>
      </w:r>
      <w:r>
        <w:rPr>
          <w:rFonts w:hint="eastAsia"/>
        </w:rPr>
        <w:t>．</w:t>
      </w:r>
      <w:r>
        <w:rPr>
          <w:rFonts w:eastAsia="SimHei" w:hint="eastAsia"/>
          <w:b/>
          <w:color w:val="FF0000"/>
        </w:rPr>
        <w:t>Achmad</w:t>
      </w:r>
      <w:r>
        <w:rPr>
          <w:rFonts w:eastAsia="SimHei" w:hint="eastAsia"/>
          <w:color w:val="FF0000"/>
        </w:rPr>
        <w:t>女士</w:t>
      </w:r>
      <w:r>
        <w:rPr>
          <w:rFonts w:hint="eastAsia"/>
        </w:rPr>
        <w:t>要求阐明国家妇女权利机构的各个组成部分。她愿意听取有关“两性平等指标”的更多信息，比如它是否不仅包括平等待遇还包括平等机会，在这些领域它发挥的作用等。关于为什么针对教师的性别意识培训是非强制性的，以及是否对培训转变观点的效果及它对学生的影响进行监测，委员会有兴趣听取这些信息。</w:t>
      </w:r>
    </w:p>
    <w:p w:rsidR="006323A0" w:rsidRDefault="006323A0">
      <w:pPr>
        <w:tabs>
          <w:tab w:val="left" w:pos="420"/>
        </w:tabs>
        <w:spacing w:after="140" w:line="320" w:lineRule="exact"/>
        <w:rPr>
          <w:rFonts w:hint="eastAsia"/>
        </w:rPr>
      </w:pPr>
      <w:r>
        <w:rPr>
          <w:rFonts w:hint="eastAsia"/>
        </w:rPr>
        <w:t>20</w:t>
      </w:r>
      <w:r>
        <w:rPr>
          <w:rFonts w:hint="eastAsia"/>
        </w:rPr>
        <w:t>．</w:t>
      </w:r>
      <w:r>
        <w:rPr>
          <w:rFonts w:eastAsia="SimHei" w:hint="eastAsia"/>
          <w:b/>
          <w:color w:val="FF0000"/>
        </w:rPr>
        <w:t>Gabr</w:t>
      </w:r>
      <w:r>
        <w:rPr>
          <w:rFonts w:eastAsia="SimHei" w:hint="eastAsia"/>
          <w:color w:val="FF0000"/>
        </w:rPr>
        <w:t>女士</w:t>
      </w:r>
      <w:r>
        <w:rPr>
          <w:rFonts w:hint="eastAsia"/>
        </w:rPr>
        <w:t>说，挪威在妇女权利领域取得的很多成就都应被所有国家所效仿。对涉及移民群体人身地位的文化、宗教和传统显示的尊重值得称赞，但是也必须保证这些人享有事实上的平等。她愿意知道为什么关于切割女性生殖器官案件的调查没有带来任何指控。</w:t>
      </w:r>
    </w:p>
    <w:p w:rsidR="006323A0" w:rsidRDefault="006323A0">
      <w:pPr>
        <w:tabs>
          <w:tab w:val="left" w:pos="420"/>
        </w:tabs>
        <w:spacing w:after="140" w:line="320" w:lineRule="exact"/>
        <w:rPr>
          <w:rFonts w:hint="eastAsia"/>
        </w:rPr>
      </w:pPr>
      <w:r>
        <w:rPr>
          <w:rFonts w:hint="eastAsia"/>
        </w:rPr>
        <w:t>21</w:t>
      </w:r>
      <w:r>
        <w:rPr>
          <w:rFonts w:hint="eastAsia"/>
        </w:rPr>
        <w:t>．</w:t>
      </w:r>
      <w:r>
        <w:rPr>
          <w:rFonts w:eastAsia="SimHei" w:hint="eastAsia"/>
          <w:b/>
          <w:color w:val="FF0000"/>
        </w:rPr>
        <w:t>Flinterman</w:t>
      </w:r>
      <w:r>
        <w:rPr>
          <w:rFonts w:eastAsia="SimHei" w:hint="eastAsia"/>
          <w:color w:val="FF0000"/>
        </w:rPr>
        <w:t>先生</w:t>
      </w:r>
      <w:r>
        <w:rPr>
          <w:rFonts w:hint="eastAsia"/>
        </w:rPr>
        <w:t>说，鉴于挪威已对平等权利做出明确承诺，在成为《公约》缔约国</w:t>
      </w:r>
      <w:r>
        <w:rPr>
          <w:rFonts w:hint="eastAsia"/>
        </w:rPr>
        <w:t>22</w:t>
      </w:r>
      <w:r>
        <w:rPr>
          <w:rFonts w:hint="eastAsia"/>
        </w:rPr>
        <w:t>年之后，《公约》的条款仍没被纳入国内法律，这很令人吃惊。他想知道与其他挪威缔结的人权条约相比，《公约》的地位如何，以及是否挪威遇到了特别的困难。报告国还应该表明政府是否计划批准《任择议定书》。最后，关于挪威的发展合作政策，他要求证实挪威的所有发展合作伙伴都已签署了《公约》。</w:t>
      </w:r>
    </w:p>
    <w:p w:rsidR="006323A0" w:rsidRDefault="006323A0">
      <w:pPr>
        <w:tabs>
          <w:tab w:val="left" w:pos="420"/>
        </w:tabs>
        <w:spacing w:after="140" w:line="330" w:lineRule="exact"/>
        <w:rPr>
          <w:rFonts w:hint="eastAsia"/>
        </w:rPr>
      </w:pPr>
      <w:r>
        <w:rPr>
          <w:rFonts w:hint="eastAsia"/>
        </w:rPr>
        <w:t>22</w:t>
      </w:r>
      <w:r>
        <w:rPr>
          <w:rFonts w:hint="eastAsia"/>
        </w:rPr>
        <w:t>．</w:t>
      </w:r>
      <w:r>
        <w:rPr>
          <w:rFonts w:eastAsia="SimHei" w:hint="eastAsia"/>
          <w:b/>
          <w:color w:val="FF0000"/>
        </w:rPr>
        <w:t>Ferrer</w:t>
      </w:r>
      <w:r>
        <w:rPr>
          <w:rFonts w:eastAsia="SimHei" w:hint="eastAsia"/>
          <w:b/>
        </w:rPr>
        <w:t xml:space="preserve"> </w:t>
      </w:r>
      <w:r>
        <w:rPr>
          <w:rFonts w:eastAsia="SimHei" w:hint="eastAsia"/>
          <w:b/>
          <w:color w:val="FF0000"/>
        </w:rPr>
        <w:t>G</w:t>
      </w:r>
      <w:r>
        <w:rPr>
          <w:rFonts w:eastAsia="SimHei"/>
          <w:b/>
          <w:color w:val="FF0000"/>
        </w:rPr>
        <w:t>ó</w:t>
      </w:r>
      <w:r>
        <w:rPr>
          <w:rFonts w:eastAsia="SimHei" w:hint="eastAsia"/>
          <w:b/>
          <w:color w:val="FF0000"/>
        </w:rPr>
        <w:t>mez</w:t>
      </w:r>
      <w:r>
        <w:rPr>
          <w:rFonts w:eastAsia="SimHei" w:hint="eastAsia"/>
          <w:color w:val="FF0000"/>
        </w:rPr>
        <w:t>女士</w:t>
      </w:r>
      <w:r>
        <w:rPr>
          <w:rFonts w:hint="eastAsia"/>
        </w:rPr>
        <w:t>询问，在决策领域和政府下放给自治市的提供服务领域，自治市是否拥有平等权利机构。她还愿意知道《平等机会法》是否将移民妇女和少数民族妇女包含在内，这部法律的条款在多大程度上得到了传播。</w:t>
      </w:r>
    </w:p>
    <w:p w:rsidR="006323A0" w:rsidRDefault="006323A0">
      <w:pPr>
        <w:tabs>
          <w:tab w:val="left" w:pos="420"/>
        </w:tabs>
        <w:spacing w:after="140" w:line="330" w:lineRule="exact"/>
        <w:rPr>
          <w:rFonts w:hint="eastAsia"/>
        </w:rPr>
      </w:pPr>
      <w:r>
        <w:rPr>
          <w:rFonts w:hint="eastAsia"/>
        </w:rPr>
        <w:t>23</w:t>
      </w:r>
      <w:r>
        <w:rPr>
          <w:rFonts w:hint="eastAsia"/>
        </w:rPr>
        <w:t>．</w:t>
      </w:r>
      <w:r>
        <w:rPr>
          <w:rFonts w:eastAsia="SimHei" w:hint="eastAsia"/>
          <w:b/>
          <w:color w:val="FF0000"/>
        </w:rPr>
        <w:t>Hole</w:t>
      </w:r>
      <w:r>
        <w:rPr>
          <w:rFonts w:eastAsia="SimHei" w:hint="eastAsia"/>
          <w:color w:val="FF0000"/>
        </w:rPr>
        <w:t>女士</w:t>
      </w:r>
      <w:r>
        <w:rPr>
          <w:rFonts w:hint="eastAsia"/>
        </w:rPr>
        <w:t>（挪威）说，儿童和家庭事务部负责《公约》的贯彻。由来自</w:t>
      </w:r>
      <w:r>
        <w:rPr>
          <w:rFonts w:hint="eastAsia"/>
        </w:rPr>
        <w:t>8</w:t>
      </w:r>
      <w:r>
        <w:rPr>
          <w:rFonts w:hint="eastAsia"/>
        </w:rPr>
        <w:t>个部的年轻部长组成的常设委员会负责监督性别预算和将性别纳入主流的工作，并于每年</w:t>
      </w:r>
      <w:r>
        <w:rPr>
          <w:rFonts w:hint="eastAsia"/>
        </w:rPr>
        <w:t>10</w:t>
      </w:r>
      <w:r>
        <w:rPr>
          <w:rFonts w:hint="eastAsia"/>
        </w:rPr>
        <w:t>月向议会报告。财政部认可基于性别的预算方式。两性平等监察员独立运作，并与该领域内的所有其他部门保持对话。两性平等中心虽属于公共领域，但它独立运作并与公营部门和私营部门都有所接触，所有这些机构每年均向议会报告。</w:t>
      </w:r>
    </w:p>
    <w:p w:rsidR="006323A0" w:rsidRDefault="006323A0">
      <w:pPr>
        <w:tabs>
          <w:tab w:val="left" w:pos="420"/>
        </w:tabs>
        <w:spacing w:after="140" w:line="320" w:lineRule="exact"/>
        <w:rPr>
          <w:rFonts w:hint="eastAsia"/>
        </w:rPr>
      </w:pPr>
      <w:r>
        <w:rPr>
          <w:rFonts w:hint="eastAsia"/>
        </w:rPr>
        <w:t>24</w:t>
      </w:r>
      <w:r>
        <w:rPr>
          <w:rFonts w:hint="eastAsia"/>
        </w:rPr>
        <w:t>．私营部门内妇女在决策层面上的低参与率与深层文化、董事任命方式及妇女如何使自己升职等因素有关，在学术界情况也是如此。高等教育录取学生中女性占</w:t>
      </w:r>
      <w:r>
        <w:rPr>
          <w:rFonts w:hint="eastAsia"/>
        </w:rPr>
        <w:t>60%</w:t>
      </w:r>
      <w:r>
        <w:rPr>
          <w:rFonts w:hint="eastAsia"/>
        </w:rPr>
        <w:t>，但大学教授中女性只占</w:t>
      </w:r>
      <w:r>
        <w:rPr>
          <w:rFonts w:hint="eastAsia"/>
        </w:rPr>
        <w:t>13%</w:t>
      </w:r>
      <w:r>
        <w:rPr>
          <w:rFonts w:hint="eastAsia"/>
        </w:rPr>
        <w:t>。一项待决法案将要求私营企业董事席位的</w:t>
      </w:r>
      <w:r>
        <w:rPr>
          <w:rFonts w:hint="eastAsia"/>
        </w:rPr>
        <w:t>40%</w:t>
      </w:r>
      <w:r>
        <w:rPr>
          <w:rFonts w:hint="eastAsia"/>
        </w:rPr>
        <w:t>要留给女性；在国有企业中情况已经如此——公营部门内董事席位中女性代表已达到</w:t>
      </w:r>
      <w:r>
        <w:rPr>
          <w:rFonts w:hint="eastAsia"/>
        </w:rPr>
        <w:t>37%</w:t>
      </w:r>
      <w:r>
        <w:rPr>
          <w:rFonts w:hint="eastAsia"/>
        </w:rPr>
        <w:t>。</w:t>
      </w:r>
    </w:p>
    <w:p w:rsidR="006323A0" w:rsidRDefault="006323A0">
      <w:pPr>
        <w:tabs>
          <w:tab w:val="left" w:pos="420"/>
        </w:tabs>
        <w:spacing w:after="140" w:line="320" w:lineRule="exact"/>
        <w:rPr>
          <w:rFonts w:hint="eastAsia"/>
        </w:rPr>
      </w:pPr>
      <w:r>
        <w:rPr>
          <w:rFonts w:hint="eastAsia"/>
        </w:rPr>
        <w:t>25</w:t>
      </w:r>
      <w:r>
        <w:rPr>
          <w:rFonts w:hint="eastAsia"/>
        </w:rPr>
        <w:t>．关于对家庭暴力和强奸案件的指控，事实是当许多妇女与迫害人认识时她们会撤销起诉。正在实施关于如何提起强制起诉的教育方案，该方案不仅针对警察还在妇女保健中心和庇护所内运作。儿童和家庭事务部正在工作以获取关于此类攻击数目的更准确数目，并就对妇女暴力话题展开更多的公众讨论。禁止女性生殖器官切割的行动计划正在帮助不仅女性也包括男性提高对这一问题的认识。</w:t>
      </w:r>
    </w:p>
    <w:p w:rsidR="006323A0" w:rsidRDefault="006323A0">
      <w:pPr>
        <w:tabs>
          <w:tab w:val="left" w:pos="420"/>
        </w:tabs>
        <w:spacing w:after="140" w:line="320" w:lineRule="exact"/>
        <w:rPr>
          <w:rFonts w:hint="eastAsia"/>
        </w:rPr>
      </w:pPr>
      <w:r>
        <w:rPr>
          <w:rFonts w:hint="eastAsia"/>
        </w:rPr>
        <w:t>26</w:t>
      </w:r>
      <w:r>
        <w:rPr>
          <w:rFonts w:hint="eastAsia"/>
        </w:rPr>
        <w:t>．</w:t>
      </w:r>
      <w:r>
        <w:rPr>
          <w:rFonts w:eastAsia="SimHei" w:hint="eastAsia"/>
          <w:b/>
          <w:color w:val="FF0000"/>
        </w:rPr>
        <w:t>Wille</w:t>
      </w:r>
      <w:r>
        <w:rPr>
          <w:rFonts w:eastAsia="SimHei" w:hint="eastAsia"/>
          <w:color w:val="FF0000"/>
        </w:rPr>
        <w:t>先生</w:t>
      </w:r>
      <w:r>
        <w:rPr>
          <w:rFonts w:hint="eastAsia"/>
        </w:rPr>
        <w:t>（挪威）说，现行的《刑法典》没有包含人口贩运的专门条款，但是此类条款会包含在修正案中。不管怎样，已经制订了与人口贩运作斗争的行动方案。在该领域有一些判例法，已有几个案例被提交到最高法院。受害人有权利在挪威寻求避难，而且有项目与她们的原籍国合作以帮助这些妇女回国。人口贩运已成为欧洲安全与合作组织（欧安组织）的一个主要议题，其主要关注焦点是受害人，挪威是该组织的成员之一。</w:t>
      </w:r>
    </w:p>
    <w:p w:rsidR="006323A0" w:rsidRDefault="006323A0">
      <w:pPr>
        <w:tabs>
          <w:tab w:val="left" w:pos="420"/>
        </w:tabs>
        <w:spacing w:after="140" w:line="320" w:lineRule="exact"/>
        <w:rPr>
          <w:rFonts w:hint="eastAsia"/>
        </w:rPr>
      </w:pPr>
      <w:r>
        <w:rPr>
          <w:rFonts w:hint="eastAsia"/>
        </w:rPr>
        <w:t>27</w:t>
      </w:r>
      <w:r>
        <w:rPr>
          <w:rFonts w:hint="eastAsia"/>
        </w:rPr>
        <w:t>．关于国际法律的国内应用问题，挪威是一个“二元”国家，但正朝着一元方向发展。</w:t>
      </w:r>
      <w:r>
        <w:rPr>
          <w:rFonts w:hint="eastAsia"/>
        </w:rPr>
        <w:t>1999</w:t>
      </w:r>
      <w:r>
        <w:rPr>
          <w:rFonts w:hint="eastAsia"/>
        </w:rPr>
        <w:t>年，议会通过了《人权法》，该法案纳入了《欧洲人权公约》和</w:t>
      </w:r>
      <w:r>
        <w:rPr>
          <w:rFonts w:hint="eastAsia"/>
        </w:rPr>
        <w:t>1966</w:t>
      </w:r>
      <w:r>
        <w:rPr>
          <w:rFonts w:hint="eastAsia"/>
        </w:rPr>
        <w:t>年的《公约》及其《任择议定书》，并声明它们要优先于其他成文法律。政府还未就其他公约达成最后意见，但是有可能将它们也纳入《人权法》。它的现行方法可定义为“转换”：《公约》的一些条款已被转换成特定的法律。</w:t>
      </w:r>
    </w:p>
    <w:p w:rsidR="006323A0" w:rsidRDefault="006323A0">
      <w:pPr>
        <w:tabs>
          <w:tab w:val="left" w:pos="420"/>
        </w:tabs>
        <w:spacing w:after="140" w:line="340" w:lineRule="exact"/>
        <w:rPr>
          <w:rFonts w:hint="eastAsia"/>
        </w:rPr>
      </w:pPr>
      <w:r>
        <w:rPr>
          <w:rFonts w:hint="eastAsia"/>
        </w:rPr>
        <w:t>28</w:t>
      </w:r>
      <w:r>
        <w:rPr>
          <w:rFonts w:hint="eastAsia"/>
        </w:rPr>
        <w:t>．</w:t>
      </w:r>
      <w:r>
        <w:rPr>
          <w:rFonts w:eastAsia="SimHei" w:hint="eastAsia"/>
          <w:b/>
          <w:color w:val="FF0000"/>
        </w:rPr>
        <w:t>Hole</w:t>
      </w:r>
      <w:r>
        <w:rPr>
          <w:rFonts w:eastAsia="SimHei" w:hint="eastAsia"/>
          <w:color w:val="FF0000"/>
        </w:rPr>
        <w:t>女士</w:t>
      </w:r>
      <w:r>
        <w:rPr>
          <w:rFonts w:hint="eastAsia"/>
        </w:rPr>
        <w:t>（挪威），就关于移民的法律，特别是其涉及妇女议题条款的问题答复说，反对种族主义和歧视的行动计划在其各项活动中纳入了性别观点。自治市在为移民妇女提供职业训练并赋予她们享用家庭中心保健服务的权利的同时，还为移民母亲和她们的孩子提供免费的学前培训和语言培训。政府和非政府妇女组织一起提供额外的语言培训，以使从幼儿园到小学的过渡变得较为容易。</w:t>
      </w:r>
    </w:p>
    <w:p w:rsidR="006323A0" w:rsidRDefault="006323A0">
      <w:pPr>
        <w:tabs>
          <w:tab w:val="left" w:pos="420"/>
        </w:tabs>
        <w:spacing w:after="140" w:line="320" w:lineRule="exact"/>
        <w:rPr>
          <w:rFonts w:hint="eastAsia"/>
        </w:rPr>
      </w:pPr>
      <w:r>
        <w:rPr>
          <w:rFonts w:hint="eastAsia"/>
        </w:rPr>
        <w:t>29</w:t>
      </w:r>
      <w:r>
        <w:rPr>
          <w:rFonts w:hint="eastAsia"/>
        </w:rPr>
        <w:t>．</w:t>
      </w:r>
      <w:r>
        <w:rPr>
          <w:rFonts w:eastAsia="SimHei" w:hint="eastAsia"/>
          <w:b/>
          <w:color w:val="FF0000"/>
        </w:rPr>
        <w:t>Wille</w:t>
      </w:r>
      <w:r>
        <w:rPr>
          <w:rFonts w:eastAsia="SimHei" w:hint="eastAsia"/>
          <w:color w:val="FF0000"/>
        </w:rPr>
        <w:t>先生</w:t>
      </w:r>
      <w:r>
        <w:rPr>
          <w:rFonts w:hint="eastAsia"/>
        </w:rPr>
        <w:t>（挪威）说，根据《移民法》，基于性别的迫害被认为是准许避难的理由。</w:t>
      </w:r>
      <w:r>
        <w:rPr>
          <w:rFonts w:hint="eastAsia"/>
        </w:rPr>
        <w:t>2002</w:t>
      </w:r>
      <w:r>
        <w:rPr>
          <w:rFonts w:hint="eastAsia"/>
        </w:rPr>
        <w:t>年，批准了</w:t>
      </w:r>
      <w:r>
        <w:rPr>
          <w:rFonts w:hint="eastAsia"/>
        </w:rPr>
        <w:t>55</w:t>
      </w:r>
      <w:r>
        <w:rPr>
          <w:rFonts w:hint="eastAsia"/>
        </w:rPr>
        <w:t>项避难申请，拒绝了</w:t>
      </w:r>
      <w:r>
        <w:rPr>
          <w:rFonts w:hint="eastAsia"/>
        </w:rPr>
        <w:t>23</w:t>
      </w:r>
      <w:r>
        <w:rPr>
          <w:rFonts w:hint="eastAsia"/>
        </w:rPr>
        <w:t>项。一个政府委员会正在起草一部新的《移民法》，该法律将突出处理基于性别的迫害问题。提出与基于性别的迫害有关的申诉的请求者，有资格配有女翻译、女接见人和女律师。男性也可以提交与性别相关的请求。妇女必须在挪威住够三年才能获得在挪威的居住权。如果在此期间离婚，离婚妇女可以通过请求避难或以人道主义为理由继续停留。</w:t>
      </w:r>
    </w:p>
    <w:p w:rsidR="006323A0" w:rsidRDefault="006323A0">
      <w:pPr>
        <w:tabs>
          <w:tab w:val="left" w:pos="420"/>
        </w:tabs>
        <w:spacing w:after="140" w:line="320" w:lineRule="exact"/>
        <w:rPr>
          <w:rFonts w:hint="eastAsia"/>
        </w:rPr>
      </w:pPr>
      <w:r>
        <w:rPr>
          <w:rFonts w:hint="eastAsia"/>
        </w:rPr>
        <w:t>30</w:t>
      </w:r>
      <w:r>
        <w:rPr>
          <w:rFonts w:hint="eastAsia"/>
        </w:rPr>
        <w:t>．</w:t>
      </w:r>
      <w:r>
        <w:rPr>
          <w:rFonts w:eastAsia="SimHei" w:hint="eastAsia"/>
          <w:b/>
          <w:color w:val="FF0000"/>
        </w:rPr>
        <w:t>Hole</w:t>
      </w:r>
      <w:r>
        <w:rPr>
          <w:rFonts w:eastAsia="SimHei" w:hint="eastAsia"/>
          <w:b/>
        </w:rPr>
        <w:t xml:space="preserve"> </w:t>
      </w:r>
      <w:r>
        <w:rPr>
          <w:rFonts w:eastAsia="SimHei" w:hint="eastAsia"/>
          <w:color w:val="FF0000"/>
        </w:rPr>
        <w:t>女士</w:t>
      </w:r>
      <w:r>
        <w:rPr>
          <w:rFonts w:hint="eastAsia"/>
        </w:rPr>
        <w:t>（挪威）说，两性平等领域内法律的变革导致了为提高妇女地位所设的国家机构的变革。由两性平等中心颁布的《两性平等指标》是评价挪威平等状况的宝贵工具，它不仅绘制有关治理、地方政府、商业、研究、教育及工作生活等领域发展的图表，还规定了需要应对的挑战。</w:t>
      </w:r>
    </w:p>
    <w:p w:rsidR="006323A0" w:rsidRDefault="006323A0">
      <w:pPr>
        <w:tabs>
          <w:tab w:val="left" w:pos="420"/>
        </w:tabs>
        <w:spacing w:after="140" w:line="320" w:lineRule="exact"/>
        <w:rPr>
          <w:rFonts w:hint="eastAsia"/>
        </w:rPr>
      </w:pPr>
      <w:r>
        <w:rPr>
          <w:rFonts w:hint="eastAsia"/>
        </w:rPr>
        <w:t>31</w:t>
      </w:r>
      <w:r>
        <w:rPr>
          <w:rFonts w:hint="eastAsia"/>
        </w:rPr>
        <w:t>．就教师培训课程而言，挪威的学院和大学负责决定它们自己的课程，因此不会被强迫开设有关性别话题的课程。虽然如此，所有国有的教育机构都要遵守业经修正的《性别平等法》，根据该法案它们有义务采取主动措施推动两性平等并报告它们在该领域的工作。基于性别定型观念的课程不是受训教师的必修课，但是中学生，包括男生在内，一直在要求开设关于此话题的课程。</w:t>
      </w:r>
    </w:p>
    <w:p w:rsidR="006323A0" w:rsidRDefault="006323A0">
      <w:pPr>
        <w:tabs>
          <w:tab w:val="left" w:pos="420"/>
        </w:tabs>
        <w:spacing w:after="140" w:line="320" w:lineRule="exact"/>
        <w:rPr>
          <w:rFonts w:hint="eastAsia"/>
        </w:rPr>
      </w:pPr>
      <w:r>
        <w:rPr>
          <w:rFonts w:hint="eastAsia"/>
        </w:rPr>
        <w:t>32</w:t>
      </w:r>
      <w:r>
        <w:rPr>
          <w:rFonts w:hint="eastAsia"/>
        </w:rPr>
        <w:t>．礼拜的自由被神圣地载入《挪威宪法》。遗憾的是，那些遭受暴力行为的移民妇女大多不愿对侵犯者进行指控，常在案件提交法院之前撤回起诉。到目前为止，没有涉及对移民妇女的暴力案件在法院审议，因此也没有可用的统计数字。虽然如此，国家资助的庇护所提供了安全环境使当局可以和受害人开展建设性对话。越来越多的移民妇女来这些庇护所寻求避难，她们之中有许多人和孩子一起来。在这方面，将于</w:t>
      </w:r>
      <w:r>
        <w:rPr>
          <w:rFonts w:hint="eastAsia"/>
        </w:rPr>
        <w:t>2003</w:t>
      </w:r>
      <w:r>
        <w:rPr>
          <w:rFonts w:hint="eastAsia"/>
        </w:rPr>
        <w:t>年</w:t>
      </w:r>
      <w:r>
        <w:rPr>
          <w:rFonts w:hint="eastAsia"/>
        </w:rPr>
        <w:t>10</w:t>
      </w:r>
      <w:r>
        <w:rPr>
          <w:rFonts w:hint="eastAsia"/>
        </w:rPr>
        <w:t>月采用的禁止家庭暴力的第二行动计划会包含针对孩子的特定条款。该行动计划还将集中精力改善那些专门处理移民妇女所面临问题的人员的培训。</w:t>
      </w:r>
    </w:p>
    <w:p w:rsidR="006323A0" w:rsidRDefault="006323A0">
      <w:pPr>
        <w:tabs>
          <w:tab w:val="left" w:pos="420"/>
        </w:tabs>
        <w:spacing w:after="140" w:line="320" w:lineRule="exact"/>
        <w:rPr>
          <w:rFonts w:hint="eastAsia"/>
        </w:rPr>
      </w:pPr>
      <w:r>
        <w:rPr>
          <w:rFonts w:hint="eastAsia"/>
        </w:rPr>
        <w:t>33</w:t>
      </w:r>
      <w:r>
        <w:rPr>
          <w:rFonts w:hint="eastAsia"/>
        </w:rPr>
        <w:t>．</w:t>
      </w:r>
      <w:r>
        <w:rPr>
          <w:rFonts w:eastAsia="SimHei" w:hint="eastAsia"/>
          <w:b/>
          <w:color w:val="FF0000"/>
        </w:rPr>
        <w:t>Wille</w:t>
      </w:r>
      <w:r>
        <w:rPr>
          <w:rFonts w:eastAsia="SimHei" w:hint="eastAsia"/>
          <w:color w:val="FF0000"/>
        </w:rPr>
        <w:t>先生</w:t>
      </w:r>
      <w:r>
        <w:rPr>
          <w:rFonts w:hint="eastAsia"/>
        </w:rPr>
        <w:t>（挪威）说，挪威的移民条例载有针对家庭暴力受害女性的特定条款，特别是其获得独立居住许可的权利。而且，在该领域对避难者接待中心的工作人员进行了特别培训，为单身女性提供隔离住宿。提到发展政策，他指出</w:t>
      </w:r>
      <w:r>
        <w:rPr>
          <w:rFonts w:hint="eastAsia"/>
        </w:rPr>
        <w:t>1999</w:t>
      </w:r>
      <w:r>
        <w:rPr>
          <w:rFonts w:hint="eastAsia"/>
        </w:rPr>
        <w:t>年通过的政府人权行动计划包含</w:t>
      </w:r>
      <w:r>
        <w:rPr>
          <w:rFonts w:hint="eastAsia"/>
        </w:rPr>
        <w:t>300</w:t>
      </w:r>
      <w:r>
        <w:rPr>
          <w:rFonts w:hint="eastAsia"/>
        </w:rPr>
        <w:t>多项旨在国内和国际层面促进人权发展的措施。虽然国内措施享有优先权，但发展合作政策也的确是一系列国际措施的重要组成部分，将性别观点纳入主流是挪威发展政策的主要部分。</w:t>
      </w:r>
    </w:p>
    <w:p w:rsidR="006323A0" w:rsidRDefault="006323A0">
      <w:pPr>
        <w:tabs>
          <w:tab w:val="left" w:pos="420"/>
        </w:tabs>
        <w:spacing w:after="140" w:line="320" w:lineRule="exact"/>
        <w:rPr>
          <w:rFonts w:hint="eastAsia"/>
        </w:rPr>
      </w:pPr>
      <w:r>
        <w:rPr>
          <w:rFonts w:hint="eastAsia"/>
        </w:rPr>
        <w:t>34.</w:t>
      </w:r>
      <w:r>
        <w:rPr>
          <w:rFonts w:hint="eastAsia"/>
        </w:rPr>
        <w:tab/>
      </w:r>
      <w:r>
        <w:rPr>
          <w:rFonts w:eastAsia="SimHei" w:hint="eastAsia"/>
          <w:b/>
          <w:color w:val="FF0000"/>
        </w:rPr>
        <w:t>Hole</w:t>
      </w:r>
      <w:r>
        <w:rPr>
          <w:rFonts w:eastAsia="SimHei" w:hint="eastAsia"/>
          <w:color w:val="FF0000"/>
        </w:rPr>
        <w:t>女士</w:t>
      </w:r>
      <w:r>
        <w:rPr>
          <w:rFonts w:hint="eastAsia"/>
        </w:rPr>
        <w:t>（挪威）说，最近一次有关公共场所内性别身份的会议集中关注了男孩子的角色。当前只有</w:t>
      </w:r>
      <w:r>
        <w:rPr>
          <w:rFonts w:hint="eastAsia"/>
        </w:rPr>
        <w:t>8%</w:t>
      </w:r>
      <w:r>
        <w:rPr>
          <w:rFonts w:hint="eastAsia"/>
        </w:rPr>
        <w:t>的受训学前教师是男性，因此，考虑到在学前环境中提供两种性别角色模型的重要性，已发起运动鼓励更多的男性加入这一特殊职业。挪威的市镇和郡在两性平等领域采取的行动由《两性平等指标》衡量。另外，这些市镇和郡必须遵守《性别平等法》，包括履行提交报告的责任。</w:t>
      </w:r>
      <w:r>
        <w:rPr>
          <w:rFonts w:hint="eastAsia"/>
        </w:rPr>
        <w:t>2003</w:t>
      </w:r>
      <w:r>
        <w:rPr>
          <w:rFonts w:hint="eastAsia"/>
        </w:rPr>
        <w:t>年政府鼓励郡督熟悉《性别平等法》的新的修正案及其含义。</w:t>
      </w:r>
    </w:p>
    <w:p w:rsidR="006323A0" w:rsidRDefault="006323A0">
      <w:pPr>
        <w:tabs>
          <w:tab w:val="left" w:pos="420"/>
        </w:tabs>
        <w:spacing w:after="140" w:line="320" w:lineRule="exact"/>
        <w:rPr>
          <w:rFonts w:hint="eastAsia"/>
        </w:rPr>
      </w:pPr>
      <w:r>
        <w:rPr>
          <w:rFonts w:hint="eastAsia"/>
        </w:rPr>
        <w:t>35</w:t>
      </w:r>
      <w:r>
        <w:rPr>
          <w:rFonts w:hint="eastAsia"/>
        </w:rPr>
        <w:t>．</w:t>
      </w:r>
      <w:r>
        <w:rPr>
          <w:rFonts w:eastAsia="SimHei" w:hint="eastAsia"/>
          <w:b/>
          <w:color w:val="FF0000"/>
        </w:rPr>
        <w:t>Wille</w:t>
      </w:r>
      <w:r>
        <w:rPr>
          <w:rFonts w:eastAsia="SimHei" w:hint="eastAsia"/>
          <w:color w:val="FF0000"/>
        </w:rPr>
        <w:t>先生</w:t>
      </w:r>
      <w:r>
        <w:rPr>
          <w:rFonts w:hint="eastAsia"/>
        </w:rPr>
        <w:t>（挪威）说，作为向种族主义、种族歧视、仇外心理和有关不容忍进行战斗世界会议的后续行动，已制订了</w:t>
      </w:r>
      <w:r>
        <w:rPr>
          <w:rFonts w:hint="eastAsia"/>
        </w:rPr>
        <w:t>2002</w:t>
      </w:r>
      <w:r>
        <w:rPr>
          <w:rFonts w:hint="eastAsia"/>
        </w:rPr>
        <w:t>年反对种族主义和歧视的行动计划，该计划特别集中精力与存在于工作、公营部门、教育体系及英特网上的种族主义进行斗争。另外，一个委员会已受命调查加强反对种族主义的法律保护的方法，并起草了一份报告。该报告载有制定禁止种族歧视的新法律、把《消除一切形式种族歧视国际公约》纳入国内法律及禁止有组织的种族主义行动的提议。在这方面，具体的提议有望在</w:t>
      </w:r>
      <w:r>
        <w:rPr>
          <w:rFonts w:hint="eastAsia"/>
        </w:rPr>
        <w:t>2003</w:t>
      </w:r>
      <w:r>
        <w:rPr>
          <w:rFonts w:hint="eastAsia"/>
        </w:rPr>
        <w:t>年年底制订完成。</w:t>
      </w:r>
    </w:p>
    <w:p w:rsidR="006323A0" w:rsidRDefault="006323A0">
      <w:pPr>
        <w:tabs>
          <w:tab w:val="left" w:pos="420"/>
        </w:tabs>
        <w:spacing w:after="140" w:line="320" w:lineRule="exact"/>
        <w:rPr>
          <w:rFonts w:hint="eastAsia"/>
        </w:rPr>
      </w:pPr>
      <w:r>
        <w:rPr>
          <w:rFonts w:hint="eastAsia"/>
        </w:rPr>
        <w:t>36</w:t>
      </w:r>
      <w:r>
        <w:rPr>
          <w:rFonts w:hint="eastAsia"/>
        </w:rPr>
        <w:t>．</w:t>
      </w:r>
      <w:r>
        <w:rPr>
          <w:rFonts w:eastAsia="SimHei" w:hint="eastAsia"/>
          <w:b/>
          <w:color w:val="FF0000"/>
        </w:rPr>
        <w:t>Hole</w:t>
      </w:r>
      <w:r>
        <w:rPr>
          <w:rFonts w:eastAsia="SimHei" w:hint="eastAsia"/>
          <w:color w:val="FF0000"/>
        </w:rPr>
        <w:t>女士</w:t>
      </w:r>
      <w:r>
        <w:rPr>
          <w:rFonts w:hint="eastAsia"/>
        </w:rPr>
        <w:t>（挪威）说，国内判例法很少援引《公约》，因此，提高公众及法律工作者对它的存在的认识很重要。不过，最近两性平等监察员在相关情况下以它为标准，在涉及到学校教科书中的性别定型观念，妇女节育开支及运用积极的区别待遇以填充高等教育职位问题时更是如此。</w:t>
      </w:r>
    </w:p>
    <w:p w:rsidR="006323A0" w:rsidRDefault="006323A0">
      <w:pPr>
        <w:tabs>
          <w:tab w:val="left" w:pos="420"/>
        </w:tabs>
        <w:spacing w:after="140" w:line="320" w:lineRule="exact"/>
        <w:rPr>
          <w:rFonts w:hint="eastAsia"/>
        </w:rPr>
      </w:pPr>
      <w:r>
        <w:rPr>
          <w:rFonts w:hint="eastAsia"/>
        </w:rPr>
        <w:t>37</w:t>
      </w:r>
      <w:r>
        <w:rPr>
          <w:rFonts w:hint="eastAsia"/>
        </w:rPr>
        <w:t>．</w:t>
      </w:r>
      <w:r>
        <w:rPr>
          <w:rFonts w:eastAsia="SimHei" w:hint="eastAsia"/>
          <w:b/>
          <w:color w:val="FF0000"/>
        </w:rPr>
        <w:t>Shin</w:t>
      </w:r>
      <w:r>
        <w:rPr>
          <w:rFonts w:eastAsia="SimHei" w:hint="eastAsia"/>
          <w:color w:val="FF0000"/>
        </w:rPr>
        <w:t>女士</w:t>
      </w:r>
      <w:r>
        <w:rPr>
          <w:rFonts w:hint="eastAsia"/>
        </w:rPr>
        <w:t>想知道现在当局是否为暴力受害者提供更多的人身警报。报告国应指明政府是否设想对向妇女施暴的男性迫害者实施强制性的改造措施，以及消除暴力中心是否在成功运作。关于法律问题，她希望了解报告国是否采用了关于家庭暴力的特定法律，以及目前婚姻强奸是否可以依照法律受到惩罚。性别定型观念仍存在于挪威社会之中。男性和女性分担的家庭责任不等，在学校学习科目的选择上仍存在着差异。政府是否已制定措施来处理这些问题以及是否已开展研究来调查男性和女性在儿童抚养上所花的时间，如能知道这些信息，委员会将会很感激。</w:t>
      </w:r>
    </w:p>
    <w:p w:rsidR="006323A0" w:rsidRDefault="006323A0">
      <w:pPr>
        <w:tabs>
          <w:tab w:val="left" w:pos="420"/>
        </w:tabs>
        <w:spacing w:after="140" w:line="320" w:lineRule="exact"/>
        <w:rPr>
          <w:rFonts w:hint="eastAsia"/>
        </w:rPr>
      </w:pPr>
      <w:r>
        <w:rPr>
          <w:rFonts w:hint="eastAsia"/>
        </w:rPr>
        <w:t>38</w:t>
      </w:r>
      <w:r>
        <w:rPr>
          <w:rFonts w:hint="eastAsia"/>
        </w:rPr>
        <w:t>．</w:t>
      </w:r>
      <w:r>
        <w:rPr>
          <w:rFonts w:eastAsia="SimHei" w:hint="eastAsia"/>
          <w:color w:val="FF0000"/>
        </w:rPr>
        <w:t>主席</w:t>
      </w:r>
      <w:r>
        <w:rPr>
          <w:rFonts w:hint="eastAsia"/>
        </w:rPr>
        <w:t>以个人身份发言，她赞赏挪威在两性平等和提高妇女地位两方面所做出的贡献。她注意到工资上的性别差异已缩小，并且妇女在国家政治生活中也变得非常引入注目。但是，挪威妇女强加给自己事业的限制令她迷惑；就她个人经验而言，在谈到职业抱负时，她们常常有所保留，而且不优先考虑她们的事业。在这方面，她希望知道政府是否在采取行动来应对这种情况。</w:t>
      </w:r>
    </w:p>
    <w:p w:rsidR="006323A0" w:rsidRDefault="006323A0">
      <w:pPr>
        <w:tabs>
          <w:tab w:val="left" w:pos="420"/>
        </w:tabs>
        <w:spacing w:after="140" w:line="330" w:lineRule="exact"/>
        <w:rPr>
          <w:rFonts w:hint="eastAsia"/>
        </w:rPr>
      </w:pPr>
      <w:r>
        <w:rPr>
          <w:rFonts w:hint="eastAsia"/>
        </w:rPr>
        <w:t>39</w:t>
      </w:r>
      <w:r>
        <w:rPr>
          <w:rFonts w:hint="eastAsia"/>
        </w:rPr>
        <w:t>．</w:t>
      </w:r>
      <w:r>
        <w:rPr>
          <w:rFonts w:eastAsia="SimHei" w:hint="eastAsia"/>
          <w:b/>
          <w:color w:val="FF0000"/>
        </w:rPr>
        <w:t>Gonz</w:t>
      </w:r>
      <w:r>
        <w:rPr>
          <w:rFonts w:eastAsia="SimHei"/>
          <w:b/>
          <w:color w:val="FF0000"/>
        </w:rPr>
        <w:t>á</w:t>
      </w:r>
      <w:r>
        <w:rPr>
          <w:rFonts w:eastAsia="SimHei" w:hint="eastAsia"/>
          <w:b/>
          <w:color w:val="FF0000"/>
        </w:rPr>
        <w:t>lez Mart</w:t>
      </w:r>
      <w:r>
        <w:rPr>
          <w:rFonts w:eastAsia="SimHei"/>
          <w:b/>
          <w:color w:val="FF0000"/>
        </w:rPr>
        <w:t>í</w:t>
      </w:r>
      <w:r>
        <w:rPr>
          <w:rFonts w:eastAsia="SimHei" w:hint="eastAsia"/>
          <w:b/>
          <w:color w:val="FF0000"/>
        </w:rPr>
        <w:t>nez</w:t>
      </w:r>
      <w:r>
        <w:rPr>
          <w:rFonts w:eastAsia="SimHei" w:hint="eastAsia"/>
          <w:color w:val="FF0000"/>
        </w:rPr>
        <w:t>女士</w:t>
      </w:r>
      <w:r>
        <w:rPr>
          <w:rFonts w:hint="eastAsia"/>
        </w:rPr>
        <w:t>想知道为什么报告国未能对包含在议题单</w:t>
      </w:r>
      <w:r>
        <w:t>(</w:t>
      </w:r>
      <w:r>
        <w:rPr>
          <w:rFonts w:hint="eastAsia"/>
        </w:rPr>
        <w:t>CEDAW/PSWG/2003/I/CRP.1/</w:t>
      </w:r>
      <w:r>
        <w:t xml:space="preserve"> </w:t>
      </w:r>
      <w:r>
        <w:rPr>
          <w:rFonts w:hint="eastAsia"/>
        </w:rPr>
        <w:t>Add.5</w:t>
      </w:r>
      <w:r>
        <w:t>）</w:t>
      </w:r>
      <w:r>
        <w:rPr>
          <w:rFonts w:hint="eastAsia"/>
        </w:rPr>
        <w:t>之内的问题</w:t>
      </w:r>
      <w:r>
        <w:rPr>
          <w:rFonts w:hint="eastAsia"/>
        </w:rPr>
        <w:t>31</w:t>
      </w:r>
      <w:r>
        <w:rPr>
          <w:rFonts w:hint="eastAsia"/>
        </w:rPr>
        <w:t>至</w:t>
      </w:r>
      <w:r>
        <w:rPr>
          <w:rFonts w:hint="eastAsia"/>
        </w:rPr>
        <w:t>35</w:t>
      </w:r>
      <w:r>
        <w:rPr>
          <w:rFonts w:hint="eastAsia"/>
        </w:rPr>
        <w:t>做出答复。挪威的《刑法典》中缺少贩卖妇女和儿童的明确定义，这与《禁止跨国有组织犯罪公约》及其《任择议定书》的目的和意图相抵触，她对此表示关注。令人难以置信的是在这样一个先进的社会内，家庭暴力仍被当作一个禁忌话题，一个私人问题。委员会没有收到任何有关开展教育和提高认识活动使公众注意到这种现象的社会意义的信息。她想知道挪威是否曾有过对儿童和老人施暴的例子。</w:t>
      </w:r>
    </w:p>
    <w:p w:rsidR="006323A0" w:rsidRDefault="006323A0">
      <w:pPr>
        <w:tabs>
          <w:tab w:val="left" w:pos="420"/>
        </w:tabs>
        <w:spacing w:after="140" w:line="320" w:lineRule="exact"/>
        <w:rPr>
          <w:rFonts w:hint="eastAsia"/>
        </w:rPr>
      </w:pPr>
      <w:r>
        <w:rPr>
          <w:rFonts w:hint="eastAsia"/>
        </w:rPr>
        <w:t>40</w:t>
      </w:r>
      <w:r>
        <w:rPr>
          <w:rFonts w:hint="eastAsia"/>
        </w:rPr>
        <w:t>．</w:t>
      </w:r>
      <w:r>
        <w:rPr>
          <w:rFonts w:eastAsia="SimHei" w:hint="eastAsia"/>
          <w:b/>
          <w:color w:val="FF0000"/>
        </w:rPr>
        <w:t>Morvai</w:t>
      </w:r>
      <w:r>
        <w:rPr>
          <w:rFonts w:eastAsia="SimHei" w:hint="eastAsia"/>
          <w:color w:val="FF0000"/>
        </w:rPr>
        <w:t>女士</w:t>
      </w:r>
      <w:r>
        <w:rPr>
          <w:rFonts w:hint="eastAsia"/>
        </w:rPr>
        <w:t>督促报告国把《公约》正式纳入到国内法律之中。目前，挪威的法律内看不到《公约》的条款，因此，这些条款不会被法官或者其他法律工作者按照常规援引。关于提高妇女地位的国家机构，她希望知道为什么负责性别议题的部的名字内没有提到“性别”一词或“妇女”一词。关于象征信息的重要性，她强调说，把妇女议题包含在名为“儿童和家庭事务部”的部门工作范围之内，暗示妇女拥有权利是因为她们是母亲或家庭的一员，并不是因为她们是独立的个体，这会助长强化性别的定型观念。</w:t>
      </w:r>
    </w:p>
    <w:p w:rsidR="006323A0" w:rsidRDefault="006323A0">
      <w:pPr>
        <w:tabs>
          <w:tab w:val="left" w:pos="420"/>
        </w:tabs>
        <w:spacing w:after="140" w:line="320" w:lineRule="exact"/>
        <w:rPr>
          <w:rFonts w:hint="eastAsia"/>
        </w:rPr>
      </w:pPr>
      <w:r>
        <w:rPr>
          <w:rFonts w:hint="eastAsia"/>
        </w:rPr>
        <w:t>41</w:t>
      </w:r>
      <w:r>
        <w:rPr>
          <w:rFonts w:hint="eastAsia"/>
        </w:rPr>
        <w:t>．</w:t>
      </w:r>
      <w:r>
        <w:rPr>
          <w:rFonts w:eastAsia="SimHei" w:hint="eastAsia"/>
          <w:b/>
          <w:color w:val="FF0000"/>
        </w:rPr>
        <w:t>Gaspard</w:t>
      </w:r>
      <w:r>
        <w:rPr>
          <w:rFonts w:eastAsia="SimHei" w:hint="eastAsia"/>
          <w:color w:val="FF0000"/>
        </w:rPr>
        <w:t>女士</w:t>
      </w:r>
      <w:r>
        <w:rPr>
          <w:rFonts w:hint="eastAsia"/>
        </w:rPr>
        <w:t>注意到尽管挪威很长时期以来一直在促进两性平等，但该领域内仍存在着一定的阻力。她询问把性别平等观点纳入预算草案的计划是否取得了进展，她希望知道从这个角度来看对预算进行审核时采用的是什么标准。</w:t>
      </w:r>
    </w:p>
    <w:p w:rsidR="006323A0" w:rsidRDefault="006323A0">
      <w:pPr>
        <w:tabs>
          <w:tab w:val="left" w:pos="420"/>
        </w:tabs>
        <w:spacing w:after="140" w:line="320" w:lineRule="exact"/>
        <w:rPr>
          <w:rFonts w:hint="eastAsia"/>
        </w:rPr>
      </w:pPr>
      <w:r>
        <w:rPr>
          <w:rFonts w:hint="eastAsia"/>
        </w:rPr>
        <w:t>42</w:t>
      </w:r>
      <w:r>
        <w:rPr>
          <w:rFonts w:hint="eastAsia"/>
        </w:rPr>
        <w:t>．关于在地方和区域层面上从性别观点进行的政策审议的综合情况，她指出与歧视作斗争的最有效方式是在基层采取行动。欧洲的最近一份研究表明，相对来说，地方政府官员关于两性平等政策的信息并不灵通。在这方面，按照两性平等程度把挪威的</w:t>
      </w:r>
      <w:r>
        <w:rPr>
          <w:rFonts w:hint="eastAsia"/>
        </w:rPr>
        <w:t>435</w:t>
      </w:r>
      <w:r>
        <w:rPr>
          <w:rFonts w:hint="eastAsia"/>
        </w:rPr>
        <w:t>个市镇进行排列的标准之中没有包括负责两性平等的市政办公室或委员会，对此她表示吃惊。她问，这是否是因为每个市镇都有一个这样的机构。她还感到吃惊的是，自治市如何处理对妇女的暴力议题并没有得到阐明。女性在地区管理方面参与率低值得关注，考虑到总体而言女性在地区级别比在国家级别会更容易当选这样一个事实，情况就更是如此。如果能知道新的《市政选举法》是否会改善这种情况的话，她会非常感激。</w:t>
      </w:r>
    </w:p>
    <w:p w:rsidR="006323A0" w:rsidRDefault="006323A0">
      <w:pPr>
        <w:tabs>
          <w:tab w:val="left" w:pos="420"/>
        </w:tabs>
        <w:spacing w:after="140" w:line="330" w:lineRule="exact"/>
        <w:rPr>
          <w:rFonts w:hint="eastAsia"/>
        </w:rPr>
      </w:pPr>
      <w:r>
        <w:rPr>
          <w:rFonts w:hint="eastAsia"/>
        </w:rPr>
        <w:t>43</w:t>
      </w:r>
      <w:r>
        <w:rPr>
          <w:rFonts w:hint="eastAsia"/>
        </w:rPr>
        <w:t>．</w:t>
      </w:r>
      <w:r>
        <w:rPr>
          <w:rFonts w:eastAsia="SimHei"/>
          <w:b/>
          <w:color w:val="FF0000"/>
        </w:rPr>
        <w:t>Š</w:t>
      </w:r>
      <w:r>
        <w:rPr>
          <w:rFonts w:eastAsia="SimHei" w:hint="eastAsia"/>
          <w:b/>
          <w:color w:val="FF0000"/>
        </w:rPr>
        <w:t>imonovic</w:t>
      </w:r>
      <w:r>
        <w:rPr>
          <w:rFonts w:eastAsia="SimHei" w:hint="eastAsia"/>
          <w:color w:val="FF0000"/>
        </w:rPr>
        <w:t>女士</w:t>
      </w:r>
      <w:r>
        <w:rPr>
          <w:rFonts w:hint="eastAsia"/>
        </w:rPr>
        <w:t>想知道为什么看起来好像第五次定期报告和第六次定期报告的编制工作有所不同，在所含附录方面更是如此，附录包括来自非政府组织和两性平等监察员的附加评论。她还想知道报告是否已被政府和</w:t>
      </w:r>
      <w:r>
        <w:rPr>
          <w:rFonts w:hint="eastAsia"/>
        </w:rPr>
        <w:t>/</w:t>
      </w:r>
      <w:r>
        <w:rPr>
          <w:rFonts w:hint="eastAsia"/>
        </w:rPr>
        <w:t>或儿童和家庭事务部批准。关于第</w:t>
      </w:r>
      <w:r>
        <w:rPr>
          <w:rFonts w:hint="eastAsia"/>
        </w:rPr>
        <w:t>3</w:t>
      </w:r>
      <w:r>
        <w:rPr>
          <w:rFonts w:hint="eastAsia"/>
        </w:rPr>
        <w:t>条，她询问是否已有措施付诸实施来把《公约》和《任择议定书》纳入挪威法律之中。妇女的工作条件，特别是怀孕妇女的工作条件、《性别平等法》带来的变化，还有针对暴力迫害者的监禁命令的适用，特别是这种命令是否可适用于同居情况，委员会很欢迎获取有关这几个方面的更多信息。</w:t>
      </w:r>
    </w:p>
    <w:p w:rsidR="006323A0" w:rsidRDefault="006323A0">
      <w:pPr>
        <w:tabs>
          <w:tab w:val="left" w:pos="420"/>
        </w:tabs>
        <w:spacing w:after="140" w:line="320" w:lineRule="exact"/>
        <w:rPr>
          <w:rFonts w:hint="eastAsia"/>
        </w:rPr>
      </w:pPr>
      <w:r>
        <w:rPr>
          <w:rFonts w:hint="eastAsia"/>
        </w:rPr>
        <w:t>44</w:t>
      </w:r>
      <w:r>
        <w:rPr>
          <w:rFonts w:hint="eastAsia"/>
        </w:rPr>
        <w:t>．</w:t>
      </w:r>
      <w:r>
        <w:rPr>
          <w:rFonts w:eastAsia="SimHei" w:hint="eastAsia"/>
          <w:b/>
          <w:color w:val="FF0000"/>
        </w:rPr>
        <w:t>Wille</w:t>
      </w:r>
      <w:r>
        <w:rPr>
          <w:rFonts w:eastAsia="SimHei" w:hint="eastAsia"/>
          <w:color w:val="FF0000"/>
        </w:rPr>
        <w:t>先生</w:t>
      </w:r>
      <w:r>
        <w:rPr>
          <w:rFonts w:hint="eastAsia"/>
        </w:rPr>
        <w:t>（挪威）在提及把《公约》和《任择议定书》的条款纳入挪威法律时说，为了保持规范的一致性，已审核了法律使其与这些协定保持一致。当然把国际协定纳入到国内法律之中会提高它们的可见性，并使其便于在法庭上被援引。在国际协定与国内法律有冲突的情况下，挪威的人权法给予《公约》优先权。</w:t>
      </w:r>
    </w:p>
    <w:p w:rsidR="006323A0" w:rsidRDefault="006323A0">
      <w:pPr>
        <w:tabs>
          <w:tab w:val="left" w:pos="420"/>
        </w:tabs>
        <w:spacing w:after="140" w:line="320" w:lineRule="exact"/>
        <w:rPr>
          <w:rFonts w:hint="eastAsia"/>
        </w:rPr>
      </w:pPr>
      <w:r>
        <w:rPr>
          <w:rFonts w:hint="eastAsia"/>
        </w:rPr>
        <w:t>45</w:t>
      </w:r>
      <w:r>
        <w:rPr>
          <w:rFonts w:hint="eastAsia"/>
        </w:rPr>
        <w:t>．</w:t>
      </w:r>
      <w:r>
        <w:rPr>
          <w:rFonts w:eastAsia="SimHei" w:hint="eastAsia"/>
          <w:b/>
          <w:color w:val="FF0000"/>
        </w:rPr>
        <w:t>Hole</w:t>
      </w:r>
      <w:r>
        <w:rPr>
          <w:rFonts w:eastAsia="SimHei" w:hint="eastAsia"/>
          <w:color w:val="FF0000"/>
        </w:rPr>
        <w:t>女士</w:t>
      </w:r>
      <w:r>
        <w:rPr>
          <w:rFonts w:hint="eastAsia"/>
        </w:rPr>
        <w:t>（挪威）在提及对妇女和儿童的暴力问题时说，已经深入研究了男性在此类暴力事件中的角色，</w:t>
      </w:r>
      <w:r>
        <w:rPr>
          <w:rFonts w:hint="eastAsia"/>
        </w:rPr>
        <w:t>2003</w:t>
      </w:r>
      <w:r>
        <w:rPr>
          <w:rFonts w:hint="eastAsia"/>
        </w:rPr>
        <w:t>年</w:t>
      </w:r>
      <w:r>
        <w:rPr>
          <w:rFonts w:hint="eastAsia"/>
        </w:rPr>
        <w:t>6</w:t>
      </w:r>
      <w:r>
        <w:rPr>
          <w:rFonts w:hint="eastAsia"/>
        </w:rPr>
        <w:t>月将向议会提交一份关于包括同居在内的家庭生活各个方面的白皮书，这个白皮书能引起新的法律主动行动和</w:t>
      </w:r>
      <w:r>
        <w:rPr>
          <w:rFonts w:hint="eastAsia"/>
        </w:rPr>
        <w:t>/</w:t>
      </w:r>
      <w:r>
        <w:rPr>
          <w:rFonts w:hint="eastAsia"/>
        </w:rPr>
        <w:t>或纠正歧视措施。该文件代表性别问题首次被纳入到主要政策文件的主流之中。挪威政府为三个男性组织和一个消除暴力中心提供资金支持，也会资助将于秋季开设的男性中心；《儿童法》也在审核之中。她指出虽然还没就要求施暴男性接受咨询的可能性进行讨论，但自愿要求到消除暴力中心寻求帮助的男性人数已加倍。</w:t>
      </w:r>
    </w:p>
    <w:p w:rsidR="006323A0" w:rsidRDefault="006323A0">
      <w:pPr>
        <w:tabs>
          <w:tab w:val="left" w:pos="420"/>
        </w:tabs>
        <w:spacing w:after="140" w:line="320" w:lineRule="exact"/>
        <w:rPr>
          <w:rFonts w:hint="eastAsia"/>
        </w:rPr>
      </w:pPr>
      <w:r>
        <w:rPr>
          <w:rFonts w:hint="eastAsia"/>
        </w:rPr>
        <w:t>46</w:t>
      </w:r>
      <w:r>
        <w:rPr>
          <w:rFonts w:hint="eastAsia"/>
        </w:rPr>
        <w:t>．消费者监察员办公室和两性平等监察员合作，对广告、媒体和学校课程中的性别偏见进行监察，存在于媒体内的性别偏见可能也要划入两性平等监察员负责范围之内。关于角色模型的许多研究已在进行之中，关于男性和女性在家庭和工作上分担角色程度及现金福利金方案的效果的统计数字也在编辑之中。关于儿童和家庭事务部的名称问题，她说把两性平等加到它的官方名称之中的想法已经过讨论并会推荐给首相。</w:t>
      </w:r>
    </w:p>
    <w:p w:rsidR="006323A0" w:rsidRDefault="006323A0">
      <w:pPr>
        <w:tabs>
          <w:tab w:val="left" w:pos="420"/>
        </w:tabs>
        <w:spacing w:after="140" w:line="336" w:lineRule="exact"/>
        <w:rPr>
          <w:rFonts w:hint="eastAsia"/>
        </w:rPr>
      </w:pPr>
      <w:r>
        <w:rPr>
          <w:rFonts w:hint="eastAsia"/>
        </w:rPr>
        <w:t>47</w:t>
      </w:r>
      <w:r>
        <w:rPr>
          <w:rFonts w:hint="eastAsia"/>
        </w:rPr>
        <w:t>．关于挪威性别政策、法律及资助性别议题的实际效果问题，她说按性别分列的数据已被所有的部门收集，高级官员定期会面来回顾所取得的进步并为立法者提供建议。已促进了关于性别话题的研究，这些进步常常在与国际伙伴的合作之中实现。她承认在某些领域挪威是领先者，但是在谈及将资助性别观点纳入主流问题时挪威并不处于最前列。</w:t>
      </w:r>
    </w:p>
    <w:p w:rsidR="006323A0" w:rsidRDefault="006323A0">
      <w:pPr>
        <w:tabs>
          <w:tab w:val="left" w:pos="420"/>
        </w:tabs>
        <w:spacing w:after="140" w:line="320" w:lineRule="exact"/>
        <w:rPr>
          <w:rFonts w:hint="eastAsia"/>
        </w:rPr>
      </w:pPr>
      <w:r>
        <w:rPr>
          <w:rFonts w:hint="eastAsia"/>
        </w:rPr>
        <w:t>48</w:t>
      </w:r>
      <w:r>
        <w:rPr>
          <w:rFonts w:hint="eastAsia"/>
        </w:rPr>
        <w:t>．她同意最有效的方案常常是在基层运行，并且她说两年一次的挪威市镇会议处理提高性别认识的议题。提高性别认识的培训不再由联邦政府资助，其结果就是，一些市镇令人遗憾地放弃了这些方案。一些地方官员对妇女议题明显缺乏兴趣，对此她感到不安，她期望《性别平等法》生效，该法案要求提供关于性别议题的年度报告，她希望这会对地方官员是一种激励。</w:t>
      </w:r>
    </w:p>
    <w:p w:rsidR="006323A0" w:rsidRDefault="006323A0">
      <w:pPr>
        <w:tabs>
          <w:tab w:val="left" w:pos="420"/>
        </w:tabs>
        <w:spacing w:after="140" w:line="320" w:lineRule="exact"/>
        <w:rPr>
          <w:rFonts w:hint="eastAsia"/>
        </w:rPr>
      </w:pPr>
      <w:r>
        <w:rPr>
          <w:rFonts w:hint="eastAsia"/>
        </w:rPr>
        <w:t>49</w:t>
      </w:r>
      <w:r>
        <w:rPr>
          <w:rFonts w:hint="eastAsia"/>
        </w:rPr>
        <w:t>．</w:t>
      </w:r>
      <w:r>
        <w:rPr>
          <w:rFonts w:eastAsia="SimHei" w:hint="eastAsia"/>
          <w:b/>
          <w:color w:val="FF0000"/>
        </w:rPr>
        <w:t>Wille</w:t>
      </w:r>
      <w:r>
        <w:rPr>
          <w:rFonts w:eastAsia="SimHei" w:hint="eastAsia"/>
          <w:color w:val="FF0000"/>
        </w:rPr>
        <w:t>先生</w:t>
      </w:r>
      <w:r>
        <w:rPr>
          <w:rFonts w:hint="eastAsia"/>
        </w:rPr>
        <w:t>(</w:t>
      </w:r>
      <w:r>
        <w:rPr>
          <w:rFonts w:hint="eastAsia"/>
        </w:rPr>
        <w:t>挪威</w:t>
      </w:r>
      <w:r>
        <w:rPr>
          <w:rFonts w:hint="eastAsia"/>
        </w:rPr>
        <w:t>)</w:t>
      </w:r>
      <w:r>
        <w:rPr>
          <w:rFonts w:hint="eastAsia"/>
        </w:rPr>
        <w:t>补充说，将近</w:t>
      </w:r>
      <w:r>
        <w:rPr>
          <w:rFonts w:hint="eastAsia"/>
        </w:rPr>
        <w:t>34%</w:t>
      </w:r>
      <w:r>
        <w:rPr>
          <w:rFonts w:hint="eastAsia"/>
        </w:rPr>
        <w:t>的地方官员和</w:t>
      </w:r>
      <w:r>
        <w:rPr>
          <w:rFonts w:hint="eastAsia"/>
        </w:rPr>
        <w:t>31%</w:t>
      </w:r>
      <w:r>
        <w:rPr>
          <w:rFonts w:hint="eastAsia"/>
        </w:rPr>
        <w:t>的郡级官员是女性，这两个级别上女市长所占的百分比要稍微低一些。关于婚姻强奸，他说确实可以依照法律对这种罪行进行惩罚。</w:t>
      </w:r>
    </w:p>
    <w:p w:rsidR="006323A0" w:rsidRDefault="006323A0">
      <w:pPr>
        <w:tabs>
          <w:tab w:val="left" w:pos="420"/>
        </w:tabs>
        <w:spacing w:after="140" w:line="320" w:lineRule="exact"/>
        <w:rPr>
          <w:rFonts w:hint="eastAsia"/>
        </w:rPr>
      </w:pPr>
      <w:r>
        <w:rPr>
          <w:rFonts w:hint="eastAsia"/>
        </w:rPr>
        <w:t>50</w:t>
      </w:r>
      <w:r>
        <w:rPr>
          <w:rFonts w:hint="eastAsia"/>
        </w:rPr>
        <w:t>．</w:t>
      </w:r>
      <w:r>
        <w:rPr>
          <w:rFonts w:hint="eastAsia"/>
        </w:rPr>
        <w:t xml:space="preserve"> </w:t>
      </w:r>
      <w:r>
        <w:rPr>
          <w:rFonts w:eastAsia="SimHei" w:hint="eastAsia"/>
          <w:b/>
          <w:color w:val="FF0000"/>
        </w:rPr>
        <w:t>Hole</w:t>
      </w:r>
      <w:r>
        <w:rPr>
          <w:rFonts w:eastAsia="SimHei" w:hint="eastAsia"/>
          <w:color w:val="FF0000"/>
        </w:rPr>
        <w:t>女士</w:t>
      </w:r>
      <w:r>
        <w:rPr>
          <w:rFonts w:hint="eastAsia"/>
        </w:rPr>
        <w:t>(</w:t>
      </w:r>
      <w:r>
        <w:rPr>
          <w:rFonts w:hint="eastAsia"/>
        </w:rPr>
        <w:t>挪威</w:t>
      </w:r>
      <w:r>
        <w:rPr>
          <w:rFonts w:hint="eastAsia"/>
        </w:rPr>
        <w:t>)</w:t>
      </w:r>
      <w:r>
        <w:rPr>
          <w:rFonts w:hint="eastAsia"/>
        </w:rPr>
        <w:t>说，两份定期报告都是与相关方进行协商编制，并且均已被政府通过。任何相关方面，包括非政府组织和监察员，都可以自由地就报告递交材料。她不知道为什么递交的讨论和观察资料没有作为第六次定期报告的附录。</w:t>
      </w:r>
    </w:p>
    <w:p w:rsidR="006323A0" w:rsidRDefault="006323A0">
      <w:pPr>
        <w:tabs>
          <w:tab w:val="left" w:pos="420"/>
        </w:tabs>
        <w:spacing w:after="140" w:line="330" w:lineRule="exact"/>
        <w:rPr>
          <w:rFonts w:hint="eastAsia"/>
        </w:rPr>
      </w:pPr>
      <w:r>
        <w:rPr>
          <w:rFonts w:hint="eastAsia"/>
        </w:rPr>
        <w:t>51</w:t>
      </w:r>
      <w:r>
        <w:rPr>
          <w:rFonts w:hint="eastAsia"/>
        </w:rPr>
        <w:t>．关于挪威妇女期望较低这一文化议题，她说已开展研究分析挪威妇女是否真的缺少自信或者在努力平衡事业与家庭之间的关系时感到不是那么轻松。考虑到可用的服务和福利的水平，这很难让人理解。但从传统上看，挪威妇女确实有不太高的期望。为了补救这种状况，同与性别定型观念作斗争而做的努力一样，监察方案、讨论小组、研究和开发等手段都得到支持，比如为公司执行董事会的潜在女性候选人提供培训课程。成功毕业者的信息会被收录到合格女性的数据库之中。为了充分利用妇女的技艺和才能，这样的努力非常重要。</w:t>
      </w:r>
    </w:p>
    <w:p w:rsidR="006323A0" w:rsidRDefault="006323A0">
      <w:pPr>
        <w:tabs>
          <w:tab w:val="left" w:pos="420"/>
        </w:tabs>
        <w:spacing w:after="140" w:line="340" w:lineRule="exact"/>
        <w:rPr>
          <w:rFonts w:hint="eastAsia"/>
        </w:rPr>
      </w:pPr>
      <w:r>
        <w:rPr>
          <w:rFonts w:hint="eastAsia"/>
        </w:rPr>
        <w:t>52</w:t>
      </w:r>
      <w:r>
        <w:rPr>
          <w:rFonts w:hint="eastAsia"/>
        </w:rPr>
        <w:t>．</w:t>
      </w:r>
      <w:r>
        <w:rPr>
          <w:rFonts w:eastAsia="SimHei" w:hint="eastAsia"/>
          <w:b/>
          <w:color w:val="FF0000"/>
        </w:rPr>
        <w:t>Gnacadja</w:t>
      </w:r>
      <w:r>
        <w:rPr>
          <w:rFonts w:eastAsia="SimHei" w:hint="eastAsia"/>
          <w:color w:val="FF0000"/>
        </w:rPr>
        <w:t>女士</w:t>
      </w:r>
      <w:r>
        <w:rPr>
          <w:rFonts w:hint="eastAsia"/>
        </w:rPr>
        <w:t>说，尽管挪威对保护妇女权利做出了明确承诺，但是实际状况并不如所期望的那样肯定，对此她表示关注。她仍不明白国际协定与国内法律之间的关系，后者似乎在法庭上更受偏爱。使国内法律与国际协定达成一致的进程是如此漫长，对此她表示吃惊。她想知道障碍是什么，拖延的原因是否是文化上的以及这些协定是否会实际上应用于法庭之上。如要支持国家机构保护妇女权利的努力，一个合理的司法体系必不可少。</w:t>
      </w:r>
    </w:p>
    <w:p w:rsidR="006323A0" w:rsidRDefault="006323A0">
      <w:pPr>
        <w:tabs>
          <w:tab w:val="left" w:pos="420"/>
        </w:tabs>
        <w:spacing w:after="140" w:line="320" w:lineRule="exact"/>
        <w:rPr>
          <w:rFonts w:hint="eastAsia"/>
        </w:rPr>
      </w:pPr>
      <w:r>
        <w:rPr>
          <w:rFonts w:hint="eastAsia"/>
        </w:rPr>
        <w:t>53</w:t>
      </w:r>
      <w:r>
        <w:rPr>
          <w:rFonts w:hint="eastAsia"/>
        </w:rPr>
        <w:t>．提供关于第五次报告</w:t>
      </w:r>
      <w:r>
        <w:rPr>
          <w:rFonts w:hint="eastAsia"/>
        </w:rPr>
        <w:t>(</w:t>
      </w:r>
      <w:r>
        <w:rPr>
          <w:rFonts w:hint="eastAsia"/>
        </w:rPr>
        <w:t>第</w:t>
      </w:r>
      <w:r>
        <w:rPr>
          <w:rFonts w:hint="eastAsia"/>
        </w:rPr>
        <w:t>19</w:t>
      </w:r>
      <w:r>
        <w:rPr>
          <w:rFonts w:hint="eastAsia"/>
        </w:rPr>
        <w:t>段</w:t>
      </w:r>
      <w:r>
        <w:rPr>
          <w:rFonts w:hint="eastAsia"/>
        </w:rPr>
        <w:t>)</w:t>
      </w:r>
      <w:r>
        <w:rPr>
          <w:rFonts w:hint="eastAsia"/>
        </w:rPr>
        <w:t>提到的两性平等委员会工作焦点转换所带来的积极效果的更多信息将会受到欢迎。关于对妇女的暴力问题，她强调有必要处理卖淫问题，因为如果卖淫是合法的，那么很难对禁止性剥削进行保护。卖淫和其他问题相关，比如有组织犯罪和毒品滥用。</w:t>
      </w:r>
    </w:p>
    <w:p w:rsidR="006323A0" w:rsidRDefault="006323A0">
      <w:pPr>
        <w:tabs>
          <w:tab w:val="left" w:pos="420"/>
        </w:tabs>
        <w:spacing w:after="140" w:line="320" w:lineRule="exact"/>
        <w:rPr>
          <w:rFonts w:hint="eastAsia"/>
        </w:rPr>
      </w:pPr>
      <w:r>
        <w:rPr>
          <w:rFonts w:hint="eastAsia"/>
        </w:rPr>
        <w:t>54</w:t>
      </w:r>
      <w:r>
        <w:rPr>
          <w:rFonts w:hint="eastAsia"/>
        </w:rPr>
        <w:t>．</w:t>
      </w:r>
      <w:r>
        <w:rPr>
          <w:rFonts w:eastAsia="SimHei" w:hint="eastAsia"/>
          <w:b/>
          <w:color w:val="FF0000"/>
        </w:rPr>
        <w:t>Saiga</w:t>
      </w:r>
      <w:r>
        <w:rPr>
          <w:rFonts w:eastAsia="SimHei" w:hint="eastAsia"/>
          <w:color w:val="FF0000"/>
        </w:rPr>
        <w:t>女士</w:t>
      </w:r>
      <w:r>
        <w:rPr>
          <w:rFonts w:hint="eastAsia"/>
        </w:rPr>
        <w:t>说，在三年之内将企业执行董事会内女性代表的人数从</w:t>
      </w:r>
      <w:r>
        <w:rPr>
          <w:rFonts w:hint="eastAsia"/>
        </w:rPr>
        <w:t>6.6%</w:t>
      </w:r>
      <w:r>
        <w:rPr>
          <w:rFonts w:hint="eastAsia"/>
        </w:rPr>
        <w:t>提升至</w:t>
      </w:r>
      <w:r>
        <w:rPr>
          <w:rFonts w:hint="eastAsia"/>
        </w:rPr>
        <w:t>40%</w:t>
      </w:r>
      <w:r>
        <w:rPr>
          <w:rFonts w:hint="eastAsia"/>
        </w:rPr>
        <w:t>，她对这个富有雄心的倡议表示欢迎。但是注意到这需要得到雇主和工会的同意，她问是否已预料会遇到一些困难以及是否已和相关公司的股东进行了协商。而且，考虑到合格女性候选人的数据库已经存在，她想知道股东是否有机会对他们的执行董事会的特定候选人发表自己的看法。</w:t>
      </w:r>
    </w:p>
    <w:p w:rsidR="006323A0" w:rsidRDefault="006323A0">
      <w:pPr>
        <w:tabs>
          <w:tab w:val="left" w:pos="420"/>
        </w:tabs>
        <w:spacing w:after="140" w:line="320" w:lineRule="exact"/>
        <w:rPr>
          <w:rFonts w:hint="eastAsia"/>
        </w:rPr>
      </w:pPr>
      <w:r>
        <w:rPr>
          <w:rFonts w:hint="eastAsia"/>
        </w:rPr>
        <w:t>55</w:t>
      </w:r>
      <w:r>
        <w:rPr>
          <w:rFonts w:hint="eastAsia"/>
        </w:rPr>
        <w:t>．</w:t>
      </w:r>
      <w:r>
        <w:rPr>
          <w:rFonts w:eastAsia="SimHei" w:hint="eastAsia"/>
          <w:b/>
          <w:color w:val="FF0000"/>
        </w:rPr>
        <w:t>Popescu</w:t>
      </w:r>
      <w:r>
        <w:rPr>
          <w:rFonts w:eastAsia="SimHei" w:hint="eastAsia"/>
          <w:b/>
        </w:rPr>
        <w:t xml:space="preserve"> </w:t>
      </w:r>
      <w:r>
        <w:rPr>
          <w:rFonts w:eastAsia="SimHei" w:hint="eastAsia"/>
          <w:b/>
          <w:color w:val="FF0000"/>
        </w:rPr>
        <w:t>Sandru</w:t>
      </w:r>
      <w:r>
        <w:rPr>
          <w:rFonts w:eastAsia="SimHei" w:hint="eastAsia"/>
          <w:color w:val="FF0000"/>
        </w:rPr>
        <w:t>女士</w:t>
      </w:r>
      <w:r>
        <w:rPr>
          <w:rFonts w:hint="eastAsia"/>
        </w:rPr>
        <w:t>要求提供关于防止妇女，特别是儿童，包括男孩和女孩，卖淫所采取的措施和可提供给这些孩子的培训、咨询、改造或重新融入方案的更多信息。关于婚姻强奸的统计数据令她震惊，但是她特别想知道的是是否已发起措施以使遭受强奸的儿童受害者得到康复。关于针对包括犯有乱伦罪行在内的儿童虐待者的特别制裁措施，是否对罪犯的姓名进行记录以及这些名字是否可被当地社区获取，为了防止性旅游，其姓名是否可被外国获取，关于这几个方面的信息将会受到欢迎。在贩卖男孩和女孩这一方面，她要求提供关于为保护孩子并清除这种现象特别方案的信息，以及关于与原籍国和中转国的合作方案的信息。</w:t>
      </w:r>
    </w:p>
    <w:p w:rsidR="006323A0" w:rsidRDefault="006323A0">
      <w:pPr>
        <w:tabs>
          <w:tab w:val="left" w:pos="420"/>
        </w:tabs>
        <w:spacing w:after="140" w:line="330" w:lineRule="exact"/>
        <w:rPr>
          <w:rFonts w:hint="eastAsia"/>
        </w:rPr>
      </w:pPr>
      <w:r>
        <w:rPr>
          <w:rFonts w:hint="eastAsia"/>
        </w:rPr>
        <w:t>56</w:t>
      </w:r>
      <w:r>
        <w:rPr>
          <w:rFonts w:hint="eastAsia"/>
        </w:rPr>
        <w:t>．</w:t>
      </w:r>
      <w:r>
        <w:rPr>
          <w:rFonts w:eastAsia="SimHei" w:hint="eastAsia"/>
          <w:b/>
          <w:color w:val="FF0000"/>
        </w:rPr>
        <w:t>Patten</w:t>
      </w:r>
      <w:r>
        <w:rPr>
          <w:rFonts w:eastAsia="SimHei" w:hint="eastAsia"/>
          <w:color w:val="FF0000"/>
        </w:rPr>
        <w:t>女士</w:t>
      </w:r>
      <w:r>
        <w:rPr>
          <w:rFonts w:hint="eastAsia"/>
        </w:rPr>
        <w:t>询问保护残疾妇女的特定措施，比如，强制保健人员对受虐待情况进行报告，对虐待脆弱人群，特别是残疾妇女的罪犯进行更严厉的惩罚。在努力从整体上消除对妇女施暴的大环境下，报告国应提供关于司法系统是否接受性别暴力领域内的敏感性培训、以及审判前阶段受害者是否享有可用的法律援助的信息。</w:t>
      </w:r>
    </w:p>
    <w:p w:rsidR="006323A0" w:rsidRDefault="006323A0">
      <w:pPr>
        <w:tabs>
          <w:tab w:val="left" w:pos="420"/>
        </w:tabs>
        <w:spacing w:after="140" w:line="320" w:lineRule="exact"/>
      </w:pPr>
      <w:r>
        <w:rPr>
          <w:rFonts w:hint="eastAsia"/>
        </w:rPr>
        <w:t>57</w:t>
      </w:r>
      <w:r>
        <w:rPr>
          <w:rFonts w:hint="eastAsia"/>
        </w:rPr>
        <w:t>．她问，是否对两性平等监察员和两性平等中心的工作进行单独评估，她还询问了这两个机构之间的相互作用的程度。考虑到所做工作有些重复性，并且两个机构都没有权力实施惩罚和制裁，委员会想知道非政府组织团体是否尊重这些机构，还是认为它们是无用机构。提交给监察员并被转送给两性平等裁决委员会的申诉的数目，以及裁决过程是否</w:t>
      </w:r>
    </w:p>
    <w:p w:rsidR="006323A0" w:rsidRDefault="006323A0">
      <w:pPr>
        <w:tabs>
          <w:tab w:val="left" w:pos="420"/>
        </w:tabs>
        <w:spacing w:after="140" w:line="320" w:lineRule="exact"/>
        <w:rPr>
          <w:rFonts w:hint="eastAsia"/>
        </w:rPr>
      </w:pPr>
      <w:r>
        <w:rPr>
          <w:rFonts w:hint="eastAsia"/>
        </w:rPr>
        <w:t>像监察员将申诉归档一样是免费的，提供有关这些方面的更多信息将会受到欢迎。</w:t>
      </w:r>
    </w:p>
    <w:p w:rsidR="006323A0" w:rsidRDefault="006323A0">
      <w:pPr>
        <w:pStyle w:val="DualTxt"/>
        <w:tabs>
          <w:tab w:val="clear" w:pos="432"/>
          <w:tab w:val="clear" w:pos="864"/>
          <w:tab w:val="clear" w:pos="1293"/>
          <w:tab w:val="clear" w:pos="1724"/>
          <w:tab w:val="clear" w:pos="2155"/>
          <w:tab w:val="clear" w:pos="2586"/>
          <w:tab w:val="left" w:pos="420"/>
        </w:tabs>
        <w:rPr>
          <w:rFonts w:ascii="Times New Roman" w:eastAsia="KaiTi_GB2312"/>
          <w:color w:val="0000FF"/>
        </w:rPr>
        <w:sectPr w:rsidR="006323A0">
          <w:type w:val="continuous"/>
          <w:pgSz w:w="12242" w:h="15842" w:code="54"/>
          <w:pgMar w:top="1741" w:right="1196" w:bottom="1899" w:left="1196" w:header="578" w:footer="1032" w:gutter="0"/>
          <w:cols w:num="2" w:space="425"/>
          <w:titlePg/>
        </w:sectPr>
      </w:pP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6323A0" w:rsidRDefault="006323A0">
      <w:pPr>
        <w:pStyle w:val="DualTxt"/>
        <w:tabs>
          <w:tab w:val="clear" w:pos="432"/>
          <w:tab w:val="clear" w:pos="864"/>
          <w:tab w:val="clear" w:pos="1293"/>
          <w:tab w:val="clear" w:pos="1724"/>
          <w:tab w:val="clear" w:pos="2155"/>
          <w:tab w:val="clear" w:pos="2586"/>
          <w:tab w:val="left" w:pos="420"/>
        </w:tabs>
        <w:rPr>
          <w:rFonts w:ascii="Times New Roman" w:eastAsia="KaiTi_GB2312"/>
          <w:color w:val="0000FF"/>
        </w:rPr>
      </w:pPr>
    </w:p>
    <w:p w:rsidR="006323A0" w:rsidRDefault="006323A0">
      <w:pPr>
        <w:pStyle w:val="DualTxt"/>
        <w:tabs>
          <w:tab w:val="clear" w:pos="432"/>
          <w:tab w:val="clear" w:pos="864"/>
          <w:tab w:val="clear" w:pos="1293"/>
          <w:tab w:val="clear" w:pos="1724"/>
          <w:tab w:val="clear" w:pos="2155"/>
          <w:tab w:val="clear" w:pos="2586"/>
          <w:tab w:val="left" w:pos="420"/>
        </w:tabs>
        <w:spacing w:after="180" w:line="340" w:lineRule="exact"/>
        <w:rPr>
          <w:rFonts w:eastAsia="SimHei"/>
          <w:color w:val="FF0000"/>
          <w:sz w:val="28"/>
        </w:rPr>
      </w:pPr>
    </w:p>
    <w:sectPr w:rsidR="006323A0">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323A0" w:rsidRDefault="006323A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w:t>
      </w:r>
      <w:r>
        <w:rPr>
          <w:rFonts w:hint="eastAsia"/>
        </w:rPr>
        <w:t>21</w:t>
      </w:r>
      <w:r>
        <w:t>762C&lt;&lt;ODS JOB NO&gt;&gt;</w:t>
      </w:r>
    </w:p>
    <w:p w:rsidR="006323A0" w:rsidRDefault="006323A0">
      <w:pPr>
        <w:pStyle w:val="CommentText"/>
      </w:pPr>
      <w:r>
        <w:t>&lt;&lt;ODS DOC SYMBOL1&gt;&gt;CEDAW/C/SR.5</w:t>
      </w:r>
      <w:r>
        <w:rPr>
          <w:rFonts w:hint="eastAsia"/>
        </w:rPr>
        <w:t>9</w:t>
      </w:r>
      <w:r>
        <w:t>7&lt;&lt;ODS DOC SYMBOL1&gt;&gt;</w:t>
      </w:r>
    </w:p>
    <w:p w:rsidR="006323A0" w:rsidRDefault="006323A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74998">
      <w:pPr>
        <w:spacing w:line="240" w:lineRule="auto"/>
      </w:pPr>
      <w:r>
        <w:separator/>
      </w:r>
    </w:p>
  </w:endnote>
  <w:endnote w:type="continuationSeparator" w:id="0">
    <w:p w:rsidR="00000000" w:rsidRDefault="001749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3A0" w:rsidRDefault="006323A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323A0" w:rsidRDefault="006323A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3A0" w:rsidRDefault="006323A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6323A0" w:rsidRDefault="006323A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3A0" w:rsidRDefault="006323A0">
    <w:pPr>
      <w:pStyle w:val="Footer"/>
    </w:pPr>
  </w:p>
  <w:p w:rsidR="006323A0" w:rsidRDefault="006323A0">
    <w:pPr>
      <w:pStyle w:val="Footer"/>
      <w:pBdr>
        <w:top w:val="single" w:sz="2" w:space="0" w:color="000000"/>
      </w:pBdr>
      <w:rPr>
        <w:sz w:val="2"/>
      </w:rPr>
    </w:pPr>
  </w:p>
  <w:p w:rsidR="006323A0" w:rsidRDefault="006323A0">
    <w:pPr>
      <w:spacing w:after="60" w:line="240" w:lineRule="auto"/>
      <w:ind w:left="1264" w:right="1264"/>
      <w:rPr>
        <w:rFonts w:hint="eastAsia"/>
        <w:sz w:val="18"/>
      </w:rPr>
    </w:pPr>
    <w:r>
      <w:rPr>
        <w:rFonts w:hint="eastAsia"/>
        <w:sz w:val="18"/>
      </w:rPr>
      <w:t>本记录可以更正。</w:t>
    </w:r>
  </w:p>
  <w:p w:rsidR="006323A0" w:rsidRDefault="006323A0">
    <w:pPr>
      <w:spacing w:before="60" w:after="6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6323A0" w:rsidRDefault="006323A0">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6323A0" w:rsidRDefault="006323A0">
    <w:pPr>
      <w:pStyle w:val="FootnoteText"/>
      <w:rPr>
        <w:rFonts w:hint="eastAsia"/>
        <w:sz w:val="21"/>
      </w:rPr>
    </w:pPr>
    <w:r>
      <w:rPr>
        <w:rFonts w:hint="eastAsia"/>
        <w:sz w:val="21"/>
      </w:rPr>
      <w:t>0</w:t>
    </w:r>
    <w:r>
      <w:rPr>
        <w:sz w:val="21"/>
      </w:rPr>
      <w:t>3</w:t>
    </w:r>
    <w:r>
      <w:rPr>
        <w:rFonts w:hint="eastAsia"/>
        <w:sz w:val="21"/>
      </w:rPr>
      <w:t>-21</w:t>
    </w:r>
    <w:r>
      <w:rPr>
        <w:sz w:val="21"/>
      </w:rPr>
      <w:t>762(C)</w:t>
    </w:r>
  </w:p>
  <w:p w:rsidR="006323A0" w:rsidRDefault="006323A0">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3</w:t>
    </w:r>
    <w:r>
      <w:rPr>
        <w:rFonts w:ascii="Barcode 3 of 9 by request" w:hAnsi="Barcode 3 of 9 by request" w:hint="eastAsia"/>
        <w:b/>
        <w:bCs/>
        <w:sz w:val="21"/>
      </w:rPr>
      <w:t>21</w:t>
    </w:r>
    <w:r>
      <w:rPr>
        <w:rFonts w:ascii="Barcode 3 of 9 by request" w:hAnsi="Barcode 3 of 9 by request"/>
        <w:b/>
        <w:bCs/>
        <w:sz w:val="21"/>
      </w:rPr>
      <w:t>762</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74998">
      <w:pPr>
        <w:spacing w:line="240" w:lineRule="auto"/>
      </w:pPr>
      <w:r>
        <w:separator/>
      </w:r>
    </w:p>
  </w:footnote>
  <w:footnote w:type="continuationSeparator" w:id="0">
    <w:p w:rsidR="00000000" w:rsidRDefault="0017499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3A0" w:rsidRDefault="006323A0">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323A0">
                  <w:tblPrEx>
                    <w:tblCellMar>
                      <w:top w:w="0" w:type="dxa"/>
                      <w:bottom w:w="0" w:type="dxa"/>
                    </w:tblCellMar>
                  </w:tblPrEx>
                  <w:trPr>
                    <w:trHeight w:hRule="exact" w:val="864"/>
                  </w:trPr>
                  <w:tc>
                    <w:tcPr>
                      <w:tcW w:w="4838" w:type="dxa"/>
                      <w:vAlign w:val="bottom"/>
                    </w:tcPr>
                    <w:p w:rsidR="006323A0" w:rsidRDefault="006323A0">
                      <w:pPr>
                        <w:pStyle w:val="Header"/>
                        <w:pBdr>
                          <w:bottom w:val="none" w:sz="0" w:space="0" w:color="auto"/>
                        </w:pBdr>
                        <w:spacing w:after="80"/>
                        <w:jc w:val="both"/>
                        <w:rPr>
                          <w:b/>
                        </w:rPr>
                      </w:pPr>
                      <w:r>
                        <w:rPr>
                          <w:b/>
                        </w:rPr>
                        <w:t>CEDAW/C/SR.597</w:t>
                      </w:r>
                    </w:p>
                  </w:tc>
                  <w:tc>
                    <w:tcPr>
                      <w:tcW w:w="5048" w:type="dxa"/>
                      <w:tcBorders>
                        <w:bottom w:val="single" w:sz="4" w:space="0" w:color="auto"/>
                      </w:tcBorders>
                      <w:vAlign w:val="bottom"/>
                    </w:tcPr>
                    <w:p w:rsidR="006323A0" w:rsidRDefault="006323A0">
                      <w:pPr>
                        <w:pStyle w:val="Header"/>
                        <w:pBdr>
                          <w:bottom w:val="none" w:sz="0" w:space="0" w:color="auto"/>
                        </w:pBdr>
                      </w:pPr>
                    </w:p>
                  </w:tc>
                </w:tr>
              </w:tbl>
              <w:p w:rsidR="006323A0" w:rsidRDefault="006323A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3A0" w:rsidRDefault="006323A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323A0">
                  <w:tblPrEx>
                    <w:tblCellMar>
                      <w:top w:w="0" w:type="dxa"/>
                      <w:bottom w:w="0" w:type="dxa"/>
                    </w:tblCellMar>
                  </w:tblPrEx>
                  <w:trPr>
                    <w:trHeight w:hRule="exact" w:val="864"/>
                  </w:trPr>
                  <w:tc>
                    <w:tcPr>
                      <w:tcW w:w="4838" w:type="dxa"/>
                      <w:tcBorders>
                        <w:bottom w:val="single" w:sz="4" w:space="0" w:color="auto"/>
                      </w:tcBorders>
                      <w:vAlign w:val="bottom"/>
                    </w:tcPr>
                    <w:p w:rsidR="006323A0" w:rsidRDefault="006323A0">
                      <w:pPr>
                        <w:pStyle w:val="Header"/>
                        <w:pBdr>
                          <w:bottom w:val="none" w:sz="0" w:space="0" w:color="auto"/>
                        </w:pBdr>
                      </w:pPr>
                    </w:p>
                  </w:tc>
                  <w:tc>
                    <w:tcPr>
                      <w:tcW w:w="5048" w:type="dxa"/>
                      <w:vAlign w:val="bottom"/>
                    </w:tcPr>
                    <w:p w:rsidR="006323A0" w:rsidRDefault="006323A0">
                      <w:pPr>
                        <w:pStyle w:val="Header"/>
                        <w:pBdr>
                          <w:bottom w:val="none" w:sz="0" w:space="0" w:color="auto"/>
                        </w:pBdr>
                        <w:spacing w:after="80"/>
                        <w:jc w:val="right"/>
                        <w:rPr>
                          <w:b/>
                        </w:rPr>
                      </w:pPr>
                      <w:r>
                        <w:rPr>
                          <w:b/>
                        </w:rPr>
                        <w:t>CEDAW/C/SR.5</w:t>
                      </w:r>
                      <w:r>
                        <w:rPr>
                          <w:rFonts w:hint="eastAsia"/>
                          <w:b/>
                        </w:rPr>
                        <w:t>9</w:t>
                      </w:r>
                      <w:r>
                        <w:rPr>
                          <w:b/>
                        </w:rPr>
                        <w:t>7</w:t>
                      </w:r>
                    </w:p>
                  </w:tc>
                </w:tr>
              </w:tbl>
              <w:p w:rsidR="006323A0" w:rsidRDefault="006323A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323A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323A0" w:rsidRDefault="006323A0">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6323A0" w:rsidRDefault="006323A0">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6323A0" w:rsidRDefault="006323A0">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6323A0" w:rsidRDefault="006323A0">
          <w:pPr>
            <w:spacing w:line="240" w:lineRule="auto"/>
            <w:jc w:val="right"/>
            <w:rPr>
              <w:position w:val="-4"/>
              <w:sz w:val="20"/>
            </w:rPr>
          </w:pPr>
          <w:r>
            <w:rPr>
              <w:position w:val="-4"/>
              <w:sz w:val="36"/>
            </w:rPr>
            <w:t>CEDAW</w:t>
          </w:r>
          <w:r>
            <w:rPr>
              <w:rFonts w:ascii="Arial" w:eastAsia="SimHei" w:hAnsi="Arial" w:cs="Arial"/>
              <w:bCs/>
              <w:color w:val="FF0000"/>
              <w:position w:val="-4"/>
            </w:rPr>
            <w:t>/</w:t>
          </w:r>
          <w:r>
            <w:rPr>
              <w:position w:val="-4"/>
            </w:rPr>
            <w:t>C/SR.597</w:t>
          </w:r>
        </w:p>
      </w:tc>
    </w:tr>
    <w:tr w:rsidR="006323A0">
      <w:tblPrEx>
        <w:tblCellMar>
          <w:top w:w="0" w:type="dxa"/>
          <w:bottom w:w="0" w:type="dxa"/>
        </w:tblCellMar>
      </w:tblPrEx>
      <w:trPr>
        <w:trHeight w:hRule="exact" w:val="2880"/>
      </w:trPr>
      <w:tc>
        <w:tcPr>
          <w:tcW w:w="1267" w:type="dxa"/>
          <w:tcBorders>
            <w:left w:val="nil"/>
            <w:bottom w:val="single" w:sz="12" w:space="0" w:color="auto"/>
            <w:right w:val="nil"/>
          </w:tcBorders>
        </w:tcPr>
        <w:p w:rsidR="006323A0" w:rsidRDefault="006323A0">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323A0" w:rsidRDefault="006323A0">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6323A0" w:rsidRDefault="006323A0">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6323A0" w:rsidRDefault="006323A0">
          <w:pPr>
            <w:pStyle w:val="Header"/>
            <w:pBdr>
              <w:bottom w:val="none" w:sz="0" w:space="0" w:color="auto"/>
            </w:pBdr>
            <w:spacing w:before="109"/>
          </w:pPr>
        </w:p>
      </w:tc>
      <w:tc>
        <w:tcPr>
          <w:tcW w:w="3180" w:type="dxa"/>
          <w:gridSpan w:val="2"/>
          <w:tcBorders>
            <w:left w:val="nil"/>
            <w:bottom w:val="single" w:sz="12" w:space="0" w:color="auto"/>
            <w:right w:val="nil"/>
          </w:tcBorders>
        </w:tcPr>
        <w:p w:rsidR="006323A0" w:rsidRDefault="006323A0">
          <w:pPr>
            <w:spacing w:before="240" w:line="240" w:lineRule="exact"/>
          </w:pPr>
          <w:r>
            <w:t>Distr.: General</w:t>
          </w:r>
        </w:p>
        <w:p w:rsidR="006323A0" w:rsidRDefault="006323A0">
          <w:pPr>
            <w:spacing w:line="240" w:lineRule="exact"/>
          </w:pPr>
          <w:r>
            <w:t>7 June 2004</w:t>
          </w:r>
        </w:p>
        <w:p w:rsidR="006323A0" w:rsidRDefault="006323A0">
          <w:pPr>
            <w:spacing w:line="240" w:lineRule="exact"/>
          </w:pPr>
          <w:r>
            <w:t>Chinese</w:t>
          </w:r>
        </w:p>
        <w:p w:rsidR="006323A0" w:rsidRDefault="006323A0">
          <w:pPr>
            <w:spacing w:line="240" w:lineRule="exact"/>
          </w:pPr>
          <w:r>
            <w:t>Original: English</w:t>
          </w:r>
        </w:p>
      </w:tc>
    </w:tr>
  </w:tbl>
  <w:p w:rsidR="006323A0" w:rsidRDefault="006323A0">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9674BF"/>
    <w:multiLevelType w:val="hybridMultilevel"/>
    <w:tmpl w:val="7D54A788"/>
    <w:lvl w:ilvl="0" w:tplc="56B27C5E">
      <w:start w:val="1"/>
      <w:numFmt w:val="decimal"/>
      <w:lvlText w:val="%1．"/>
      <w:lvlJc w:val="left"/>
      <w:pPr>
        <w:tabs>
          <w:tab w:val="num" w:pos="360"/>
        </w:tabs>
        <w:ind w:left="360" w:hanging="360"/>
      </w:pPr>
      <w:rPr>
        <w:rFonts w:hint="default"/>
      </w:rPr>
    </w:lvl>
    <w:lvl w:ilvl="1" w:tplc="F4E224F0">
      <w:start w:val="2"/>
      <w:numFmt w:val="decimal"/>
      <w:lvlText w:val="%2"/>
      <w:lvlJc w:val="left"/>
      <w:pPr>
        <w:tabs>
          <w:tab w:val="num" w:pos="780"/>
        </w:tabs>
        <w:ind w:left="780" w:hanging="360"/>
      </w:pPr>
      <w:rPr>
        <w:rFonts w:ascii="Times New Roman" w:hAnsi="Times New Roman" w:hint="default"/>
      </w:rPr>
    </w:lvl>
    <w:lvl w:ilvl="2" w:tplc="A46AE9CC">
      <w:start w:val="2"/>
      <w:numFmt w:val="decimal"/>
      <w:lvlText w:val="%3."/>
      <w:lvlJc w:val="left"/>
      <w:pPr>
        <w:tabs>
          <w:tab w:val="num" w:pos="1200"/>
        </w:tabs>
        <w:ind w:left="1200" w:hanging="360"/>
      </w:pPr>
      <w:rPr>
        <w:rFonts w:ascii="Times New Roman" w:hAnsi="Times New Roman"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23A0"/>
    <w:rsid w:val="00174998"/>
    <w:rsid w:val="006323A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DualTxt">
    <w:name w:val="__Dual Txt"/>
    <w:basedOn w:val="Normal"/>
    <w:pPr>
      <w:widowControl/>
      <w:tabs>
        <w:tab w:val="left" w:pos="432"/>
        <w:tab w:val="left" w:pos="864"/>
        <w:tab w:val="left" w:pos="1293"/>
        <w:tab w:val="left" w:pos="1724"/>
        <w:tab w:val="left" w:pos="2155"/>
        <w:tab w:val="left" w:pos="2586"/>
      </w:tabs>
      <w:adjustRightInd/>
      <w:spacing w:after="140" w:line="320" w:lineRule="exact"/>
      <w:textAlignment w:val="auto"/>
    </w:pPr>
    <w:rPr>
      <w:rFonts w:ascii="SimSun"/>
      <w:kern w:val="14"/>
    </w:rPr>
  </w:style>
  <w:style w:type="paragraph" w:styleId="BalloonText">
    <w:name w:val="Balloon Text"/>
    <w:basedOn w:val="Normal"/>
    <w:semiHidden/>
    <w:rsid w:val="006323A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27</TotalTime>
  <Pages>3</Pages>
  <Words>1660</Words>
  <Characters>9463</Characters>
  <Application>Microsoft Office Word</Application>
  <DocSecurity>4</DocSecurity>
  <Lines>78</Lines>
  <Paragraphs>22</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11101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4</cp:revision>
  <cp:lastPrinted>2004-06-07T09:44:00Z</cp:lastPrinted>
  <dcterms:created xsi:type="dcterms:W3CDTF">2004-06-07T09:15:00Z</dcterms:created>
  <dcterms:modified xsi:type="dcterms:W3CDTF">2004-06-07T12:43:00Z</dcterms:modified>
</cp:coreProperties>
</file>