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lledutableau"/>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E36BE7" w:rsidRPr="00E36BE7" w14:paraId="006BB02A" w14:textId="77777777">
        <w:trPr>
          <w:cantSplit/>
          <w:trHeight w:hRule="exact" w:val="851"/>
        </w:trPr>
        <w:tc>
          <w:tcPr>
            <w:tcW w:w="1276" w:type="dxa"/>
            <w:tcBorders>
              <w:bottom w:val="single" w:sz="4" w:space="0" w:color="auto"/>
            </w:tcBorders>
            <w:vAlign w:val="bottom"/>
          </w:tcPr>
          <w:p w14:paraId="3026946D" w14:textId="0F8E2B63" w:rsidR="009D6AA9" w:rsidRDefault="009D6AA9">
            <w:pPr>
              <w:spacing w:after="80"/>
            </w:pPr>
          </w:p>
        </w:tc>
        <w:tc>
          <w:tcPr>
            <w:tcW w:w="2268" w:type="dxa"/>
            <w:tcBorders>
              <w:bottom w:val="single" w:sz="4" w:space="0" w:color="auto"/>
            </w:tcBorders>
            <w:vAlign w:val="bottom"/>
          </w:tcPr>
          <w:p w14:paraId="5318E161" w14:textId="77777777" w:rsidR="009D6AA9" w:rsidRDefault="006C4E62">
            <w:pPr>
              <w:spacing w:after="80" w:line="300" w:lineRule="exact"/>
              <w:rPr>
                <w:b/>
                <w:sz w:val="24"/>
                <w:szCs w:val="24"/>
              </w:rPr>
            </w:pPr>
            <w:r>
              <w:rPr>
                <w:sz w:val="28"/>
              </w:rPr>
              <w:t>Nations Unies</w:t>
            </w:r>
          </w:p>
        </w:tc>
        <w:tc>
          <w:tcPr>
            <w:tcW w:w="6095" w:type="dxa"/>
            <w:gridSpan w:val="2"/>
            <w:tcBorders>
              <w:bottom w:val="single" w:sz="4" w:space="0" w:color="auto"/>
            </w:tcBorders>
            <w:vAlign w:val="bottom"/>
          </w:tcPr>
          <w:p w14:paraId="7C8B2086" w14:textId="0486C460" w:rsidR="009D6AA9" w:rsidRPr="00CE14AC" w:rsidRDefault="00CE14AC" w:rsidP="00CE14AC">
            <w:pPr>
              <w:suppressAutoHyphens w:val="0"/>
              <w:jc w:val="right"/>
            </w:pPr>
            <w:r w:rsidRPr="00CE14AC">
              <w:rPr>
                <w:sz w:val="40"/>
              </w:rPr>
              <w:t>CERD</w:t>
            </w:r>
            <w:r>
              <w:t>/C/LUX/Q/18-20</w:t>
            </w:r>
          </w:p>
        </w:tc>
      </w:tr>
      <w:tr w:rsidR="00753211" w14:paraId="1939A622" w14:textId="77777777">
        <w:trPr>
          <w:cantSplit/>
          <w:trHeight w:hRule="exact" w:val="2835"/>
        </w:trPr>
        <w:tc>
          <w:tcPr>
            <w:tcW w:w="1276" w:type="dxa"/>
            <w:tcBorders>
              <w:top w:val="single" w:sz="4" w:space="0" w:color="auto"/>
              <w:bottom w:val="single" w:sz="12" w:space="0" w:color="auto"/>
            </w:tcBorders>
          </w:tcPr>
          <w:p w14:paraId="3E51FBEC" w14:textId="77777777" w:rsidR="009D6AA9" w:rsidRDefault="006C4E62">
            <w:pPr>
              <w:spacing w:before="120"/>
              <w:jc w:val="center"/>
            </w:pPr>
            <w:r>
              <w:rPr>
                <w:noProof/>
                <w:lang w:val="en-GB" w:eastAsia="en-GB"/>
              </w:rPr>
              <w:drawing>
                <wp:inline distT="0" distB="0" distL="0" distR="0" wp14:anchorId="2BA2001A" wp14:editId="00EAA2F7">
                  <wp:extent cx="714375" cy="590550"/>
                  <wp:effectExtent l="0" t="0" r="9525" b="0"/>
                  <wp:docPr id="397268433"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7268433"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A3A5D35" w14:textId="77777777" w:rsidR="009D6AA9" w:rsidRDefault="006C4E62">
            <w:pPr>
              <w:spacing w:before="120" w:line="380" w:lineRule="exact"/>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14:paraId="5C16A2B4" w14:textId="77777777" w:rsidR="009D6AA9" w:rsidRDefault="006C4E62">
            <w:pPr>
              <w:suppressAutoHyphens w:val="0"/>
              <w:spacing w:before="240" w:line="240" w:lineRule="exact"/>
            </w:pPr>
            <w:proofErr w:type="spellStart"/>
            <w:r>
              <w:t>Distr</w:t>
            </w:r>
            <w:proofErr w:type="spellEnd"/>
            <w:r>
              <w:t>. générale</w:t>
            </w:r>
          </w:p>
          <w:p w14:paraId="446F3466" w14:textId="6ADF21D6" w:rsidR="009D6AA9" w:rsidRDefault="008F0B77">
            <w:pPr>
              <w:suppressAutoHyphens w:val="0"/>
            </w:pPr>
            <w:r>
              <w:t>21</w:t>
            </w:r>
            <w:r w:rsidR="00A6763A">
              <w:t xml:space="preserve"> février 2022</w:t>
            </w:r>
          </w:p>
          <w:p w14:paraId="791E4D20" w14:textId="77777777" w:rsidR="00A6763A" w:rsidRDefault="00A6763A">
            <w:pPr>
              <w:suppressAutoHyphens w:val="0"/>
            </w:pPr>
          </w:p>
          <w:p w14:paraId="7939F79B" w14:textId="77777777" w:rsidR="009D6AA9" w:rsidRDefault="006C4E62">
            <w:pPr>
              <w:suppressAutoHyphens w:val="0"/>
            </w:pPr>
            <w:r>
              <w:t>Original </w:t>
            </w:r>
            <w:r w:rsidR="0049558D">
              <w:t>:</w:t>
            </w:r>
            <w:r w:rsidR="00E42871">
              <w:t xml:space="preserve"> français</w:t>
            </w:r>
          </w:p>
          <w:p w14:paraId="3FDCEB3F" w14:textId="77777777" w:rsidR="009D6AA9" w:rsidRDefault="00E42871">
            <w:pPr>
              <w:suppressAutoHyphens w:val="0"/>
            </w:pPr>
            <w:r>
              <w:t>Anglais, espagnol et français seulement</w:t>
            </w:r>
          </w:p>
        </w:tc>
      </w:tr>
    </w:tbl>
    <w:p w14:paraId="53A71C73" w14:textId="77777777" w:rsidR="009D6AA9" w:rsidRDefault="006C4E62">
      <w:pPr>
        <w:spacing w:before="120"/>
        <w:rPr>
          <w:rFonts w:ascii="Times New Roman Bold" w:hAnsi="Times New Roman Bold" w:cs="Times New Roman Bold"/>
          <w:b/>
          <w:sz w:val="24"/>
          <w:szCs w:val="24"/>
        </w:rPr>
      </w:pPr>
      <w:r>
        <w:rPr>
          <w:rFonts w:ascii="Times New Roman Bold" w:hAnsi="Times New Roman Bold" w:cs="Times New Roman Bold"/>
          <w:b/>
          <w:sz w:val="24"/>
          <w:szCs w:val="24"/>
        </w:rPr>
        <w:t>Comité pour l’élimination de la discrimination raciale</w:t>
      </w:r>
    </w:p>
    <w:p w14:paraId="4CFB4729" w14:textId="66A085D2" w:rsidR="009D6AA9" w:rsidRDefault="006C4E62">
      <w:pPr>
        <w:rPr>
          <w:b/>
        </w:rPr>
      </w:pPr>
      <w:r>
        <w:rPr>
          <w:b/>
        </w:rPr>
        <w:t>106ᵉ session</w:t>
      </w:r>
      <w:r w:rsidR="00A62380">
        <w:rPr>
          <w:b/>
        </w:rPr>
        <w:t xml:space="preserve"> </w:t>
      </w:r>
    </w:p>
    <w:p w14:paraId="5EE5D280" w14:textId="77777777" w:rsidR="009D6AA9" w:rsidRDefault="00E42871">
      <w:r>
        <w:t>11-29 avril 2022</w:t>
      </w:r>
    </w:p>
    <w:p w14:paraId="31C953D7" w14:textId="2D69C0EC" w:rsidR="009D6AA9" w:rsidRDefault="006C4E62">
      <w:r>
        <w:t xml:space="preserve">Point </w:t>
      </w:r>
      <w:r w:rsidR="00EC78A0">
        <w:t>6</w:t>
      </w:r>
      <w:r>
        <w:t xml:space="preserve"> de l’ordre du jour provisoire</w:t>
      </w:r>
    </w:p>
    <w:p w14:paraId="13A222B2" w14:textId="77777777" w:rsidR="009D6AA9" w:rsidRDefault="006C4E62">
      <w:pPr>
        <w:rPr>
          <w:b/>
          <w:bCs/>
        </w:rPr>
      </w:pPr>
      <w:r w:rsidRPr="00876A0B">
        <w:rPr>
          <w:b/>
          <w:lang w:val="fr-FR"/>
        </w:rPr>
        <w:t xml:space="preserve">Examen des rapports, observations et renseignements soumis </w:t>
      </w:r>
      <w:r w:rsidRPr="00876A0B">
        <w:rPr>
          <w:b/>
          <w:lang w:val="fr-FR"/>
        </w:rPr>
        <w:br/>
        <w:t>par les États parties en application de l</w:t>
      </w:r>
      <w:r>
        <w:rPr>
          <w:b/>
          <w:lang w:val="fr-FR"/>
        </w:rPr>
        <w:t>’</w:t>
      </w:r>
      <w:r w:rsidRPr="00876A0B">
        <w:rPr>
          <w:b/>
          <w:lang w:val="fr-FR"/>
        </w:rPr>
        <w:t>article</w:t>
      </w:r>
      <w:r>
        <w:rPr>
          <w:b/>
          <w:lang w:val="fr-FR"/>
        </w:rPr>
        <w:t xml:space="preserve"> </w:t>
      </w:r>
      <w:r w:rsidRPr="00876A0B">
        <w:rPr>
          <w:b/>
          <w:lang w:val="fr-FR"/>
        </w:rPr>
        <w:t>9 de la Convention</w:t>
      </w:r>
    </w:p>
    <w:p w14:paraId="4E19B3FF" w14:textId="12F1B3A2" w:rsidR="009D6AA9" w:rsidRDefault="006C4E62">
      <w:pPr>
        <w:pStyle w:val="HChG"/>
      </w:pPr>
      <w:r>
        <w:tab/>
      </w:r>
      <w:r>
        <w:tab/>
        <w:t xml:space="preserve">Liste </w:t>
      </w:r>
      <w:r w:rsidR="00A62380" w:rsidRPr="00876A0B">
        <w:rPr>
          <w:lang w:val="fr-FR"/>
        </w:rPr>
        <w:t xml:space="preserve">de thèmes </w:t>
      </w:r>
      <w:r>
        <w:t>concernant le rapport du Luxembourg valant dix-huitième à vingtième rapports périodiques</w:t>
      </w:r>
    </w:p>
    <w:p w14:paraId="4B1B135B" w14:textId="77777777" w:rsidR="009D6AA9" w:rsidRDefault="006C4E62">
      <w:pPr>
        <w:pStyle w:val="H1G"/>
      </w:pPr>
      <w:r>
        <w:tab/>
      </w:r>
      <w:r>
        <w:tab/>
        <w:t xml:space="preserve">Note du rapporteur </w:t>
      </w:r>
      <w:r w:rsidR="00C41FBC">
        <w:t>pour le</w:t>
      </w:r>
      <w:r>
        <w:t xml:space="preserve"> pays</w:t>
      </w:r>
    </w:p>
    <w:p w14:paraId="68C25C1A" w14:textId="38B4DB6A" w:rsidR="009D6AA9" w:rsidRDefault="00283D9D" w:rsidP="00283D9D">
      <w:pPr>
        <w:pStyle w:val="SingleTxtG"/>
      </w:pPr>
      <w:r>
        <w:t>1.</w:t>
      </w:r>
      <w:r>
        <w:tab/>
      </w:r>
      <w:r w:rsidR="006C4E62">
        <w:t>À sa soixante-seizième session</w:t>
      </w:r>
      <w:r w:rsidR="001C2E9D">
        <w:rPr>
          <w:rStyle w:val="Appelnotedebasdep"/>
        </w:rPr>
        <w:footnoteReference w:id="1"/>
      </w:r>
      <w:r w:rsidR="006C4E62">
        <w:t xml:space="preserve">, le Comité pour l’élimination de la discrimination raciale a décidé que le rapporteur </w:t>
      </w:r>
      <w:r w:rsidR="00986238">
        <w:t>pour le</w:t>
      </w:r>
      <w:r w:rsidR="006C4E62">
        <w:t xml:space="preserve"> pays ferait parvenir à l’État partie concerné une courte liste de thèmes en vue de guider et de structurer le dialogue entre la délégation de l’État partie et le Comité pendant l’examen du rapport de l’État partie. On</w:t>
      </w:r>
      <w:r w:rsidR="00D76EC9">
        <w:t xml:space="preserve"> </w:t>
      </w:r>
      <w:r w:rsidR="006C4E62">
        <w:t>trouvera ci-après une liste de thèmes non exhaustive, d’autres questions pouvant être traitées au cours du dialogue. Cette liste n’appelle pas de réponses écrites.</w:t>
      </w:r>
    </w:p>
    <w:p w14:paraId="03544DAE" w14:textId="0EFDC8CD" w:rsidR="009D6AA9" w:rsidRPr="00D76EC9" w:rsidRDefault="006C4E62" w:rsidP="00283D9D">
      <w:pPr>
        <w:pStyle w:val="H1G"/>
      </w:pPr>
      <w:r>
        <w:tab/>
      </w:r>
      <w:r>
        <w:tab/>
        <w:t>La Convention dans le droit interne et le cadre institutionnel et</w:t>
      </w:r>
      <w:r w:rsidR="00CE520E">
        <w:t> </w:t>
      </w:r>
      <w:r>
        <w:t>poli</w:t>
      </w:r>
      <w:r w:rsidR="00D76EC9">
        <w:t xml:space="preserve">tique de sa mise en œuvre </w:t>
      </w:r>
      <w:r w:rsidR="00391FED" w:rsidRPr="00C87EB5">
        <w:rPr>
          <w:lang w:val="fr-FR"/>
        </w:rPr>
        <w:t>(art.</w:t>
      </w:r>
      <w:r w:rsidR="00AF205F">
        <w:rPr>
          <w:lang w:val="fr-FR"/>
        </w:rPr>
        <w:t> </w:t>
      </w:r>
      <w:r w:rsidR="00391FED" w:rsidRPr="00C87EB5">
        <w:rPr>
          <w:lang w:val="fr-FR"/>
        </w:rPr>
        <w:t>1</w:t>
      </w:r>
      <w:r w:rsidR="00391FED" w:rsidRPr="00C87EB5">
        <w:rPr>
          <w:vertAlign w:val="superscript"/>
          <w:lang w:val="fr-FR"/>
        </w:rPr>
        <w:t>er</w:t>
      </w:r>
      <w:r w:rsidR="00391FED" w:rsidRPr="00C87EB5">
        <w:rPr>
          <w:lang w:val="fr-FR"/>
        </w:rPr>
        <w:t>, 2,</w:t>
      </w:r>
      <w:r w:rsidR="00CF39AC">
        <w:rPr>
          <w:lang w:val="fr-FR"/>
        </w:rPr>
        <w:t xml:space="preserve"> 4 et</w:t>
      </w:r>
      <w:r w:rsidR="00391FED" w:rsidRPr="00C87EB5">
        <w:rPr>
          <w:lang w:val="fr-FR"/>
        </w:rPr>
        <w:t xml:space="preserve"> 6)</w:t>
      </w:r>
      <w:r w:rsidR="00391FED">
        <w:t xml:space="preserve"> </w:t>
      </w:r>
    </w:p>
    <w:p w14:paraId="6B627F98" w14:textId="44E5A341" w:rsidR="00391FED" w:rsidRPr="00A6763A" w:rsidRDefault="00283D9D" w:rsidP="00283D9D">
      <w:pPr>
        <w:pStyle w:val="SingleTxtG"/>
        <w:rPr>
          <w:lang w:val="fr-FR"/>
        </w:rPr>
      </w:pPr>
      <w:r w:rsidRPr="00A6763A">
        <w:rPr>
          <w:lang w:val="fr-FR"/>
        </w:rPr>
        <w:t>2.</w:t>
      </w:r>
      <w:r w:rsidRPr="00A6763A">
        <w:rPr>
          <w:lang w:val="fr-FR"/>
        </w:rPr>
        <w:tab/>
      </w:r>
      <w:r w:rsidR="00391FED" w:rsidRPr="00A6763A">
        <w:rPr>
          <w:spacing w:val="-1"/>
          <w:lang w:val="fr-FR"/>
        </w:rPr>
        <w:t>Renseignements sur la composition ethnique de</w:t>
      </w:r>
      <w:r w:rsidR="000B5BAD" w:rsidRPr="00A6763A">
        <w:rPr>
          <w:spacing w:val="-1"/>
          <w:lang w:val="fr-FR"/>
        </w:rPr>
        <w:t xml:space="preserve"> la population de l’État partie et sur les indicateurs </w:t>
      </w:r>
      <w:r w:rsidR="007E14E2" w:rsidRPr="00A6763A">
        <w:rPr>
          <w:spacing w:val="-1"/>
          <w:lang w:val="fr-FR"/>
        </w:rPr>
        <w:t>socio</w:t>
      </w:r>
      <w:r w:rsidR="000B5BAD" w:rsidRPr="00A6763A">
        <w:rPr>
          <w:spacing w:val="-1"/>
          <w:lang w:val="fr-FR"/>
        </w:rPr>
        <w:t xml:space="preserve">économiques ventilés par sexe, genre, origine nationale ou ethnique, </w:t>
      </w:r>
      <w:r w:rsidR="00391FED" w:rsidRPr="00A6763A">
        <w:rPr>
          <w:spacing w:val="-1"/>
          <w:lang w:val="fr-FR"/>
        </w:rPr>
        <w:t>y compris sur les non-ressortissants, dont les demandeurs d’asile, les réfugiés, les personnes apatrides et les migrants</w:t>
      </w:r>
      <w:r w:rsidR="004A5C04">
        <w:rPr>
          <w:rStyle w:val="Appelnotedebasdep"/>
          <w:spacing w:val="-1"/>
        </w:rPr>
        <w:footnoteReference w:id="2"/>
      </w:r>
      <w:r w:rsidR="00391FED" w:rsidRPr="00A6763A">
        <w:rPr>
          <w:spacing w:val="-1"/>
          <w:lang w:val="fr-FR"/>
        </w:rPr>
        <w:t>.</w:t>
      </w:r>
      <w:r w:rsidR="00373B7A" w:rsidRPr="00A6763A">
        <w:rPr>
          <w:spacing w:val="-1"/>
          <w:lang w:val="fr-FR"/>
        </w:rPr>
        <w:t xml:space="preserve"> </w:t>
      </w:r>
      <w:r w:rsidR="00F75EE7" w:rsidRPr="00A6763A">
        <w:rPr>
          <w:spacing w:val="-1"/>
          <w:lang w:val="fr-FR"/>
        </w:rPr>
        <w:t xml:space="preserve">Mesures prises pour renforcer le système de collecte des données afin de </w:t>
      </w:r>
      <w:r w:rsidR="00B07AE0" w:rsidRPr="00A6763A">
        <w:rPr>
          <w:spacing w:val="-1"/>
          <w:lang w:val="fr-FR"/>
        </w:rPr>
        <w:t>mieux évaluer comment sont exercés les droits consacrés par la Convention dans l’État partie</w:t>
      </w:r>
      <w:r w:rsidR="004A5C04">
        <w:rPr>
          <w:rStyle w:val="Appelnotedebasdep"/>
          <w:spacing w:val="-1"/>
        </w:rPr>
        <w:footnoteReference w:id="3"/>
      </w:r>
      <w:r w:rsidR="00F75EE7" w:rsidRPr="00A6763A">
        <w:rPr>
          <w:spacing w:val="-1"/>
          <w:lang w:val="fr-FR"/>
        </w:rPr>
        <w:t xml:space="preserve">. </w:t>
      </w:r>
    </w:p>
    <w:p w14:paraId="6D6B39EF" w14:textId="52B6ABB2" w:rsidR="00391FED" w:rsidRPr="00A6763A" w:rsidRDefault="00283D9D" w:rsidP="00283D9D">
      <w:pPr>
        <w:pStyle w:val="SingleTxtG"/>
        <w:rPr>
          <w:lang w:val="fr-FR"/>
        </w:rPr>
      </w:pPr>
      <w:r w:rsidRPr="00A6763A">
        <w:rPr>
          <w:lang w:val="fr-FR"/>
        </w:rPr>
        <w:t>3.</w:t>
      </w:r>
      <w:r w:rsidRPr="00A6763A">
        <w:rPr>
          <w:lang w:val="fr-FR"/>
        </w:rPr>
        <w:tab/>
      </w:r>
      <w:r w:rsidR="00D61CB4" w:rsidRPr="00A6763A">
        <w:rPr>
          <w:lang w:val="fr-FR"/>
        </w:rPr>
        <w:t xml:space="preserve">Mesures additionnelles prises pour faire en sorte que tous les motifs énoncés à l’article premier de la Convention soient </w:t>
      </w:r>
      <w:r w:rsidR="00C848D1" w:rsidRPr="00A6763A">
        <w:rPr>
          <w:lang w:val="fr-FR"/>
        </w:rPr>
        <w:t xml:space="preserve">pleinement </w:t>
      </w:r>
      <w:r w:rsidR="00D61CB4" w:rsidRPr="00A6763A">
        <w:rPr>
          <w:lang w:val="fr-FR"/>
        </w:rPr>
        <w:t xml:space="preserve">couverts par le cadre juridique relatif à la lutte contre la discrimination, </w:t>
      </w:r>
      <w:r w:rsidR="00EC78A0" w:rsidRPr="00A6763A">
        <w:rPr>
          <w:lang w:val="fr-FR"/>
        </w:rPr>
        <w:t xml:space="preserve">notamment </w:t>
      </w:r>
      <w:r w:rsidR="00F133A9" w:rsidRPr="00A6763A">
        <w:rPr>
          <w:lang w:val="fr-FR"/>
        </w:rPr>
        <w:t xml:space="preserve">le </w:t>
      </w:r>
      <w:r w:rsidR="000717FB">
        <w:rPr>
          <w:lang w:val="fr-FR"/>
        </w:rPr>
        <w:t>C</w:t>
      </w:r>
      <w:r w:rsidR="00F133A9" w:rsidRPr="00A6763A">
        <w:rPr>
          <w:lang w:val="fr-FR"/>
        </w:rPr>
        <w:t>ode pénal</w:t>
      </w:r>
      <w:r w:rsidR="00D61CB4" w:rsidRPr="00A6763A">
        <w:rPr>
          <w:lang w:val="fr-FR"/>
        </w:rPr>
        <w:t>,</w:t>
      </w:r>
      <w:r w:rsidR="00C848D1" w:rsidRPr="00A6763A">
        <w:rPr>
          <w:lang w:val="fr-FR"/>
        </w:rPr>
        <w:t xml:space="preserve"> la loi du 28 novembre 2006 relative à l’égalité de traitement</w:t>
      </w:r>
      <w:r w:rsidR="00F133A9" w:rsidRPr="00A6763A">
        <w:rPr>
          <w:lang w:val="fr-FR"/>
        </w:rPr>
        <w:t xml:space="preserve"> et modifiée par la loi du 7 novembre 2017</w:t>
      </w:r>
      <w:r w:rsidR="00C848D1" w:rsidRPr="00A6763A">
        <w:rPr>
          <w:lang w:val="fr-FR"/>
        </w:rPr>
        <w:t>,</w:t>
      </w:r>
      <w:r w:rsidR="00CA5807" w:rsidRPr="00A6763A">
        <w:rPr>
          <w:lang w:val="fr-FR"/>
        </w:rPr>
        <w:t xml:space="preserve"> le </w:t>
      </w:r>
      <w:r w:rsidR="00486D0C">
        <w:rPr>
          <w:lang w:val="fr-FR"/>
        </w:rPr>
        <w:t>C</w:t>
      </w:r>
      <w:r w:rsidR="00CA5807" w:rsidRPr="00A6763A">
        <w:rPr>
          <w:lang w:val="fr-FR"/>
        </w:rPr>
        <w:t>ode du travail d</w:t>
      </w:r>
      <w:r w:rsidR="00EC78A0" w:rsidRPr="00A6763A">
        <w:rPr>
          <w:lang w:val="fr-FR"/>
        </w:rPr>
        <w:t>e</w:t>
      </w:r>
      <w:r w:rsidR="00CA5807" w:rsidRPr="00A6763A">
        <w:rPr>
          <w:lang w:val="fr-FR"/>
        </w:rPr>
        <w:t xml:space="preserve"> 2006,</w:t>
      </w:r>
      <w:r w:rsidR="00EC1198" w:rsidRPr="00A6763A">
        <w:rPr>
          <w:lang w:val="fr-FR"/>
        </w:rPr>
        <w:t xml:space="preserve"> la loi du 16 avril</w:t>
      </w:r>
      <w:r w:rsidR="005E6F23" w:rsidRPr="00A6763A">
        <w:rPr>
          <w:lang w:val="fr-FR"/>
        </w:rPr>
        <w:t xml:space="preserve"> 1979</w:t>
      </w:r>
      <w:r w:rsidR="00EC1198" w:rsidRPr="00A6763A">
        <w:rPr>
          <w:lang w:val="fr-FR"/>
        </w:rPr>
        <w:t xml:space="preserve"> fixant le statut général des fonctionnaires de l’État, </w:t>
      </w:r>
      <w:r w:rsidR="00D143E6">
        <w:rPr>
          <w:lang w:val="fr-FR"/>
        </w:rPr>
        <w:t xml:space="preserve">et </w:t>
      </w:r>
      <w:r w:rsidR="00EC1198" w:rsidRPr="00A6763A">
        <w:rPr>
          <w:lang w:val="fr-FR"/>
        </w:rPr>
        <w:t>la loi du 24</w:t>
      </w:r>
      <w:r w:rsidR="0029161A">
        <w:rPr>
          <w:lang w:val="fr-FR"/>
        </w:rPr>
        <w:t> </w:t>
      </w:r>
      <w:r w:rsidR="00EC1198" w:rsidRPr="00A6763A">
        <w:rPr>
          <w:lang w:val="fr-FR"/>
        </w:rPr>
        <w:t>décembre 1985 fixant le statut général des fonctionnaires communaux</w:t>
      </w:r>
      <w:r w:rsidR="004A5C04">
        <w:rPr>
          <w:rStyle w:val="Appelnotedebasdep"/>
        </w:rPr>
        <w:footnoteReference w:id="4"/>
      </w:r>
      <w:r w:rsidR="00EC1198" w:rsidRPr="00A6763A">
        <w:rPr>
          <w:lang w:val="fr-FR"/>
        </w:rPr>
        <w:t>.</w:t>
      </w:r>
    </w:p>
    <w:p w14:paraId="41D69FCC" w14:textId="2C1C3F57" w:rsidR="007E2735" w:rsidRPr="00A6763A" w:rsidRDefault="00283D9D" w:rsidP="00283D9D">
      <w:pPr>
        <w:pStyle w:val="SingleTxtG"/>
        <w:rPr>
          <w:lang w:val="fr-FR"/>
        </w:rPr>
      </w:pPr>
      <w:r w:rsidRPr="00A6763A">
        <w:rPr>
          <w:lang w:val="fr-FR"/>
        </w:rPr>
        <w:t>4.</w:t>
      </w:r>
      <w:r w:rsidRPr="00A6763A">
        <w:rPr>
          <w:lang w:val="fr-FR"/>
        </w:rPr>
        <w:tab/>
      </w:r>
      <w:r w:rsidR="007E3E78" w:rsidRPr="00A6763A">
        <w:rPr>
          <w:lang w:val="fr-FR"/>
        </w:rPr>
        <w:t xml:space="preserve">Exemples d’affaires dans lesquelles les dispositions de la Convention ont été </w:t>
      </w:r>
      <w:r w:rsidR="00201634" w:rsidRPr="00A6763A">
        <w:rPr>
          <w:lang w:val="fr-FR"/>
        </w:rPr>
        <w:t xml:space="preserve">invoquées et </w:t>
      </w:r>
      <w:r w:rsidR="007E3E78" w:rsidRPr="00A6763A">
        <w:rPr>
          <w:lang w:val="fr-FR"/>
        </w:rPr>
        <w:t xml:space="preserve">directement appliquées par les tribunaux nationaux ; informations </w:t>
      </w:r>
      <w:r w:rsidR="002E1B1C" w:rsidRPr="00A6763A">
        <w:rPr>
          <w:lang w:val="fr-FR"/>
        </w:rPr>
        <w:t xml:space="preserve">détaillées </w:t>
      </w:r>
      <w:r w:rsidR="007E3E78" w:rsidRPr="00A6763A">
        <w:rPr>
          <w:lang w:val="fr-FR"/>
        </w:rPr>
        <w:t xml:space="preserve">sur les mesures prises pour faire mieux connaître la </w:t>
      </w:r>
      <w:r w:rsidR="007E3E78" w:rsidRPr="00A6763A">
        <w:rPr>
          <w:spacing w:val="-2"/>
          <w:lang w:val="fr-FR"/>
        </w:rPr>
        <w:t xml:space="preserve">Convention auprès </w:t>
      </w:r>
      <w:r w:rsidR="007E3E78" w:rsidRPr="00A6763A">
        <w:rPr>
          <w:lang w:val="fr-FR"/>
        </w:rPr>
        <w:t xml:space="preserve">des juges, </w:t>
      </w:r>
      <w:r w:rsidR="006D59CF">
        <w:rPr>
          <w:lang w:val="fr-FR"/>
        </w:rPr>
        <w:t xml:space="preserve">des </w:t>
      </w:r>
      <w:r w:rsidR="007E3E78" w:rsidRPr="00A6763A">
        <w:rPr>
          <w:lang w:val="fr-FR"/>
        </w:rPr>
        <w:t xml:space="preserve">magistrats, </w:t>
      </w:r>
      <w:r w:rsidR="006D59CF">
        <w:rPr>
          <w:lang w:val="fr-FR"/>
        </w:rPr>
        <w:lastRenderedPageBreak/>
        <w:t xml:space="preserve">des </w:t>
      </w:r>
      <w:r w:rsidR="007E3E78" w:rsidRPr="00A6763A">
        <w:rPr>
          <w:lang w:val="fr-FR"/>
        </w:rPr>
        <w:t xml:space="preserve">forces de l’ordre, </w:t>
      </w:r>
      <w:r w:rsidR="006D59CF">
        <w:rPr>
          <w:lang w:val="fr-FR"/>
        </w:rPr>
        <w:t xml:space="preserve">des </w:t>
      </w:r>
      <w:r w:rsidR="00740E21" w:rsidRPr="00A6763A">
        <w:rPr>
          <w:lang w:val="fr-FR"/>
        </w:rPr>
        <w:t>fonctionnaires public</w:t>
      </w:r>
      <w:r w:rsidR="002E1B1C" w:rsidRPr="00A6763A">
        <w:rPr>
          <w:lang w:val="fr-FR"/>
        </w:rPr>
        <w:t xml:space="preserve">s, </w:t>
      </w:r>
      <w:r w:rsidR="006D59CF">
        <w:rPr>
          <w:lang w:val="fr-FR"/>
        </w:rPr>
        <w:t xml:space="preserve">des </w:t>
      </w:r>
      <w:r w:rsidR="007E3E78" w:rsidRPr="00A6763A">
        <w:rPr>
          <w:lang w:val="fr-FR"/>
        </w:rPr>
        <w:t>avocats ainsi qu’auprès de la population</w:t>
      </w:r>
      <w:r w:rsidR="007E3E78" w:rsidRPr="00A6763A">
        <w:rPr>
          <w:spacing w:val="-2"/>
          <w:lang w:val="fr-FR"/>
        </w:rPr>
        <w:t>, et sur les effets de ces mesures</w:t>
      </w:r>
      <w:r w:rsidR="00A735F1">
        <w:rPr>
          <w:rStyle w:val="Appelnotedebasdep"/>
          <w:spacing w:val="-2"/>
        </w:rPr>
        <w:footnoteReference w:id="5"/>
      </w:r>
      <w:r w:rsidR="007E3E78" w:rsidRPr="00A6763A">
        <w:rPr>
          <w:spacing w:val="-2"/>
          <w:lang w:val="fr-FR"/>
        </w:rPr>
        <w:t>.</w:t>
      </w:r>
      <w:r w:rsidR="002E1B1C" w:rsidRPr="00A6763A">
        <w:rPr>
          <w:spacing w:val="-2"/>
          <w:lang w:val="fr-FR"/>
        </w:rPr>
        <w:t xml:space="preserve"> </w:t>
      </w:r>
    </w:p>
    <w:p w14:paraId="68555BE7" w14:textId="433A3BFD" w:rsidR="00AE3BCC" w:rsidRPr="009D50F0" w:rsidRDefault="00283D9D" w:rsidP="00283D9D">
      <w:pPr>
        <w:pStyle w:val="SingleTxtG"/>
        <w:rPr>
          <w:lang w:val="fr-FR"/>
        </w:rPr>
      </w:pPr>
      <w:r w:rsidRPr="009D50F0">
        <w:rPr>
          <w:lang w:val="fr-FR"/>
        </w:rPr>
        <w:t>5.</w:t>
      </w:r>
      <w:r w:rsidRPr="009D50F0">
        <w:rPr>
          <w:lang w:val="fr-FR"/>
        </w:rPr>
        <w:tab/>
      </w:r>
      <w:r w:rsidR="007E2735" w:rsidRPr="00A6763A">
        <w:rPr>
          <w:spacing w:val="-2"/>
          <w:lang w:val="fr-FR"/>
        </w:rPr>
        <w:t xml:space="preserve">Informations sur les mesures adoptées ou envisagées afin de renforcer la </w:t>
      </w:r>
      <w:r w:rsidR="007E2735" w:rsidRPr="00A6763A">
        <w:rPr>
          <w:lang w:val="fr-FR"/>
        </w:rPr>
        <w:t xml:space="preserve">coordination et </w:t>
      </w:r>
      <w:r w:rsidR="00864443">
        <w:rPr>
          <w:lang w:val="fr-FR"/>
        </w:rPr>
        <w:t xml:space="preserve">la </w:t>
      </w:r>
      <w:r w:rsidR="007E2735" w:rsidRPr="00A6763A">
        <w:rPr>
          <w:lang w:val="fr-FR"/>
        </w:rPr>
        <w:t>coopération</w:t>
      </w:r>
      <w:r w:rsidR="003663A5" w:rsidRPr="00A6763A">
        <w:rPr>
          <w:lang w:val="fr-FR"/>
        </w:rPr>
        <w:t xml:space="preserve">, en particulier en ce qui concerne les sujets couverts par la Convention, </w:t>
      </w:r>
      <w:r w:rsidR="00AA2C7A" w:rsidRPr="00A6763A">
        <w:rPr>
          <w:lang w:val="fr-FR"/>
        </w:rPr>
        <w:t>entre</w:t>
      </w:r>
      <w:r w:rsidR="003663A5" w:rsidRPr="00A6763A">
        <w:rPr>
          <w:lang w:val="fr-FR"/>
        </w:rPr>
        <w:t xml:space="preserve"> </w:t>
      </w:r>
      <w:r w:rsidR="003663A5" w:rsidRPr="009D50F0">
        <w:rPr>
          <w:lang w:val="fr-FR"/>
        </w:rPr>
        <w:t>le Centre pour l’égalité de traitement, le Médiateur, la Commission consultative des droits de l’homme, le Conseil national pour étrangers et l’</w:t>
      </w:r>
      <w:r w:rsidR="00727B71">
        <w:rPr>
          <w:lang w:val="fr-FR"/>
        </w:rPr>
        <w:t>Office national de l’accueil</w:t>
      </w:r>
      <w:r w:rsidR="003663A5" w:rsidRPr="009D50F0">
        <w:rPr>
          <w:lang w:val="fr-FR"/>
        </w:rPr>
        <w:t>.</w:t>
      </w:r>
      <w:r w:rsidR="00AE3BCC" w:rsidRPr="009D50F0">
        <w:rPr>
          <w:lang w:val="fr-FR"/>
        </w:rPr>
        <w:t xml:space="preserve"> </w:t>
      </w:r>
      <w:r w:rsidR="00C03516" w:rsidRPr="009D50F0">
        <w:rPr>
          <w:lang w:val="fr-FR"/>
        </w:rPr>
        <w:t>I</w:t>
      </w:r>
      <w:r w:rsidR="007E14E2" w:rsidRPr="009D50F0">
        <w:rPr>
          <w:lang w:val="fr-FR"/>
        </w:rPr>
        <w:t>nformations sur l’évolution des</w:t>
      </w:r>
      <w:r w:rsidR="00C03516" w:rsidRPr="009D50F0">
        <w:rPr>
          <w:lang w:val="fr-FR"/>
        </w:rPr>
        <w:t xml:space="preserve"> ressources financières et humaines affecté</w:t>
      </w:r>
      <w:r w:rsidR="00C333D0">
        <w:rPr>
          <w:lang w:val="fr-FR"/>
        </w:rPr>
        <w:t>e</w:t>
      </w:r>
      <w:r w:rsidR="00C03516" w:rsidRPr="009D50F0">
        <w:rPr>
          <w:lang w:val="fr-FR"/>
        </w:rPr>
        <w:t xml:space="preserve">s à ces organes </w:t>
      </w:r>
      <w:r w:rsidR="007E14E2" w:rsidRPr="009D50F0">
        <w:rPr>
          <w:lang w:val="fr-FR"/>
        </w:rPr>
        <w:t xml:space="preserve">au cours des dix dernières années. </w:t>
      </w:r>
      <w:r w:rsidR="00FC4460" w:rsidRPr="009D50F0">
        <w:rPr>
          <w:lang w:val="fr-FR"/>
        </w:rPr>
        <w:t>Renseignements sur la réaffectation des compétences dévolues à l’ancienne Commission spéciale permanente contre la discrimination raciale, en particulier en ce qui concerne la compétence de recevoir des plaintes pour discrimination raciale</w:t>
      </w:r>
      <w:r w:rsidR="004B2BDF">
        <w:rPr>
          <w:rStyle w:val="Appelnotedebasdep"/>
        </w:rPr>
        <w:footnoteReference w:id="6"/>
      </w:r>
      <w:r w:rsidR="003D548B" w:rsidRPr="009D50F0">
        <w:rPr>
          <w:spacing w:val="-2"/>
          <w:lang w:val="fr-FR"/>
        </w:rPr>
        <w:t>.</w:t>
      </w:r>
    </w:p>
    <w:p w14:paraId="337A4409" w14:textId="7C9D8D14" w:rsidR="00982E2E" w:rsidRPr="00A6763A" w:rsidRDefault="00283D9D" w:rsidP="00283D9D">
      <w:pPr>
        <w:pStyle w:val="SingleTxtG"/>
        <w:rPr>
          <w:lang w:val="fr-FR"/>
        </w:rPr>
      </w:pPr>
      <w:r w:rsidRPr="00A6763A">
        <w:rPr>
          <w:lang w:val="fr-FR"/>
        </w:rPr>
        <w:t>6.</w:t>
      </w:r>
      <w:r w:rsidRPr="00A6763A">
        <w:rPr>
          <w:lang w:val="fr-FR"/>
        </w:rPr>
        <w:tab/>
      </w:r>
      <w:r w:rsidR="00737C40" w:rsidRPr="00A6763A">
        <w:rPr>
          <w:lang w:val="fr-FR"/>
        </w:rPr>
        <w:t>Renseignements sur les</w:t>
      </w:r>
      <w:r w:rsidR="00FC4460" w:rsidRPr="00A6763A">
        <w:rPr>
          <w:lang w:val="fr-FR"/>
        </w:rPr>
        <w:t xml:space="preserve"> procédures </w:t>
      </w:r>
      <w:r w:rsidR="00931079" w:rsidRPr="00A6763A">
        <w:rPr>
          <w:lang w:val="fr-FR"/>
        </w:rPr>
        <w:t xml:space="preserve">non </w:t>
      </w:r>
      <w:r w:rsidR="00FC4460" w:rsidRPr="00A6763A">
        <w:rPr>
          <w:lang w:val="fr-FR"/>
        </w:rPr>
        <w:t xml:space="preserve">judiciaires </w:t>
      </w:r>
      <w:r w:rsidR="00FD0631" w:rsidRPr="00A6763A">
        <w:rPr>
          <w:lang w:val="fr-FR"/>
        </w:rPr>
        <w:t xml:space="preserve">disponibles pour </w:t>
      </w:r>
      <w:r w:rsidR="00FC4460" w:rsidRPr="00A6763A">
        <w:rPr>
          <w:lang w:val="fr-FR"/>
        </w:rPr>
        <w:t xml:space="preserve">que les victimes de discrimination raciale </w:t>
      </w:r>
      <w:r w:rsidR="00E763FD" w:rsidRPr="00A6763A">
        <w:rPr>
          <w:lang w:val="fr-FR"/>
        </w:rPr>
        <w:t>puissent</w:t>
      </w:r>
      <w:r w:rsidR="00FC4460" w:rsidRPr="00A6763A">
        <w:rPr>
          <w:lang w:val="fr-FR"/>
        </w:rPr>
        <w:t xml:space="preserve"> faire valoir leurs droits.</w:t>
      </w:r>
      <w:r w:rsidR="00312349" w:rsidRPr="00A6763A">
        <w:rPr>
          <w:lang w:val="fr-FR"/>
        </w:rPr>
        <w:t xml:space="preserve"> Mesures adoptées ou envisagées pour</w:t>
      </w:r>
      <w:r w:rsidR="00376F42" w:rsidRPr="00A6763A">
        <w:rPr>
          <w:lang w:val="fr-FR"/>
        </w:rPr>
        <w:t xml:space="preserve"> réviser la loi du 28 novembre 2006 relative à l’égalité de traitement</w:t>
      </w:r>
      <w:r w:rsidR="00513CD4">
        <w:rPr>
          <w:lang w:val="fr-FR"/>
        </w:rPr>
        <w:t>,</w:t>
      </w:r>
      <w:r w:rsidR="00376F42" w:rsidRPr="00A6763A">
        <w:rPr>
          <w:lang w:val="fr-FR"/>
        </w:rPr>
        <w:t xml:space="preserve"> en vue </w:t>
      </w:r>
      <w:r w:rsidR="00FD0631" w:rsidRPr="00A6763A">
        <w:rPr>
          <w:lang w:val="fr-FR"/>
        </w:rPr>
        <w:t>d’attribuer au Centre</w:t>
      </w:r>
      <w:r w:rsidR="00376F42" w:rsidRPr="00A6763A">
        <w:rPr>
          <w:lang w:val="fr-FR"/>
        </w:rPr>
        <w:t xml:space="preserve"> pour l’égalité de traitement</w:t>
      </w:r>
      <w:r w:rsidR="00FD0631" w:rsidRPr="00A6763A">
        <w:rPr>
          <w:lang w:val="fr-FR"/>
        </w:rPr>
        <w:t xml:space="preserve"> le droit d’être saisi de plaintes</w:t>
      </w:r>
      <w:r w:rsidR="00376F42" w:rsidRPr="00A6763A">
        <w:rPr>
          <w:lang w:val="fr-FR"/>
        </w:rPr>
        <w:t xml:space="preserve"> </w:t>
      </w:r>
      <w:r w:rsidR="00FD0631" w:rsidRPr="00A6763A">
        <w:rPr>
          <w:lang w:val="fr-FR"/>
        </w:rPr>
        <w:t xml:space="preserve">et </w:t>
      </w:r>
      <w:r w:rsidR="00376F42" w:rsidRPr="00A6763A">
        <w:rPr>
          <w:lang w:val="fr-FR"/>
        </w:rPr>
        <w:t>d’avoir qualité pou</w:t>
      </w:r>
      <w:r w:rsidR="00FD0631" w:rsidRPr="00A6763A">
        <w:rPr>
          <w:lang w:val="fr-FR"/>
        </w:rPr>
        <w:t>r</w:t>
      </w:r>
      <w:r w:rsidR="00376F42" w:rsidRPr="00A6763A">
        <w:rPr>
          <w:lang w:val="fr-FR"/>
        </w:rPr>
        <w:t xml:space="preserve"> ester en justice</w:t>
      </w:r>
      <w:r w:rsidR="00513CD4">
        <w:rPr>
          <w:rStyle w:val="Appelnotedebasdep"/>
        </w:rPr>
        <w:footnoteReference w:id="7"/>
      </w:r>
      <w:r w:rsidR="00E763FD" w:rsidRPr="00A6763A">
        <w:rPr>
          <w:spacing w:val="-2"/>
          <w:lang w:val="fr-FR"/>
        </w:rPr>
        <w:t>.</w:t>
      </w:r>
      <w:r w:rsidR="00A6763A">
        <w:rPr>
          <w:spacing w:val="-2"/>
          <w:lang w:val="fr-FR"/>
        </w:rPr>
        <w:t xml:space="preserve"> </w:t>
      </w:r>
      <w:r w:rsidR="00982E2E" w:rsidRPr="00A6763A">
        <w:rPr>
          <w:lang w:val="fr-FR"/>
        </w:rPr>
        <w:t xml:space="preserve">Informations actualisées et statistiques sur les plaintes déposées pour discrimination raciale auprès de la police, des organes </w:t>
      </w:r>
      <w:r w:rsidR="00931079" w:rsidRPr="00A6763A">
        <w:rPr>
          <w:lang w:val="fr-FR"/>
        </w:rPr>
        <w:t>non judiciaires s’ils existent</w:t>
      </w:r>
      <w:r w:rsidR="00982E2E" w:rsidRPr="00A6763A">
        <w:rPr>
          <w:lang w:val="fr-FR"/>
        </w:rPr>
        <w:t xml:space="preserve"> et des juridictions nationales, </w:t>
      </w:r>
      <w:r w:rsidR="00451B78">
        <w:rPr>
          <w:lang w:val="fr-FR"/>
        </w:rPr>
        <w:t xml:space="preserve">sur les </w:t>
      </w:r>
      <w:r w:rsidR="00982E2E" w:rsidRPr="00A6763A">
        <w:rPr>
          <w:lang w:val="fr-FR"/>
        </w:rPr>
        <w:t xml:space="preserve">enquêtes menées à ce sujet, </w:t>
      </w:r>
      <w:r w:rsidR="00451B78">
        <w:rPr>
          <w:lang w:val="fr-FR"/>
        </w:rPr>
        <w:t xml:space="preserve">les </w:t>
      </w:r>
      <w:r w:rsidR="00982E2E" w:rsidRPr="00A6763A">
        <w:rPr>
          <w:lang w:val="fr-FR"/>
        </w:rPr>
        <w:t xml:space="preserve">condamnations et peines prononcées, et </w:t>
      </w:r>
      <w:r w:rsidR="00451B78">
        <w:rPr>
          <w:lang w:val="fr-FR"/>
        </w:rPr>
        <w:t xml:space="preserve">les </w:t>
      </w:r>
      <w:r w:rsidR="00982E2E" w:rsidRPr="00A6763A">
        <w:rPr>
          <w:lang w:val="fr-FR"/>
        </w:rPr>
        <w:t>réparations accordées aux victimes</w:t>
      </w:r>
      <w:r w:rsidR="00451B78">
        <w:rPr>
          <w:rStyle w:val="Appelnotedebasdep"/>
        </w:rPr>
        <w:footnoteReference w:id="8"/>
      </w:r>
      <w:r w:rsidR="00451B78">
        <w:rPr>
          <w:spacing w:val="-2"/>
          <w:lang w:val="fr-FR"/>
        </w:rPr>
        <w:t>.</w:t>
      </w:r>
      <w:r w:rsidR="00982E2E" w:rsidRPr="00A6763A">
        <w:rPr>
          <w:lang w:val="fr-FR"/>
        </w:rPr>
        <w:t xml:space="preserve"> </w:t>
      </w:r>
    </w:p>
    <w:p w14:paraId="62CCCB00" w14:textId="5B44E1F6" w:rsidR="00EB3BE7" w:rsidRPr="00EB3BE7" w:rsidRDefault="00283D9D" w:rsidP="00283D9D">
      <w:pPr>
        <w:pStyle w:val="SingleTxtG"/>
        <w:rPr>
          <w:lang w:val="fr-FR"/>
        </w:rPr>
      </w:pPr>
      <w:r w:rsidRPr="00EB3BE7">
        <w:rPr>
          <w:lang w:val="fr-FR"/>
        </w:rPr>
        <w:t>7.</w:t>
      </w:r>
      <w:r w:rsidRPr="00EB3BE7">
        <w:rPr>
          <w:lang w:val="fr-FR"/>
        </w:rPr>
        <w:tab/>
      </w:r>
      <w:r w:rsidR="00483993">
        <w:t xml:space="preserve">Mesures visant à faire de la motivation raciste une circonstance aggravante pour </w:t>
      </w:r>
      <w:r w:rsidR="007A6B35">
        <w:t xml:space="preserve">les infractions visées par le Code pénal. </w:t>
      </w:r>
      <w:r w:rsidR="00483993">
        <w:t>E</w:t>
      </w:r>
      <w:r w:rsidR="007A6B35">
        <w:t>xemples de cas où</w:t>
      </w:r>
      <w:r w:rsidR="00483993">
        <w:t xml:space="preserve"> la motivation raciste a été prise en compte dans la fixation de la peine</w:t>
      </w:r>
      <w:r w:rsidR="00451B78">
        <w:rPr>
          <w:rStyle w:val="Appelnotedebasdep"/>
        </w:rPr>
        <w:footnoteReference w:id="9"/>
      </w:r>
      <w:r w:rsidR="00F90B54">
        <w:rPr>
          <w:spacing w:val="-2"/>
          <w:lang w:val="fr-FR"/>
        </w:rPr>
        <w:t>.</w:t>
      </w:r>
      <w:r w:rsidR="00373B7A">
        <w:t xml:space="preserve"> </w:t>
      </w:r>
      <w:r w:rsidR="00F90B54">
        <w:t>Mesures visant à introduire dans le Code pénal une disposition spécifique et explicite qui interdise toute organisation incitant à la discrimination raciale et la déclare illégale</w:t>
      </w:r>
      <w:r w:rsidR="004D7378">
        <w:t xml:space="preserve">. Exemples de cas d’interdiction et de dissolution </w:t>
      </w:r>
      <w:r w:rsidR="00741C50">
        <w:t>d’</w:t>
      </w:r>
      <w:r w:rsidR="004D7378">
        <w:t>organisations qui incit</w:t>
      </w:r>
      <w:r w:rsidR="00741C50">
        <w:t>ai</w:t>
      </w:r>
      <w:r w:rsidR="004D7378">
        <w:t>ent à la discrimination raciale</w:t>
      </w:r>
      <w:r w:rsidR="00741C50">
        <w:rPr>
          <w:rStyle w:val="Appelnotedebasdep"/>
        </w:rPr>
        <w:footnoteReference w:id="10"/>
      </w:r>
      <w:r w:rsidR="004D7378">
        <w:rPr>
          <w:spacing w:val="-2"/>
          <w:lang w:val="fr-FR"/>
        </w:rPr>
        <w:t>.</w:t>
      </w:r>
    </w:p>
    <w:p w14:paraId="43EE2F5B" w14:textId="74F7A369" w:rsidR="00854F5F" w:rsidRDefault="00283D9D" w:rsidP="00283D9D">
      <w:pPr>
        <w:pStyle w:val="SingleTxtG"/>
        <w:rPr>
          <w:lang w:val="fr-FR"/>
        </w:rPr>
      </w:pPr>
      <w:r>
        <w:rPr>
          <w:lang w:val="fr-FR"/>
        </w:rPr>
        <w:t>8.</w:t>
      </w:r>
      <w:r>
        <w:rPr>
          <w:lang w:val="fr-FR"/>
        </w:rPr>
        <w:tab/>
      </w:r>
      <w:r w:rsidR="009E29D7" w:rsidRPr="00854F5F">
        <w:rPr>
          <w:lang w:val="fr-FR"/>
        </w:rPr>
        <w:t xml:space="preserve">Renseignements sur les mesures prises pour prévenir et combattre les discours de haine à caractère raciste, les crimes de haine et l’incitation à la haine raciale, notamment dans les médias et sur Internet, en particulier </w:t>
      </w:r>
      <w:r w:rsidR="00854F5F" w:rsidRPr="00854F5F">
        <w:rPr>
          <w:lang w:val="fr-FR"/>
        </w:rPr>
        <w:t>envers</w:t>
      </w:r>
      <w:r w:rsidR="00854F5F">
        <w:rPr>
          <w:lang w:val="fr-FR"/>
        </w:rPr>
        <w:t xml:space="preserve"> </w:t>
      </w:r>
      <w:r w:rsidR="009E29D7" w:rsidRPr="00854F5F">
        <w:rPr>
          <w:lang w:val="fr-FR"/>
        </w:rPr>
        <w:t>les migrants, les réfugiés, les demandeurs d’asile</w:t>
      </w:r>
      <w:r w:rsidR="00A37E47">
        <w:rPr>
          <w:lang w:val="fr-FR"/>
        </w:rPr>
        <w:t>,</w:t>
      </w:r>
      <w:r w:rsidR="009E29D7" w:rsidRPr="00854F5F">
        <w:rPr>
          <w:lang w:val="fr-FR"/>
        </w:rPr>
        <w:t xml:space="preserve"> </w:t>
      </w:r>
      <w:r w:rsidR="00A37E47">
        <w:rPr>
          <w:lang w:val="fr-FR"/>
        </w:rPr>
        <w:t xml:space="preserve">les personnes d’ascendance africaine et les </w:t>
      </w:r>
      <w:r w:rsidR="009E29D7" w:rsidRPr="00854F5F">
        <w:rPr>
          <w:lang w:val="fr-FR"/>
        </w:rPr>
        <w:t>minorités ethnoreligieuses</w:t>
      </w:r>
      <w:r w:rsidR="00854F5F">
        <w:rPr>
          <w:lang w:val="fr-FR"/>
        </w:rPr>
        <w:t xml:space="preserve">, et </w:t>
      </w:r>
      <w:r w:rsidR="00FE21F8">
        <w:rPr>
          <w:lang w:val="fr-FR"/>
        </w:rPr>
        <w:t>impact de ces mesures</w:t>
      </w:r>
      <w:r w:rsidR="009729CD">
        <w:rPr>
          <w:rStyle w:val="Appelnotedebasdep"/>
        </w:rPr>
        <w:footnoteReference w:id="11"/>
      </w:r>
      <w:r w:rsidR="00FC2E47">
        <w:rPr>
          <w:spacing w:val="-2"/>
          <w:lang w:val="fr-FR"/>
        </w:rPr>
        <w:t>.</w:t>
      </w:r>
    </w:p>
    <w:p w14:paraId="00E4FAAB" w14:textId="2BC30DDD" w:rsidR="005F038D" w:rsidRPr="004F66AF" w:rsidRDefault="00283D9D" w:rsidP="00283D9D">
      <w:pPr>
        <w:pStyle w:val="SingleTxtG"/>
        <w:rPr>
          <w:lang w:val="fr-FR"/>
        </w:rPr>
      </w:pPr>
      <w:r w:rsidRPr="004F66AF">
        <w:rPr>
          <w:lang w:val="fr-FR"/>
        </w:rPr>
        <w:t>9.</w:t>
      </w:r>
      <w:r w:rsidRPr="004F66AF">
        <w:rPr>
          <w:lang w:val="fr-FR"/>
        </w:rPr>
        <w:tab/>
      </w:r>
      <w:r w:rsidR="00854F5F">
        <w:rPr>
          <w:lang w:val="fr-FR"/>
        </w:rPr>
        <w:t xml:space="preserve">Exemples </w:t>
      </w:r>
      <w:r w:rsidR="00EC78A0">
        <w:rPr>
          <w:lang w:val="fr-FR"/>
        </w:rPr>
        <w:t>de</w:t>
      </w:r>
      <w:r w:rsidR="00854F5F">
        <w:rPr>
          <w:lang w:val="fr-FR"/>
        </w:rPr>
        <w:t xml:space="preserve"> p</w:t>
      </w:r>
      <w:r w:rsidR="00330D95" w:rsidRPr="00854F5F">
        <w:rPr>
          <w:lang w:val="fr-FR"/>
        </w:rPr>
        <w:t xml:space="preserve">laintes déposées et </w:t>
      </w:r>
      <w:r w:rsidR="00A27AF4">
        <w:rPr>
          <w:lang w:val="fr-FR"/>
        </w:rPr>
        <w:t>d’</w:t>
      </w:r>
      <w:r w:rsidR="00330D95" w:rsidRPr="00854F5F">
        <w:rPr>
          <w:lang w:val="fr-FR"/>
        </w:rPr>
        <w:t>enquêtes menées contre des individus ou des groupes qui auraient incité à la discrimination raciale et aux discours de haine raciale dans les médias ou les auraient encouragés dans ce cadre, notamment sur Internet, et sanctions appliquées</w:t>
      </w:r>
      <w:r w:rsidR="0003317C">
        <w:rPr>
          <w:rStyle w:val="Appelnotedebasdep"/>
        </w:rPr>
        <w:footnoteReference w:id="12"/>
      </w:r>
      <w:r w:rsidR="00373B7A">
        <w:rPr>
          <w:lang w:val="fr-FR"/>
        </w:rPr>
        <w:t xml:space="preserve">. </w:t>
      </w:r>
      <w:r w:rsidR="00330D95" w:rsidRPr="00854F5F">
        <w:rPr>
          <w:lang w:val="fr-FR"/>
        </w:rPr>
        <w:t>Mesures prises pour améliorer le signalement et le suivi des crimes et des discours de haine</w:t>
      </w:r>
      <w:r w:rsidR="00FC2E47">
        <w:rPr>
          <w:lang w:val="fr-FR"/>
        </w:rPr>
        <w:t xml:space="preserve"> </w:t>
      </w:r>
      <w:r w:rsidR="00FC2E47" w:rsidRPr="00854F5F">
        <w:rPr>
          <w:lang w:val="fr-FR"/>
        </w:rPr>
        <w:t>à caractère raciste</w:t>
      </w:r>
      <w:r w:rsidR="00330D95" w:rsidRPr="00854F5F">
        <w:rPr>
          <w:lang w:val="fr-FR"/>
        </w:rPr>
        <w:t xml:space="preserve">, y compris l’établissement d’un système d’enregistrement et </w:t>
      </w:r>
      <w:r w:rsidR="005D7A57">
        <w:rPr>
          <w:lang w:val="fr-FR"/>
        </w:rPr>
        <w:t xml:space="preserve">de </w:t>
      </w:r>
      <w:r w:rsidR="00330D95" w:rsidRPr="00854F5F">
        <w:rPr>
          <w:lang w:val="fr-FR"/>
        </w:rPr>
        <w:t xml:space="preserve">collecte de </w:t>
      </w:r>
      <w:r w:rsidR="00330D95" w:rsidRPr="004F66AF">
        <w:rPr>
          <w:lang w:val="fr-FR"/>
        </w:rPr>
        <w:t>données à ce sujet</w:t>
      </w:r>
      <w:r w:rsidR="0065781A" w:rsidRPr="004F66AF">
        <w:rPr>
          <w:lang w:val="fr-FR"/>
        </w:rPr>
        <w:t>.</w:t>
      </w:r>
    </w:p>
    <w:p w14:paraId="06B4D976" w14:textId="4A6F52AA" w:rsidR="00330D95" w:rsidRPr="004F66AF" w:rsidRDefault="00283D9D" w:rsidP="00283D9D">
      <w:pPr>
        <w:pStyle w:val="SingleTxtG"/>
        <w:rPr>
          <w:lang w:val="fr-FR"/>
        </w:rPr>
      </w:pPr>
      <w:r w:rsidRPr="004F66AF">
        <w:rPr>
          <w:lang w:val="fr-FR"/>
        </w:rPr>
        <w:t>10.</w:t>
      </w:r>
      <w:r w:rsidRPr="004F66AF">
        <w:rPr>
          <w:lang w:val="fr-FR"/>
        </w:rPr>
        <w:tab/>
      </w:r>
      <w:r w:rsidR="004F66AF" w:rsidRPr="004F66AF">
        <w:t xml:space="preserve">Mesures concrètes prises et envisagées visant </w:t>
      </w:r>
      <w:r w:rsidR="004F66AF">
        <w:t>à prévenir le profilage racial</w:t>
      </w:r>
      <w:r w:rsidR="004F66AF" w:rsidRPr="004F66AF">
        <w:t xml:space="preserve"> par des agents de police et à</w:t>
      </w:r>
      <w:r w:rsidR="007D77D2">
        <w:t xml:space="preserve"> lutter contre celui-ci. </w:t>
      </w:r>
      <w:r w:rsidR="004F66AF">
        <w:t>Mesures disciplinaires et correctionnelles spécifiques pour enquêter sur les cas de profilage racial et les sanctionner en pratique.</w:t>
      </w:r>
    </w:p>
    <w:p w14:paraId="55F5A995" w14:textId="7FF5E03C" w:rsidR="005058AB" w:rsidRPr="00D76EC9" w:rsidRDefault="00A6763A" w:rsidP="00283D9D">
      <w:pPr>
        <w:pStyle w:val="H1G"/>
      </w:pPr>
      <w:r>
        <w:tab/>
      </w:r>
      <w:r>
        <w:tab/>
      </w:r>
      <w:r w:rsidR="005058AB">
        <w:t xml:space="preserve">Situation des minorités et des non-ressortissants, notamment des réfugiés, des demandeurs d’asile, des apatrides et des migrants </w:t>
      </w:r>
      <w:r w:rsidR="005058AB">
        <w:rPr>
          <w:lang w:val="fr-FR"/>
        </w:rPr>
        <w:t>(art.</w:t>
      </w:r>
      <w:r w:rsidR="00AF205F">
        <w:rPr>
          <w:lang w:val="fr-FR"/>
        </w:rPr>
        <w:t> </w:t>
      </w:r>
      <w:r w:rsidR="005058AB">
        <w:rPr>
          <w:lang w:val="fr-FR"/>
        </w:rPr>
        <w:t>5)</w:t>
      </w:r>
      <w:r w:rsidR="005058AB">
        <w:t xml:space="preserve"> </w:t>
      </w:r>
    </w:p>
    <w:p w14:paraId="6AE97332" w14:textId="0386F63C" w:rsidR="005058AB" w:rsidRPr="00854F5F" w:rsidRDefault="00283D9D" w:rsidP="00283D9D">
      <w:pPr>
        <w:pStyle w:val="SingleTxtG"/>
        <w:rPr>
          <w:lang w:val="fr-FR"/>
        </w:rPr>
      </w:pPr>
      <w:r w:rsidRPr="00854F5F">
        <w:rPr>
          <w:lang w:val="fr-FR"/>
        </w:rPr>
        <w:t>11.</w:t>
      </w:r>
      <w:r w:rsidRPr="00854F5F">
        <w:rPr>
          <w:lang w:val="fr-FR"/>
        </w:rPr>
        <w:tab/>
      </w:r>
      <w:r w:rsidR="00473CD3">
        <w:rPr>
          <w:spacing w:val="-1"/>
          <w:lang w:val="fr-FR"/>
        </w:rPr>
        <w:t>I</w:t>
      </w:r>
      <w:r w:rsidR="00251416">
        <w:rPr>
          <w:spacing w:val="-1"/>
          <w:lang w:val="fr-FR"/>
        </w:rPr>
        <w:t>mpact de la loi du 16 décembre 2008 concernant l’accuei</w:t>
      </w:r>
      <w:r w:rsidR="00740E21">
        <w:rPr>
          <w:spacing w:val="-1"/>
          <w:lang w:val="fr-FR"/>
        </w:rPr>
        <w:t>l et l’intégration des étrangers</w:t>
      </w:r>
      <w:r w:rsidR="00251416">
        <w:rPr>
          <w:spacing w:val="-1"/>
          <w:lang w:val="fr-FR"/>
        </w:rPr>
        <w:t xml:space="preserve"> et du Plan d’action national d’intégration </w:t>
      </w:r>
      <w:r w:rsidR="00455BAC">
        <w:rPr>
          <w:spacing w:val="-1"/>
          <w:lang w:val="fr-FR"/>
        </w:rPr>
        <w:t xml:space="preserve">pour la période </w:t>
      </w:r>
      <w:r w:rsidR="00251416">
        <w:rPr>
          <w:spacing w:val="-1"/>
          <w:lang w:val="fr-FR"/>
        </w:rPr>
        <w:t>2018-2023</w:t>
      </w:r>
      <w:r w:rsidR="00473CD3">
        <w:rPr>
          <w:spacing w:val="-1"/>
          <w:lang w:val="fr-FR"/>
        </w:rPr>
        <w:t xml:space="preserve">, en particulier dans les domaines de l’emploi, </w:t>
      </w:r>
      <w:r w:rsidR="00455BAC">
        <w:rPr>
          <w:spacing w:val="-1"/>
          <w:lang w:val="fr-FR"/>
        </w:rPr>
        <w:t xml:space="preserve">de </w:t>
      </w:r>
      <w:r w:rsidR="00473CD3">
        <w:rPr>
          <w:spacing w:val="-1"/>
          <w:lang w:val="fr-FR"/>
        </w:rPr>
        <w:t xml:space="preserve">l’éducation, </w:t>
      </w:r>
      <w:r w:rsidR="00455BAC">
        <w:rPr>
          <w:spacing w:val="-1"/>
          <w:lang w:val="fr-FR"/>
        </w:rPr>
        <w:t>du</w:t>
      </w:r>
      <w:r w:rsidR="00473CD3">
        <w:rPr>
          <w:spacing w:val="-1"/>
          <w:lang w:val="fr-FR"/>
        </w:rPr>
        <w:t xml:space="preserve"> logement et </w:t>
      </w:r>
      <w:r w:rsidR="00455BAC">
        <w:rPr>
          <w:spacing w:val="-1"/>
          <w:lang w:val="fr-FR"/>
        </w:rPr>
        <w:t xml:space="preserve">de </w:t>
      </w:r>
      <w:r w:rsidR="00473CD3">
        <w:rPr>
          <w:spacing w:val="-1"/>
          <w:lang w:val="fr-FR"/>
        </w:rPr>
        <w:t>la santé</w:t>
      </w:r>
      <w:r w:rsidR="00455BAC">
        <w:rPr>
          <w:rStyle w:val="Appelnotedebasdep"/>
          <w:spacing w:val="-1"/>
        </w:rPr>
        <w:footnoteReference w:id="13"/>
      </w:r>
      <w:r w:rsidR="008409F1">
        <w:rPr>
          <w:spacing w:val="-1"/>
          <w:lang w:val="fr-FR"/>
        </w:rPr>
        <w:t xml:space="preserve">. </w:t>
      </w:r>
      <w:r w:rsidR="005058AB" w:rsidRPr="00391FED">
        <w:rPr>
          <w:spacing w:val="-1"/>
          <w:lang w:val="fr-FR"/>
        </w:rPr>
        <w:t xml:space="preserve">Renseignements </w:t>
      </w:r>
      <w:r w:rsidR="00D53648">
        <w:rPr>
          <w:spacing w:val="-1"/>
          <w:lang w:val="fr-FR"/>
        </w:rPr>
        <w:t xml:space="preserve">sur </w:t>
      </w:r>
      <w:r w:rsidR="00D53648">
        <w:rPr>
          <w:spacing w:val="-1"/>
          <w:lang w:val="fr-FR"/>
        </w:rPr>
        <w:lastRenderedPageBreak/>
        <w:t>les</w:t>
      </w:r>
      <w:r w:rsidR="00F26713">
        <w:rPr>
          <w:spacing w:val="-1"/>
          <w:lang w:val="fr-FR"/>
        </w:rPr>
        <w:t> </w:t>
      </w:r>
      <w:r w:rsidR="00D53648">
        <w:rPr>
          <w:spacing w:val="-1"/>
          <w:lang w:val="fr-FR"/>
        </w:rPr>
        <w:t xml:space="preserve">mesures prises pour améliorer l’accès </w:t>
      </w:r>
      <w:r w:rsidR="00FB4852">
        <w:rPr>
          <w:spacing w:val="-1"/>
          <w:lang w:val="fr-FR"/>
        </w:rPr>
        <w:t>à</w:t>
      </w:r>
      <w:r w:rsidR="00D53648">
        <w:rPr>
          <w:spacing w:val="-1"/>
          <w:lang w:val="fr-FR"/>
        </w:rPr>
        <w:t xml:space="preserve"> l’éducation des </w:t>
      </w:r>
      <w:r w:rsidR="00FB4852">
        <w:rPr>
          <w:spacing w:val="-1"/>
          <w:lang w:val="fr-FR"/>
        </w:rPr>
        <w:t>non-ressortissants, notamment les enfants des travailleurs migrants, les enfants demandeurs d’asile et les enfants réfugiés</w:t>
      </w:r>
      <w:r w:rsidR="00D53648">
        <w:rPr>
          <w:spacing w:val="-1"/>
          <w:lang w:val="fr-FR"/>
        </w:rPr>
        <w:t>, y</w:t>
      </w:r>
      <w:r w:rsidR="0029161A">
        <w:rPr>
          <w:spacing w:val="-1"/>
          <w:lang w:val="fr-FR"/>
        </w:rPr>
        <w:t> </w:t>
      </w:r>
      <w:r w:rsidR="00D53648">
        <w:rPr>
          <w:spacing w:val="-1"/>
          <w:lang w:val="fr-FR"/>
        </w:rPr>
        <w:t>compris dans l’enseignement secondaire « classique »</w:t>
      </w:r>
      <w:r w:rsidR="007C433B">
        <w:rPr>
          <w:rStyle w:val="Appelnotedebasdep"/>
          <w:spacing w:val="-1"/>
        </w:rPr>
        <w:footnoteReference w:id="14"/>
      </w:r>
      <w:r w:rsidR="007F2B05">
        <w:rPr>
          <w:spacing w:val="-2"/>
          <w:lang w:val="fr-FR"/>
        </w:rPr>
        <w:t>.</w:t>
      </w:r>
      <w:r w:rsidR="007F2B05">
        <w:rPr>
          <w:spacing w:val="-1"/>
          <w:lang w:val="fr-FR"/>
        </w:rPr>
        <w:t xml:space="preserve"> </w:t>
      </w:r>
      <w:r w:rsidR="000E44B3">
        <w:rPr>
          <w:spacing w:val="-1"/>
          <w:lang w:val="fr-FR"/>
        </w:rPr>
        <w:t>Mesures adoptées pour faciliter l’</w:t>
      </w:r>
      <w:r w:rsidR="00EC5776">
        <w:rPr>
          <w:spacing w:val="-1"/>
          <w:lang w:val="fr-FR"/>
        </w:rPr>
        <w:t>accès</w:t>
      </w:r>
      <w:r w:rsidR="000E44B3">
        <w:rPr>
          <w:spacing w:val="-1"/>
          <w:lang w:val="fr-FR"/>
        </w:rPr>
        <w:t xml:space="preserve"> au </w:t>
      </w:r>
      <w:r w:rsidR="00EC5776">
        <w:rPr>
          <w:spacing w:val="-1"/>
          <w:lang w:val="fr-FR"/>
        </w:rPr>
        <w:t>marché</w:t>
      </w:r>
      <w:r w:rsidR="000E44B3">
        <w:rPr>
          <w:spacing w:val="-1"/>
          <w:lang w:val="fr-FR"/>
        </w:rPr>
        <w:t xml:space="preserve"> du travail des </w:t>
      </w:r>
      <w:r w:rsidR="00EC5776">
        <w:rPr>
          <w:spacing w:val="-1"/>
          <w:lang w:val="fr-FR"/>
        </w:rPr>
        <w:t xml:space="preserve">ressortissants </w:t>
      </w:r>
      <w:r w:rsidR="000A65D5">
        <w:t xml:space="preserve">de pays situés en dehors de l’Union européenne </w:t>
      </w:r>
      <w:r w:rsidR="00EC5776">
        <w:rPr>
          <w:spacing w:val="-1"/>
          <w:lang w:val="fr-FR"/>
        </w:rPr>
        <w:t>et pour assouplir les conditions d’accès au marché du travail pour les dema</w:t>
      </w:r>
      <w:r w:rsidR="00DF087E">
        <w:rPr>
          <w:spacing w:val="-1"/>
          <w:lang w:val="fr-FR"/>
        </w:rPr>
        <w:t>n</w:t>
      </w:r>
      <w:r w:rsidR="00EC5776">
        <w:rPr>
          <w:spacing w:val="-1"/>
          <w:lang w:val="fr-FR"/>
        </w:rPr>
        <w:t>deur</w:t>
      </w:r>
      <w:r w:rsidR="001D4A79">
        <w:rPr>
          <w:spacing w:val="-1"/>
          <w:lang w:val="fr-FR"/>
        </w:rPr>
        <w:t>s de protection internationale</w:t>
      </w:r>
      <w:r w:rsidR="00B50CA2">
        <w:rPr>
          <w:rStyle w:val="Appelnotedebasdep"/>
          <w:spacing w:val="-1"/>
        </w:rPr>
        <w:footnoteReference w:id="15"/>
      </w:r>
      <w:r w:rsidR="001D4A79">
        <w:rPr>
          <w:spacing w:val="-1"/>
          <w:lang w:val="fr-FR"/>
        </w:rPr>
        <w:t>.</w:t>
      </w:r>
    </w:p>
    <w:p w14:paraId="73E1205E" w14:textId="6F10D1AD" w:rsidR="000A55EE" w:rsidRDefault="00283D9D" w:rsidP="00283D9D">
      <w:pPr>
        <w:pStyle w:val="SingleTxtG"/>
        <w:rPr>
          <w:lang w:val="fr-FR"/>
        </w:rPr>
      </w:pPr>
      <w:r>
        <w:rPr>
          <w:lang w:val="fr-FR"/>
        </w:rPr>
        <w:t>12.</w:t>
      </w:r>
      <w:r>
        <w:rPr>
          <w:lang w:val="fr-FR"/>
        </w:rPr>
        <w:tab/>
      </w:r>
      <w:r w:rsidR="00715F9D">
        <w:t>Renseignements sur l’effet des mesures adoptées visant à améliorer les conditions d’accueil des réfugiés et des demandeurs d’asile, et des mesures prises récemment en faveur de leur intégration dans la société</w:t>
      </w:r>
      <w:r w:rsidR="00576F4D">
        <w:rPr>
          <w:rStyle w:val="Appelnotedebasdep"/>
        </w:rPr>
        <w:footnoteReference w:id="16"/>
      </w:r>
      <w:r w:rsidR="00715F9D">
        <w:t xml:space="preserve">. </w:t>
      </w:r>
      <w:r w:rsidR="00EB5131">
        <w:rPr>
          <w:lang w:val="fr-FR"/>
        </w:rPr>
        <w:t>Nombr</w:t>
      </w:r>
      <w:r w:rsidR="00234597">
        <w:rPr>
          <w:lang w:val="fr-FR"/>
        </w:rPr>
        <w:t>e de</w:t>
      </w:r>
      <w:r w:rsidR="00EB5131">
        <w:rPr>
          <w:lang w:val="fr-FR"/>
        </w:rPr>
        <w:t xml:space="preserve"> demandes </w:t>
      </w:r>
      <w:r w:rsidR="0051464A">
        <w:rPr>
          <w:lang w:val="fr-FR"/>
        </w:rPr>
        <w:t>d’asile enregistrées, accordées et refusées</w:t>
      </w:r>
      <w:r w:rsidR="00EB5131">
        <w:rPr>
          <w:lang w:val="fr-FR"/>
        </w:rPr>
        <w:t xml:space="preserve"> </w:t>
      </w:r>
      <w:r w:rsidR="0051464A">
        <w:rPr>
          <w:lang w:val="fr-FR"/>
        </w:rPr>
        <w:t>au cours des dix dernières années</w:t>
      </w:r>
      <w:r w:rsidR="00234597">
        <w:rPr>
          <w:lang w:val="fr-FR"/>
        </w:rPr>
        <w:t>.</w:t>
      </w:r>
      <w:r w:rsidR="0051464A">
        <w:rPr>
          <w:lang w:val="fr-FR"/>
        </w:rPr>
        <w:t xml:space="preserve"> </w:t>
      </w:r>
      <w:r w:rsidR="00DF087E">
        <w:rPr>
          <w:lang w:val="fr-FR"/>
        </w:rPr>
        <w:t>Mesures prises pour mettre fin à la détention d’enfants demandeurs d’</w:t>
      </w:r>
      <w:r w:rsidR="000A65D5">
        <w:rPr>
          <w:lang w:val="fr-FR"/>
        </w:rPr>
        <w:t xml:space="preserve">asile </w:t>
      </w:r>
      <w:r w:rsidR="00DF087E">
        <w:rPr>
          <w:lang w:val="fr-FR"/>
        </w:rPr>
        <w:t>et de familles avec enfants</w:t>
      </w:r>
      <w:r w:rsidR="00F5780F">
        <w:rPr>
          <w:lang w:val="fr-FR"/>
        </w:rPr>
        <w:t>.</w:t>
      </w:r>
      <w:r w:rsidR="00DF087E">
        <w:rPr>
          <w:lang w:val="fr-FR"/>
        </w:rPr>
        <w:t xml:space="preserve"> </w:t>
      </w:r>
    </w:p>
    <w:p w14:paraId="0997A237" w14:textId="64DC3602" w:rsidR="000A55EE" w:rsidRPr="000A55EE" w:rsidRDefault="00283D9D" w:rsidP="00283D9D">
      <w:pPr>
        <w:pStyle w:val="SingleTxtG"/>
        <w:rPr>
          <w:lang w:val="fr-FR"/>
        </w:rPr>
      </w:pPr>
      <w:r w:rsidRPr="000A55EE">
        <w:rPr>
          <w:lang w:val="fr-FR"/>
        </w:rPr>
        <w:t>13.</w:t>
      </w:r>
      <w:r w:rsidRPr="000A55EE">
        <w:rPr>
          <w:lang w:val="fr-FR"/>
        </w:rPr>
        <w:tab/>
      </w:r>
      <w:r w:rsidR="000A55EE" w:rsidRPr="00231C9B">
        <w:rPr>
          <w:lang w:val="fr-FR"/>
        </w:rPr>
        <w:t>Informations</w:t>
      </w:r>
      <w:r w:rsidR="000A55EE" w:rsidRPr="000A55EE">
        <w:rPr>
          <w:lang w:val="fr-FR"/>
        </w:rPr>
        <w:t xml:space="preserve"> sur les mesures adoptées pour prévenir et combattre la traite des personnes</w:t>
      </w:r>
      <w:r w:rsidR="00915181">
        <w:rPr>
          <w:lang w:val="fr-FR"/>
        </w:rPr>
        <w:t>,</w:t>
      </w:r>
      <w:r w:rsidR="00EC78A0">
        <w:rPr>
          <w:lang w:val="fr-FR"/>
        </w:rPr>
        <w:t xml:space="preserve"> en particulier des personnes provenant d’autres pays</w:t>
      </w:r>
      <w:r w:rsidR="00487F63">
        <w:rPr>
          <w:lang w:val="fr-FR"/>
        </w:rPr>
        <w:t>,</w:t>
      </w:r>
      <w:r w:rsidR="00915181">
        <w:rPr>
          <w:lang w:val="fr-FR"/>
        </w:rPr>
        <w:t xml:space="preserve"> à des fins d’exploitation par l</w:t>
      </w:r>
      <w:r w:rsidR="00EC78A0">
        <w:rPr>
          <w:lang w:val="fr-FR"/>
        </w:rPr>
        <w:t>e travail</w:t>
      </w:r>
      <w:r w:rsidR="000A55EE">
        <w:rPr>
          <w:lang w:val="fr-FR"/>
        </w:rPr>
        <w:t>, y compris le développement d’un système statistique complet</w:t>
      </w:r>
      <w:r w:rsidR="00DD1FB2">
        <w:rPr>
          <w:lang w:val="fr-FR"/>
        </w:rPr>
        <w:t xml:space="preserve"> à ce sujet</w:t>
      </w:r>
      <w:r w:rsidR="000A55EE">
        <w:rPr>
          <w:lang w:val="fr-FR"/>
        </w:rPr>
        <w:t xml:space="preserve">, </w:t>
      </w:r>
      <w:r w:rsidR="000A55EE" w:rsidRPr="000A55EE">
        <w:rPr>
          <w:lang w:val="fr-FR"/>
        </w:rPr>
        <w:t xml:space="preserve">et </w:t>
      </w:r>
      <w:r w:rsidR="00231C9B">
        <w:rPr>
          <w:lang w:val="fr-FR"/>
        </w:rPr>
        <w:t>pour améliorer l’identification</w:t>
      </w:r>
      <w:r w:rsidR="000A55EE" w:rsidRPr="000A55EE">
        <w:rPr>
          <w:lang w:val="fr-FR"/>
        </w:rPr>
        <w:t xml:space="preserve"> des victimes de traite parmi les demandeurs de protection internationale, les migrants et les travailleurs étrangers</w:t>
      </w:r>
      <w:r w:rsidR="000A55EE">
        <w:rPr>
          <w:lang w:val="fr-FR"/>
        </w:rPr>
        <w:t xml:space="preserve">, en particulier </w:t>
      </w:r>
      <w:r w:rsidR="00FD4367">
        <w:rPr>
          <w:lang w:val="fr-FR"/>
        </w:rPr>
        <w:t>les</w:t>
      </w:r>
      <w:r w:rsidR="00740E21">
        <w:rPr>
          <w:lang w:val="fr-FR"/>
        </w:rPr>
        <w:t xml:space="preserve"> femmes et </w:t>
      </w:r>
      <w:r w:rsidR="00FD4367">
        <w:rPr>
          <w:lang w:val="fr-FR"/>
        </w:rPr>
        <w:t>les</w:t>
      </w:r>
      <w:r w:rsidR="00740E21">
        <w:rPr>
          <w:lang w:val="fr-FR"/>
        </w:rPr>
        <w:t xml:space="preserve"> enfants étranger</w:t>
      </w:r>
      <w:r w:rsidR="000A55EE">
        <w:rPr>
          <w:lang w:val="fr-FR"/>
        </w:rPr>
        <w:t>s</w:t>
      </w:r>
      <w:r w:rsidR="000A55EE" w:rsidRPr="000A55EE">
        <w:rPr>
          <w:lang w:val="fr-FR"/>
        </w:rPr>
        <w:t xml:space="preserve">. </w:t>
      </w:r>
    </w:p>
    <w:p w14:paraId="53488DBF" w14:textId="1B569D46" w:rsidR="005058AB" w:rsidRDefault="00283D9D" w:rsidP="00283D9D">
      <w:pPr>
        <w:pStyle w:val="SingleTxtG"/>
        <w:rPr>
          <w:lang w:val="fr-FR"/>
        </w:rPr>
      </w:pPr>
      <w:r>
        <w:rPr>
          <w:lang w:val="fr-FR"/>
        </w:rPr>
        <w:t>14.</w:t>
      </w:r>
      <w:r>
        <w:rPr>
          <w:lang w:val="fr-FR"/>
        </w:rPr>
        <w:tab/>
      </w:r>
      <w:r w:rsidR="00190F25" w:rsidRPr="00231C9B">
        <w:rPr>
          <w:lang w:val="fr-FR"/>
        </w:rPr>
        <w:t>Renseignements</w:t>
      </w:r>
      <w:r w:rsidR="00190F25">
        <w:rPr>
          <w:lang w:val="fr-FR"/>
        </w:rPr>
        <w:t xml:space="preserve"> sur les mesures prises </w:t>
      </w:r>
      <w:r w:rsidR="00910988">
        <w:rPr>
          <w:lang w:val="fr-FR"/>
        </w:rPr>
        <w:t xml:space="preserve">visant à adopter </w:t>
      </w:r>
      <w:r w:rsidR="00740E21">
        <w:rPr>
          <w:lang w:val="fr-FR"/>
        </w:rPr>
        <w:t>un cadre législatif particulier</w:t>
      </w:r>
      <w:r w:rsidR="00910988">
        <w:rPr>
          <w:lang w:val="fr-FR"/>
        </w:rPr>
        <w:t xml:space="preserve"> pour la </w:t>
      </w:r>
      <w:r w:rsidR="00F90391">
        <w:rPr>
          <w:lang w:val="fr-FR"/>
        </w:rPr>
        <w:t>détermination</w:t>
      </w:r>
      <w:r w:rsidR="00910988">
        <w:rPr>
          <w:lang w:val="fr-FR"/>
        </w:rPr>
        <w:t xml:space="preserve"> du statut d’</w:t>
      </w:r>
      <w:r w:rsidR="008636CC">
        <w:rPr>
          <w:lang w:val="fr-FR"/>
        </w:rPr>
        <w:t>apatrid</w:t>
      </w:r>
      <w:r w:rsidR="00910988">
        <w:rPr>
          <w:lang w:val="fr-FR"/>
        </w:rPr>
        <w:t>e</w:t>
      </w:r>
      <w:r w:rsidR="00FD4367">
        <w:rPr>
          <w:rStyle w:val="Appelnotedebasdep"/>
        </w:rPr>
        <w:footnoteReference w:id="17"/>
      </w:r>
      <w:r w:rsidR="00910988">
        <w:rPr>
          <w:lang w:val="fr-FR"/>
        </w:rPr>
        <w:t xml:space="preserve">. </w:t>
      </w:r>
      <w:r w:rsidR="00190F25">
        <w:rPr>
          <w:lang w:val="fr-FR"/>
        </w:rPr>
        <w:t xml:space="preserve"> </w:t>
      </w:r>
    </w:p>
    <w:p w14:paraId="459B859A" w14:textId="6FFEC19D" w:rsidR="009B4ED5" w:rsidRDefault="00283D9D" w:rsidP="00283D9D">
      <w:pPr>
        <w:pStyle w:val="SingleTxtG"/>
        <w:rPr>
          <w:lang w:val="fr-FR"/>
        </w:rPr>
      </w:pPr>
      <w:r>
        <w:rPr>
          <w:lang w:val="fr-FR"/>
        </w:rPr>
        <w:t>15.</w:t>
      </w:r>
      <w:r>
        <w:rPr>
          <w:lang w:val="fr-FR"/>
        </w:rPr>
        <w:tab/>
      </w:r>
      <w:r w:rsidR="00A604FC" w:rsidRPr="00231C9B">
        <w:rPr>
          <w:lang w:val="fr-FR"/>
        </w:rPr>
        <w:t>Mesures</w:t>
      </w:r>
      <w:r w:rsidR="00A604FC">
        <w:rPr>
          <w:lang w:val="fr-FR"/>
        </w:rPr>
        <w:t xml:space="preserve"> prises pour prévenir et éliminer la discrimination à l’égard des personnes d’ascendance africaine et résultats</w:t>
      </w:r>
      <w:r w:rsidR="00CB4B86">
        <w:rPr>
          <w:lang w:val="fr-FR"/>
        </w:rPr>
        <w:t xml:space="preserve"> de ces mesures</w:t>
      </w:r>
      <w:r w:rsidR="00A604FC">
        <w:rPr>
          <w:lang w:val="fr-FR"/>
        </w:rPr>
        <w:t xml:space="preserve">, en particulier </w:t>
      </w:r>
      <w:r w:rsidR="00A22F05">
        <w:rPr>
          <w:lang w:val="fr-FR"/>
        </w:rPr>
        <w:t xml:space="preserve">dans les domaines de </w:t>
      </w:r>
      <w:r w:rsidR="00A604FC">
        <w:rPr>
          <w:lang w:val="fr-FR"/>
        </w:rPr>
        <w:t>l’éducation,</w:t>
      </w:r>
      <w:r w:rsidR="00A22F05">
        <w:rPr>
          <w:lang w:val="fr-FR"/>
        </w:rPr>
        <w:t xml:space="preserve"> </w:t>
      </w:r>
      <w:r w:rsidR="00231C9B">
        <w:rPr>
          <w:lang w:val="fr-FR"/>
        </w:rPr>
        <w:t xml:space="preserve">de </w:t>
      </w:r>
      <w:r w:rsidR="00A22F05">
        <w:rPr>
          <w:lang w:val="fr-FR"/>
        </w:rPr>
        <w:t>l’emploi</w:t>
      </w:r>
      <w:r w:rsidR="00A604FC">
        <w:rPr>
          <w:lang w:val="fr-FR"/>
        </w:rPr>
        <w:t xml:space="preserve"> </w:t>
      </w:r>
      <w:r w:rsidR="00A22F05">
        <w:rPr>
          <w:lang w:val="fr-FR"/>
        </w:rPr>
        <w:t xml:space="preserve">et du </w:t>
      </w:r>
      <w:r w:rsidR="00A604FC">
        <w:rPr>
          <w:lang w:val="fr-FR"/>
        </w:rPr>
        <w:t>logement.</w:t>
      </w:r>
    </w:p>
    <w:p w14:paraId="7BB09881" w14:textId="0E1FAB64" w:rsidR="00BF285D" w:rsidRDefault="00283D9D" w:rsidP="00283D9D">
      <w:pPr>
        <w:pStyle w:val="SingleTxtG"/>
        <w:rPr>
          <w:lang w:val="fr-FR"/>
        </w:rPr>
      </w:pPr>
      <w:r>
        <w:rPr>
          <w:lang w:val="fr-FR"/>
        </w:rPr>
        <w:t>16.</w:t>
      </w:r>
      <w:r>
        <w:rPr>
          <w:lang w:val="fr-FR"/>
        </w:rPr>
        <w:tab/>
      </w:r>
      <w:r w:rsidR="009B4ED5" w:rsidRPr="00231C9B">
        <w:t>Renseignements</w:t>
      </w:r>
      <w:r w:rsidR="009B4ED5">
        <w:t xml:space="preserve"> sur l’incidence de la pandémie de maladie à coronavirus (COVID-19) sur les personnes les plus vulnérables à la discrimination et sur les différents groupes protégés par la Convention, y compris les non-ressortissants, notamment </w:t>
      </w:r>
      <w:r w:rsidR="00562708">
        <w:t>les</w:t>
      </w:r>
      <w:r w:rsidR="009B4ED5">
        <w:t xml:space="preserve"> réfugiés, demandeurs d’asile, apatrides et migrants. Mesures prises pour</w:t>
      </w:r>
      <w:r w:rsidR="00562708">
        <w:t> </w:t>
      </w:r>
      <w:r w:rsidR="009B4ED5">
        <w:t>: a)</w:t>
      </w:r>
      <w:r w:rsidR="008327D4">
        <w:t> </w:t>
      </w:r>
      <w:r w:rsidR="009B4ED5">
        <w:t xml:space="preserve">protéger </w:t>
      </w:r>
      <w:r w:rsidR="00562708">
        <w:t xml:space="preserve">ces personnes </w:t>
      </w:r>
      <w:r w:rsidR="009B4ED5">
        <w:t>contre les effets de la pandémie de COVID-19</w:t>
      </w:r>
      <w:r w:rsidR="00562708">
        <w:t> </w:t>
      </w:r>
      <w:r w:rsidR="009B4ED5">
        <w:t>; b)</w:t>
      </w:r>
      <w:r w:rsidR="008327D4">
        <w:t> </w:t>
      </w:r>
      <w:r w:rsidR="009B4ED5">
        <w:t xml:space="preserve">protéger </w:t>
      </w:r>
      <w:r w:rsidR="00157BE8">
        <w:t xml:space="preserve">ces personnes </w:t>
      </w:r>
      <w:r w:rsidR="009B4ED5">
        <w:t>contre les actes discriminatoires</w:t>
      </w:r>
      <w:r w:rsidR="007E28CF">
        <w:t>,</w:t>
      </w:r>
      <w:r w:rsidR="009B4ED5">
        <w:t xml:space="preserve"> et combattre les discours de haine et la stigmatisation liés à la pandémie</w:t>
      </w:r>
      <w:r w:rsidR="00157BE8">
        <w:t> </w:t>
      </w:r>
      <w:r w:rsidR="009B4ED5">
        <w:t>;</w:t>
      </w:r>
      <w:r w:rsidR="00157BE8">
        <w:t xml:space="preserve"> et</w:t>
      </w:r>
      <w:r w:rsidR="009B4ED5">
        <w:t xml:space="preserve"> c)</w:t>
      </w:r>
      <w:r w:rsidR="008327D4">
        <w:t> </w:t>
      </w:r>
      <w:r w:rsidR="009B4ED5">
        <w:t xml:space="preserve">atténuer les répercussions socioéconomiques de la pandémie sur ces personnes et groupes. </w:t>
      </w:r>
      <w:r w:rsidR="00A604FC">
        <w:rPr>
          <w:lang w:val="fr-FR"/>
        </w:rPr>
        <w:t xml:space="preserve"> </w:t>
      </w:r>
    </w:p>
    <w:p w14:paraId="3EF03365" w14:textId="74A06212" w:rsidR="002A5B3C" w:rsidRPr="00D76EC9" w:rsidRDefault="00A6763A" w:rsidP="00283D9D">
      <w:pPr>
        <w:pStyle w:val="H1G"/>
      </w:pPr>
      <w:r>
        <w:tab/>
      </w:r>
      <w:r>
        <w:tab/>
      </w:r>
      <w:r w:rsidR="002A5B3C">
        <w:t xml:space="preserve">Éducation pour </w:t>
      </w:r>
      <w:r w:rsidR="002A5B3C" w:rsidRPr="00607985">
        <w:t>lutter</w:t>
      </w:r>
      <w:r w:rsidR="002A5B3C">
        <w:t xml:space="preserve"> contre les préjugés et promouvoir la</w:t>
      </w:r>
      <w:r w:rsidR="00740F1D">
        <w:t> </w:t>
      </w:r>
      <w:r w:rsidR="002A5B3C">
        <w:t xml:space="preserve">compréhension </w:t>
      </w:r>
      <w:r w:rsidR="002A5B3C">
        <w:rPr>
          <w:lang w:val="fr-FR"/>
        </w:rPr>
        <w:t>(art.</w:t>
      </w:r>
      <w:r w:rsidR="00AF205F">
        <w:rPr>
          <w:lang w:val="fr-FR"/>
        </w:rPr>
        <w:t> </w:t>
      </w:r>
      <w:r w:rsidR="002A5B3C">
        <w:rPr>
          <w:lang w:val="fr-FR"/>
        </w:rPr>
        <w:t>7)</w:t>
      </w:r>
      <w:r w:rsidR="002A5B3C">
        <w:t xml:space="preserve"> </w:t>
      </w:r>
    </w:p>
    <w:p w14:paraId="401188C3" w14:textId="75A67692" w:rsidR="00ED38F5" w:rsidRPr="00ED38F5" w:rsidRDefault="00283D9D" w:rsidP="00283D9D">
      <w:pPr>
        <w:pStyle w:val="SingleTxtG"/>
        <w:rPr>
          <w:lang w:val="fr-FR"/>
        </w:rPr>
      </w:pPr>
      <w:r w:rsidRPr="00ED38F5">
        <w:rPr>
          <w:lang w:val="fr-FR"/>
        </w:rPr>
        <w:t>17.</w:t>
      </w:r>
      <w:r w:rsidRPr="00ED38F5">
        <w:rPr>
          <w:lang w:val="fr-FR"/>
        </w:rPr>
        <w:tab/>
      </w:r>
      <w:r w:rsidR="00196A65" w:rsidRPr="00ED38F5">
        <w:rPr>
          <w:spacing w:val="-1"/>
          <w:lang w:val="fr-FR"/>
        </w:rPr>
        <w:t>Renseignements additionnels</w:t>
      </w:r>
      <w:r w:rsidR="002F25BD" w:rsidRPr="00ED38F5">
        <w:rPr>
          <w:spacing w:val="-1"/>
          <w:lang w:val="fr-FR"/>
        </w:rPr>
        <w:t xml:space="preserve"> et </w:t>
      </w:r>
      <w:r w:rsidR="00740E21">
        <w:rPr>
          <w:spacing w:val="-1"/>
          <w:lang w:val="fr-FR"/>
        </w:rPr>
        <w:t>détaillé</w:t>
      </w:r>
      <w:r w:rsidR="00D735A8" w:rsidRPr="00ED38F5">
        <w:rPr>
          <w:spacing w:val="-1"/>
          <w:lang w:val="fr-FR"/>
        </w:rPr>
        <w:t xml:space="preserve">s sur les mesures prises pour promouvoir l’éducation aux droits </w:t>
      </w:r>
      <w:r w:rsidR="007E28CF">
        <w:rPr>
          <w:spacing w:val="-1"/>
          <w:lang w:val="fr-FR"/>
        </w:rPr>
        <w:t>humains</w:t>
      </w:r>
      <w:r w:rsidR="00680408" w:rsidRPr="00ED38F5">
        <w:rPr>
          <w:spacing w:val="-1"/>
          <w:lang w:val="fr-FR"/>
        </w:rPr>
        <w:t xml:space="preserve"> </w:t>
      </w:r>
      <w:r w:rsidR="00D735A8" w:rsidRPr="00ED38F5">
        <w:rPr>
          <w:spacing w:val="-1"/>
          <w:lang w:val="fr-FR"/>
        </w:rPr>
        <w:t>concrètement sur les questions de discrimination raciale, dans tous les programmes scolaires et dans la formation des enseignants</w:t>
      </w:r>
      <w:r w:rsidR="00BC677A">
        <w:rPr>
          <w:spacing w:val="-1"/>
          <w:lang w:val="fr-FR"/>
        </w:rPr>
        <w:t>, et</w:t>
      </w:r>
      <w:r w:rsidR="00D735A8" w:rsidRPr="00ED38F5">
        <w:rPr>
          <w:spacing w:val="-1"/>
          <w:lang w:val="fr-FR"/>
        </w:rPr>
        <w:t xml:space="preserve"> informations sur l’impact de ces mesures</w:t>
      </w:r>
      <w:r w:rsidR="00BC677A">
        <w:rPr>
          <w:rStyle w:val="Appelnotedebasdep"/>
          <w:spacing w:val="-1"/>
        </w:rPr>
        <w:footnoteReference w:id="18"/>
      </w:r>
      <w:r w:rsidR="00D735A8" w:rsidRPr="00ED38F5">
        <w:rPr>
          <w:spacing w:val="-2"/>
          <w:lang w:val="fr-FR"/>
        </w:rPr>
        <w:t>.</w:t>
      </w:r>
      <w:r w:rsidR="00A6763A">
        <w:rPr>
          <w:spacing w:val="-2"/>
          <w:lang w:val="fr-FR"/>
        </w:rPr>
        <w:t xml:space="preserve"> </w:t>
      </w:r>
      <w:r w:rsidR="0058054B" w:rsidRPr="00ED38F5">
        <w:rPr>
          <w:spacing w:val="-1"/>
          <w:lang w:val="fr-FR"/>
        </w:rPr>
        <w:t xml:space="preserve">Renforcement et résultats des initiatives destinées à combattre la discrimination raciale dans les </w:t>
      </w:r>
      <w:r w:rsidR="007B1859" w:rsidRPr="00ED38F5">
        <w:rPr>
          <w:spacing w:val="-1"/>
          <w:lang w:val="fr-FR"/>
        </w:rPr>
        <w:t>médias</w:t>
      </w:r>
      <w:r w:rsidR="00DB66D7">
        <w:rPr>
          <w:rStyle w:val="Appelnotedebasdep"/>
          <w:spacing w:val="-1"/>
        </w:rPr>
        <w:footnoteReference w:id="19"/>
      </w:r>
      <w:r w:rsidR="0058054B" w:rsidRPr="00ED38F5">
        <w:rPr>
          <w:spacing w:val="-2"/>
          <w:lang w:val="fr-FR"/>
        </w:rPr>
        <w:t>.</w:t>
      </w:r>
      <w:r w:rsidR="00DB01C9">
        <w:t xml:space="preserve"> </w:t>
      </w:r>
    </w:p>
    <w:p w14:paraId="157F60F9" w14:textId="3ED693E0" w:rsidR="00142941" w:rsidRPr="00A6763A" w:rsidRDefault="00A6763A" w:rsidP="00A6763A">
      <w:pPr>
        <w:pStyle w:val="SingleTxtG"/>
        <w:spacing w:before="240" w:after="0"/>
        <w:jc w:val="center"/>
        <w:rPr>
          <w:u w:val="single"/>
          <w:lang w:val="fr-FR"/>
        </w:rPr>
      </w:pPr>
      <w:r>
        <w:rPr>
          <w:u w:val="single"/>
          <w:lang w:val="fr-FR"/>
        </w:rPr>
        <w:tab/>
      </w:r>
      <w:r>
        <w:rPr>
          <w:u w:val="single"/>
          <w:lang w:val="fr-FR"/>
        </w:rPr>
        <w:tab/>
      </w:r>
      <w:r>
        <w:rPr>
          <w:u w:val="single"/>
          <w:lang w:val="fr-FR"/>
        </w:rPr>
        <w:tab/>
      </w:r>
      <w:r w:rsidR="009D50F0">
        <w:rPr>
          <w:u w:val="single"/>
          <w:lang w:val="fr-FR"/>
        </w:rPr>
        <w:tab/>
      </w:r>
    </w:p>
    <w:sectPr w:rsidR="00142941" w:rsidRPr="00A6763A" w:rsidSect="00724A5B">
      <w:headerReference w:type="even" r:id="rId12"/>
      <w:headerReference w:type="default" r:id="rId13"/>
      <w:footerReference w:type="even" r:id="rId14"/>
      <w:footerReference w:type="default" r:id="rId15"/>
      <w:footerReference w:type="first" r:id="rId16"/>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54FC9E" w14:textId="77777777" w:rsidR="00587B82" w:rsidRDefault="00587B82">
      <w:pPr>
        <w:spacing w:line="240" w:lineRule="auto"/>
      </w:pPr>
      <w:r>
        <w:separator/>
      </w:r>
    </w:p>
  </w:endnote>
  <w:endnote w:type="continuationSeparator" w:id="0">
    <w:p w14:paraId="35FFBEC6" w14:textId="77777777" w:rsidR="00587B82" w:rsidRDefault="00587B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9253B7" w14:textId="4FFD788F" w:rsidR="00CE61F1" w:rsidRDefault="00CE61F1">
    <w:pPr>
      <w:pStyle w:val="Pieddepage"/>
      <w:tabs>
        <w:tab w:val="right" w:pos="9639"/>
      </w:tabs>
    </w:pPr>
    <w:r>
      <w:rPr>
        <w:b/>
        <w:sz w:val="18"/>
      </w:rPr>
      <w:fldChar w:fldCharType="begin"/>
    </w:r>
    <w:r>
      <w:rPr>
        <w:b/>
        <w:sz w:val="18"/>
      </w:rPr>
      <w:instrText xml:space="preserve"> PAGE  \* MERGEFORMAT </w:instrText>
    </w:r>
    <w:r>
      <w:rPr>
        <w:b/>
        <w:sz w:val="18"/>
      </w:rPr>
      <w:fldChar w:fldCharType="separate"/>
    </w:r>
    <w:r w:rsidR="00E36BE7">
      <w:rPr>
        <w:b/>
        <w:noProof/>
        <w:sz w:val="18"/>
      </w:rPr>
      <w:t>2</w:t>
    </w:r>
    <w:r>
      <w:rPr>
        <w:b/>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5E353" w14:textId="7B29C52C" w:rsidR="00CE61F1" w:rsidRDefault="00CE61F1">
    <w:pPr>
      <w:pStyle w:val="Pieddepage"/>
      <w:tabs>
        <w:tab w:val="right" w:pos="9639"/>
      </w:tabs>
      <w:rPr>
        <w:sz w:val="20"/>
      </w:rPr>
    </w:pPr>
    <w:r>
      <w:tab/>
    </w:r>
    <w:r>
      <w:rPr>
        <w:b/>
        <w:sz w:val="18"/>
      </w:rPr>
      <w:fldChar w:fldCharType="begin"/>
    </w:r>
    <w:r>
      <w:rPr>
        <w:b/>
        <w:sz w:val="18"/>
      </w:rPr>
      <w:instrText xml:space="preserve"> PAGE  \* MERGEFORMAT </w:instrText>
    </w:r>
    <w:r>
      <w:rPr>
        <w:b/>
        <w:sz w:val="18"/>
      </w:rPr>
      <w:fldChar w:fldCharType="separate"/>
    </w:r>
    <w:r w:rsidR="00E36BE7">
      <w:rPr>
        <w:b/>
        <w:noProof/>
        <w:sz w:val="18"/>
      </w:rPr>
      <w:t>3</w:t>
    </w:r>
    <w:r>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D460F6" w14:textId="6C8B39F8" w:rsidR="00CE14AC" w:rsidRPr="00CE14AC" w:rsidRDefault="00CE14AC" w:rsidP="00CE14AC">
    <w:pPr>
      <w:pStyle w:val="Pieddepage"/>
      <w:tabs>
        <w:tab w:val="left" w:pos="6520"/>
        <w:tab w:val="right" w:pos="9638"/>
      </w:tabs>
      <w:spacing w:before="120"/>
      <w:rPr>
        <w:sz w:val="20"/>
      </w:rPr>
    </w:pPr>
    <w:r>
      <w:rPr>
        <w:sz w:val="20"/>
      </w:rPr>
      <w:t>GE.22-02399  (F)</w:t>
    </w:r>
    <w:bookmarkStart w:id="0" w:name="_GoBack"/>
    <w:bookmarkEnd w:id="0"/>
    <w:r>
      <w:rPr>
        <w:sz w:val="20"/>
      </w:rPr>
      <w:tab/>
    </w:r>
    <w:r w:rsidRPr="00CE14AC">
      <w:rPr>
        <w:noProof/>
        <w:sz w:val="20"/>
        <w:lang w:eastAsia="fr-CH"/>
      </w:rPr>
      <w:drawing>
        <wp:inline distT="0" distB="0" distL="0" distR="0" wp14:anchorId="34EE0BCF" wp14:editId="2B47D14D">
          <wp:extent cx="1105200" cy="234000"/>
          <wp:effectExtent l="0" t="0" r="0" b="0"/>
          <wp:docPr id="1" name="Image 1"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inline>
      </w:drawing>
    </w:r>
    <w:r>
      <w:rPr>
        <w:sz w:val="20"/>
      </w:rPr>
      <w:tab/>
    </w:r>
    <w:r>
      <w:rPr>
        <w:noProof/>
        <w:sz w:val="20"/>
      </w:rPr>
      <w:drawing>
        <wp:inline distT="0" distB="0" distL="0" distR="0" wp14:anchorId="1D9D1F67" wp14:editId="00CAFAE3">
          <wp:extent cx="561975" cy="561975"/>
          <wp:effectExtent l="0" t="0" r="9525" b="9525"/>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15CE00" w14:textId="5711E414" w:rsidR="00587B82" w:rsidRDefault="00D53005" w:rsidP="00D53005">
      <w:pPr>
        <w:pStyle w:val="Pieddepage"/>
        <w:tabs>
          <w:tab w:val="right" w:pos="2155"/>
        </w:tabs>
        <w:spacing w:after="80" w:line="240" w:lineRule="atLeast"/>
        <w:ind w:left="680"/>
      </w:pPr>
      <w:r w:rsidRPr="00EF7F30">
        <w:rPr>
          <w:u w:val="single"/>
        </w:rPr>
        <w:tab/>
      </w:r>
    </w:p>
  </w:footnote>
  <w:footnote w:type="continuationSeparator" w:id="0">
    <w:p w14:paraId="4D755577" w14:textId="77777777" w:rsidR="00587B82" w:rsidRDefault="00587B82">
      <w:pPr>
        <w:spacing w:line="240" w:lineRule="auto"/>
      </w:pPr>
      <w:r>
        <w:continuationSeparator/>
      </w:r>
    </w:p>
  </w:footnote>
  <w:footnote w:id="1">
    <w:p w14:paraId="6E5C0F9A" w14:textId="3B1D1793" w:rsidR="001C2E9D" w:rsidRPr="00DB66D7" w:rsidRDefault="001C2E9D">
      <w:pPr>
        <w:pStyle w:val="Notedebasdepage"/>
      </w:pPr>
      <w:r>
        <w:tab/>
      </w:r>
      <w:r>
        <w:rPr>
          <w:rStyle w:val="Appelnotedebasdep"/>
        </w:rPr>
        <w:footnoteRef/>
      </w:r>
      <w:r>
        <w:tab/>
      </w:r>
      <w:hyperlink r:id="rId1" w:history="1">
        <w:r w:rsidRPr="00283D9D">
          <w:rPr>
            <w:rStyle w:val="Lienhypertexte"/>
          </w:rPr>
          <w:t>A/65/18</w:t>
        </w:r>
      </w:hyperlink>
      <w:r>
        <w:t>, par. 85.</w:t>
      </w:r>
    </w:p>
  </w:footnote>
  <w:footnote w:id="2">
    <w:p w14:paraId="4CD46854" w14:textId="3047B037" w:rsidR="004A5C04" w:rsidRPr="00DB66D7" w:rsidRDefault="004A5C04">
      <w:pPr>
        <w:pStyle w:val="Notedebasdepage"/>
      </w:pPr>
      <w:r>
        <w:tab/>
      </w:r>
      <w:r>
        <w:rPr>
          <w:rStyle w:val="Appelnotedebasdep"/>
        </w:rPr>
        <w:footnoteRef/>
      </w:r>
      <w:r>
        <w:tab/>
      </w:r>
      <w:hyperlink r:id="rId2" w:history="1">
        <w:r w:rsidRPr="00283D9D">
          <w:rPr>
            <w:rStyle w:val="Lienhypertexte"/>
            <w:spacing w:val="-1"/>
            <w:lang w:val="fr-FR"/>
          </w:rPr>
          <w:t>CERD/C/LUX/CO/14-17</w:t>
        </w:r>
      </w:hyperlink>
      <w:r w:rsidRPr="00A6763A">
        <w:rPr>
          <w:spacing w:val="-1"/>
          <w:lang w:val="fr-FR"/>
        </w:rPr>
        <w:t>, par. 6 ;</w:t>
      </w:r>
      <w:r w:rsidR="00BC40CF">
        <w:rPr>
          <w:spacing w:val="-1"/>
          <w:lang w:val="fr-FR"/>
        </w:rPr>
        <w:t xml:space="preserve"> et</w:t>
      </w:r>
      <w:r w:rsidRPr="00A6763A">
        <w:rPr>
          <w:spacing w:val="-1"/>
          <w:lang w:val="fr-FR"/>
        </w:rPr>
        <w:t xml:space="preserve"> </w:t>
      </w:r>
      <w:hyperlink r:id="rId3" w:history="1">
        <w:r w:rsidRPr="00283D9D">
          <w:rPr>
            <w:rStyle w:val="Lienhypertexte"/>
            <w:spacing w:val="-1"/>
            <w:lang w:val="fr-FR"/>
          </w:rPr>
          <w:t>CERD/C/LUX/18-20</w:t>
        </w:r>
      </w:hyperlink>
      <w:r w:rsidRPr="00A6763A">
        <w:rPr>
          <w:spacing w:val="-1"/>
          <w:lang w:val="fr-FR"/>
        </w:rPr>
        <w:t>, par. 19</w:t>
      </w:r>
      <w:r w:rsidR="002F10C9">
        <w:rPr>
          <w:spacing w:val="-1"/>
          <w:lang w:val="fr-FR"/>
        </w:rPr>
        <w:t xml:space="preserve"> à </w:t>
      </w:r>
      <w:r w:rsidRPr="00A6763A">
        <w:rPr>
          <w:spacing w:val="-1"/>
          <w:lang w:val="fr-FR"/>
        </w:rPr>
        <w:t>21</w:t>
      </w:r>
      <w:r w:rsidR="000121C0">
        <w:rPr>
          <w:spacing w:val="-1"/>
          <w:lang w:val="fr-FR"/>
        </w:rPr>
        <w:t>.</w:t>
      </w:r>
    </w:p>
  </w:footnote>
  <w:footnote w:id="3">
    <w:p w14:paraId="11233A4D" w14:textId="493FFA55" w:rsidR="004A5C04" w:rsidRPr="00DB66D7" w:rsidRDefault="00C07450">
      <w:pPr>
        <w:pStyle w:val="Notedebasdepage"/>
      </w:pPr>
      <w:r>
        <w:tab/>
      </w:r>
      <w:r w:rsidR="004A5C04">
        <w:rPr>
          <w:rStyle w:val="Appelnotedebasdep"/>
        </w:rPr>
        <w:footnoteRef/>
      </w:r>
      <w:r>
        <w:tab/>
      </w:r>
      <w:hyperlink r:id="rId4" w:history="1">
        <w:r w:rsidRPr="00283D9D">
          <w:rPr>
            <w:rStyle w:val="Lienhypertexte"/>
            <w:spacing w:val="-1"/>
            <w:lang w:val="fr-FR"/>
          </w:rPr>
          <w:t>CERD/C/LUX/CO/14-17</w:t>
        </w:r>
      </w:hyperlink>
      <w:r w:rsidRPr="00A6763A">
        <w:rPr>
          <w:spacing w:val="-1"/>
          <w:lang w:val="fr-FR"/>
        </w:rPr>
        <w:t>, par. 6</w:t>
      </w:r>
      <w:r>
        <w:rPr>
          <w:spacing w:val="-1"/>
          <w:lang w:val="fr-FR"/>
        </w:rPr>
        <w:t>.</w:t>
      </w:r>
      <w:r w:rsidR="004A5C04">
        <w:t xml:space="preserve"> </w:t>
      </w:r>
    </w:p>
  </w:footnote>
  <w:footnote w:id="4">
    <w:p w14:paraId="24F0062D" w14:textId="36736C3E" w:rsidR="004A5C04" w:rsidRPr="00DB66D7" w:rsidRDefault="00D143E6">
      <w:pPr>
        <w:pStyle w:val="Notedebasdepage"/>
      </w:pPr>
      <w:r>
        <w:tab/>
      </w:r>
      <w:r w:rsidR="004A5C04">
        <w:rPr>
          <w:rStyle w:val="Appelnotedebasdep"/>
        </w:rPr>
        <w:footnoteRef/>
      </w:r>
      <w:r>
        <w:tab/>
        <w:t>Ibid.</w:t>
      </w:r>
      <w:r w:rsidRPr="00A6763A">
        <w:rPr>
          <w:spacing w:val="-1"/>
          <w:lang w:val="fr-FR"/>
        </w:rPr>
        <w:t>, par. 7</w:t>
      </w:r>
      <w:r>
        <w:rPr>
          <w:spacing w:val="-1"/>
          <w:lang w:val="fr-FR"/>
        </w:rPr>
        <w:t> </w:t>
      </w:r>
      <w:r w:rsidRPr="00A6763A">
        <w:rPr>
          <w:spacing w:val="-1"/>
          <w:lang w:val="fr-FR"/>
        </w:rPr>
        <w:t>;</w:t>
      </w:r>
      <w:r>
        <w:rPr>
          <w:spacing w:val="-1"/>
          <w:lang w:val="fr-FR"/>
        </w:rPr>
        <w:t xml:space="preserve"> et</w:t>
      </w:r>
      <w:r w:rsidRPr="00A6763A">
        <w:rPr>
          <w:spacing w:val="-1"/>
          <w:lang w:val="fr-FR"/>
        </w:rPr>
        <w:t xml:space="preserve"> </w:t>
      </w:r>
      <w:hyperlink r:id="rId5" w:history="1">
        <w:r w:rsidRPr="00283D9D">
          <w:rPr>
            <w:rStyle w:val="Lienhypertexte"/>
            <w:spacing w:val="-1"/>
            <w:lang w:val="fr-FR"/>
          </w:rPr>
          <w:t>CERD/C/LUX/18-20</w:t>
        </w:r>
      </w:hyperlink>
      <w:r w:rsidRPr="00A6763A">
        <w:rPr>
          <w:spacing w:val="-1"/>
          <w:lang w:val="fr-FR"/>
        </w:rPr>
        <w:t>, par. 9, 10</w:t>
      </w:r>
      <w:r w:rsidR="006D59CF">
        <w:rPr>
          <w:spacing w:val="-1"/>
          <w:lang w:val="fr-FR"/>
        </w:rPr>
        <w:t xml:space="preserve"> à </w:t>
      </w:r>
      <w:r w:rsidRPr="00A6763A">
        <w:rPr>
          <w:spacing w:val="-1"/>
          <w:lang w:val="fr-FR"/>
        </w:rPr>
        <w:t>12 et 22</w:t>
      </w:r>
      <w:r w:rsidR="006D59CF">
        <w:rPr>
          <w:spacing w:val="-1"/>
          <w:lang w:val="fr-FR"/>
        </w:rPr>
        <w:t>.</w:t>
      </w:r>
    </w:p>
  </w:footnote>
  <w:footnote w:id="5">
    <w:p w14:paraId="1DE172EE" w14:textId="42F70E34" w:rsidR="00A735F1" w:rsidRPr="00DB66D7" w:rsidRDefault="00A735F1">
      <w:pPr>
        <w:pStyle w:val="Notedebasdepage"/>
      </w:pPr>
      <w:r>
        <w:tab/>
      </w:r>
      <w:r>
        <w:rPr>
          <w:rStyle w:val="Appelnotedebasdep"/>
        </w:rPr>
        <w:footnoteRef/>
      </w:r>
      <w:r>
        <w:tab/>
      </w:r>
      <w:hyperlink r:id="rId6" w:history="1">
        <w:r w:rsidRPr="00283D9D">
          <w:rPr>
            <w:rStyle w:val="Lienhypertexte"/>
            <w:spacing w:val="-1"/>
            <w:lang w:val="fr-FR"/>
          </w:rPr>
          <w:t>CERD/C/LUX/CO/14-17</w:t>
        </w:r>
      </w:hyperlink>
      <w:r w:rsidRPr="00A6763A">
        <w:rPr>
          <w:spacing w:val="-1"/>
          <w:lang w:val="fr-FR"/>
        </w:rPr>
        <w:t>, par. 8</w:t>
      </w:r>
      <w:r>
        <w:rPr>
          <w:spacing w:val="-1"/>
          <w:lang w:val="fr-FR"/>
        </w:rPr>
        <w:t> </w:t>
      </w:r>
      <w:r w:rsidRPr="00A6763A">
        <w:rPr>
          <w:spacing w:val="-1"/>
          <w:lang w:val="fr-FR"/>
        </w:rPr>
        <w:t>;</w:t>
      </w:r>
      <w:r>
        <w:rPr>
          <w:spacing w:val="-1"/>
          <w:lang w:val="fr-FR"/>
        </w:rPr>
        <w:t xml:space="preserve"> et</w:t>
      </w:r>
      <w:r w:rsidRPr="00A6763A">
        <w:rPr>
          <w:spacing w:val="-1"/>
          <w:lang w:val="fr-FR"/>
        </w:rPr>
        <w:t xml:space="preserve"> </w:t>
      </w:r>
      <w:hyperlink r:id="rId7" w:history="1">
        <w:r w:rsidRPr="00283D9D">
          <w:rPr>
            <w:rStyle w:val="Lienhypertexte"/>
            <w:spacing w:val="-1"/>
            <w:lang w:val="fr-FR"/>
          </w:rPr>
          <w:t>CERD/C/LUX/18-20</w:t>
        </w:r>
      </w:hyperlink>
      <w:r w:rsidRPr="00A6763A">
        <w:rPr>
          <w:spacing w:val="-1"/>
          <w:lang w:val="fr-FR"/>
        </w:rPr>
        <w:t>, par. 82</w:t>
      </w:r>
      <w:r>
        <w:rPr>
          <w:spacing w:val="-1"/>
          <w:lang w:val="fr-FR"/>
        </w:rPr>
        <w:t xml:space="preserve"> à </w:t>
      </w:r>
      <w:r w:rsidRPr="00A6763A">
        <w:rPr>
          <w:spacing w:val="-1"/>
          <w:lang w:val="fr-FR"/>
        </w:rPr>
        <w:t>84 et 108</w:t>
      </w:r>
      <w:r>
        <w:rPr>
          <w:spacing w:val="-1"/>
          <w:lang w:val="fr-FR"/>
        </w:rPr>
        <w:t>.</w:t>
      </w:r>
    </w:p>
  </w:footnote>
  <w:footnote w:id="6">
    <w:p w14:paraId="3D375ACF" w14:textId="6E365F42" w:rsidR="004B2BDF" w:rsidRPr="00DB66D7" w:rsidRDefault="004B2BDF">
      <w:pPr>
        <w:pStyle w:val="Notedebasdepage"/>
      </w:pPr>
      <w:r>
        <w:tab/>
      </w:r>
      <w:r>
        <w:rPr>
          <w:rStyle w:val="Appelnotedebasdep"/>
        </w:rPr>
        <w:footnoteRef/>
      </w:r>
      <w:r>
        <w:tab/>
      </w:r>
      <w:hyperlink r:id="rId8" w:history="1">
        <w:r w:rsidRPr="00283D9D">
          <w:rPr>
            <w:rStyle w:val="Lienhypertexte"/>
            <w:spacing w:val="-1"/>
            <w:lang w:val="fr-FR"/>
          </w:rPr>
          <w:t>CERD/C/LUX/CO/14-17</w:t>
        </w:r>
      </w:hyperlink>
      <w:r w:rsidRPr="009D50F0">
        <w:rPr>
          <w:spacing w:val="-1"/>
          <w:lang w:val="fr-FR"/>
        </w:rPr>
        <w:t>, par. 8 et 9</w:t>
      </w:r>
      <w:r>
        <w:rPr>
          <w:spacing w:val="-1"/>
          <w:lang w:val="fr-FR"/>
        </w:rPr>
        <w:t> </w:t>
      </w:r>
      <w:r w:rsidRPr="009D50F0">
        <w:rPr>
          <w:spacing w:val="-1"/>
          <w:lang w:val="fr-FR"/>
        </w:rPr>
        <w:t>;</w:t>
      </w:r>
      <w:r>
        <w:rPr>
          <w:spacing w:val="-1"/>
          <w:lang w:val="fr-FR"/>
        </w:rPr>
        <w:t xml:space="preserve"> et</w:t>
      </w:r>
      <w:r w:rsidRPr="009D50F0">
        <w:rPr>
          <w:spacing w:val="-1"/>
          <w:lang w:val="fr-FR"/>
        </w:rPr>
        <w:t xml:space="preserve"> </w:t>
      </w:r>
      <w:hyperlink r:id="rId9" w:history="1">
        <w:r w:rsidRPr="00283D9D">
          <w:rPr>
            <w:rStyle w:val="Lienhypertexte"/>
            <w:spacing w:val="-1"/>
            <w:lang w:val="fr-FR"/>
          </w:rPr>
          <w:t>CERD/C/LUX/18-20</w:t>
        </w:r>
      </w:hyperlink>
      <w:r w:rsidRPr="009D50F0">
        <w:rPr>
          <w:spacing w:val="-1"/>
          <w:lang w:val="fr-FR"/>
        </w:rPr>
        <w:t>, par. 22, 26, 42, 52, 55</w:t>
      </w:r>
      <w:r>
        <w:rPr>
          <w:spacing w:val="-1"/>
          <w:lang w:val="fr-FR"/>
        </w:rPr>
        <w:t xml:space="preserve"> à </w:t>
      </w:r>
      <w:r w:rsidRPr="009D50F0">
        <w:rPr>
          <w:spacing w:val="-1"/>
          <w:lang w:val="fr-FR"/>
        </w:rPr>
        <w:t>58, 206</w:t>
      </w:r>
      <w:r>
        <w:rPr>
          <w:spacing w:val="-1"/>
          <w:lang w:val="fr-FR"/>
        </w:rPr>
        <w:t xml:space="preserve">, </w:t>
      </w:r>
      <w:r w:rsidRPr="009D50F0">
        <w:rPr>
          <w:spacing w:val="-1"/>
          <w:lang w:val="fr-FR"/>
        </w:rPr>
        <w:t>207 et</w:t>
      </w:r>
      <w:r w:rsidR="00C96666">
        <w:rPr>
          <w:spacing w:val="-1"/>
          <w:lang w:val="fr-FR"/>
        </w:rPr>
        <w:t> </w:t>
      </w:r>
      <w:r w:rsidRPr="009D50F0">
        <w:rPr>
          <w:spacing w:val="-1"/>
          <w:lang w:val="fr-FR"/>
        </w:rPr>
        <w:t>215</w:t>
      </w:r>
      <w:r>
        <w:rPr>
          <w:spacing w:val="-1"/>
          <w:lang w:val="fr-FR"/>
        </w:rPr>
        <w:t xml:space="preserve"> à </w:t>
      </w:r>
      <w:r w:rsidRPr="009D50F0">
        <w:rPr>
          <w:spacing w:val="-1"/>
          <w:lang w:val="fr-FR"/>
        </w:rPr>
        <w:t>219</w:t>
      </w:r>
      <w:r>
        <w:rPr>
          <w:spacing w:val="-1"/>
          <w:lang w:val="fr-FR"/>
        </w:rPr>
        <w:t>.</w:t>
      </w:r>
    </w:p>
  </w:footnote>
  <w:footnote w:id="7">
    <w:p w14:paraId="61A362D1" w14:textId="6295098C" w:rsidR="00513CD4" w:rsidRPr="00DB66D7" w:rsidRDefault="00BE3108">
      <w:pPr>
        <w:pStyle w:val="Notedebasdepage"/>
      </w:pPr>
      <w:r>
        <w:tab/>
      </w:r>
      <w:r w:rsidR="00513CD4">
        <w:rPr>
          <w:rStyle w:val="Appelnotedebasdep"/>
        </w:rPr>
        <w:footnoteRef/>
      </w:r>
      <w:r>
        <w:tab/>
      </w:r>
      <w:hyperlink r:id="rId10" w:history="1">
        <w:r w:rsidRPr="00283D9D">
          <w:rPr>
            <w:rStyle w:val="Lienhypertexte"/>
            <w:spacing w:val="-1"/>
            <w:lang w:val="fr-FR"/>
          </w:rPr>
          <w:t>CERD/C/LUX/CO/14-17</w:t>
        </w:r>
      </w:hyperlink>
      <w:r w:rsidRPr="00A6763A">
        <w:rPr>
          <w:spacing w:val="-1"/>
          <w:lang w:val="fr-FR"/>
        </w:rPr>
        <w:t xml:space="preserve">, par. 15 ; </w:t>
      </w:r>
      <w:r>
        <w:rPr>
          <w:spacing w:val="-1"/>
          <w:lang w:val="fr-FR"/>
        </w:rPr>
        <w:t xml:space="preserve">et </w:t>
      </w:r>
      <w:hyperlink r:id="rId11" w:history="1">
        <w:r w:rsidRPr="00283D9D">
          <w:rPr>
            <w:rStyle w:val="Lienhypertexte"/>
            <w:spacing w:val="-1"/>
            <w:lang w:val="fr-FR"/>
          </w:rPr>
          <w:t>CERD/C/LUX/18-20</w:t>
        </w:r>
      </w:hyperlink>
      <w:r w:rsidRPr="00A6763A">
        <w:rPr>
          <w:spacing w:val="-1"/>
          <w:lang w:val="fr-FR"/>
        </w:rPr>
        <w:t>, par. 22 et 61</w:t>
      </w:r>
      <w:r>
        <w:rPr>
          <w:spacing w:val="-1"/>
          <w:lang w:val="fr-FR"/>
        </w:rPr>
        <w:t xml:space="preserve"> à </w:t>
      </w:r>
      <w:r w:rsidRPr="00A6763A">
        <w:rPr>
          <w:spacing w:val="-1"/>
          <w:lang w:val="fr-FR"/>
        </w:rPr>
        <w:t>64</w:t>
      </w:r>
      <w:r>
        <w:rPr>
          <w:spacing w:val="-1"/>
          <w:lang w:val="fr-FR"/>
        </w:rPr>
        <w:t>.</w:t>
      </w:r>
    </w:p>
  </w:footnote>
  <w:footnote w:id="8">
    <w:p w14:paraId="4E55EF02" w14:textId="24477A89" w:rsidR="00451B78" w:rsidRPr="00DB66D7" w:rsidRDefault="00451B78">
      <w:pPr>
        <w:pStyle w:val="Notedebasdepage"/>
      </w:pPr>
      <w:r>
        <w:tab/>
      </w:r>
      <w:r>
        <w:rPr>
          <w:rStyle w:val="Appelnotedebasdep"/>
        </w:rPr>
        <w:footnoteRef/>
      </w:r>
      <w:r>
        <w:tab/>
      </w:r>
      <w:hyperlink r:id="rId12" w:history="1">
        <w:r w:rsidRPr="00283D9D">
          <w:rPr>
            <w:rStyle w:val="Lienhypertexte"/>
            <w:spacing w:val="-1"/>
            <w:lang w:val="fr-FR"/>
          </w:rPr>
          <w:t>CERD/C/LUX/CO/14-17</w:t>
        </w:r>
      </w:hyperlink>
      <w:r w:rsidRPr="00A6763A">
        <w:rPr>
          <w:spacing w:val="-1"/>
          <w:lang w:val="fr-FR"/>
        </w:rPr>
        <w:t>, par.</w:t>
      </w:r>
      <w:r>
        <w:rPr>
          <w:spacing w:val="-1"/>
          <w:lang w:val="fr-FR"/>
        </w:rPr>
        <w:t> </w:t>
      </w:r>
      <w:r w:rsidRPr="00A6763A">
        <w:rPr>
          <w:spacing w:val="-1"/>
          <w:lang w:val="fr-FR"/>
        </w:rPr>
        <w:t>15</w:t>
      </w:r>
      <w:r>
        <w:rPr>
          <w:spacing w:val="-1"/>
          <w:lang w:val="fr-FR"/>
        </w:rPr>
        <w:t> </w:t>
      </w:r>
      <w:r w:rsidRPr="00A6763A">
        <w:rPr>
          <w:spacing w:val="-1"/>
          <w:lang w:val="fr-FR"/>
        </w:rPr>
        <w:t>;</w:t>
      </w:r>
      <w:r>
        <w:rPr>
          <w:spacing w:val="-1"/>
          <w:lang w:val="fr-FR"/>
        </w:rPr>
        <w:t xml:space="preserve"> et</w:t>
      </w:r>
      <w:r w:rsidRPr="00A6763A">
        <w:rPr>
          <w:spacing w:val="-1"/>
          <w:lang w:val="fr-FR"/>
        </w:rPr>
        <w:t xml:space="preserve"> </w:t>
      </w:r>
      <w:hyperlink r:id="rId13" w:history="1">
        <w:r w:rsidRPr="00283D9D">
          <w:rPr>
            <w:rStyle w:val="Lienhypertexte"/>
            <w:spacing w:val="-1"/>
            <w:lang w:val="fr-FR"/>
          </w:rPr>
          <w:t>CERD/C/LUX/18-20</w:t>
        </w:r>
      </w:hyperlink>
      <w:r w:rsidRPr="00A6763A">
        <w:rPr>
          <w:spacing w:val="-1"/>
          <w:lang w:val="fr-FR"/>
        </w:rPr>
        <w:t>, par.</w:t>
      </w:r>
      <w:r>
        <w:rPr>
          <w:spacing w:val="-1"/>
          <w:lang w:val="fr-FR"/>
        </w:rPr>
        <w:t> </w:t>
      </w:r>
      <w:r w:rsidRPr="00A6763A">
        <w:rPr>
          <w:spacing w:val="-1"/>
          <w:lang w:val="fr-FR"/>
        </w:rPr>
        <w:t>59, 60, 187</w:t>
      </w:r>
      <w:r>
        <w:rPr>
          <w:spacing w:val="-1"/>
          <w:lang w:val="fr-FR"/>
        </w:rPr>
        <w:t xml:space="preserve"> à </w:t>
      </w:r>
      <w:r w:rsidRPr="00A6763A">
        <w:rPr>
          <w:spacing w:val="-1"/>
          <w:lang w:val="fr-FR"/>
        </w:rPr>
        <w:t>191, 212 et 213</w:t>
      </w:r>
      <w:r>
        <w:rPr>
          <w:spacing w:val="-1"/>
          <w:lang w:val="fr-FR"/>
        </w:rPr>
        <w:t>.</w:t>
      </w:r>
    </w:p>
  </w:footnote>
  <w:footnote w:id="9">
    <w:p w14:paraId="5B01C51D" w14:textId="2CAE14F7" w:rsidR="00451B78" w:rsidRPr="00DB66D7" w:rsidRDefault="00451B78">
      <w:pPr>
        <w:pStyle w:val="Notedebasdepage"/>
      </w:pPr>
      <w:r>
        <w:tab/>
      </w:r>
      <w:r>
        <w:rPr>
          <w:rStyle w:val="Appelnotedebasdep"/>
        </w:rPr>
        <w:footnoteRef/>
      </w:r>
      <w:r>
        <w:tab/>
      </w:r>
      <w:hyperlink r:id="rId14" w:history="1">
        <w:r w:rsidRPr="00283D9D">
          <w:rPr>
            <w:rStyle w:val="Lienhypertexte"/>
            <w:spacing w:val="-1"/>
            <w:lang w:val="fr-FR"/>
          </w:rPr>
          <w:t>CERD/C/LUX/CO/14-17</w:t>
        </w:r>
      </w:hyperlink>
      <w:r>
        <w:rPr>
          <w:spacing w:val="-1"/>
          <w:lang w:val="fr-FR"/>
        </w:rPr>
        <w:t>, par. 11</w:t>
      </w:r>
      <w:r w:rsidRPr="007E2735">
        <w:rPr>
          <w:spacing w:val="-1"/>
          <w:lang w:val="fr-FR"/>
        </w:rPr>
        <w:t xml:space="preserve"> ; </w:t>
      </w:r>
      <w:r>
        <w:rPr>
          <w:spacing w:val="-1"/>
          <w:lang w:val="fr-FR"/>
        </w:rPr>
        <w:t xml:space="preserve">et </w:t>
      </w:r>
      <w:hyperlink r:id="rId15" w:history="1">
        <w:r w:rsidRPr="00283D9D">
          <w:rPr>
            <w:rStyle w:val="Lienhypertexte"/>
            <w:spacing w:val="-1"/>
            <w:lang w:val="fr-FR"/>
          </w:rPr>
          <w:t>CERD/C/LUX/18-20</w:t>
        </w:r>
      </w:hyperlink>
      <w:r w:rsidRPr="007E2735">
        <w:rPr>
          <w:spacing w:val="-1"/>
          <w:lang w:val="fr-FR"/>
        </w:rPr>
        <w:t>, par. </w:t>
      </w:r>
      <w:r>
        <w:rPr>
          <w:spacing w:val="-1"/>
          <w:lang w:val="fr-FR"/>
        </w:rPr>
        <w:t>22 et 65 à 70.</w:t>
      </w:r>
    </w:p>
  </w:footnote>
  <w:footnote w:id="10">
    <w:p w14:paraId="0FC2FAE2" w14:textId="65AE302B" w:rsidR="00741C50" w:rsidRPr="00DB66D7" w:rsidRDefault="00741C50">
      <w:pPr>
        <w:pStyle w:val="Notedebasdepage"/>
      </w:pPr>
      <w:r>
        <w:tab/>
      </w:r>
      <w:r>
        <w:rPr>
          <w:rStyle w:val="Appelnotedebasdep"/>
        </w:rPr>
        <w:footnoteRef/>
      </w:r>
      <w:r>
        <w:tab/>
      </w:r>
      <w:hyperlink r:id="rId16" w:history="1">
        <w:r w:rsidRPr="00283D9D">
          <w:rPr>
            <w:rStyle w:val="Lienhypertexte"/>
            <w:spacing w:val="-1"/>
            <w:lang w:val="fr-FR"/>
          </w:rPr>
          <w:t>CERD/C/LUX/CO/14-17</w:t>
        </w:r>
      </w:hyperlink>
      <w:r>
        <w:rPr>
          <w:spacing w:val="-1"/>
          <w:lang w:val="fr-FR"/>
        </w:rPr>
        <w:t>, par. 12</w:t>
      </w:r>
      <w:r w:rsidRPr="007E2735">
        <w:rPr>
          <w:spacing w:val="-1"/>
          <w:lang w:val="fr-FR"/>
        </w:rPr>
        <w:t xml:space="preserve"> ; </w:t>
      </w:r>
      <w:r w:rsidR="00550DD5">
        <w:rPr>
          <w:spacing w:val="-1"/>
          <w:lang w:val="fr-FR"/>
        </w:rPr>
        <w:t xml:space="preserve">et </w:t>
      </w:r>
      <w:hyperlink r:id="rId17" w:history="1">
        <w:r w:rsidRPr="00283D9D">
          <w:rPr>
            <w:rStyle w:val="Lienhypertexte"/>
            <w:spacing w:val="-1"/>
            <w:lang w:val="fr-FR"/>
          </w:rPr>
          <w:t>CERD/C/LUX/18-20</w:t>
        </w:r>
      </w:hyperlink>
      <w:r w:rsidRPr="007E2735">
        <w:rPr>
          <w:spacing w:val="-1"/>
          <w:lang w:val="fr-FR"/>
        </w:rPr>
        <w:t>, par. </w:t>
      </w:r>
      <w:r>
        <w:rPr>
          <w:spacing w:val="-1"/>
          <w:lang w:val="fr-FR"/>
        </w:rPr>
        <w:t>22 et 71</w:t>
      </w:r>
      <w:r w:rsidR="00550DD5">
        <w:rPr>
          <w:spacing w:val="-1"/>
          <w:lang w:val="fr-FR"/>
        </w:rPr>
        <w:t xml:space="preserve"> à </w:t>
      </w:r>
      <w:r>
        <w:rPr>
          <w:spacing w:val="-1"/>
          <w:lang w:val="fr-FR"/>
        </w:rPr>
        <w:t>75</w:t>
      </w:r>
      <w:r w:rsidR="00550DD5">
        <w:rPr>
          <w:spacing w:val="-1"/>
          <w:lang w:val="fr-FR"/>
        </w:rPr>
        <w:t>.</w:t>
      </w:r>
    </w:p>
  </w:footnote>
  <w:footnote w:id="11">
    <w:p w14:paraId="1C6221CA" w14:textId="12EE508F" w:rsidR="009729CD" w:rsidRPr="00DB66D7" w:rsidRDefault="009729CD">
      <w:pPr>
        <w:pStyle w:val="Notedebasdepage"/>
      </w:pPr>
      <w:r>
        <w:tab/>
      </w:r>
      <w:r>
        <w:rPr>
          <w:rStyle w:val="Appelnotedebasdep"/>
        </w:rPr>
        <w:footnoteRef/>
      </w:r>
      <w:r>
        <w:tab/>
      </w:r>
      <w:hyperlink r:id="rId18" w:history="1">
        <w:r w:rsidRPr="00283D9D">
          <w:rPr>
            <w:rStyle w:val="Lienhypertexte"/>
            <w:spacing w:val="-1"/>
            <w:lang w:val="fr-FR"/>
          </w:rPr>
          <w:t>CERD/C/LUX/CO/14-17</w:t>
        </w:r>
      </w:hyperlink>
      <w:r>
        <w:rPr>
          <w:spacing w:val="-1"/>
          <w:lang w:val="fr-FR"/>
        </w:rPr>
        <w:t>, par. 16 </w:t>
      </w:r>
      <w:r w:rsidRPr="007E2735">
        <w:rPr>
          <w:spacing w:val="-1"/>
          <w:lang w:val="fr-FR"/>
        </w:rPr>
        <w:t xml:space="preserve">; </w:t>
      </w:r>
      <w:r>
        <w:rPr>
          <w:spacing w:val="-1"/>
          <w:lang w:val="fr-FR"/>
        </w:rPr>
        <w:t xml:space="preserve">et </w:t>
      </w:r>
      <w:hyperlink r:id="rId19" w:history="1">
        <w:r w:rsidRPr="00283D9D">
          <w:rPr>
            <w:rStyle w:val="Lienhypertexte"/>
            <w:spacing w:val="-1"/>
            <w:lang w:val="fr-FR"/>
          </w:rPr>
          <w:t>CERD/C/LUX/18-20</w:t>
        </w:r>
      </w:hyperlink>
      <w:r w:rsidRPr="007E2735">
        <w:rPr>
          <w:spacing w:val="-1"/>
          <w:lang w:val="fr-FR"/>
        </w:rPr>
        <w:t>, par. </w:t>
      </w:r>
      <w:r>
        <w:rPr>
          <w:spacing w:val="-1"/>
          <w:lang w:val="fr-FR"/>
        </w:rPr>
        <w:t>59, 66 et 233 à 235.</w:t>
      </w:r>
    </w:p>
  </w:footnote>
  <w:footnote w:id="12">
    <w:p w14:paraId="75A54AB0" w14:textId="0975A7A8" w:rsidR="0003317C" w:rsidRPr="00DB66D7" w:rsidRDefault="0003317C">
      <w:pPr>
        <w:pStyle w:val="Notedebasdepage"/>
      </w:pPr>
      <w:r>
        <w:tab/>
      </w:r>
      <w:r>
        <w:rPr>
          <w:rStyle w:val="Appelnotedebasdep"/>
        </w:rPr>
        <w:footnoteRef/>
      </w:r>
      <w:r>
        <w:tab/>
      </w:r>
      <w:hyperlink r:id="rId20" w:history="1">
        <w:r w:rsidRPr="00283D9D">
          <w:rPr>
            <w:rStyle w:val="Lienhypertexte"/>
            <w:spacing w:val="-1"/>
            <w:lang w:val="fr-FR"/>
          </w:rPr>
          <w:t>CERD/C/LUX/CO/14-17</w:t>
        </w:r>
      </w:hyperlink>
      <w:r>
        <w:rPr>
          <w:spacing w:val="-1"/>
          <w:lang w:val="fr-FR"/>
        </w:rPr>
        <w:t>, par. 16 </w:t>
      </w:r>
      <w:r w:rsidRPr="007E2735">
        <w:rPr>
          <w:spacing w:val="-1"/>
          <w:lang w:val="fr-FR"/>
        </w:rPr>
        <w:t xml:space="preserve">; </w:t>
      </w:r>
      <w:r>
        <w:rPr>
          <w:spacing w:val="-1"/>
          <w:lang w:val="fr-FR"/>
        </w:rPr>
        <w:t xml:space="preserve">et </w:t>
      </w:r>
      <w:hyperlink r:id="rId21" w:history="1">
        <w:r w:rsidRPr="00283D9D">
          <w:rPr>
            <w:rStyle w:val="Lienhypertexte"/>
            <w:spacing w:val="-1"/>
            <w:lang w:val="fr-FR"/>
          </w:rPr>
          <w:t>CERD/C/LUX/18-20</w:t>
        </w:r>
      </w:hyperlink>
      <w:r w:rsidRPr="007E2735">
        <w:rPr>
          <w:spacing w:val="-1"/>
          <w:lang w:val="fr-FR"/>
        </w:rPr>
        <w:t>, par. </w:t>
      </w:r>
      <w:r>
        <w:rPr>
          <w:spacing w:val="-1"/>
          <w:lang w:val="fr-FR"/>
        </w:rPr>
        <w:t>59, 66 et 233</w:t>
      </w:r>
      <w:r w:rsidR="00940EFE">
        <w:rPr>
          <w:spacing w:val="-1"/>
          <w:lang w:val="fr-FR"/>
        </w:rPr>
        <w:t xml:space="preserve"> à </w:t>
      </w:r>
      <w:r>
        <w:rPr>
          <w:spacing w:val="-1"/>
          <w:lang w:val="fr-FR"/>
        </w:rPr>
        <w:t>235</w:t>
      </w:r>
      <w:r w:rsidR="00940EFE">
        <w:rPr>
          <w:spacing w:val="-1"/>
          <w:lang w:val="fr-FR"/>
        </w:rPr>
        <w:t>.</w:t>
      </w:r>
    </w:p>
  </w:footnote>
  <w:footnote w:id="13">
    <w:p w14:paraId="4BB7BBD7" w14:textId="01AD88BD" w:rsidR="00455BAC" w:rsidRPr="00DB66D7" w:rsidRDefault="00455BAC">
      <w:pPr>
        <w:pStyle w:val="Notedebasdepage"/>
      </w:pPr>
      <w:r>
        <w:tab/>
      </w:r>
      <w:r>
        <w:rPr>
          <w:rStyle w:val="Appelnotedebasdep"/>
        </w:rPr>
        <w:footnoteRef/>
      </w:r>
      <w:r>
        <w:tab/>
      </w:r>
      <w:hyperlink r:id="rId22" w:history="1">
        <w:r w:rsidRPr="00283D9D">
          <w:rPr>
            <w:rStyle w:val="Lienhypertexte"/>
            <w:spacing w:val="-1"/>
            <w:lang w:val="fr-FR"/>
          </w:rPr>
          <w:t>CERD/C/LUX/18-20</w:t>
        </w:r>
      </w:hyperlink>
      <w:r w:rsidRPr="007E2735">
        <w:rPr>
          <w:spacing w:val="-1"/>
          <w:lang w:val="fr-FR"/>
        </w:rPr>
        <w:t>, par. </w:t>
      </w:r>
      <w:r>
        <w:rPr>
          <w:spacing w:val="-1"/>
          <w:lang w:val="fr-FR"/>
        </w:rPr>
        <w:t>23 à 25.</w:t>
      </w:r>
      <w:r>
        <w:t xml:space="preserve"> </w:t>
      </w:r>
    </w:p>
  </w:footnote>
  <w:footnote w:id="14">
    <w:p w14:paraId="12007E32" w14:textId="14293EC7" w:rsidR="007C433B" w:rsidRPr="00DB66D7" w:rsidRDefault="007C433B">
      <w:pPr>
        <w:pStyle w:val="Notedebasdepage"/>
      </w:pPr>
      <w:r>
        <w:tab/>
      </w:r>
      <w:r>
        <w:rPr>
          <w:rStyle w:val="Appelnotedebasdep"/>
        </w:rPr>
        <w:footnoteRef/>
      </w:r>
      <w:r>
        <w:tab/>
        <w:t>Ibid., par. 48 et 177.</w:t>
      </w:r>
    </w:p>
  </w:footnote>
  <w:footnote w:id="15">
    <w:p w14:paraId="34180B97" w14:textId="76E6C1FD" w:rsidR="00B50CA2" w:rsidRPr="00DB66D7" w:rsidRDefault="00B50CA2">
      <w:pPr>
        <w:pStyle w:val="Notedebasdepage"/>
      </w:pPr>
      <w:r>
        <w:tab/>
      </w:r>
      <w:r>
        <w:rPr>
          <w:rStyle w:val="Appelnotedebasdep"/>
        </w:rPr>
        <w:footnoteRef/>
      </w:r>
      <w:r>
        <w:tab/>
      </w:r>
      <w:hyperlink r:id="rId23" w:history="1">
        <w:r w:rsidRPr="00283D9D">
          <w:rPr>
            <w:rStyle w:val="Lienhypertexte"/>
            <w:spacing w:val="-1"/>
            <w:lang w:val="fr-FR"/>
          </w:rPr>
          <w:t>CERD/C/LUX/CO/14-17</w:t>
        </w:r>
      </w:hyperlink>
      <w:r>
        <w:rPr>
          <w:spacing w:val="-1"/>
          <w:lang w:val="fr-FR"/>
        </w:rPr>
        <w:t>, par. 13 et 14 </w:t>
      </w:r>
      <w:r w:rsidRPr="007E2735">
        <w:rPr>
          <w:spacing w:val="-1"/>
          <w:lang w:val="fr-FR"/>
        </w:rPr>
        <w:t>;</w:t>
      </w:r>
      <w:r>
        <w:rPr>
          <w:spacing w:val="-1"/>
          <w:lang w:val="fr-FR"/>
        </w:rPr>
        <w:t xml:space="preserve"> et</w:t>
      </w:r>
      <w:r w:rsidRPr="007E2735">
        <w:rPr>
          <w:spacing w:val="-1"/>
          <w:lang w:val="fr-FR"/>
        </w:rPr>
        <w:t xml:space="preserve"> </w:t>
      </w:r>
      <w:hyperlink r:id="rId24" w:history="1">
        <w:r w:rsidRPr="00283D9D">
          <w:rPr>
            <w:rStyle w:val="Lienhypertexte"/>
            <w:spacing w:val="-1"/>
            <w:lang w:val="fr-FR"/>
          </w:rPr>
          <w:t>CERD/C/LUX/18-20</w:t>
        </w:r>
      </w:hyperlink>
      <w:r w:rsidRPr="007E2735">
        <w:rPr>
          <w:spacing w:val="-1"/>
          <w:lang w:val="fr-FR"/>
        </w:rPr>
        <w:t>, par. </w:t>
      </w:r>
      <w:r>
        <w:rPr>
          <w:spacing w:val="-1"/>
          <w:lang w:val="fr-FR"/>
        </w:rPr>
        <w:t>146 à 149.</w:t>
      </w:r>
    </w:p>
  </w:footnote>
  <w:footnote w:id="16">
    <w:p w14:paraId="200DD72B" w14:textId="0DAD04B8" w:rsidR="00576F4D" w:rsidRPr="00DB66D7" w:rsidRDefault="00576F4D">
      <w:pPr>
        <w:pStyle w:val="Notedebasdepage"/>
      </w:pPr>
      <w:r>
        <w:tab/>
      </w:r>
      <w:r>
        <w:rPr>
          <w:rStyle w:val="Appelnotedebasdep"/>
        </w:rPr>
        <w:footnoteRef/>
      </w:r>
      <w:r>
        <w:tab/>
      </w:r>
      <w:hyperlink r:id="rId25" w:history="1">
        <w:r w:rsidRPr="00283D9D">
          <w:rPr>
            <w:rStyle w:val="Lienhypertexte"/>
            <w:spacing w:val="-1"/>
            <w:lang w:val="fr-FR"/>
          </w:rPr>
          <w:t>CERD/C/LUX/18-20</w:t>
        </w:r>
      </w:hyperlink>
      <w:r w:rsidRPr="007E2735">
        <w:rPr>
          <w:spacing w:val="-1"/>
          <w:lang w:val="fr-FR"/>
        </w:rPr>
        <w:t>, par. </w:t>
      </w:r>
      <w:r>
        <w:rPr>
          <w:spacing w:val="-1"/>
          <w:lang w:val="fr-FR"/>
        </w:rPr>
        <w:t>35.</w:t>
      </w:r>
    </w:p>
  </w:footnote>
  <w:footnote w:id="17">
    <w:p w14:paraId="7D4E2983" w14:textId="4DD4EBCF" w:rsidR="00FD4367" w:rsidRPr="00DB66D7" w:rsidRDefault="00FD4367">
      <w:pPr>
        <w:pStyle w:val="Notedebasdepage"/>
      </w:pPr>
      <w:r>
        <w:tab/>
      </w:r>
      <w:r>
        <w:rPr>
          <w:rStyle w:val="Appelnotedebasdep"/>
        </w:rPr>
        <w:footnoteRef/>
      </w:r>
      <w:r>
        <w:tab/>
        <w:t xml:space="preserve">Ibid., </w:t>
      </w:r>
      <w:r w:rsidR="00CB4B86">
        <w:t>par. 118.</w:t>
      </w:r>
    </w:p>
  </w:footnote>
  <w:footnote w:id="18">
    <w:p w14:paraId="3824BD6B" w14:textId="1713C463" w:rsidR="00BC677A" w:rsidRPr="00DB66D7" w:rsidRDefault="00BC677A">
      <w:pPr>
        <w:pStyle w:val="Notedebasdepage"/>
      </w:pPr>
      <w:r>
        <w:tab/>
      </w:r>
      <w:r>
        <w:rPr>
          <w:rStyle w:val="Appelnotedebasdep"/>
        </w:rPr>
        <w:footnoteRef/>
      </w:r>
      <w:r>
        <w:tab/>
        <w:t>Ibid.</w:t>
      </w:r>
      <w:r w:rsidRPr="00ED38F5">
        <w:rPr>
          <w:spacing w:val="-1"/>
          <w:lang w:val="fr-FR"/>
        </w:rPr>
        <w:t>, par.</w:t>
      </w:r>
      <w:r>
        <w:rPr>
          <w:spacing w:val="-1"/>
          <w:lang w:val="fr-FR"/>
        </w:rPr>
        <w:t> </w:t>
      </w:r>
      <w:r w:rsidRPr="00ED38F5">
        <w:rPr>
          <w:spacing w:val="-1"/>
          <w:lang w:val="fr-FR"/>
        </w:rPr>
        <w:t>223</w:t>
      </w:r>
      <w:r>
        <w:rPr>
          <w:spacing w:val="-1"/>
          <w:lang w:val="fr-FR"/>
        </w:rPr>
        <w:t xml:space="preserve"> à </w:t>
      </w:r>
      <w:r w:rsidRPr="00ED38F5">
        <w:rPr>
          <w:spacing w:val="-1"/>
          <w:lang w:val="fr-FR"/>
        </w:rPr>
        <w:t>225</w:t>
      </w:r>
      <w:r>
        <w:rPr>
          <w:spacing w:val="-1"/>
          <w:lang w:val="fr-FR"/>
        </w:rPr>
        <w:t>.</w:t>
      </w:r>
    </w:p>
  </w:footnote>
  <w:footnote w:id="19">
    <w:p w14:paraId="50D1AFF4" w14:textId="67C82F03" w:rsidR="00DB66D7" w:rsidRPr="00DB66D7" w:rsidRDefault="00DB66D7">
      <w:pPr>
        <w:pStyle w:val="Notedebasdepage"/>
      </w:pPr>
      <w:r>
        <w:tab/>
      </w:r>
      <w:r>
        <w:rPr>
          <w:rStyle w:val="Appelnotedebasdep"/>
        </w:rPr>
        <w:footnoteRef/>
      </w:r>
      <w:r>
        <w:tab/>
      </w:r>
      <w:hyperlink r:id="rId26" w:history="1">
        <w:r w:rsidRPr="00283D9D">
          <w:rPr>
            <w:rStyle w:val="Lienhypertexte"/>
            <w:spacing w:val="-1"/>
            <w:lang w:val="fr-FR"/>
          </w:rPr>
          <w:t>CERD/C/LUX/CO/14-17</w:t>
        </w:r>
      </w:hyperlink>
      <w:r w:rsidRPr="00ED38F5">
        <w:rPr>
          <w:spacing w:val="-1"/>
          <w:lang w:val="fr-FR"/>
        </w:rPr>
        <w:t>, par.</w:t>
      </w:r>
      <w:r>
        <w:rPr>
          <w:spacing w:val="-1"/>
          <w:lang w:val="fr-FR"/>
        </w:rPr>
        <w:t> </w:t>
      </w:r>
      <w:r w:rsidRPr="00ED38F5">
        <w:rPr>
          <w:spacing w:val="-1"/>
          <w:lang w:val="fr-FR"/>
        </w:rPr>
        <w:t>16</w:t>
      </w:r>
      <w:r>
        <w:rPr>
          <w:spacing w:val="-1"/>
          <w:lang w:val="fr-FR"/>
        </w:rPr>
        <w:t> </w:t>
      </w:r>
      <w:r w:rsidRPr="00ED38F5">
        <w:rPr>
          <w:spacing w:val="-1"/>
          <w:lang w:val="fr-FR"/>
        </w:rPr>
        <w:t>;</w:t>
      </w:r>
      <w:r>
        <w:rPr>
          <w:spacing w:val="-1"/>
          <w:lang w:val="fr-FR"/>
        </w:rPr>
        <w:t xml:space="preserve"> et</w:t>
      </w:r>
      <w:r w:rsidRPr="00ED38F5">
        <w:rPr>
          <w:spacing w:val="-1"/>
          <w:lang w:val="fr-FR"/>
        </w:rPr>
        <w:t xml:space="preserve"> </w:t>
      </w:r>
      <w:hyperlink r:id="rId27" w:history="1">
        <w:r w:rsidRPr="00283D9D">
          <w:rPr>
            <w:rStyle w:val="Lienhypertexte"/>
            <w:spacing w:val="-1"/>
            <w:lang w:val="fr-FR"/>
          </w:rPr>
          <w:t>CERD/C/LUX/18-20</w:t>
        </w:r>
      </w:hyperlink>
      <w:r w:rsidRPr="00ED38F5">
        <w:rPr>
          <w:spacing w:val="-1"/>
          <w:lang w:val="fr-FR"/>
        </w:rPr>
        <w:t>, par. 59 et 233</w:t>
      </w:r>
      <w:r>
        <w:rPr>
          <w:spacing w:val="-1"/>
          <w:lang w:val="fr-FR"/>
        </w:rPr>
        <w:t xml:space="preserve"> à </w:t>
      </w:r>
      <w:r w:rsidRPr="00ED38F5">
        <w:rPr>
          <w:spacing w:val="-1"/>
          <w:lang w:val="fr-FR"/>
        </w:rPr>
        <w:t>238</w:t>
      </w:r>
      <w:r>
        <w:rPr>
          <w:spacing w:val="-1"/>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9CFE31" w14:textId="77777777" w:rsidR="00CE61F1" w:rsidRDefault="00CE61F1">
    <w:pPr>
      <w:pStyle w:val="En-tte"/>
    </w:pPr>
    <w:r>
      <w:t>CERD/C/LUX/Q/18-20</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54DC42" w14:textId="77777777" w:rsidR="00CE61F1" w:rsidRDefault="00CE61F1">
    <w:pPr>
      <w:pStyle w:val="En-tte"/>
      <w:jc w:val="right"/>
    </w:pPr>
    <w:r>
      <w:t>CERD/C/LUX/Q/18-20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6E24C118"/>
    <w:lvl w:ilvl="0" w:tplc="78C6E284">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9AFC3E96" w:tentative="1">
      <w:start w:val="1"/>
      <w:numFmt w:val="lowerLetter"/>
      <w:lvlText w:val="%2."/>
      <w:lvlJc w:val="left"/>
      <w:pPr>
        <w:tabs>
          <w:tab w:val="num" w:pos="1440"/>
        </w:tabs>
        <w:ind w:left="1440" w:hanging="360"/>
      </w:pPr>
    </w:lvl>
    <w:lvl w:ilvl="2" w:tplc="73585990" w:tentative="1">
      <w:start w:val="1"/>
      <w:numFmt w:val="lowerRoman"/>
      <w:lvlText w:val="%3."/>
      <w:lvlJc w:val="right"/>
      <w:pPr>
        <w:tabs>
          <w:tab w:val="num" w:pos="2160"/>
        </w:tabs>
        <w:ind w:left="2160" w:hanging="180"/>
      </w:pPr>
    </w:lvl>
    <w:lvl w:ilvl="3" w:tplc="3DE60746" w:tentative="1">
      <w:start w:val="1"/>
      <w:numFmt w:val="decimal"/>
      <w:lvlText w:val="%4."/>
      <w:lvlJc w:val="left"/>
      <w:pPr>
        <w:tabs>
          <w:tab w:val="num" w:pos="2880"/>
        </w:tabs>
        <w:ind w:left="2880" w:hanging="360"/>
      </w:pPr>
    </w:lvl>
    <w:lvl w:ilvl="4" w:tplc="6986AB60" w:tentative="1">
      <w:start w:val="1"/>
      <w:numFmt w:val="lowerLetter"/>
      <w:lvlText w:val="%5."/>
      <w:lvlJc w:val="left"/>
      <w:pPr>
        <w:tabs>
          <w:tab w:val="num" w:pos="3600"/>
        </w:tabs>
        <w:ind w:left="3600" w:hanging="360"/>
      </w:pPr>
    </w:lvl>
    <w:lvl w:ilvl="5" w:tplc="F120E9A0" w:tentative="1">
      <w:start w:val="1"/>
      <w:numFmt w:val="lowerRoman"/>
      <w:lvlText w:val="%6."/>
      <w:lvlJc w:val="right"/>
      <w:pPr>
        <w:tabs>
          <w:tab w:val="num" w:pos="4320"/>
        </w:tabs>
        <w:ind w:left="4320" w:hanging="180"/>
      </w:pPr>
    </w:lvl>
    <w:lvl w:ilvl="6" w:tplc="37FAEFBC" w:tentative="1">
      <w:start w:val="1"/>
      <w:numFmt w:val="decimal"/>
      <w:lvlText w:val="%7."/>
      <w:lvlJc w:val="left"/>
      <w:pPr>
        <w:tabs>
          <w:tab w:val="num" w:pos="5040"/>
        </w:tabs>
        <w:ind w:left="5040" w:hanging="360"/>
      </w:pPr>
    </w:lvl>
    <w:lvl w:ilvl="7" w:tplc="A216C144" w:tentative="1">
      <w:start w:val="1"/>
      <w:numFmt w:val="lowerLetter"/>
      <w:lvlText w:val="%8."/>
      <w:lvlJc w:val="left"/>
      <w:pPr>
        <w:tabs>
          <w:tab w:val="num" w:pos="5760"/>
        </w:tabs>
        <w:ind w:left="5760" w:hanging="360"/>
      </w:pPr>
    </w:lvl>
    <w:lvl w:ilvl="8" w:tplc="F0662494" w:tentative="1">
      <w:start w:val="1"/>
      <w:numFmt w:val="lowerRoman"/>
      <w:lvlText w:val="%9."/>
      <w:lvlJc w:val="right"/>
      <w:pPr>
        <w:tabs>
          <w:tab w:val="num" w:pos="6480"/>
        </w:tabs>
        <w:ind w:left="6480" w:hanging="180"/>
      </w:pPr>
    </w:lvl>
  </w:abstractNum>
  <w:abstractNum w:abstractNumId="11" w15:restartNumberingAfterBreak="0">
    <w:nsid w:val="26C20CB5"/>
    <w:multiLevelType w:val="hybridMultilevel"/>
    <w:tmpl w:val="4F946FAC"/>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15:restartNumberingAfterBreak="0">
    <w:nsid w:val="3A2C6AB2"/>
    <w:multiLevelType w:val="hybridMultilevel"/>
    <w:tmpl w:val="63E821D0"/>
    <w:lvl w:ilvl="0" w:tplc="F2C657E6">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3" w15:restartNumberingAfterBreak="0">
    <w:nsid w:val="3ACF4EB2"/>
    <w:multiLevelType w:val="hybridMultilevel"/>
    <w:tmpl w:val="AE82671E"/>
    <w:lvl w:ilvl="0" w:tplc="9478603E">
      <w:start w:val="1"/>
      <w:numFmt w:val="bullet"/>
      <w:pStyle w:val="Bullet2G"/>
      <w:lvlText w:val="•"/>
      <w:lvlJc w:val="left"/>
      <w:pPr>
        <w:tabs>
          <w:tab w:val="num" w:pos="2268"/>
        </w:tabs>
        <w:ind w:left="2268" w:hanging="170"/>
      </w:pPr>
      <w:rPr>
        <w:rFonts w:ascii="Times New Roman" w:hAnsi="Times New Roman" w:cs="Times New Roman" w:hint="default"/>
      </w:rPr>
    </w:lvl>
    <w:lvl w:ilvl="1" w:tplc="926E0844" w:tentative="1">
      <w:start w:val="1"/>
      <w:numFmt w:val="bullet"/>
      <w:lvlText w:val="o"/>
      <w:lvlJc w:val="left"/>
      <w:pPr>
        <w:tabs>
          <w:tab w:val="num" w:pos="3708"/>
        </w:tabs>
        <w:ind w:left="3708" w:hanging="360"/>
      </w:pPr>
      <w:rPr>
        <w:rFonts w:ascii="Courier New" w:hAnsi="Courier New" w:hint="default"/>
      </w:rPr>
    </w:lvl>
    <w:lvl w:ilvl="2" w:tplc="6FAC93DE" w:tentative="1">
      <w:start w:val="1"/>
      <w:numFmt w:val="bullet"/>
      <w:lvlText w:val=""/>
      <w:lvlJc w:val="left"/>
      <w:pPr>
        <w:tabs>
          <w:tab w:val="num" w:pos="4428"/>
        </w:tabs>
        <w:ind w:left="4428" w:hanging="360"/>
      </w:pPr>
      <w:rPr>
        <w:rFonts w:ascii="Wingdings" w:hAnsi="Wingdings" w:hint="default"/>
      </w:rPr>
    </w:lvl>
    <w:lvl w:ilvl="3" w:tplc="4696800C" w:tentative="1">
      <w:start w:val="1"/>
      <w:numFmt w:val="bullet"/>
      <w:lvlText w:val=""/>
      <w:lvlJc w:val="left"/>
      <w:pPr>
        <w:tabs>
          <w:tab w:val="num" w:pos="5148"/>
        </w:tabs>
        <w:ind w:left="5148" w:hanging="360"/>
      </w:pPr>
      <w:rPr>
        <w:rFonts w:ascii="Symbol" w:hAnsi="Symbol" w:hint="default"/>
      </w:rPr>
    </w:lvl>
    <w:lvl w:ilvl="4" w:tplc="E2462EB8" w:tentative="1">
      <w:start w:val="1"/>
      <w:numFmt w:val="bullet"/>
      <w:lvlText w:val="o"/>
      <w:lvlJc w:val="left"/>
      <w:pPr>
        <w:tabs>
          <w:tab w:val="num" w:pos="5868"/>
        </w:tabs>
        <w:ind w:left="5868" w:hanging="360"/>
      </w:pPr>
      <w:rPr>
        <w:rFonts w:ascii="Courier New" w:hAnsi="Courier New" w:hint="default"/>
      </w:rPr>
    </w:lvl>
    <w:lvl w:ilvl="5" w:tplc="BDD8AC2A" w:tentative="1">
      <w:start w:val="1"/>
      <w:numFmt w:val="bullet"/>
      <w:lvlText w:val=""/>
      <w:lvlJc w:val="left"/>
      <w:pPr>
        <w:tabs>
          <w:tab w:val="num" w:pos="6588"/>
        </w:tabs>
        <w:ind w:left="6588" w:hanging="360"/>
      </w:pPr>
      <w:rPr>
        <w:rFonts w:ascii="Wingdings" w:hAnsi="Wingdings" w:hint="default"/>
      </w:rPr>
    </w:lvl>
    <w:lvl w:ilvl="6" w:tplc="7AEAD0A0" w:tentative="1">
      <w:start w:val="1"/>
      <w:numFmt w:val="bullet"/>
      <w:lvlText w:val=""/>
      <w:lvlJc w:val="left"/>
      <w:pPr>
        <w:tabs>
          <w:tab w:val="num" w:pos="7308"/>
        </w:tabs>
        <w:ind w:left="7308" w:hanging="360"/>
      </w:pPr>
      <w:rPr>
        <w:rFonts w:ascii="Symbol" w:hAnsi="Symbol" w:hint="default"/>
      </w:rPr>
    </w:lvl>
    <w:lvl w:ilvl="7" w:tplc="17EE68FE" w:tentative="1">
      <w:start w:val="1"/>
      <w:numFmt w:val="bullet"/>
      <w:lvlText w:val="o"/>
      <w:lvlJc w:val="left"/>
      <w:pPr>
        <w:tabs>
          <w:tab w:val="num" w:pos="8028"/>
        </w:tabs>
        <w:ind w:left="8028" w:hanging="360"/>
      </w:pPr>
      <w:rPr>
        <w:rFonts w:ascii="Courier New" w:hAnsi="Courier New" w:hint="default"/>
      </w:rPr>
    </w:lvl>
    <w:lvl w:ilvl="8" w:tplc="39E8DD16"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617930D3"/>
    <w:multiLevelType w:val="hybridMultilevel"/>
    <w:tmpl w:val="4F946FAC"/>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15:restartNumberingAfterBreak="0">
    <w:nsid w:val="68AD07B2"/>
    <w:multiLevelType w:val="hybridMultilevel"/>
    <w:tmpl w:val="36D6316E"/>
    <w:lvl w:ilvl="0" w:tplc="817A8E26">
      <w:start w:val="1"/>
      <w:numFmt w:val="bullet"/>
      <w:pStyle w:val="Bullet1G"/>
      <w:lvlText w:val="•"/>
      <w:lvlJc w:val="left"/>
      <w:pPr>
        <w:tabs>
          <w:tab w:val="num" w:pos="1701"/>
        </w:tabs>
        <w:ind w:left="1701" w:hanging="170"/>
      </w:pPr>
      <w:rPr>
        <w:rFonts w:ascii="Times New Roman" w:hAnsi="Times New Roman" w:cs="Times New Roman" w:hint="default"/>
      </w:rPr>
    </w:lvl>
    <w:lvl w:ilvl="1" w:tplc="D79AD4DA" w:tentative="1">
      <w:start w:val="1"/>
      <w:numFmt w:val="bullet"/>
      <w:lvlText w:val="o"/>
      <w:lvlJc w:val="left"/>
      <w:pPr>
        <w:tabs>
          <w:tab w:val="num" w:pos="3141"/>
        </w:tabs>
        <w:ind w:left="3141" w:hanging="360"/>
      </w:pPr>
      <w:rPr>
        <w:rFonts w:ascii="Courier New" w:hAnsi="Courier New" w:hint="default"/>
      </w:rPr>
    </w:lvl>
    <w:lvl w:ilvl="2" w:tplc="4A9834E4" w:tentative="1">
      <w:start w:val="1"/>
      <w:numFmt w:val="bullet"/>
      <w:lvlText w:val=""/>
      <w:lvlJc w:val="left"/>
      <w:pPr>
        <w:tabs>
          <w:tab w:val="num" w:pos="3861"/>
        </w:tabs>
        <w:ind w:left="3861" w:hanging="360"/>
      </w:pPr>
      <w:rPr>
        <w:rFonts w:ascii="Wingdings" w:hAnsi="Wingdings" w:hint="default"/>
      </w:rPr>
    </w:lvl>
    <w:lvl w:ilvl="3" w:tplc="661EF5FA" w:tentative="1">
      <w:start w:val="1"/>
      <w:numFmt w:val="bullet"/>
      <w:lvlText w:val=""/>
      <w:lvlJc w:val="left"/>
      <w:pPr>
        <w:tabs>
          <w:tab w:val="num" w:pos="4581"/>
        </w:tabs>
        <w:ind w:left="4581" w:hanging="360"/>
      </w:pPr>
      <w:rPr>
        <w:rFonts w:ascii="Symbol" w:hAnsi="Symbol" w:hint="default"/>
      </w:rPr>
    </w:lvl>
    <w:lvl w:ilvl="4" w:tplc="090ED2F6" w:tentative="1">
      <w:start w:val="1"/>
      <w:numFmt w:val="bullet"/>
      <w:lvlText w:val="o"/>
      <w:lvlJc w:val="left"/>
      <w:pPr>
        <w:tabs>
          <w:tab w:val="num" w:pos="5301"/>
        </w:tabs>
        <w:ind w:left="5301" w:hanging="360"/>
      </w:pPr>
      <w:rPr>
        <w:rFonts w:ascii="Courier New" w:hAnsi="Courier New" w:hint="default"/>
      </w:rPr>
    </w:lvl>
    <w:lvl w:ilvl="5" w:tplc="A78A0800" w:tentative="1">
      <w:start w:val="1"/>
      <w:numFmt w:val="bullet"/>
      <w:lvlText w:val=""/>
      <w:lvlJc w:val="left"/>
      <w:pPr>
        <w:tabs>
          <w:tab w:val="num" w:pos="6021"/>
        </w:tabs>
        <w:ind w:left="6021" w:hanging="360"/>
      </w:pPr>
      <w:rPr>
        <w:rFonts w:ascii="Wingdings" w:hAnsi="Wingdings" w:hint="default"/>
      </w:rPr>
    </w:lvl>
    <w:lvl w:ilvl="6" w:tplc="39B06290" w:tentative="1">
      <w:start w:val="1"/>
      <w:numFmt w:val="bullet"/>
      <w:lvlText w:val=""/>
      <w:lvlJc w:val="left"/>
      <w:pPr>
        <w:tabs>
          <w:tab w:val="num" w:pos="6741"/>
        </w:tabs>
        <w:ind w:left="6741" w:hanging="360"/>
      </w:pPr>
      <w:rPr>
        <w:rFonts w:ascii="Symbol" w:hAnsi="Symbol" w:hint="default"/>
      </w:rPr>
    </w:lvl>
    <w:lvl w:ilvl="7" w:tplc="AEC2EF3A" w:tentative="1">
      <w:start w:val="1"/>
      <w:numFmt w:val="bullet"/>
      <w:lvlText w:val="o"/>
      <w:lvlJc w:val="left"/>
      <w:pPr>
        <w:tabs>
          <w:tab w:val="num" w:pos="7461"/>
        </w:tabs>
        <w:ind w:left="7461" w:hanging="360"/>
      </w:pPr>
      <w:rPr>
        <w:rFonts w:ascii="Courier New" w:hAnsi="Courier New" w:hint="default"/>
      </w:rPr>
    </w:lvl>
    <w:lvl w:ilvl="8" w:tplc="376473F8" w:tentative="1">
      <w:start w:val="1"/>
      <w:numFmt w:val="bullet"/>
      <w:lvlText w:val=""/>
      <w:lvlJc w:val="left"/>
      <w:pPr>
        <w:tabs>
          <w:tab w:val="num" w:pos="8181"/>
        </w:tabs>
        <w:ind w:left="8181" w:hanging="360"/>
      </w:pPr>
      <w:rPr>
        <w:rFonts w:ascii="Wingdings" w:hAnsi="Wingdings" w:hint="default"/>
      </w:rPr>
    </w:lvl>
  </w:abstractNum>
  <w:num w:numId="1">
    <w:abstractNumId w:val="15"/>
  </w:num>
  <w:num w:numId="2">
    <w:abstractNumId w:val="13"/>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5"/>
  </w:num>
  <w:num w:numId="15">
    <w:abstractNumId w:val="13"/>
  </w:num>
  <w:num w:numId="16">
    <w:abstractNumId w:val="10"/>
  </w:num>
  <w:num w:numId="17">
    <w:abstractNumId w:val="11"/>
  </w:num>
  <w:num w:numId="18">
    <w:abstractNumId w:val="12"/>
  </w:num>
  <w:num w:numId="1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4"/>
  <w:activeWritingStyle w:appName="MSWord" w:lang="fr-CH" w:vendorID="64" w:dllVersion="6" w:nlCheck="1" w:checkStyle="0"/>
  <w:activeWritingStyle w:appName="MSWord" w:lang="fr-FR" w:vendorID="64" w:dllVersion="6" w:nlCheck="1" w:checkStyle="0"/>
  <w:activeWritingStyle w:appName="MSWord" w:lang="fr-CH" w:vendorID="64" w:dllVersion="0" w:nlCheck="1" w:checkStyle="0"/>
  <w:activeWritingStyle w:appName="MSWord" w:lang="fr-FR" w:vendorID="64" w:dllVersion="0" w:nlCheck="1" w:checkStyle="0"/>
  <w:proofState w:spelling="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8193"/>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6AA9"/>
    <w:rsid w:val="00004A47"/>
    <w:rsid w:val="000121C0"/>
    <w:rsid w:val="00017CE3"/>
    <w:rsid w:val="0003317C"/>
    <w:rsid w:val="00036B2B"/>
    <w:rsid w:val="000420C1"/>
    <w:rsid w:val="000715AC"/>
    <w:rsid w:val="000717FB"/>
    <w:rsid w:val="000A55EE"/>
    <w:rsid w:val="000A65D5"/>
    <w:rsid w:val="000A7339"/>
    <w:rsid w:val="000B5BAD"/>
    <w:rsid w:val="000E44B3"/>
    <w:rsid w:val="000E5408"/>
    <w:rsid w:val="00141CE5"/>
    <w:rsid w:val="00142941"/>
    <w:rsid w:val="00157BE8"/>
    <w:rsid w:val="001863B8"/>
    <w:rsid w:val="00190F25"/>
    <w:rsid w:val="00196A65"/>
    <w:rsid w:val="001C2E9D"/>
    <w:rsid w:val="001D36D4"/>
    <w:rsid w:val="001D4A79"/>
    <w:rsid w:val="001E2800"/>
    <w:rsid w:val="00201634"/>
    <w:rsid w:val="00203FE0"/>
    <w:rsid w:val="0020503A"/>
    <w:rsid w:val="00205CA7"/>
    <w:rsid w:val="00226B13"/>
    <w:rsid w:val="00227DD6"/>
    <w:rsid w:val="00231C9B"/>
    <w:rsid w:val="00234597"/>
    <w:rsid w:val="00251416"/>
    <w:rsid w:val="00273048"/>
    <w:rsid w:val="00282B81"/>
    <w:rsid w:val="00283D9D"/>
    <w:rsid w:val="0029161A"/>
    <w:rsid w:val="002A5B3C"/>
    <w:rsid w:val="002B513D"/>
    <w:rsid w:val="002C79C9"/>
    <w:rsid w:val="002E1B1C"/>
    <w:rsid w:val="002F0D0C"/>
    <w:rsid w:val="002F10C9"/>
    <w:rsid w:val="002F25BD"/>
    <w:rsid w:val="002F421F"/>
    <w:rsid w:val="00312349"/>
    <w:rsid w:val="0032677E"/>
    <w:rsid w:val="00330D95"/>
    <w:rsid w:val="00344069"/>
    <w:rsid w:val="003663A5"/>
    <w:rsid w:val="00373A56"/>
    <w:rsid w:val="00373B7A"/>
    <w:rsid w:val="00376F42"/>
    <w:rsid w:val="00381F7E"/>
    <w:rsid w:val="00384299"/>
    <w:rsid w:val="00391FED"/>
    <w:rsid w:val="0039410D"/>
    <w:rsid w:val="003A5ADD"/>
    <w:rsid w:val="003D548B"/>
    <w:rsid w:val="003D77EE"/>
    <w:rsid w:val="003E7335"/>
    <w:rsid w:val="003E7C45"/>
    <w:rsid w:val="003F03A3"/>
    <w:rsid w:val="00402D74"/>
    <w:rsid w:val="00422C58"/>
    <w:rsid w:val="00423FE6"/>
    <w:rsid w:val="00451B78"/>
    <w:rsid w:val="00455BAC"/>
    <w:rsid w:val="0046049B"/>
    <w:rsid w:val="00473CD3"/>
    <w:rsid w:val="00480540"/>
    <w:rsid w:val="00483993"/>
    <w:rsid w:val="00486D0C"/>
    <w:rsid w:val="00487DE7"/>
    <w:rsid w:val="00487F63"/>
    <w:rsid w:val="004950DD"/>
    <w:rsid w:val="0049558D"/>
    <w:rsid w:val="004A5C04"/>
    <w:rsid w:val="004B2BDF"/>
    <w:rsid w:val="004D7378"/>
    <w:rsid w:val="004F66AF"/>
    <w:rsid w:val="005058AB"/>
    <w:rsid w:val="00513CD4"/>
    <w:rsid w:val="0051464A"/>
    <w:rsid w:val="005311BC"/>
    <w:rsid w:val="005420E1"/>
    <w:rsid w:val="005440CF"/>
    <w:rsid w:val="00546E14"/>
    <w:rsid w:val="00550DD5"/>
    <w:rsid w:val="00562708"/>
    <w:rsid w:val="00576F4D"/>
    <w:rsid w:val="0058054B"/>
    <w:rsid w:val="00581822"/>
    <w:rsid w:val="00587B82"/>
    <w:rsid w:val="005B74B9"/>
    <w:rsid w:val="005C08F7"/>
    <w:rsid w:val="005C3D96"/>
    <w:rsid w:val="005D7A57"/>
    <w:rsid w:val="005E102C"/>
    <w:rsid w:val="005E6022"/>
    <w:rsid w:val="005E6F23"/>
    <w:rsid w:val="005F038D"/>
    <w:rsid w:val="005F5AED"/>
    <w:rsid w:val="00607985"/>
    <w:rsid w:val="006312CF"/>
    <w:rsid w:val="0064063C"/>
    <w:rsid w:val="00643681"/>
    <w:rsid w:val="006533EF"/>
    <w:rsid w:val="0065781A"/>
    <w:rsid w:val="00680408"/>
    <w:rsid w:val="006931FA"/>
    <w:rsid w:val="00694BAA"/>
    <w:rsid w:val="006B04A7"/>
    <w:rsid w:val="006C4E62"/>
    <w:rsid w:val="006D59CF"/>
    <w:rsid w:val="006D6786"/>
    <w:rsid w:val="006D6E35"/>
    <w:rsid w:val="00702BFC"/>
    <w:rsid w:val="007107E0"/>
    <w:rsid w:val="00715F9D"/>
    <w:rsid w:val="007246E4"/>
    <w:rsid w:val="00724A5B"/>
    <w:rsid w:val="00727B71"/>
    <w:rsid w:val="007304EF"/>
    <w:rsid w:val="007350D4"/>
    <w:rsid w:val="00737AFF"/>
    <w:rsid w:val="00737C40"/>
    <w:rsid w:val="00740E21"/>
    <w:rsid w:val="00740F1D"/>
    <w:rsid w:val="00741C50"/>
    <w:rsid w:val="00743A84"/>
    <w:rsid w:val="007464CB"/>
    <w:rsid w:val="00751723"/>
    <w:rsid w:val="00753211"/>
    <w:rsid w:val="00767113"/>
    <w:rsid w:val="00772791"/>
    <w:rsid w:val="00773660"/>
    <w:rsid w:val="0079257B"/>
    <w:rsid w:val="00794FF2"/>
    <w:rsid w:val="007959EF"/>
    <w:rsid w:val="007A39BF"/>
    <w:rsid w:val="007A6864"/>
    <w:rsid w:val="007A6B35"/>
    <w:rsid w:val="007B1859"/>
    <w:rsid w:val="007B4C0B"/>
    <w:rsid w:val="007C16F1"/>
    <w:rsid w:val="007C3C4E"/>
    <w:rsid w:val="007C433B"/>
    <w:rsid w:val="007D77D2"/>
    <w:rsid w:val="007E14E2"/>
    <w:rsid w:val="007E2735"/>
    <w:rsid w:val="007E28CF"/>
    <w:rsid w:val="007E3E78"/>
    <w:rsid w:val="007E5FC4"/>
    <w:rsid w:val="007F2B05"/>
    <w:rsid w:val="007F3DCB"/>
    <w:rsid w:val="0080215B"/>
    <w:rsid w:val="008327D4"/>
    <w:rsid w:val="00835FAF"/>
    <w:rsid w:val="008409F1"/>
    <w:rsid w:val="00854F5F"/>
    <w:rsid w:val="0085689F"/>
    <w:rsid w:val="008636CC"/>
    <w:rsid w:val="00864443"/>
    <w:rsid w:val="00876A0B"/>
    <w:rsid w:val="00877512"/>
    <w:rsid w:val="008F0383"/>
    <w:rsid w:val="008F0986"/>
    <w:rsid w:val="008F0B77"/>
    <w:rsid w:val="008F297F"/>
    <w:rsid w:val="008F548A"/>
    <w:rsid w:val="00910988"/>
    <w:rsid w:val="0091403D"/>
    <w:rsid w:val="00914F0F"/>
    <w:rsid w:val="00915181"/>
    <w:rsid w:val="00931079"/>
    <w:rsid w:val="00940EFE"/>
    <w:rsid w:val="00944D22"/>
    <w:rsid w:val="009455F9"/>
    <w:rsid w:val="009463EA"/>
    <w:rsid w:val="00946848"/>
    <w:rsid w:val="009729CD"/>
    <w:rsid w:val="00982E2E"/>
    <w:rsid w:val="00984698"/>
    <w:rsid w:val="00986238"/>
    <w:rsid w:val="009B3FA4"/>
    <w:rsid w:val="009B4ED5"/>
    <w:rsid w:val="009D46B1"/>
    <w:rsid w:val="009D50F0"/>
    <w:rsid w:val="009D6AA9"/>
    <w:rsid w:val="009E29D7"/>
    <w:rsid w:val="009F21BC"/>
    <w:rsid w:val="009F5F3A"/>
    <w:rsid w:val="00A22F05"/>
    <w:rsid w:val="00A27AF4"/>
    <w:rsid w:val="00A359DB"/>
    <w:rsid w:val="00A37E47"/>
    <w:rsid w:val="00A578FF"/>
    <w:rsid w:val="00A604FC"/>
    <w:rsid w:val="00A62380"/>
    <w:rsid w:val="00A6763A"/>
    <w:rsid w:val="00A735F1"/>
    <w:rsid w:val="00A74A22"/>
    <w:rsid w:val="00A85DA1"/>
    <w:rsid w:val="00AA2C7A"/>
    <w:rsid w:val="00AD15C7"/>
    <w:rsid w:val="00AE0EFB"/>
    <w:rsid w:val="00AE3BCC"/>
    <w:rsid w:val="00AF205F"/>
    <w:rsid w:val="00B07AE0"/>
    <w:rsid w:val="00B1460B"/>
    <w:rsid w:val="00B22798"/>
    <w:rsid w:val="00B42C73"/>
    <w:rsid w:val="00B50CA2"/>
    <w:rsid w:val="00B5351C"/>
    <w:rsid w:val="00B5421A"/>
    <w:rsid w:val="00B77E2B"/>
    <w:rsid w:val="00B9440D"/>
    <w:rsid w:val="00BC06DE"/>
    <w:rsid w:val="00BC40CF"/>
    <w:rsid w:val="00BC677A"/>
    <w:rsid w:val="00BE3108"/>
    <w:rsid w:val="00BF285D"/>
    <w:rsid w:val="00C03516"/>
    <w:rsid w:val="00C07450"/>
    <w:rsid w:val="00C23EAC"/>
    <w:rsid w:val="00C332A6"/>
    <w:rsid w:val="00C333D0"/>
    <w:rsid w:val="00C41FBC"/>
    <w:rsid w:val="00C829B0"/>
    <w:rsid w:val="00C848D1"/>
    <w:rsid w:val="00C85D29"/>
    <w:rsid w:val="00C96666"/>
    <w:rsid w:val="00CA2E69"/>
    <w:rsid w:val="00CA5807"/>
    <w:rsid w:val="00CB3C26"/>
    <w:rsid w:val="00CB4B86"/>
    <w:rsid w:val="00CE14AC"/>
    <w:rsid w:val="00CE520E"/>
    <w:rsid w:val="00CE61F1"/>
    <w:rsid w:val="00CF0BB3"/>
    <w:rsid w:val="00CF39AC"/>
    <w:rsid w:val="00CF4F22"/>
    <w:rsid w:val="00D0012E"/>
    <w:rsid w:val="00D143E6"/>
    <w:rsid w:val="00D44576"/>
    <w:rsid w:val="00D53005"/>
    <w:rsid w:val="00D53648"/>
    <w:rsid w:val="00D61CB4"/>
    <w:rsid w:val="00D735A8"/>
    <w:rsid w:val="00D76EC9"/>
    <w:rsid w:val="00D83364"/>
    <w:rsid w:val="00DB01C9"/>
    <w:rsid w:val="00DB4079"/>
    <w:rsid w:val="00DB66D7"/>
    <w:rsid w:val="00DD1FB2"/>
    <w:rsid w:val="00DD5FA4"/>
    <w:rsid w:val="00DF087E"/>
    <w:rsid w:val="00E06B0B"/>
    <w:rsid w:val="00E36BE7"/>
    <w:rsid w:val="00E376EF"/>
    <w:rsid w:val="00E42871"/>
    <w:rsid w:val="00E56244"/>
    <w:rsid w:val="00E568D2"/>
    <w:rsid w:val="00E6494D"/>
    <w:rsid w:val="00E700F2"/>
    <w:rsid w:val="00E70912"/>
    <w:rsid w:val="00E71C24"/>
    <w:rsid w:val="00E763FD"/>
    <w:rsid w:val="00E77139"/>
    <w:rsid w:val="00E96A77"/>
    <w:rsid w:val="00E972A2"/>
    <w:rsid w:val="00EA3DA0"/>
    <w:rsid w:val="00EB3BE7"/>
    <w:rsid w:val="00EB5131"/>
    <w:rsid w:val="00EC1198"/>
    <w:rsid w:val="00EC4EEB"/>
    <w:rsid w:val="00EC5776"/>
    <w:rsid w:val="00EC78A0"/>
    <w:rsid w:val="00ED38F5"/>
    <w:rsid w:val="00EE77DE"/>
    <w:rsid w:val="00F0497D"/>
    <w:rsid w:val="00F133A9"/>
    <w:rsid w:val="00F26713"/>
    <w:rsid w:val="00F5780F"/>
    <w:rsid w:val="00F75EE7"/>
    <w:rsid w:val="00F85A74"/>
    <w:rsid w:val="00F90391"/>
    <w:rsid w:val="00F90B54"/>
    <w:rsid w:val="00FB0633"/>
    <w:rsid w:val="00FB12D8"/>
    <w:rsid w:val="00FB4852"/>
    <w:rsid w:val="00FC2E47"/>
    <w:rsid w:val="00FC4460"/>
    <w:rsid w:val="00FC455B"/>
    <w:rsid w:val="00FD0631"/>
    <w:rsid w:val="00FD4367"/>
    <w:rsid w:val="00FE21F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667DD76"/>
  <w15:docId w15:val="{E8B0DFD6-6B61-4602-8401-D001C7A59B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2791"/>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rPr>
  </w:style>
  <w:style w:type="paragraph" w:styleId="Titre1">
    <w:name w:val="heading 1"/>
    <w:aliases w:val="Table_G"/>
    <w:basedOn w:val="SingleTxtG"/>
    <w:next w:val="SingleTxtG"/>
    <w:link w:val="Titre1Car"/>
    <w:qFormat/>
    <w:pPr>
      <w:keepNext/>
      <w:keepLines/>
      <w:spacing w:after="0" w:line="240" w:lineRule="auto"/>
      <w:ind w:right="0"/>
      <w:jc w:val="left"/>
      <w:outlineLvl w:val="0"/>
    </w:pPr>
  </w:style>
  <w:style w:type="paragraph" w:styleId="Titre2">
    <w:name w:val="heading 2"/>
    <w:basedOn w:val="Normal"/>
    <w:next w:val="Normal"/>
    <w:link w:val="Titre2Car"/>
    <w:semiHidden/>
    <w:qFormat/>
    <w:pPr>
      <w:outlineLvl w:val="1"/>
    </w:pPr>
  </w:style>
  <w:style w:type="paragraph" w:styleId="Titre3">
    <w:name w:val="heading 3"/>
    <w:basedOn w:val="Normal"/>
    <w:next w:val="Normal"/>
    <w:link w:val="Titre3Car"/>
    <w:semiHidden/>
    <w:qFormat/>
    <w:pPr>
      <w:outlineLvl w:val="2"/>
    </w:pPr>
  </w:style>
  <w:style w:type="paragraph" w:styleId="Titre4">
    <w:name w:val="heading 4"/>
    <w:basedOn w:val="Normal"/>
    <w:next w:val="Normal"/>
    <w:link w:val="Titre4Car"/>
    <w:semiHidden/>
    <w:qFormat/>
    <w:pPr>
      <w:outlineLvl w:val="3"/>
    </w:pPr>
  </w:style>
  <w:style w:type="paragraph" w:styleId="Titre5">
    <w:name w:val="heading 5"/>
    <w:basedOn w:val="Normal"/>
    <w:next w:val="Normal"/>
    <w:link w:val="Titre5Car"/>
    <w:semiHidden/>
    <w:qFormat/>
    <w:pPr>
      <w:outlineLvl w:val="4"/>
    </w:pPr>
  </w:style>
  <w:style w:type="paragraph" w:styleId="Titre6">
    <w:name w:val="heading 6"/>
    <w:basedOn w:val="Normal"/>
    <w:next w:val="Normal"/>
    <w:link w:val="Titre6Car"/>
    <w:semiHidden/>
    <w:qFormat/>
    <w:pPr>
      <w:outlineLvl w:val="5"/>
    </w:pPr>
  </w:style>
  <w:style w:type="paragraph" w:styleId="Titre7">
    <w:name w:val="heading 7"/>
    <w:basedOn w:val="Normal"/>
    <w:next w:val="Normal"/>
    <w:link w:val="Titre7Car"/>
    <w:semiHidden/>
    <w:qFormat/>
    <w:pPr>
      <w:outlineLvl w:val="6"/>
    </w:pPr>
  </w:style>
  <w:style w:type="paragraph" w:styleId="Titre8">
    <w:name w:val="heading 8"/>
    <w:basedOn w:val="Normal"/>
    <w:next w:val="Normal"/>
    <w:link w:val="Titre8Car"/>
    <w:semiHidden/>
    <w:qFormat/>
    <w:pPr>
      <w:outlineLvl w:val="7"/>
    </w:pPr>
  </w:style>
  <w:style w:type="paragraph" w:styleId="Titre9">
    <w:name w:val="heading 9"/>
    <w:basedOn w:val="Normal"/>
    <w:next w:val="Normal"/>
    <w:link w:val="Titre9Car"/>
    <w:semiHidden/>
    <w:qFormat/>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pPr>
      <w:pBdr>
        <w:bottom w:val="single" w:sz="4" w:space="4" w:color="auto"/>
      </w:pBdr>
      <w:spacing w:line="240" w:lineRule="auto"/>
    </w:pPr>
    <w:rPr>
      <w:b/>
      <w:sz w:val="18"/>
    </w:rPr>
  </w:style>
  <w:style w:type="character" w:customStyle="1" w:styleId="En-tteCar">
    <w:name w:val="En-tête Car"/>
    <w:aliases w:val="6_G Car"/>
    <w:basedOn w:val="Policepardfaut"/>
    <w:link w:val="En-tte"/>
    <w:rPr>
      <w:rFonts w:ascii="Times New Roman" w:hAnsi="Times New Roman" w:cs="Times New Roman"/>
      <w:b/>
      <w:sz w:val="18"/>
      <w:szCs w:val="20"/>
    </w:rPr>
  </w:style>
  <w:style w:type="paragraph" w:styleId="Pieddepage">
    <w:name w:val="footer"/>
    <w:aliases w:val="3_G"/>
    <w:basedOn w:val="Normal"/>
    <w:next w:val="Normal"/>
    <w:link w:val="PieddepageCar"/>
    <w:qFormat/>
    <w:pPr>
      <w:spacing w:line="240" w:lineRule="auto"/>
    </w:pPr>
    <w:rPr>
      <w:sz w:val="16"/>
    </w:rPr>
  </w:style>
  <w:style w:type="character" w:customStyle="1" w:styleId="PieddepageCar">
    <w:name w:val="Pied de page Car"/>
    <w:aliases w:val="3_G Car"/>
    <w:basedOn w:val="Policepardfaut"/>
    <w:link w:val="Pieddepage"/>
    <w:rPr>
      <w:rFonts w:ascii="Times New Roman" w:hAnsi="Times New Roman" w:cs="Times New Roman"/>
      <w:sz w:val="16"/>
      <w:szCs w:val="20"/>
    </w:rPr>
  </w:style>
  <w:style w:type="paragraph" w:customStyle="1" w:styleId="HMG">
    <w:name w:val="_ H __M_G"/>
    <w:basedOn w:val="Normal"/>
    <w:next w:val="Normal"/>
    <w:qFormat/>
    <w:rsid w:val="0032677E"/>
    <w:pPr>
      <w:keepNext/>
      <w:keepLines/>
      <w:tabs>
        <w:tab w:val="right" w:pos="851"/>
      </w:tabs>
      <w:spacing w:before="240" w:after="240" w:line="360" w:lineRule="exact"/>
      <w:ind w:left="1134" w:right="1134" w:hanging="1134"/>
      <w:outlineLvl w:val="0"/>
    </w:pPr>
    <w:rPr>
      <w:rFonts w:eastAsiaTheme="minorEastAsia"/>
      <w:b/>
      <w:sz w:val="34"/>
      <w:lang w:eastAsia="zh-CN"/>
    </w:rPr>
  </w:style>
  <w:style w:type="paragraph" w:customStyle="1" w:styleId="HChG">
    <w:name w:val="_ H _Ch_G"/>
    <w:basedOn w:val="Normal"/>
    <w:next w:val="Normal"/>
    <w:link w:val="HChGChar"/>
    <w:qFormat/>
    <w:rsid w:val="0032677E"/>
    <w:pPr>
      <w:keepNext/>
      <w:keepLines/>
      <w:tabs>
        <w:tab w:val="right" w:pos="851"/>
      </w:tabs>
      <w:spacing w:before="360" w:after="240" w:line="300" w:lineRule="exact"/>
      <w:ind w:left="1134" w:right="1134" w:hanging="1134"/>
      <w:outlineLvl w:val="1"/>
    </w:pPr>
    <w:rPr>
      <w:rFonts w:eastAsiaTheme="minorEastAsia"/>
      <w:b/>
      <w:sz w:val="28"/>
      <w:lang w:eastAsia="zh-CN"/>
    </w:rPr>
  </w:style>
  <w:style w:type="paragraph" w:customStyle="1" w:styleId="H1G">
    <w:name w:val="_ H_1_G"/>
    <w:basedOn w:val="Normal"/>
    <w:next w:val="Normal"/>
    <w:link w:val="H1GChar"/>
    <w:qFormat/>
    <w:rsid w:val="0032677E"/>
    <w:pPr>
      <w:keepNext/>
      <w:keepLines/>
      <w:tabs>
        <w:tab w:val="right" w:pos="851"/>
      </w:tabs>
      <w:spacing w:before="360" w:after="240" w:line="270" w:lineRule="exact"/>
      <w:ind w:left="1134" w:right="1134" w:hanging="1134"/>
      <w:outlineLvl w:val="2"/>
    </w:pPr>
    <w:rPr>
      <w:rFonts w:eastAsiaTheme="minorEastAsia"/>
      <w:b/>
      <w:sz w:val="24"/>
      <w:lang w:eastAsia="zh-CN"/>
    </w:rPr>
  </w:style>
  <w:style w:type="paragraph" w:customStyle="1" w:styleId="H23G">
    <w:name w:val="_ H_2/3_G"/>
    <w:basedOn w:val="Normal"/>
    <w:next w:val="Normal"/>
    <w:link w:val="H23GChar"/>
    <w:qFormat/>
    <w:rsid w:val="0032677E"/>
    <w:pPr>
      <w:keepNext/>
      <w:keepLines/>
      <w:tabs>
        <w:tab w:val="right" w:pos="851"/>
      </w:tabs>
      <w:spacing w:before="240" w:after="120" w:line="240" w:lineRule="exact"/>
      <w:ind w:left="1134" w:right="1134" w:hanging="1134"/>
      <w:outlineLvl w:val="3"/>
    </w:pPr>
    <w:rPr>
      <w:rFonts w:eastAsiaTheme="minorEastAsia"/>
      <w:b/>
      <w:lang w:eastAsia="zh-CN"/>
    </w:rPr>
  </w:style>
  <w:style w:type="paragraph" w:customStyle="1" w:styleId="H4G">
    <w:name w:val="_ H_4_G"/>
    <w:basedOn w:val="Normal"/>
    <w:next w:val="Normal"/>
    <w:qFormat/>
    <w:rsid w:val="0032677E"/>
    <w:pPr>
      <w:keepNext/>
      <w:keepLines/>
      <w:tabs>
        <w:tab w:val="right" w:pos="851"/>
      </w:tabs>
      <w:spacing w:before="240" w:after="120" w:line="240" w:lineRule="exact"/>
      <w:ind w:left="1134" w:right="1134" w:hanging="1134"/>
      <w:outlineLvl w:val="4"/>
    </w:pPr>
    <w:rPr>
      <w:rFonts w:eastAsiaTheme="minorEastAsia"/>
      <w:i/>
      <w:lang w:eastAsia="zh-CN"/>
    </w:rPr>
  </w:style>
  <w:style w:type="paragraph" w:customStyle="1" w:styleId="H56G">
    <w:name w:val="_ H_5/6_G"/>
    <w:basedOn w:val="Normal"/>
    <w:next w:val="Normal"/>
    <w:qFormat/>
    <w:rsid w:val="0032677E"/>
    <w:pPr>
      <w:keepNext/>
      <w:keepLines/>
      <w:tabs>
        <w:tab w:val="right" w:pos="851"/>
      </w:tabs>
      <w:spacing w:before="240" w:after="120" w:line="240" w:lineRule="exact"/>
      <w:ind w:left="1134" w:right="1134" w:hanging="1134"/>
      <w:outlineLvl w:val="5"/>
    </w:pPr>
    <w:rPr>
      <w:rFonts w:eastAsiaTheme="minorEastAsia"/>
      <w:lang w:eastAsia="zh-CN"/>
    </w:rPr>
  </w:style>
  <w:style w:type="paragraph" w:customStyle="1" w:styleId="SingleTxtG">
    <w:name w:val="_ Single Txt_G"/>
    <w:basedOn w:val="Normal"/>
    <w:link w:val="SingleTxtGChar"/>
    <w:qFormat/>
    <w:pPr>
      <w:tabs>
        <w:tab w:val="left" w:pos="1701"/>
        <w:tab w:val="left" w:pos="2268"/>
        <w:tab w:val="left" w:pos="2835"/>
      </w:tabs>
      <w:spacing w:after="120"/>
      <w:ind w:left="1134" w:right="1134"/>
      <w:jc w:val="both"/>
    </w:p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qFormat/>
    <w:pPr>
      <w:numPr>
        <w:numId w:val="14"/>
      </w:numPr>
      <w:spacing w:after="120"/>
      <w:ind w:right="1134"/>
      <w:jc w:val="both"/>
    </w:pPr>
  </w:style>
  <w:style w:type="paragraph" w:customStyle="1" w:styleId="Bullet2G">
    <w:name w:val="_Bullet 2_G"/>
    <w:basedOn w:val="Normal"/>
    <w:qFormat/>
    <w:pPr>
      <w:numPr>
        <w:numId w:val="15"/>
      </w:numPr>
      <w:spacing w:after="120"/>
      <w:ind w:right="1134"/>
      <w:jc w:val="both"/>
    </w:pPr>
  </w:style>
  <w:style w:type="paragraph" w:customStyle="1" w:styleId="ParNoG">
    <w:name w:val="_ParNo_G"/>
    <w:basedOn w:val="Normal"/>
    <w:qFormat/>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Pr>
      <w:rFonts w:ascii="Times New Roman" w:hAnsi="Times New Roman"/>
      <w:sz w:val="18"/>
      <w:vertAlign w:val="superscript"/>
      <w:lang w:val="fr-CH"/>
    </w:rPr>
  </w:style>
  <w:style w:type="character" w:styleId="Appeldenotedefin">
    <w:name w:val="endnote reference"/>
    <w:aliases w:val="1_G"/>
    <w:basedOn w:val="Appelnotedebasdep"/>
    <w:qFormat/>
    <w:rPr>
      <w:rFonts w:ascii="Times New Roman" w:hAnsi="Times New Roman"/>
      <w:sz w:val="18"/>
      <w:vertAlign w:val="superscript"/>
      <w:lang w:val="fr-CH"/>
    </w:rPr>
  </w:style>
  <w:style w:type="table" w:styleId="Grilledutableau">
    <w:name w:val="Table Grid"/>
    <w:basedOn w:val="TableauNormal"/>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Pr>
      <w:color w:val="0000FF"/>
      <w:u w:val="none"/>
    </w:rPr>
  </w:style>
  <w:style w:type="character" w:styleId="Lienhypertextesuivivisit">
    <w:name w:val="FollowedHyperlink"/>
    <w:basedOn w:val="Policepardfaut"/>
    <w:unhideWhenUsed/>
    <w:rPr>
      <w:color w:val="0000FF"/>
      <w:u w:val="none"/>
    </w:rPr>
  </w:style>
  <w:style w:type="paragraph" w:styleId="Notedebasdepage">
    <w:name w:val="footnote text"/>
    <w:aliases w:val="5_G"/>
    <w:basedOn w:val="Normal"/>
    <w:link w:val="NotedebasdepageCar"/>
    <w:qFormat/>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Pr>
      <w:rFonts w:ascii="Times New Roman" w:hAnsi="Times New Roman" w:cs="Times New Roman"/>
      <w:sz w:val="18"/>
      <w:szCs w:val="20"/>
    </w:rPr>
  </w:style>
  <w:style w:type="paragraph" w:styleId="Notedefin">
    <w:name w:val="endnote text"/>
    <w:aliases w:val="2_G"/>
    <w:basedOn w:val="Notedebasdepage"/>
    <w:link w:val="NotedefinCar"/>
    <w:qFormat/>
  </w:style>
  <w:style w:type="character" w:customStyle="1" w:styleId="NotedefinCar">
    <w:name w:val="Note de fin Car"/>
    <w:aliases w:val="2_G Car"/>
    <w:basedOn w:val="Policepardfaut"/>
    <w:link w:val="Notedefin"/>
    <w:rPr>
      <w:rFonts w:ascii="Times New Roman" w:hAnsi="Times New Roman" w:cs="Times New Roman"/>
      <w:sz w:val="18"/>
      <w:szCs w:val="20"/>
    </w:rPr>
  </w:style>
  <w:style w:type="character" w:styleId="Numrodepage">
    <w:name w:val="page number"/>
    <w:aliases w:val="7_G"/>
    <w:basedOn w:val="Policepardfaut"/>
    <w:qFormat/>
    <w:rPr>
      <w:rFonts w:ascii="Times New Roman" w:hAnsi="Times New Roman"/>
      <w:b/>
      <w:sz w:val="18"/>
      <w:lang w:val="fr-CH"/>
    </w:rPr>
  </w:style>
  <w:style w:type="character" w:customStyle="1" w:styleId="Titre1Car">
    <w:name w:val="Titre 1 Car"/>
    <w:aliases w:val="Table_G Car"/>
    <w:basedOn w:val="Policepardfaut"/>
    <w:link w:val="Titre1"/>
    <w:rPr>
      <w:rFonts w:ascii="Times New Roman" w:hAnsi="Times New Roman" w:cs="Times New Roman"/>
      <w:sz w:val="20"/>
      <w:szCs w:val="20"/>
    </w:rPr>
  </w:style>
  <w:style w:type="character" w:customStyle="1" w:styleId="Titre2Car">
    <w:name w:val="Titre 2 Car"/>
    <w:basedOn w:val="Policepardfaut"/>
    <w:link w:val="Titre2"/>
    <w:semiHidden/>
    <w:rPr>
      <w:rFonts w:ascii="Times New Roman" w:hAnsi="Times New Roman" w:cs="Times New Roman"/>
      <w:sz w:val="20"/>
      <w:szCs w:val="20"/>
    </w:rPr>
  </w:style>
  <w:style w:type="character" w:customStyle="1" w:styleId="Titre3Car">
    <w:name w:val="Titre 3 Car"/>
    <w:basedOn w:val="Policepardfaut"/>
    <w:link w:val="Titre3"/>
    <w:semiHidden/>
    <w:rPr>
      <w:rFonts w:ascii="Times New Roman" w:hAnsi="Times New Roman" w:cs="Times New Roman"/>
      <w:sz w:val="20"/>
      <w:szCs w:val="20"/>
    </w:rPr>
  </w:style>
  <w:style w:type="character" w:customStyle="1" w:styleId="Titre4Car">
    <w:name w:val="Titre 4 Car"/>
    <w:basedOn w:val="Policepardfaut"/>
    <w:link w:val="Titre4"/>
    <w:semiHidden/>
    <w:rPr>
      <w:rFonts w:ascii="Times New Roman" w:hAnsi="Times New Roman" w:cs="Times New Roman"/>
      <w:sz w:val="20"/>
      <w:szCs w:val="20"/>
    </w:rPr>
  </w:style>
  <w:style w:type="character" w:customStyle="1" w:styleId="Titre5Car">
    <w:name w:val="Titre 5 Car"/>
    <w:basedOn w:val="Policepardfaut"/>
    <w:link w:val="Titre5"/>
    <w:semiHidden/>
    <w:rPr>
      <w:rFonts w:ascii="Times New Roman" w:hAnsi="Times New Roman" w:cs="Times New Roman"/>
      <w:sz w:val="20"/>
      <w:szCs w:val="20"/>
    </w:rPr>
  </w:style>
  <w:style w:type="character" w:customStyle="1" w:styleId="Titre6Car">
    <w:name w:val="Titre 6 Car"/>
    <w:basedOn w:val="Policepardfaut"/>
    <w:link w:val="Titre6"/>
    <w:semiHidden/>
    <w:rPr>
      <w:rFonts w:ascii="Times New Roman" w:hAnsi="Times New Roman" w:cs="Times New Roman"/>
      <w:sz w:val="20"/>
      <w:szCs w:val="20"/>
    </w:rPr>
  </w:style>
  <w:style w:type="character" w:customStyle="1" w:styleId="Titre7Car">
    <w:name w:val="Titre 7 Car"/>
    <w:basedOn w:val="Policepardfaut"/>
    <w:link w:val="Titre7"/>
    <w:semiHidden/>
    <w:rPr>
      <w:rFonts w:ascii="Times New Roman" w:hAnsi="Times New Roman" w:cs="Times New Roman"/>
      <w:sz w:val="20"/>
      <w:szCs w:val="20"/>
    </w:rPr>
  </w:style>
  <w:style w:type="character" w:customStyle="1" w:styleId="Titre8Car">
    <w:name w:val="Titre 8 Car"/>
    <w:basedOn w:val="Policepardfaut"/>
    <w:link w:val="Titre8"/>
    <w:semiHidden/>
    <w:rPr>
      <w:rFonts w:ascii="Times New Roman" w:hAnsi="Times New Roman" w:cs="Times New Roman"/>
      <w:sz w:val="20"/>
      <w:szCs w:val="20"/>
    </w:rPr>
  </w:style>
  <w:style w:type="character" w:customStyle="1" w:styleId="Titre9Car">
    <w:name w:val="Titre 9 Car"/>
    <w:basedOn w:val="Policepardfaut"/>
    <w:link w:val="Titre9"/>
    <w:semiHidden/>
    <w:rPr>
      <w:rFonts w:ascii="Times New Roman" w:hAnsi="Times New Roman" w:cs="Times New Roman"/>
      <w:sz w:val="20"/>
      <w:szCs w:val="20"/>
    </w:rPr>
  </w:style>
  <w:style w:type="paragraph" w:styleId="Textedebulles">
    <w:name w:val="Balloon Text"/>
    <w:basedOn w:val="Normal"/>
    <w:link w:val="TextedebullesCar"/>
    <w:uiPriority w:val="99"/>
    <w:semiHidden/>
    <w:unhideWhenUse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Pr>
      <w:rFonts w:ascii="Tahoma" w:eastAsia="Times New Roman" w:hAnsi="Tahoma" w:cs="Tahoma"/>
      <w:sz w:val="16"/>
      <w:szCs w:val="16"/>
      <w:lang w:val="en-GB"/>
    </w:rPr>
  </w:style>
  <w:style w:type="character" w:customStyle="1" w:styleId="SingleTxtGChar">
    <w:name w:val="_ Single Txt_G Char"/>
    <w:link w:val="SingleTxtG"/>
    <w:rPr>
      <w:rFonts w:ascii="Times New Roman" w:hAnsi="Times New Roman" w:cs="Times New Roman"/>
      <w:sz w:val="20"/>
      <w:szCs w:val="20"/>
    </w:rPr>
  </w:style>
  <w:style w:type="character" w:customStyle="1" w:styleId="HChGChar">
    <w:name w:val="_ H _Ch_G Char"/>
    <w:link w:val="HChG"/>
    <w:rPr>
      <w:rFonts w:ascii="Times New Roman" w:eastAsiaTheme="minorEastAsia" w:hAnsi="Times New Roman" w:cs="Times New Roman"/>
      <w:b/>
      <w:sz w:val="28"/>
      <w:szCs w:val="20"/>
      <w:lang w:eastAsia="zh-CN"/>
    </w:rPr>
  </w:style>
  <w:style w:type="character" w:customStyle="1" w:styleId="H1GChar">
    <w:name w:val="_ H_1_G Char"/>
    <w:link w:val="H1G"/>
    <w:locked/>
    <w:rPr>
      <w:rFonts w:ascii="Times New Roman" w:eastAsiaTheme="minorEastAsia" w:hAnsi="Times New Roman" w:cs="Times New Roman"/>
      <w:b/>
      <w:sz w:val="24"/>
      <w:szCs w:val="20"/>
      <w:lang w:eastAsia="zh-CN"/>
    </w:rPr>
  </w:style>
  <w:style w:type="character" w:customStyle="1" w:styleId="H23GChar">
    <w:name w:val="_ H_2/3_G Char"/>
    <w:link w:val="H23G"/>
    <w:locked/>
    <w:rPr>
      <w:rFonts w:ascii="Times New Roman" w:eastAsiaTheme="minorEastAsia" w:hAnsi="Times New Roman" w:cs="Times New Roman"/>
      <w:b/>
      <w:sz w:val="20"/>
      <w:szCs w:val="20"/>
      <w:lang w:eastAsia="zh-CN"/>
    </w:rPr>
  </w:style>
  <w:style w:type="paragraph" w:customStyle="1" w:styleId="Default">
    <w:name w:val="Default"/>
    <w:rsid w:val="007E2735"/>
    <w:pPr>
      <w:autoSpaceDE w:val="0"/>
      <w:autoSpaceDN w:val="0"/>
      <w:adjustRightInd w:val="0"/>
      <w:spacing w:after="0" w:line="240" w:lineRule="auto"/>
    </w:pPr>
    <w:rPr>
      <w:rFonts w:ascii="Times New Roman" w:hAnsi="Times New Roman" w:cs="Times New Roman"/>
      <w:color w:val="000000"/>
      <w:sz w:val="24"/>
      <w:szCs w:val="24"/>
      <w:lang w:val="en-GB"/>
    </w:rPr>
  </w:style>
  <w:style w:type="character" w:styleId="Marquedecommentaire">
    <w:name w:val="annotation reference"/>
    <w:basedOn w:val="Policepardfaut"/>
    <w:uiPriority w:val="99"/>
    <w:semiHidden/>
    <w:unhideWhenUsed/>
    <w:rsid w:val="00EC78A0"/>
    <w:rPr>
      <w:sz w:val="16"/>
      <w:szCs w:val="16"/>
    </w:rPr>
  </w:style>
  <w:style w:type="paragraph" w:styleId="Commentaire">
    <w:name w:val="annotation text"/>
    <w:basedOn w:val="Normal"/>
    <w:link w:val="CommentaireCar"/>
    <w:uiPriority w:val="99"/>
    <w:semiHidden/>
    <w:unhideWhenUsed/>
    <w:rsid w:val="00EC78A0"/>
    <w:pPr>
      <w:spacing w:line="240" w:lineRule="auto"/>
    </w:pPr>
  </w:style>
  <w:style w:type="character" w:customStyle="1" w:styleId="CommentaireCar">
    <w:name w:val="Commentaire Car"/>
    <w:basedOn w:val="Policepardfaut"/>
    <w:link w:val="Commentaire"/>
    <w:uiPriority w:val="99"/>
    <w:semiHidden/>
    <w:rsid w:val="00EC78A0"/>
    <w:rPr>
      <w:rFonts w:ascii="Times New Roman" w:hAnsi="Times New Roman" w:cs="Times New Roman"/>
      <w:sz w:val="20"/>
      <w:szCs w:val="20"/>
    </w:rPr>
  </w:style>
  <w:style w:type="paragraph" w:styleId="Objetducommentaire">
    <w:name w:val="annotation subject"/>
    <w:basedOn w:val="Commentaire"/>
    <w:next w:val="Commentaire"/>
    <w:link w:val="ObjetducommentaireCar"/>
    <w:uiPriority w:val="99"/>
    <w:semiHidden/>
    <w:unhideWhenUsed/>
    <w:rsid w:val="00EC78A0"/>
    <w:rPr>
      <w:b/>
      <w:bCs/>
    </w:rPr>
  </w:style>
  <w:style w:type="character" w:customStyle="1" w:styleId="ObjetducommentaireCar">
    <w:name w:val="Objet du commentaire Car"/>
    <w:basedOn w:val="CommentaireCar"/>
    <w:link w:val="Objetducommentaire"/>
    <w:uiPriority w:val="99"/>
    <w:semiHidden/>
    <w:rsid w:val="00EC78A0"/>
    <w:rPr>
      <w:rFonts w:ascii="Times New Roman" w:hAnsi="Times New Roman" w:cs="Times New Roman"/>
      <w:b/>
      <w:bCs/>
      <w:sz w:val="20"/>
      <w:szCs w:val="20"/>
    </w:rPr>
  </w:style>
  <w:style w:type="paragraph" w:styleId="Rvision">
    <w:name w:val="Revision"/>
    <w:hidden/>
    <w:uiPriority w:val="99"/>
    <w:semiHidden/>
    <w:rsid w:val="005C08F7"/>
    <w:pPr>
      <w:spacing w:after="0" w:line="240" w:lineRule="auto"/>
    </w:pPr>
    <w:rPr>
      <w:rFonts w:ascii="Times New Roman" w:hAnsi="Times New Roman" w:cs="Times New Roman"/>
      <w:sz w:val="20"/>
      <w:szCs w:val="20"/>
    </w:rPr>
  </w:style>
  <w:style w:type="character" w:customStyle="1" w:styleId="Mentionnonrsolue1">
    <w:name w:val="Mention non résolue1"/>
    <w:basedOn w:val="Policepardfaut"/>
    <w:uiPriority w:val="99"/>
    <w:semiHidden/>
    <w:unhideWhenUsed/>
    <w:rsid w:val="00C333D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fr/CERD/C/LUX/CO/14" TargetMode="External"/><Relationship Id="rId13" Type="http://schemas.openxmlformats.org/officeDocument/2006/relationships/hyperlink" Target="http://undocs.org/fr/CERD/C/LUX/18" TargetMode="External"/><Relationship Id="rId18" Type="http://schemas.openxmlformats.org/officeDocument/2006/relationships/hyperlink" Target="http://undocs.org/fr/CERD/C/LUX/CO/14" TargetMode="External"/><Relationship Id="rId26" Type="http://schemas.openxmlformats.org/officeDocument/2006/relationships/hyperlink" Target="http://undocs.org/fr/CERD/C/LUX/CO/14" TargetMode="External"/><Relationship Id="rId3" Type="http://schemas.openxmlformats.org/officeDocument/2006/relationships/hyperlink" Target="http://undocs.org/fr/CERD/C/LUX/18" TargetMode="External"/><Relationship Id="rId21" Type="http://schemas.openxmlformats.org/officeDocument/2006/relationships/hyperlink" Target="http://undocs.org/fr/CERD/C/LUX/18" TargetMode="External"/><Relationship Id="rId7" Type="http://schemas.openxmlformats.org/officeDocument/2006/relationships/hyperlink" Target="http://undocs.org/fr/CERD/C/LUX/18" TargetMode="External"/><Relationship Id="rId12" Type="http://schemas.openxmlformats.org/officeDocument/2006/relationships/hyperlink" Target="http://undocs.org/fr/CERD/C/LUX/CO/14" TargetMode="External"/><Relationship Id="rId17" Type="http://schemas.openxmlformats.org/officeDocument/2006/relationships/hyperlink" Target="http://undocs.org/fr/CERD/C/LUX/18" TargetMode="External"/><Relationship Id="rId25" Type="http://schemas.openxmlformats.org/officeDocument/2006/relationships/hyperlink" Target="http://undocs.org/fr/CERD/C/LUX/18" TargetMode="External"/><Relationship Id="rId2" Type="http://schemas.openxmlformats.org/officeDocument/2006/relationships/hyperlink" Target="http://undocs.org/fr/CERD/C/LUX/CO/14" TargetMode="External"/><Relationship Id="rId16" Type="http://schemas.openxmlformats.org/officeDocument/2006/relationships/hyperlink" Target="http://undocs.org/fr/CERD/C/LUX/CO/14" TargetMode="External"/><Relationship Id="rId20" Type="http://schemas.openxmlformats.org/officeDocument/2006/relationships/hyperlink" Target="http://undocs.org/fr/CERD/C/LUX/CO/14" TargetMode="External"/><Relationship Id="rId1" Type="http://schemas.openxmlformats.org/officeDocument/2006/relationships/hyperlink" Target="http://undocs.org/fr/A/65/18" TargetMode="External"/><Relationship Id="rId6" Type="http://schemas.openxmlformats.org/officeDocument/2006/relationships/hyperlink" Target="http://undocs.org/fr/CERD/C/LUX/CO/14" TargetMode="External"/><Relationship Id="rId11" Type="http://schemas.openxmlformats.org/officeDocument/2006/relationships/hyperlink" Target="http://undocs.org/fr/CERD/C/LUX/18" TargetMode="External"/><Relationship Id="rId24" Type="http://schemas.openxmlformats.org/officeDocument/2006/relationships/hyperlink" Target="http://undocs.org/fr/CERD/C/LUX/18" TargetMode="External"/><Relationship Id="rId5" Type="http://schemas.openxmlformats.org/officeDocument/2006/relationships/hyperlink" Target="http://undocs.org/fr/CERD/C/LUX/18" TargetMode="External"/><Relationship Id="rId15" Type="http://schemas.openxmlformats.org/officeDocument/2006/relationships/hyperlink" Target="http://undocs.org/fr/CERD/C/LUX/18" TargetMode="External"/><Relationship Id="rId23" Type="http://schemas.openxmlformats.org/officeDocument/2006/relationships/hyperlink" Target="http://undocs.org/fr/CERD/C/LUX/CO/14" TargetMode="External"/><Relationship Id="rId10" Type="http://schemas.openxmlformats.org/officeDocument/2006/relationships/hyperlink" Target="http://undocs.org/fr/CERD/C/LUX/CO/14" TargetMode="External"/><Relationship Id="rId19" Type="http://schemas.openxmlformats.org/officeDocument/2006/relationships/hyperlink" Target="http://undocs.org/fr/CERD/C/LUX/18" TargetMode="External"/><Relationship Id="rId4" Type="http://schemas.openxmlformats.org/officeDocument/2006/relationships/hyperlink" Target="http://undocs.org/fr/CERD/C/LUX/CO/14" TargetMode="External"/><Relationship Id="rId9" Type="http://schemas.openxmlformats.org/officeDocument/2006/relationships/hyperlink" Target="http://undocs.org/fr/CERD/C/LUX/18" TargetMode="External"/><Relationship Id="rId14" Type="http://schemas.openxmlformats.org/officeDocument/2006/relationships/hyperlink" Target="http://undocs.org/fr/CERD/C/LUX/CO/14" TargetMode="External"/><Relationship Id="rId22" Type="http://schemas.openxmlformats.org/officeDocument/2006/relationships/hyperlink" Target="http://undocs.org/fr/CERD/C/LUX/18" TargetMode="External"/><Relationship Id="rId27" Type="http://schemas.openxmlformats.org/officeDocument/2006/relationships/hyperlink" Target="http://undocs.org/fr/CERD/C/LUX/1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EF7F3C829DF7D944B160ED13BF208A7C" ma:contentTypeVersion="12" ma:contentTypeDescription="Create a new document." ma:contentTypeScope="" ma:versionID="b756501042bfc039023ca4e354ab72a3">
  <xsd:schema xmlns:xsd="http://www.w3.org/2001/XMLSchema" xmlns:xs="http://www.w3.org/2001/XMLSchema" xmlns:p="http://schemas.microsoft.com/office/2006/metadata/properties" xmlns:ns2="c11320bd-0376-468b-ae19-b827459cb638" xmlns:ns3="c897859b-c95c-4367-a7a2-639c24a5e29a" targetNamespace="http://schemas.microsoft.com/office/2006/metadata/properties" ma:root="true" ma:fieldsID="6d3130da84b1263389cc297880476569" ns2:_="" ns3:_="">
    <xsd:import namespace="c11320bd-0376-468b-ae19-b827459cb638"/>
    <xsd:import namespace="c897859b-c95c-4367-a7a2-639c24a5e29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2646C6E-13D8-43DF-9122-3EF217A6902E}">
  <ds:schemaRefs>
    <ds:schemaRef ds:uri="c11320bd-0376-468b-ae19-b827459cb638"/>
    <ds:schemaRef ds:uri="http://schemas.microsoft.com/office/2006/documentManagement/types"/>
    <ds:schemaRef ds:uri="http://schemas.microsoft.com/office/infopath/2007/PartnerControls"/>
    <ds:schemaRef ds:uri="http://purl.org/dc/elements/1.1/"/>
    <ds:schemaRef ds:uri="http://schemas.microsoft.com/office/2006/metadata/properties"/>
    <ds:schemaRef ds:uri="c897859b-c95c-4367-a7a2-639c24a5e29a"/>
    <ds:schemaRef ds:uri="http://purl.org/dc/terms/"/>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95A06979-EC31-4B20-9D86-BDFF241E24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692E0B6-A372-4B07-B550-5B50A58681DD}">
  <ds:schemaRefs>
    <ds:schemaRef ds:uri="http://schemas.openxmlformats.org/officeDocument/2006/bibliography"/>
  </ds:schemaRefs>
</ds:datastoreItem>
</file>

<file path=customXml/itemProps4.xml><?xml version="1.0" encoding="utf-8"?>
<ds:datastoreItem xmlns:ds="http://schemas.openxmlformats.org/officeDocument/2006/customXml" ds:itemID="{7F898639-6806-4B2C-BDC5-EFF622AB61A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Pages>
  <Words>1355</Words>
  <Characters>7644</Characters>
  <Application>Microsoft Office Word</Application>
  <DocSecurity>0</DocSecurity>
  <Lines>127</Lines>
  <Paragraphs>39</Paragraphs>
  <ScaleCrop>false</ScaleCrop>
  <HeadingPairs>
    <vt:vector size="8" baseType="variant">
      <vt:variant>
        <vt:lpstr>Title</vt:lpstr>
      </vt:variant>
      <vt:variant>
        <vt:i4>1</vt:i4>
      </vt:variant>
      <vt:variant>
        <vt:lpstr>Titre</vt:lpstr>
      </vt:variant>
      <vt:variant>
        <vt:i4>1</vt:i4>
      </vt:variant>
      <vt:variant>
        <vt:lpstr>Titres</vt:lpstr>
      </vt:variant>
      <vt:variant>
        <vt:i4>5</vt:i4>
      </vt:variant>
      <vt:variant>
        <vt:lpstr>Título</vt:lpstr>
      </vt:variant>
      <vt:variant>
        <vt:i4>1</vt:i4>
      </vt:variant>
    </vt:vector>
  </HeadingPairs>
  <TitlesOfParts>
    <vt:vector size="8" baseType="lpstr">
      <vt:lpstr>CERD/C/LUX/Q/18-20</vt:lpstr>
      <vt:lpstr>CERD/C/LUX/Q/18-20</vt:lpstr>
      <vt:lpstr>    Liste de thèmes concernant le rapport du Luxembourg valant dix-huitième à ving</vt:lpstr>
      <vt:lpstr>        Note du rapporteur pour le pays</vt:lpstr>
      <vt:lpstr>        La Convention dans le droit interne et le cadre institutionnel et politique de</vt:lpstr>
      <vt:lpstr>        Situation des minorités et des non-ressortissants, notamment des réfugiés, des d</vt:lpstr>
      <vt:lpstr>        Éducation pour lutter contre les préjugés et promouvoir la compréhension (art. 7</vt:lpstr>
      <vt:lpstr>a/hthhhh</vt:lpstr>
    </vt:vector>
  </TitlesOfParts>
  <Company>DCM</Company>
  <LinksUpToDate>false</LinksUpToDate>
  <CharactersWithSpaces>8960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CERD/C/LUX/Q/18-20</dc:title>
  <dc:subject/>
  <dc:creator>Gloria de la Rosa</dc:creator>
  <cp:keywords/>
  <cp:lastModifiedBy>Valerie Bertin</cp:lastModifiedBy>
  <cp:revision>3</cp:revision>
  <cp:lastPrinted>2022-02-21T16:15:00Z</cp:lastPrinted>
  <dcterms:created xsi:type="dcterms:W3CDTF">2022-02-21T16:15:00Z</dcterms:created>
  <dcterms:modified xsi:type="dcterms:W3CDTF">2022-02-21T16:16:00Z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CERD</vt:lpwstr>
  </property>
  <property fmtid="{D5CDD505-2E9C-101B-9397-08002B2CF9AE}" pid="7" name="ContentTypeId">
    <vt:lpwstr>0x010100EF7F3C829DF7D944B160ED13BF208A7C</vt:lpwstr>
  </property>
  <property fmtid="{D5CDD505-2E9C-101B-9397-08002B2CF9AE}" pid="8" name="count">
    <vt:lpwstr>du Luxembourg</vt:lpwstr>
  </property>
  <property fmtid="{D5CDD505-2E9C-101B-9397-08002B2CF9AE}" pid="9" name="countw">
    <vt:lpwstr>Luxembourg</vt:lpwstr>
  </property>
  <property fmtid="{D5CDD505-2E9C-101B-9397-08002B2CF9AE}" pid="10" name="countwd">
    <vt:lpwstr>le Luxembourg</vt:lpwstr>
  </property>
  <property fmtid="{D5CDD505-2E9C-101B-9397-08002B2CF9AE}" pid="11" name="date">
    <vt:lpwstr>17 décembre 2021</vt:lpwstr>
  </property>
  <property fmtid="{D5CDD505-2E9C-101B-9397-08002B2CF9AE}" pid="12" name="Date-Generated">
    <vt:filetime>2021-12-17T10:20:33Z</vt:filetime>
  </property>
  <property fmtid="{D5CDD505-2E9C-101B-9397-08002B2CF9AE}" pid="13" name="dist">
    <vt:lpwstr>générale</vt:lpwstr>
  </property>
  <property fmtid="{D5CDD505-2E9C-101B-9397-08002B2CF9AE}" pid="14" name="doctype">
    <vt:lpwstr>Final</vt:lpwstr>
  </property>
  <property fmtid="{D5CDD505-2E9C-101B-9397-08002B2CF9AE}" pid="15" name="Entity">
    <vt:lpwstr>List of themes</vt:lpwstr>
  </property>
  <property fmtid="{D5CDD505-2E9C-101B-9397-08002B2CF9AE}" pid="16" name="gdoc">
    <vt:lpwstr/>
  </property>
  <property fmtid="{D5CDD505-2E9C-101B-9397-08002B2CF9AE}" pid="17" name="gdocf">
    <vt:lpwstr/>
  </property>
  <property fmtid="{D5CDD505-2E9C-101B-9397-08002B2CF9AE}" pid="18" name="olang">
    <vt:lpwstr>français</vt:lpwstr>
  </property>
  <property fmtid="{D5CDD505-2E9C-101B-9397-08002B2CF9AE}" pid="19" name="Order">
    <vt:r8>201000</vt:r8>
  </property>
  <property fmtid="{D5CDD505-2E9C-101B-9397-08002B2CF9AE}" pid="20" name="Org">
    <vt:lpwstr>OHCHR</vt:lpwstr>
  </property>
  <property fmtid="{D5CDD505-2E9C-101B-9397-08002B2CF9AE}" pid="21" name="prep">
    <vt:lpwstr>rapport du Luxembourg valant dix-huitième à vingtième rapports périodiques</vt:lpwstr>
  </property>
  <property fmtid="{D5CDD505-2E9C-101B-9397-08002B2CF9AE}" pid="22" name="preps">
    <vt:lpwstr>rapport du Luxembourg valant dix-huitième à vingtième rapports périodiques</vt:lpwstr>
  </property>
  <property fmtid="{D5CDD505-2E9C-101B-9397-08002B2CF9AE}" pid="23" name="prepw">
    <vt:lpwstr>rapport valant dix-huitième à vingtième rapports périodiques</vt:lpwstr>
  </property>
  <property fmtid="{D5CDD505-2E9C-101B-9397-08002B2CF9AE}" pid="24" name="prepwc">
    <vt:lpwstr>Rapport valant dix-huitième à vingtième rapports périodiques</vt:lpwstr>
  </property>
  <property fmtid="{D5CDD505-2E9C-101B-9397-08002B2CF9AE}" pid="25" name="prepws">
    <vt:lpwstr>rapport valant dix-huitième à vingtième rapports périodiques</vt:lpwstr>
  </property>
  <property fmtid="{D5CDD505-2E9C-101B-9397-08002B2CF9AE}" pid="26" name="sdate">
    <vt:lpwstr>11-29 avril 2022</vt:lpwstr>
  </property>
  <property fmtid="{D5CDD505-2E9C-101B-9397-08002B2CF9AE}" pid="27" name="snum">
    <vt:lpwstr>106ᵉ</vt:lpwstr>
  </property>
  <property fmtid="{D5CDD505-2E9C-101B-9397-08002B2CF9AE}" pid="28" name="stitle">
    <vt:lpwstr>[Title]</vt:lpwstr>
  </property>
  <property fmtid="{D5CDD505-2E9C-101B-9397-08002B2CF9AE}" pid="29" name="sym1">
    <vt:lpwstr>C/LUX/Q/18-20</vt:lpwstr>
  </property>
  <property fmtid="{D5CDD505-2E9C-101B-9397-08002B2CF9AE}" pid="30" name="symh">
    <vt:lpwstr>CERD/C/LUX/Q/18-20</vt:lpwstr>
  </property>
  <property fmtid="{D5CDD505-2E9C-101B-9397-08002B2CF9AE}" pid="31" name="tlang">
    <vt:lpwstr/>
  </property>
  <property fmtid="{D5CDD505-2E9C-101B-9397-08002B2CF9AE}" pid="32" name="virs">
    <vt:lpwstr>Anglais, espagnol et français seulement</vt:lpwstr>
  </property>
</Properties>
</file>