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FD39C" w14:textId="77777777" w:rsidR="00446627" w:rsidRPr="00401CEE" w:rsidRDefault="00446627" w:rsidP="00446627">
      <w:pPr>
        <w:spacing w:line="60" w:lineRule="exact"/>
        <w:rPr>
          <w:sz w:val="2"/>
        </w:rPr>
        <w:sectPr w:rsidR="00446627" w:rsidRPr="00401CEE" w:rsidSect="00AE14A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401CEE">
        <w:rPr>
          <w:rStyle w:val="af2"/>
        </w:rPr>
        <w:commentReference w:id="0"/>
      </w:r>
    </w:p>
    <w:p w14:paraId="7212DE15" w14:textId="426B6F6E" w:rsidR="00AE14A8" w:rsidRPr="00401CEE" w:rsidRDefault="00AE14A8" w:rsidP="00AE14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401CEE">
        <w:rPr>
          <w:rFonts w:hint="eastAsia"/>
        </w:rPr>
        <w:t>消除对妇女歧视委员会</w:t>
      </w:r>
    </w:p>
    <w:p w14:paraId="786A902D" w14:textId="69F677FF" w:rsidR="00AE14A8" w:rsidRPr="00401CEE" w:rsidRDefault="00AE14A8" w:rsidP="00AE14A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01CEE">
        <w:rPr>
          <w:noProof/>
        </w:rPr>
        <mc:AlternateContent>
          <mc:Choice Requires="wps">
            <w:drawing>
              <wp:anchor distT="0" distB="0" distL="114300" distR="114300" simplePos="0" relativeHeight="251661312" behindDoc="0" locked="0" layoutInCell="1" allowOverlap="1" wp14:anchorId="081E2131" wp14:editId="26938E26">
                <wp:simplePos x="0" y="0"/>
                <wp:positionH relativeFrom="column">
                  <wp:posOffset>548640</wp:posOffset>
                </wp:positionH>
                <wp:positionV relativeFrom="paragraph">
                  <wp:posOffset>-12700</wp:posOffset>
                </wp:positionV>
                <wp:extent cx="914400" cy="0"/>
                <wp:effectExtent l="0" t="0" r="0" b="0"/>
                <wp:wrapNone/>
                <wp:docPr id="691721072"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990778"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01CEE">
        <w:rPr>
          <w:sz w:val="18"/>
        </w:rPr>
        <w:tab/>
      </w:r>
      <w:r w:rsidR="00EC40E3" w:rsidRPr="00401CEE">
        <w:rPr>
          <w:rFonts w:hint="eastAsia"/>
          <w:sz w:val="18"/>
        </w:rPr>
        <w:t>*</w:t>
      </w:r>
      <w:r w:rsidRPr="00401CEE">
        <w:rPr>
          <w:sz w:val="18"/>
        </w:rPr>
        <w:tab/>
      </w:r>
      <w:r w:rsidR="00EC40E3" w:rsidRPr="00401CEE">
        <w:rPr>
          <w:rFonts w:hint="eastAsia"/>
          <w:sz w:val="18"/>
        </w:rPr>
        <w:t>委员会第九十届会议</w:t>
      </w:r>
      <w:r w:rsidR="00EC40E3" w:rsidRPr="00401CEE">
        <w:rPr>
          <w:rFonts w:hint="eastAsia"/>
          <w:sz w:val="18"/>
        </w:rPr>
        <w:t>(2025</w:t>
      </w:r>
      <w:r w:rsidR="00EC40E3" w:rsidRPr="00401CEE">
        <w:rPr>
          <w:rFonts w:hint="eastAsia"/>
          <w:sz w:val="18"/>
        </w:rPr>
        <w:t>年</w:t>
      </w:r>
      <w:r w:rsidR="00EC40E3" w:rsidRPr="00401CEE">
        <w:rPr>
          <w:rFonts w:hint="eastAsia"/>
          <w:sz w:val="18"/>
        </w:rPr>
        <w:t>2</w:t>
      </w:r>
      <w:r w:rsidR="00EC40E3" w:rsidRPr="00401CEE">
        <w:rPr>
          <w:rFonts w:hint="eastAsia"/>
          <w:sz w:val="18"/>
        </w:rPr>
        <w:t>月</w:t>
      </w:r>
      <w:r w:rsidR="00EC40E3" w:rsidRPr="00401CEE">
        <w:rPr>
          <w:rFonts w:hint="eastAsia"/>
          <w:sz w:val="18"/>
        </w:rPr>
        <w:t>3</w:t>
      </w:r>
      <w:r w:rsidR="00EC40E3" w:rsidRPr="00401CEE">
        <w:rPr>
          <w:rFonts w:hint="eastAsia"/>
          <w:sz w:val="18"/>
        </w:rPr>
        <w:t>日至</w:t>
      </w:r>
      <w:r w:rsidR="00EC40E3" w:rsidRPr="00401CEE">
        <w:rPr>
          <w:rFonts w:hint="eastAsia"/>
          <w:sz w:val="18"/>
        </w:rPr>
        <w:t>21</w:t>
      </w:r>
      <w:r w:rsidR="00EC40E3" w:rsidRPr="00401CEE">
        <w:rPr>
          <w:rFonts w:hint="eastAsia"/>
          <w:sz w:val="18"/>
        </w:rPr>
        <w:t>日</w:t>
      </w:r>
      <w:r w:rsidR="00EC40E3" w:rsidRPr="00401CEE">
        <w:rPr>
          <w:rFonts w:hint="eastAsia"/>
          <w:sz w:val="18"/>
        </w:rPr>
        <w:t>)</w:t>
      </w:r>
      <w:r w:rsidR="00EC40E3" w:rsidRPr="00401CEE">
        <w:rPr>
          <w:rFonts w:hint="eastAsia"/>
          <w:sz w:val="18"/>
        </w:rPr>
        <w:t>通过。</w:t>
      </w:r>
    </w:p>
    <w:p w14:paraId="58DECAEE" w14:textId="77777777" w:rsidR="00AE14A8" w:rsidRPr="00401CEE" w:rsidRDefault="00AE14A8" w:rsidP="00AE14A8">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401CEE">
        <w:rPr>
          <w:rFonts w:hint="eastAsia"/>
        </w:rPr>
        <w:tab/>
      </w:r>
      <w:r w:rsidRPr="00401CEE">
        <w:rPr>
          <w:rFonts w:hint="eastAsia"/>
        </w:rPr>
        <w:tab/>
      </w:r>
      <w:r w:rsidRPr="00401CEE">
        <w:rPr>
          <w:rFonts w:hint="eastAsia"/>
        </w:rPr>
        <w:t>关于卢森堡第八次定期报告的结论性意见</w:t>
      </w:r>
      <w:r w:rsidRPr="00401CEE">
        <w:rPr>
          <w:rFonts w:hint="eastAsia"/>
        </w:rPr>
        <w:t>*</w:t>
      </w:r>
    </w:p>
    <w:p w14:paraId="761BFDAD" w14:textId="59612D91" w:rsidR="00AE14A8" w:rsidRPr="00401CEE" w:rsidRDefault="00AE14A8" w:rsidP="00AE14A8">
      <w:pPr>
        <w:pStyle w:val="SingleTxt"/>
      </w:pPr>
      <w:r w:rsidRPr="00401CEE">
        <w:rPr>
          <w:rFonts w:hint="eastAsia"/>
        </w:rPr>
        <w:t>1.</w:t>
      </w:r>
      <w:r w:rsidRPr="00401CEE">
        <w:rPr>
          <w:rFonts w:hint="eastAsia"/>
        </w:rPr>
        <w:tab/>
      </w:r>
      <w:r w:rsidRPr="00401CEE">
        <w:rPr>
          <w:rFonts w:hint="eastAsia"/>
          <w:spacing w:val="-4"/>
        </w:rPr>
        <w:t>委员会在</w:t>
      </w:r>
      <w:r w:rsidRPr="00401CEE">
        <w:rPr>
          <w:rFonts w:hint="eastAsia"/>
          <w:spacing w:val="-4"/>
        </w:rPr>
        <w:t>2025</w:t>
      </w:r>
      <w:r w:rsidRPr="00401CEE">
        <w:rPr>
          <w:rFonts w:hint="eastAsia"/>
          <w:spacing w:val="-4"/>
        </w:rPr>
        <w:t>年</w:t>
      </w:r>
      <w:r w:rsidRPr="00401CEE">
        <w:rPr>
          <w:rFonts w:hint="eastAsia"/>
          <w:spacing w:val="-4"/>
        </w:rPr>
        <w:t>2</w:t>
      </w:r>
      <w:r w:rsidRPr="00401CEE">
        <w:rPr>
          <w:rFonts w:hint="eastAsia"/>
          <w:spacing w:val="-4"/>
        </w:rPr>
        <w:t>月</w:t>
      </w:r>
      <w:r w:rsidRPr="00401CEE">
        <w:rPr>
          <w:rFonts w:hint="eastAsia"/>
          <w:spacing w:val="-4"/>
        </w:rPr>
        <w:t>7</w:t>
      </w:r>
      <w:r w:rsidRPr="00401CEE">
        <w:rPr>
          <w:rFonts w:hint="eastAsia"/>
          <w:spacing w:val="-4"/>
        </w:rPr>
        <w:t>日举行的第</w:t>
      </w:r>
      <w:r w:rsidRPr="00401CEE">
        <w:rPr>
          <w:rFonts w:hint="eastAsia"/>
          <w:spacing w:val="-4"/>
        </w:rPr>
        <w:t>2126</w:t>
      </w:r>
      <w:r w:rsidRPr="00401CEE">
        <w:rPr>
          <w:rFonts w:hint="eastAsia"/>
          <w:spacing w:val="-4"/>
        </w:rPr>
        <w:t>和</w:t>
      </w:r>
      <w:r w:rsidRPr="00401CEE">
        <w:rPr>
          <w:rFonts w:hint="eastAsia"/>
          <w:spacing w:val="-4"/>
        </w:rPr>
        <w:t>2127</w:t>
      </w:r>
      <w:r w:rsidRPr="00401CEE">
        <w:rPr>
          <w:rFonts w:hint="eastAsia"/>
          <w:spacing w:val="-4"/>
        </w:rPr>
        <w:t>次会议</w:t>
      </w:r>
      <w:r w:rsidRPr="00401CEE">
        <w:rPr>
          <w:rFonts w:hint="eastAsia"/>
          <w:spacing w:val="-4"/>
        </w:rPr>
        <w:t>(</w:t>
      </w:r>
      <w:r w:rsidRPr="00401CEE">
        <w:rPr>
          <w:rFonts w:hint="eastAsia"/>
          <w:spacing w:val="-4"/>
        </w:rPr>
        <w:t>见</w:t>
      </w:r>
      <w:hyperlink r:id="rId20" w:history="1">
        <w:r w:rsidRPr="00401CEE">
          <w:rPr>
            <w:rStyle w:val="af7"/>
            <w:rFonts w:hint="eastAsia"/>
            <w:spacing w:val="-4"/>
          </w:rPr>
          <w:t>CEDAW/C/SR.2126</w:t>
        </w:r>
      </w:hyperlink>
      <w:r w:rsidRPr="00401CEE">
        <w:rPr>
          <w:rFonts w:hint="eastAsia"/>
        </w:rPr>
        <w:t>和</w:t>
      </w:r>
      <w:hyperlink r:id="rId21" w:history="1">
        <w:r w:rsidRPr="00401CEE">
          <w:rPr>
            <w:rStyle w:val="af7"/>
            <w:rFonts w:hint="eastAsia"/>
          </w:rPr>
          <w:t>CEDAW/C/SR.2127</w:t>
        </w:r>
      </w:hyperlink>
      <w:r w:rsidRPr="00401CEE">
        <w:rPr>
          <w:rFonts w:hint="eastAsia"/>
        </w:rPr>
        <w:t>)</w:t>
      </w:r>
      <w:r w:rsidRPr="00401CEE">
        <w:rPr>
          <w:rFonts w:hint="eastAsia"/>
        </w:rPr>
        <w:t>上审议了卢森堡的第八次定期报告</w:t>
      </w:r>
      <w:r w:rsidRPr="00401CEE">
        <w:rPr>
          <w:rFonts w:hint="eastAsia"/>
        </w:rPr>
        <w:t>(</w:t>
      </w:r>
      <w:hyperlink r:id="rId22" w:history="1">
        <w:r w:rsidRPr="00401CEE">
          <w:rPr>
            <w:rStyle w:val="af7"/>
            <w:rFonts w:hint="eastAsia"/>
          </w:rPr>
          <w:t>CEDAW/C/LUX/8</w:t>
        </w:r>
      </w:hyperlink>
      <w:r w:rsidRPr="00401CEE">
        <w:rPr>
          <w:rFonts w:hint="eastAsia"/>
        </w:rPr>
        <w:t>)</w:t>
      </w:r>
      <w:r w:rsidRPr="00401CEE">
        <w:rPr>
          <w:rFonts w:hint="eastAsia"/>
        </w:rPr>
        <w:t>。</w:t>
      </w:r>
    </w:p>
    <w:p w14:paraId="2ADFC14C" w14:textId="35D84124" w:rsidR="00AE14A8" w:rsidRPr="00401CEE" w:rsidRDefault="00AE14A8" w:rsidP="00AE14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tab/>
      </w:r>
      <w:r w:rsidRPr="00401CEE">
        <w:rPr>
          <w:rFonts w:hint="eastAsia"/>
        </w:rPr>
        <w:t>A.</w:t>
      </w:r>
      <w:r w:rsidRPr="00401CEE">
        <w:rPr>
          <w:rFonts w:hint="eastAsia"/>
        </w:rPr>
        <w:tab/>
      </w:r>
      <w:r w:rsidRPr="00401CEE">
        <w:rPr>
          <w:rFonts w:hint="eastAsia"/>
        </w:rPr>
        <w:t>导言</w:t>
      </w:r>
    </w:p>
    <w:p w14:paraId="6507465E" w14:textId="73338AC5" w:rsidR="00AE14A8" w:rsidRPr="00401CEE" w:rsidRDefault="00AE14A8" w:rsidP="00AE14A8">
      <w:pPr>
        <w:pStyle w:val="SingleTxt"/>
      </w:pPr>
      <w:r w:rsidRPr="00401CEE">
        <w:rPr>
          <w:rFonts w:hint="eastAsia"/>
        </w:rPr>
        <w:t>2.</w:t>
      </w:r>
      <w:r w:rsidRPr="00401CEE">
        <w:rPr>
          <w:rFonts w:hint="eastAsia"/>
        </w:rPr>
        <w:tab/>
      </w:r>
      <w:r w:rsidRPr="00401CEE">
        <w:rPr>
          <w:rFonts w:hint="eastAsia"/>
        </w:rPr>
        <w:t>委员会赞赏缔约国提交针对报告前问题清单</w:t>
      </w:r>
      <w:r w:rsidRPr="00401CEE">
        <w:rPr>
          <w:rFonts w:hint="eastAsia"/>
        </w:rPr>
        <w:t>(</w:t>
      </w:r>
      <w:hyperlink r:id="rId23" w:history="1">
        <w:r w:rsidRPr="00401CEE">
          <w:rPr>
            <w:rStyle w:val="af7"/>
            <w:rFonts w:hint="eastAsia"/>
          </w:rPr>
          <w:t>CEDAW/C/LUX/QPR/8</w:t>
        </w:r>
      </w:hyperlink>
      <w:r w:rsidRPr="00401CEE">
        <w:rPr>
          <w:rFonts w:hint="eastAsia"/>
        </w:rPr>
        <w:t>)</w:t>
      </w:r>
      <w:r w:rsidRPr="00401CEE">
        <w:rPr>
          <w:rFonts w:hint="eastAsia"/>
        </w:rPr>
        <w:t>编写的第八次定期报告及回应委员会此前结论性意见</w:t>
      </w:r>
      <w:r w:rsidRPr="00401CEE">
        <w:rPr>
          <w:rFonts w:hint="eastAsia"/>
        </w:rPr>
        <w:t>(</w:t>
      </w:r>
      <w:hyperlink r:id="rId24" w:history="1">
        <w:r w:rsidRPr="00401CEE">
          <w:rPr>
            <w:rStyle w:val="af7"/>
            <w:rFonts w:hint="eastAsia"/>
          </w:rPr>
          <w:t>CEDAW/C/LUX/FCO/6-7</w:t>
        </w:r>
      </w:hyperlink>
      <w:r w:rsidRPr="00401CEE">
        <w:rPr>
          <w:rFonts w:hint="eastAsia"/>
        </w:rPr>
        <w:t>)</w:t>
      </w:r>
      <w:r w:rsidRPr="00401CEE">
        <w:rPr>
          <w:rFonts w:hint="eastAsia"/>
        </w:rPr>
        <w:t>的后续报告。委员会欢迎卢森堡代表团作出口头介绍并对委员会在对话期间口头提出的问题作出进一步澄清。</w:t>
      </w:r>
    </w:p>
    <w:p w14:paraId="6323621B" w14:textId="77777777" w:rsidR="00AE14A8" w:rsidRPr="00401CEE" w:rsidRDefault="00AE14A8" w:rsidP="00AE14A8">
      <w:pPr>
        <w:pStyle w:val="SingleTxt"/>
      </w:pPr>
      <w:r w:rsidRPr="00401CEE">
        <w:rPr>
          <w:rFonts w:hint="eastAsia"/>
        </w:rPr>
        <w:t>3.</w:t>
      </w:r>
      <w:r w:rsidRPr="00401CEE">
        <w:rPr>
          <w:rFonts w:hint="eastAsia"/>
        </w:rPr>
        <w:tab/>
      </w:r>
      <w:r w:rsidRPr="00401CEE">
        <w:rPr>
          <w:rFonts w:hint="eastAsia"/>
        </w:rPr>
        <w:t>委员会赞扬缔约国派出由卢森堡常驻联合国日内瓦办事处和其他国际组织代表马克·比希勒大使率领的杰出代表团，代表团成员还包括性别平等和多样性事务部、司法部、外交和欧洲事务部、国防部、发展合作和外贸部、教育、儿童和青年事务部、内政部、国家接待办事处和卢森堡常驻联合国日内瓦办事处和其他国际组织代表团的代表及众议院一名议员。</w:t>
      </w:r>
    </w:p>
    <w:p w14:paraId="5F779D78" w14:textId="77777777" w:rsidR="00AE14A8" w:rsidRPr="00401CEE" w:rsidRDefault="00AE14A8" w:rsidP="00AE14A8">
      <w:pPr>
        <w:pStyle w:val="SingleTxt"/>
      </w:pPr>
      <w:r w:rsidRPr="00401CEE">
        <w:rPr>
          <w:rFonts w:hint="eastAsia"/>
        </w:rPr>
        <w:t>4.</w:t>
      </w:r>
      <w:r w:rsidRPr="00401CEE">
        <w:rPr>
          <w:rFonts w:hint="eastAsia"/>
        </w:rPr>
        <w:tab/>
      </w:r>
      <w:r w:rsidRPr="00401CEE">
        <w:rPr>
          <w:rFonts w:hint="eastAsia"/>
        </w:rPr>
        <w:t>委员会对本报告大部分审议过程中没有民间社会参与感到遗憾，注意到只有三个组织为对话提交了书面材料，没有一个组织派代表实地到场参与。委员会鼓励缔约国使民间社会有更多机会参与今后报告周期和参与落实本结论性意见所载建议。</w:t>
      </w:r>
    </w:p>
    <w:p w14:paraId="0AE0E182" w14:textId="0DD36710" w:rsidR="00AE14A8" w:rsidRPr="00401CEE" w:rsidRDefault="00AE14A8" w:rsidP="00AE14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tab/>
      </w:r>
      <w:r w:rsidRPr="00401CEE">
        <w:rPr>
          <w:rFonts w:hint="eastAsia"/>
        </w:rPr>
        <w:t>B.</w:t>
      </w:r>
      <w:r w:rsidRPr="00401CEE">
        <w:rPr>
          <w:rFonts w:hint="eastAsia"/>
        </w:rPr>
        <w:tab/>
      </w:r>
      <w:r w:rsidRPr="00401CEE">
        <w:rPr>
          <w:rFonts w:hint="eastAsia"/>
        </w:rPr>
        <w:t>积极方面</w:t>
      </w:r>
    </w:p>
    <w:p w14:paraId="7037F4B1" w14:textId="3D604523" w:rsidR="00AE14A8" w:rsidRPr="00401CEE" w:rsidRDefault="00AE14A8" w:rsidP="00AE14A8">
      <w:pPr>
        <w:pStyle w:val="SingleTxt"/>
      </w:pPr>
      <w:r w:rsidRPr="00401CEE">
        <w:rPr>
          <w:rFonts w:hint="eastAsia"/>
        </w:rPr>
        <w:t>5.</w:t>
      </w:r>
      <w:r w:rsidRPr="00401CEE">
        <w:rPr>
          <w:rFonts w:hint="eastAsia"/>
        </w:rPr>
        <w:tab/>
      </w:r>
      <w:r w:rsidRPr="00401CEE">
        <w:rPr>
          <w:rFonts w:hint="eastAsia"/>
        </w:rPr>
        <w:t>委员会欣见自</w:t>
      </w:r>
      <w:r w:rsidRPr="00401CEE">
        <w:rPr>
          <w:rFonts w:hint="eastAsia"/>
        </w:rPr>
        <w:t>2018</w:t>
      </w:r>
      <w:r w:rsidRPr="00401CEE">
        <w:rPr>
          <w:rFonts w:hint="eastAsia"/>
        </w:rPr>
        <w:t>年审议缔约国第六和第七次合并定期报告</w:t>
      </w:r>
      <w:r w:rsidRPr="00401CEE">
        <w:rPr>
          <w:rFonts w:hint="eastAsia"/>
        </w:rPr>
        <w:t>(</w:t>
      </w:r>
      <w:hyperlink r:id="rId25" w:history="1">
        <w:r w:rsidRPr="00401CEE">
          <w:rPr>
            <w:rStyle w:val="af7"/>
            <w:rFonts w:hint="eastAsia"/>
          </w:rPr>
          <w:t>CEDAW/C/</w:t>
        </w:r>
        <w:r w:rsidR="003E0D8F" w:rsidRPr="00401CEE">
          <w:rPr>
            <w:rStyle w:val="af7"/>
          </w:rPr>
          <w:br/>
        </w:r>
        <w:r w:rsidRPr="00401CEE">
          <w:rPr>
            <w:rStyle w:val="af7"/>
            <w:rFonts w:hint="eastAsia"/>
          </w:rPr>
          <w:t>LUX/CO/6-7</w:t>
        </w:r>
      </w:hyperlink>
      <w:r w:rsidRPr="00401CEE">
        <w:rPr>
          <w:rFonts w:hint="eastAsia"/>
        </w:rPr>
        <w:t>)</w:t>
      </w:r>
      <w:r w:rsidRPr="00401CEE">
        <w:rPr>
          <w:rFonts w:hint="eastAsia"/>
        </w:rPr>
        <w:t>以来缔约国在进行立法改革方面取得进展，特别是通过了以下法案：</w:t>
      </w:r>
    </w:p>
    <w:p w14:paraId="2DB31A8B" w14:textId="02257C6D" w:rsidR="00AE14A8" w:rsidRPr="00401CEE" w:rsidRDefault="00AE14A8" w:rsidP="00AE14A8">
      <w:pPr>
        <w:pStyle w:val="SingleTxt"/>
      </w:pPr>
      <w:r w:rsidRPr="00401CEE">
        <w:tab/>
      </w:r>
      <w:r w:rsidRPr="00401CEE">
        <w:rPr>
          <w:rFonts w:hint="eastAsia"/>
        </w:rPr>
        <w:t>(a)</w:t>
      </w:r>
      <w:r w:rsidRPr="00401CEE">
        <w:rPr>
          <w:rFonts w:hint="eastAsia"/>
        </w:rPr>
        <w:tab/>
        <w:t>2024</w:t>
      </w:r>
      <w:r w:rsidRPr="00401CEE">
        <w:rPr>
          <w:rFonts w:hint="eastAsia"/>
        </w:rPr>
        <w:t>年</w:t>
      </w:r>
      <w:r w:rsidRPr="00401CEE">
        <w:rPr>
          <w:rFonts w:hint="eastAsia"/>
        </w:rPr>
        <w:t>11</w:t>
      </w:r>
      <w:r w:rsidRPr="00401CEE">
        <w:rPr>
          <w:rFonts w:hint="eastAsia"/>
        </w:rPr>
        <w:t>月</w:t>
      </w:r>
      <w:r w:rsidRPr="00401CEE">
        <w:rPr>
          <w:rFonts w:hint="eastAsia"/>
        </w:rPr>
        <w:t>7</w:t>
      </w:r>
      <w:r w:rsidRPr="00401CEE">
        <w:rPr>
          <w:rFonts w:hint="eastAsia"/>
        </w:rPr>
        <w:t>日性别平等观察站和性别平等高级理事会设立法；</w:t>
      </w:r>
    </w:p>
    <w:p w14:paraId="4B0E243B" w14:textId="73230A22" w:rsidR="00AE14A8" w:rsidRPr="00401CEE" w:rsidRDefault="00AE14A8" w:rsidP="00EC40E3">
      <w:pPr>
        <w:pStyle w:val="SingleTxt"/>
      </w:pPr>
      <w:r w:rsidRPr="00401CEE">
        <w:rPr>
          <w:sz w:val="20"/>
        </w:rPr>
        <w:tab/>
      </w:r>
      <w:r w:rsidRPr="00401CEE">
        <w:rPr>
          <w:rFonts w:hint="eastAsia"/>
        </w:rPr>
        <w:t>(b)</w:t>
      </w:r>
      <w:r w:rsidRPr="00401CEE">
        <w:rPr>
          <w:rFonts w:hint="eastAsia"/>
        </w:rPr>
        <w:tab/>
        <w:t>2023</w:t>
      </w:r>
      <w:r w:rsidRPr="00401CEE">
        <w:rPr>
          <w:rFonts w:hint="eastAsia"/>
        </w:rPr>
        <w:t>年</w:t>
      </w:r>
      <w:r w:rsidRPr="00401CEE">
        <w:rPr>
          <w:rFonts w:hint="eastAsia"/>
        </w:rPr>
        <w:t>8</w:t>
      </w:r>
      <w:r w:rsidRPr="00401CEE">
        <w:rPr>
          <w:rFonts w:hint="eastAsia"/>
        </w:rPr>
        <w:t>月</w:t>
      </w:r>
      <w:r w:rsidRPr="00401CEE">
        <w:rPr>
          <w:rFonts w:hint="eastAsia"/>
        </w:rPr>
        <w:t>7</w:t>
      </w:r>
      <w:r w:rsidRPr="00401CEE">
        <w:rPr>
          <w:rFonts w:hint="eastAsia"/>
        </w:rPr>
        <w:t>日《刑法》和《刑事诉讼法》修正法，旨在加强打击性虐待和性剥削未成年人行为的手段；</w:t>
      </w:r>
    </w:p>
    <w:p w14:paraId="6D44B5A7" w14:textId="546EB905" w:rsidR="00AE14A8" w:rsidRPr="00401CEE" w:rsidRDefault="00AE14A8" w:rsidP="00AE14A8">
      <w:pPr>
        <w:pStyle w:val="SingleTxt"/>
        <w:rPr>
          <w:rFonts w:ascii="宋体" w:hAnsi="宋体"/>
          <w:spacing w:val="-8"/>
          <w:w w:val="80"/>
          <w:lang w:val="es-ES"/>
        </w:rPr>
      </w:pPr>
      <w:r w:rsidRPr="00401CEE">
        <w:lastRenderedPageBreak/>
        <w:tab/>
      </w:r>
      <w:r w:rsidRPr="00401CEE">
        <w:rPr>
          <w:rFonts w:hint="eastAsia"/>
        </w:rPr>
        <w:t>(c)</w:t>
      </w:r>
      <w:r w:rsidRPr="00401CEE">
        <w:rPr>
          <w:rFonts w:hint="eastAsia"/>
        </w:rPr>
        <w:tab/>
        <w:t>2023</w:t>
      </w:r>
      <w:r w:rsidRPr="00401CEE">
        <w:rPr>
          <w:rFonts w:hint="eastAsia"/>
        </w:rPr>
        <w:t>年</w:t>
      </w:r>
      <w:r w:rsidRPr="00401CEE">
        <w:rPr>
          <w:rFonts w:hint="eastAsia"/>
        </w:rPr>
        <w:t>8</w:t>
      </w:r>
      <w:r w:rsidRPr="00401CEE">
        <w:rPr>
          <w:rFonts w:hint="eastAsia"/>
        </w:rPr>
        <w:t>月</w:t>
      </w:r>
      <w:r w:rsidRPr="00401CEE">
        <w:rPr>
          <w:rFonts w:hint="eastAsia"/>
        </w:rPr>
        <w:t>7</w:t>
      </w:r>
      <w:r w:rsidRPr="00401CEE">
        <w:rPr>
          <w:rFonts w:hint="eastAsia"/>
        </w:rPr>
        <w:t>日与安排法律援助和废除</w:t>
      </w:r>
      <w:r w:rsidRPr="00401CEE">
        <w:rPr>
          <w:rFonts w:hint="eastAsia"/>
        </w:rPr>
        <w:t>1991</w:t>
      </w:r>
      <w:r w:rsidRPr="00401CEE">
        <w:rPr>
          <w:rFonts w:hint="eastAsia"/>
        </w:rPr>
        <w:t>年</w:t>
      </w:r>
      <w:r w:rsidRPr="00401CEE">
        <w:rPr>
          <w:rFonts w:hint="eastAsia"/>
        </w:rPr>
        <w:t>8</w:t>
      </w:r>
      <w:r w:rsidRPr="00401CEE">
        <w:rPr>
          <w:rFonts w:hint="eastAsia"/>
        </w:rPr>
        <w:t>月</w:t>
      </w:r>
      <w:r w:rsidRPr="00401CEE">
        <w:rPr>
          <w:rFonts w:hint="eastAsia"/>
        </w:rPr>
        <w:t>10</w:t>
      </w:r>
      <w:r w:rsidRPr="00401CEE">
        <w:rPr>
          <w:rFonts w:hint="eastAsia"/>
        </w:rPr>
        <w:t>日关于律师职业的修正法第</w:t>
      </w:r>
      <w:r w:rsidRPr="00401CEE">
        <w:rPr>
          <w:rFonts w:hint="eastAsia"/>
        </w:rPr>
        <w:t>37-1</w:t>
      </w:r>
      <w:r w:rsidRPr="00401CEE">
        <w:rPr>
          <w:rFonts w:hint="eastAsia"/>
        </w:rPr>
        <w:t>条有关的法律；</w:t>
      </w:r>
    </w:p>
    <w:p w14:paraId="6642F0B6" w14:textId="565FE2D3" w:rsidR="00AE14A8" w:rsidRPr="00401CEE" w:rsidRDefault="00AE14A8" w:rsidP="00AE14A8">
      <w:pPr>
        <w:pStyle w:val="SingleTxt"/>
      </w:pPr>
      <w:r w:rsidRPr="00401CEE">
        <w:rPr>
          <w:lang w:val="es-ES"/>
        </w:rPr>
        <w:tab/>
      </w:r>
      <w:r w:rsidRPr="00401CEE">
        <w:rPr>
          <w:rFonts w:hint="eastAsia"/>
        </w:rPr>
        <w:t>(d)</w:t>
      </w:r>
      <w:r w:rsidRPr="00401CEE">
        <w:rPr>
          <w:rFonts w:hint="eastAsia"/>
        </w:rPr>
        <w:tab/>
        <w:t>2023</w:t>
      </w:r>
      <w:r w:rsidRPr="00401CEE">
        <w:rPr>
          <w:rFonts w:hint="eastAsia"/>
        </w:rPr>
        <w:t>年</w:t>
      </w:r>
      <w:r w:rsidRPr="00401CEE">
        <w:rPr>
          <w:rFonts w:hint="eastAsia"/>
        </w:rPr>
        <w:t>7</w:t>
      </w:r>
      <w:r w:rsidRPr="00401CEE">
        <w:rPr>
          <w:rFonts w:hint="eastAsia"/>
        </w:rPr>
        <w:t>月</w:t>
      </w:r>
      <w:r w:rsidRPr="00401CEE">
        <w:rPr>
          <w:rFonts w:hint="eastAsia"/>
        </w:rPr>
        <w:t>20</w:t>
      </w:r>
      <w:r w:rsidRPr="00401CEE">
        <w:rPr>
          <w:rFonts w:hint="eastAsia"/>
        </w:rPr>
        <w:t>日关于义务教育和修正以下立法的法律：</w:t>
      </w:r>
      <w:r w:rsidRPr="00401CEE">
        <w:rPr>
          <w:rFonts w:ascii="宋体" w:hAnsi="宋体" w:hint="eastAsia"/>
        </w:rPr>
        <w:t>㈠</w:t>
      </w:r>
      <w:r w:rsidRPr="00401CEE">
        <w:rPr>
          <w:rFonts w:ascii="宋体" w:hAnsi="宋体"/>
        </w:rPr>
        <w:t xml:space="preserve"> </w:t>
      </w:r>
      <w:r w:rsidRPr="00401CEE">
        <w:rPr>
          <w:rFonts w:hint="eastAsia"/>
        </w:rPr>
        <w:t>2009</w:t>
      </w:r>
      <w:r w:rsidRPr="00401CEE">
        <w:rPr>
          <w:rFonts w:hint="eastAsia"/>
        </w:rPr>
        <w:t>年</w:t>
      </w:r>
      <w:r w:rsidRPr="00401CEE">
        <w:rPr>
          <w:rFonts w:hint="eastAsia"/>
        </w:rPr>
        <w:t>2</w:t>
      </w:r>
      <w:r w:rsidRPr="00401CEE">
        <w:rPr>
          <w:rFonts w:hint="eastAsia"/>
        </w:rPr>
        <w:t>月</w:t>
      </w:r>
      <w:r w:rsidRPr="00401CEE">
        <w:rPr>
          <w:rFonts w:hint="eastAsia"/>
        </w:rPr>
        <w:t>6</w:t>
      </w:r>
      <w:r w:rsidRPr="00401CEE">
        <w:rPr>
          <w:rFonts w:hint="eastAsia"/>
        </w:rPr>
        <w:t>日关于基础教育安排的修正法；</w:t>
      </w:r>
      <w:r w:rsidRPr="00401CEE">
        <w:rPr>
          <w:rFonts w:ascii="宋体" w:hAnsi="宋体" w:hint="eastAsia"/>
        </w:rPr>
        <w:t>㈡</w:t>
      </w:r>
      <w:r w:rsidRPr="00401CEE">
        <w:rPr>
          <w:rFonts w:ascii="宋体" w:hAnsi="宋体"/>
        </w:rPr>
        <w:t xml:space="preserve"> </w:t>
      </w:r>
      <w:r w:rsidRPr="00401CEE">
        <w:rPr>
          <w:rFonts w:hint="eastAsia"/>
        </w:rPr>
        <w:t>2013</w:t>
      </w:r>
      <w:r w:rsidRPr="00401CEE">
        <w:rPr>
          <w:rFonts w:hint="eastAsia"/>
        </w:rPr>
        <w:t>年</w:t>
      </w:r>
      <w:r w:rsidRPr="00401CEE">
        <w:rPr>
          <w:rFonts w:hint="eastAsia"/>
        </w:rPr>
        <w:t>3</w:t>
      </w:r>
      <w:r w:rsidRPr="00401CEE">
        <w:rPr>
          <w:rFonts w:hint="eastAsia"/>
        </w:rPr>
        <w:t>月</w:t>
      </w:r>
      <w:r w:rsidRPr="00401CEE">
        <w:rPr>
          <w:rFonts w:hint="eastAsia"/>
        </w:rPr>
        <w:t>18</w:t>
      </w:r>
      <w:r w:rsidRPr="00401CEE">
        <w:rPr>
          <w:rFonts w:hint="eastAsia"/>
        </w:rPr>
        <w:t>日关于处理学生个人数据的修正法；</w:t>
      </w:r>
    </w:p>
    <w:p w14:paraId="311957E6" w14:textId="62EC1788" w:rsidR="00AE14A8" w:rsidRPr="00401CEE" w:rsidRDefault="00AE14A8" w:rsidP="00AE14A8">
      <w:pPr>
        <w:pStyle w:val="SingleTxt"/>
      </w:pPr>
      <w:r w:rsidRPr="00401CEE">
        <w:tab/>
      </w:r>
      <w:r w:rsidRPr="00401CEE">
        <w:rPr>
          <w:rFonts w:hint="eastAsia"/>
        </w:rPr>
        <w:t>(e)</w:t>
      </w:r>
      <w:r w:rsidRPr="00401CEE">
        <w:rPr>
          <w:rFonts w:hint="eastAsia"/>
        </w:rPr>
        <w:tab/>
        <w:t>2023</w:t>
      </w:r>
      <w:r w:rsidRPr="00401CEE">
        <w:rPr>
          <w:rFonts w:hint="eastAsia"/>
        </w:rPr>
        <w:t>年</w:t>
      </w:r>
      <w:r w:rsidRPr="00401CEE">
        <w:rPr>
          <w:rFonts w:hint="eastAsia"/>
        </w:rPr>
        <w:t>3</w:t>
      </w:r>
      <w:r w:rsidRPr="00401CEE">
        <w:rPr>
          <w:rFonts w:hint="eastAsia"/>
        </w:rPr>
        <w:t>月</w:t>
      </w:r>
      <w:r w:rsidRPr="00401CEE">
        <w:rPr>
          <w:rFonts w:hint="eastAsia"/>
        </w:rPr>
        <w:t>29</w:t>
      </w:r>
      <w:r w:rsidRPr="00401CEE">
        <w:rPr>
          <w:rFonts w:hint="eastAsia"/>
        </w:rPr>
        <w:t>日《劳动法》修正法，旨在建立一个防止工作场所精神骚扰的保护制度；</w:t>
      </w:r>
    </w:p>
    <w:p w14:paraId="344DEDF8" w14:textId="164FBAAA" w:rsidR="00AE14A8" w:rsidRPr="00401CEE" w:rsidRDefault="00AE14A8" w:rsidP="00AE14A8">
      <w:pPr>
        <w:pStyle w:val="SingleTxt"/>
      </w:pPr>
      <w:r w:rsidRPr="00401CEE">
        <w:tab/>
      </w:r>
      <w:r w:rsidRPr="00401CEE">
        <w:rPr>
          <w:rFonts w:hint="eastAsia"/>
        </w:rPr>
        <w:t>(f)</w:t>
      </w:r>
      <w:r w:rsidRPr="00401CEE">
        <w:rPr>
          <w:rFonts w:hint="eastAsia"/>
        </w:rPr>
        <w:tab/>
        <w:t>2023</w:t>
      </w:r>
      <w:r w:rsidRPr="00401CEE">
        <w:rPr>
          <w:rFonts w:hint="eastAsia"/>
        </w:rPr>
        <w:t>年</w:t>
      </w:r>
      <w:r w:rsidRPr="00401CEE">
        <w:rPr>
          <w:rFonts w:hint="eastAsia"/>
        </w:rPr>
        <w:t>3</w:t>
      </w:r>
      <w:r w:rsidRPr="00401CEE">
        <w:rPr>
          <w:rFonts w:hint="eastAsia"/>
        </w:rPr>
        <w:t>月</w:t>
      </w:r>
      <w:r w:rsidRPr="00401CEE">
        <w:rPr>
          <w:rFonts w:hint="eastAsia"/>
        </w:rPr>
        <w:t>28</w:t>
      </w:r>
      <w:r w:rsidRPr="00401CEE">
        <w:rPr>
          <w:rFonts w:hint="eastAsia"/>
        </w:rPr>
        <w:t>日《刑法》补充法，其中规定了对以《刑法》第</w:t>
      </w:r>
      <w:r w:rsidRPr="00401CEE">
        <w:rPr>
          <w:rFonts w:hint="eastAsia"/>
        </w:rPr>
        <w:t>454</w:t>
      </w:r>
      <w:r w:rsidRPr="00401CEE">
        <w:rPr>
          <w:rFonts w:hint="eastAsia"/>
        </w:rPr>
        <w:t>条所述一个或多个要素为动机的罪行、违法行为和违规行为的一般加重处罚情节；</w:t>
      </w:r>
    </w:p>
    <w:p w14:paraId="55FA18D5" w14:textId="797660CF" w:rsidR="00AE14A8" w:rsidRPr="00401CEE" w:rsidRDefault="00AE14A8" w:rsidP="00AE14A8">
      <w:pPr>
        <w:pStyle w:val="SingleTxt"/>
        <w:rPr>
          <w:rFonts w:ascii="宋体" w:hAnsi="宋体"/>
          <w:spacing w:val="-8"/>
          <w:w w:val="80"/>
          <w:lang w:val="es-ES"/>
        </w:rPr>
      </w:pPr>
      <w:r w:rsidRPr="00401CEE">
        <w:tab/>
      </w:r>
      <w:r w:rsidRPr="00401CEE">
        <w:rPr>
          <w:rFonts w:hint="eastAsia"/>
        </w:rPr>
        <w:t>(g)</w:t>
      </w:r>
      <w:r w:rsidRPr="00401CEE">
        <w:rPr>
          <w:rFonts w:hint="eastAsia"/>
        </w:rPr>
        <w:tab/>
        <w:t>2018</w:t>
      </w:r>
      <w:r w:rsidRPr="00401CEE">
        <w:rPr>
          <w:rFonts w:hint="eastAsia"/>
        </w:rPr>
        <w:t>年</w:t>
      </w:r>
      <w:r w:rsidRPr="00401CEE">
        <w:rPr>
          <w:rFonts w:hint="eastAsia"/>
        </w:rPr>
        <w:t>8</w:t>
      </w:r>
      <w:r w:rsidRPr="00401CEE">
        <w:rPr>
          <w:rFonts w:hint="eastAsia"/>
        </w:rPr>
        <w:t>月</w:t>
      </w:r>
      <w:r w:rsidRPr="00401CEE">
        <w:rPr>
          <w:rFonts w:hint="eastAsia"/>
        </w:rPr>
        <w:t>10</w:t>
      </w:r>
      <w:r w:rsidRPr="00401CEE">
        <w:rPr>
          <w:rFonts w:hint="eastAsia"/>
        </w:rPr>
        <w:t>日关于修改民事登记中的性别和名字提法以及修正《民法典》的法律；</w:t>
      </w:r>
    </w:p>
    <w:p w14:paraId="52AB68E1" w14:textId="28DB6BEB" w:rsidR="00AE14A8" w:rsidRPr="00401CEE" w:rsidRDefault="00AE14A8" w:rsidP="00AE14A8">
      <w:pPr>
        <w:pStyle w:val="SingleTxt"/>
      </w:pPr>
      <w:r w:rsidRPr="00401CEE">
        <w:rPr>
          <w:lang w:val="es-ES"/>
        </w:rPr>
        <w:tab/>
      </w:r>
      <w:r w:rsidRPr="00401CEE">
        <w:rPr>
          <w:rFonts w:hint="eastAsia"/>
        </w:rPr>
        <w:t>(h)</w:t>
      </w:r>
      <w:r w:rsidRPr="00401CEE">
        <w:rPr>
          <w:rFonts w:hint="eastAsia"/>
        </w:rPr>
        <w:tab/>
        <w:t>2018</w:t>
      </w:r>
      <w:r w:rsidRPr="00401CEE">
        <w:rPr>
          <w:rFonts w:hint="eastAsia"/>
        </w:rPr>
        <w:t>年</w:t>
      </w:r>
      <w:r w:rsidRPr="00401CEE">
        <w:rPr>
          <w:rFonts w:hint="eastAsia"/>
        </w:rPr>
        <w:t>7</w:t>
      </w:r>
      <w:r w:rsidRPr="00401CEE">
        <w:rPr>
          <w:rFonts w:hint="eastAsia"/>
        </w:rPr>
        <w:t>月</w:t>
      </w:r>
      <w:r w:rsidRPr="00401CEE">
        <w:rPr>
          <w:rFonts w:hint="eastAsia"/>
        </w:rPr>
        <w:t>20</w:t>
      </w:r>
      <w:r w:rsidRPr="00401CEE">
        <w:rPr>
          <w:rFonts w:hint="eastAsia"/>
        </w:rPr>
        <w:t>日关于批准</w:t>
      </w:r>
      <w:r w:rsidRPr="00401CEE">
        <w:rPr>
          <w:rFonts w:hint="eastAsia"/>
        </w:rPr>
        <w:t>2011</w:t>
      </w:r>
      <w:r w:rsidRPr="00401CEE">
        <w:rPr>
          <w:rFonts w:hint="eastAsia"/>
        </w:rPr>
        <w:t>年</w:t>
      </w:r>
      <w:r w:rsidRPr="00401CEE">
        <w:rPr>
          <w:rFonts w:hint="eastAsia"/>
        </w:rPr>
        <w:t>5</w:t>
      </w:r>
      <w:r w:rsidRPr="00401CEE">
        <w:rPr>
          <w:rFonts w:hint="eastAsia"/>
        </w:rPr>
        <w:t>月</w:t>
      </w:r>
      <w:r w:rsidRPr="00401CEE">
        <w:rPr>
          <w:rFonts w:hint="eastAsia"/>
        </w:rPr>
        <w:t>11</w:t>
      </w:r>
      <w:r w:rsidRPr="00401CEE">
        <w:rPr>
          <w:rFonts w:hint="eastAsia"/>
        </w:rPr>
        <w:t>日在伊斯坦布尔签署的《欧洲委员会预防和打击暴力侵害妇女行为及家庭暴力公约》并修正以下立法的法律：</w:t>
      </w:r>
      <w:r w:rsidRPr="00401CEE">
        <w:rPr>
          <w:rFonts w:ascii="宋体" w:hAnsi="宋体" w:hint="eastAsia"/>
        </w:rPr>
        <w:t>㈠</w:t>
      </w:r>
      <w:r w:rsidRPr="00401CEE">
        <w:rPr>
          <w:rFonts w:hint="eastAsia"/>
        </w:rPr>
        <w:t>《刑法》；</w:t>
      </w:r>
      <w:r w:rsidRPr="00401CEE">
        <w:rPr>
          <w:rFonts w:ascii="宋体" w:hAnsi="宋体" w:hint="eastAsia"/>
        </w:rPr>
        <w:t>㈡</w:t>
      </w:r>
      <w:r w:rsidRPr="00401CEE">
        <w:rPr>
          <w:rFonts w:ascii="宋体" w:hAnsi="宋体"/>
        </w:rPr>
        <w:t xml:space="preserve"> </w:t>
      </w:r>
      <w:r w:rsidRPr="00401CEE">
        <w:rPr>
          <w:rFonts w:hint="eastAsia"/>
        </w:rPr>
        <w:t>刑事诉讼法；</w:t>
      </w:r>
      <w:r w:rsidRPr="00401CEE">
        <w:rPr>
          <w:rFonts w:ascii="宋体" w:hAnsi="宋体" w:hint="eastAsia"/>
        </w:rPr>
        <w:t>㈢</w:t>
      </w:r>
      <w:r w:rsidRPr="00401CEE">
        <w:rPr>
          <w:rFonts w:ascii="宋体" w:hAnsi="宋体"/>
        </w:rPr>
        <w:t xml:space="preserve"> </w:t>
      </w:r>
      <w:r w:rsidRPr="00401CEE">
        <w:rPr>
          <w:rFonts w:hint="eastAsia"/>
        </w:rPr>
        <w:t>2003</w:t>
      </w:r>
      <w:r w:rsidRPr="00401CEE">
        <w:rPr>
          <w:rFonts w:hint="eastAsia"/>
        </w:rPr>
        <w:t>年</w:t>
      </w:r>
      <w:r w:rsidRPr="00401CEE">
        <w:rPr>
          <w:rFonts w:hint="eastAsia"/>
        </w:rPr>
        <w:t>9</w:t>
      </w:r>
      <w:r w:rsidRPr="00401CEE">
        <w:rPr>
          <w:rFonts w:hint="eastAsia"/>
        </w:rPr>
        <w:t>月</w:t>
      </w:r>
      <w:r w:rsidRPr="00401CEE">
        <w:rPr>
          <w:rFonts w:hint="eastAsia"/>
        </w:rPr>
        <w:t>8</w:t>
      </w:r>
      <w:r w:rsidRPr="00401CEE">
        <w:rPr>
          <w:rFonts w:hint="eastAsia"/>
        </w:rPr>
        <w:t>日关于家庭暴力的修正法；</w:t>
      </w:r>
      <w:r w:rsidRPr="00401CEE">
        <w:rPr>
          <w:rFonts w:ascii="宋体" w:hAnsi="宋体" w:hint="eastAsia"/>
        </w:rPr>
        <w:t>㈣</w:t>
      </w:r>
      <w:r w:rsidRPr="00401CEE">
        <w:rPr>
          <w:rFonts w:ascii="宋体" w:hAnsi="宋体"/>
        </w:rPr>
        <w:t xml:space="preserve"> </w:t>
      </w:r>
      <w:r w:rsidRPr="00401CEE">
        <w:rPr>
          <w:rFonts w:hint="eastAsia"/>
        </w:rPr>
        <w:t>2008</w:t>
      </w:r>
      <w:r w:rsidRPr="00401CEE">
        <w:rPr>
          <w:rFonts w:hint="eastAsia"/>
        </w:rPr>
        <w:t>年</w:t>
      </w:r>
      <w:r w:rsidRPr="00401CEE">
        <w:rPr>
          <w:rFonts w:hint="eastAsia"/>
        </w:rPr>
        <w:t>8</w:t>
      </w:r>
      <w:r w:rsidRPr="00401CEE">
        <w:rPr>
          <w:rFonts w:hint="eastAsia"/>
        </w:rPr>
        <w:t>月</w:t>
      </w:r>
      <w:r w:rsidRPr="00401CEE">
        <w:rPr>
          <w:rFonts w:hint="eastAsia"/>
        </w:rPr>
        <w:t>29</w:t>
      </w:r>
      <w:r w:rsidRPr="00401CEE">
        <w:rPr>
          <w:rFonts w:hint="eastAsia"/>
        </w:rPr>
        <w:t>日关于人员自由流动和移民的修正法；</w:t>
      </w:r>
    </w:p>
    <w:p w14:paraId="14E355D5" w14:textId="36BCE283" w:rsidR="00AE14A8" w:rsidRPr="00401CEE" w:rsidRDefault="00AE14A8" w:rsidP="00AE14A8">
      <w:pPr>
        <w:pStyle w:val="SingleTxt"/>
      </w:pPr>
      <w:r w:rsidRPr="00401CEE">
        <w:tab/>
      </w:r>
      <w:r w:rsidRPr="00401CEE">
        <w:rPr>
          <w:rFonts w:hint="eastAsia"/>
        </w:rPr>
        <w:t>(i)</w:t>
      </w:r>
      <w:r w:rsidRPr="00401CEE">
        <w:rPr>
          <w:rFonts w:hint="eastAsia"/>
        </w:rPr>
        <w:tab/>
        <w:t>2018</w:t>
      </w:r>
      <w:r w:rsidRPr="00401CEE">
        <w:rPr>
          <w:rFonts w:hint="eastAsia"/>
        </w:rPr>
        <w:t>年</w:t>
      </w:r>
      <w:r w:rsidRPr="00401CEE">
        <w:rPr>
          <w:rFonts w:hint="eastAsia"/>
        </w:rPr>
        <w:t>7</w:t>
      </w:r>
      <w:r w:rsidRPr="00401CEE">
        <w:rPr>
          <w:rFonts w:hint="eastAsia"/>
        </w:rPr>
        <w:t>月</w:t>
      </w:r>
      <w:r w:rsidRPr="00401CEE">
        <w:rPr>
          <w:rFonts w:hint="eastAsia"/>
        </w:rPr>
        <w:t>20</w:t>
      </w:r>
      <w:r w:rsidRPr="00401CEE">
        <w:rPr>
          <w:rFonts w:hint="eastAsia"/>
        </w:rPr>
        <w:t>日监狱管理改革法；</w:t>
      </w:r>
    </w:p>
    <w:p w14:paraId="70609AE7" w14:textId="074A926F" w:rsidR="00AE14A8" w:rsidRPr="00401CEE" w:rsidRDefault="00AE14A8" w:rsidP="00AE14A8">
      <w:pPr>
        <w:pStyle w:val="SingleTxt"/>
      </w:pPr>
      <w:r w:rsidRPr="00401CEE">
        <w:tab/>
      </w:r>
      <w:r w:rsidRPr="00401CEE">
        <w:rPr>
          <w:rFonts w:hint="eastAsia"/>
        </w:rPr>
        <w:t>(j)</w:t>
      </w:r>
      <w:r w:rsidRPr="00401CEE">
        <w:rPr>
          <w:rFonts w:hint="eastAsia"/>
        </w:rPr>
        <w:tab/>
        <w:t>2018</w:t>
      </w:r>
      <w:r w:rsidRPr="00401CEE">
        <w:rPr>
          <w:rFonts w:hint="eastAsia"/>
        </w:rPr>
        <w:t>年</w:t>
      </w:r>
      <w:r w:rsidRPr="00401CEE">
        <w:rPr>
          <w:rFonts w:hint="eastAsia"/>
        </w:rPr>
        <w:t>6</w:t>
      </w:r>
      <w:r w:rsidRPr="00401CEE">
        <w:rPr>
          <w:rFonts w:hint="eastAsia"/>
        </w:rPr>
        <w:t>月</w:t>
      </w:r>
      <w:r w:rsidRPr="00401CEE">
        <w:rPr>
          <w:rFonts w:hint="eastAsia"/>
        </w:rPr>
        <w:t>27</w:t>
      </w:r>
      <w:r w:rsidRPr="00401CEE">
        <w:rPr>
          <w:rFonts w:hint="eastAsia"/>
        </w:rPr>
        <w:t>日家庭法官办公室设立和离婚及亲权改革法。</w:t>
      </w:r>
    </w:p>
    <w:p w14:paraId="4523778B" w14:textId="77777777" w:rsidR="00AE14A8" w:rsidRPr="00401CEE" w:rsidRDefault="00AE14A8" w:rsidP="00AE14A8">
      <w:pPr>
        <w:pStyle w:val="SingleTxt"/>
      </w:pPr>
      <w:r w:rsidRPr="00401CEE">
        <w:rPr>
          <w:rFonts w:hint="eastAsia"/>
        </w:rPr>
        <w:t>6.</w:t>
      </w:r>
      <w:r w:rsidRPr="00401CEE">
        <w:rPr>
          <w:rFonts w:hint="eastAsia"/>
        </w:rPr>
        <w:tab/>
      </w:r>
      <w:r w:rsidRPr="00401CEE">
        <w:rPr>
          <w:rFonts w:hint="eastAsia"/>
        </w:rPr>
        <w:t>委员会欣见缔约国努力改善旨在加速消除对妇女歧视和促进性别平等的体制和政策框架，例如通过或制定以下文书：</w:t>
      </w:r>
    </w:p>
    <w:p w14:paraId="7CADF16D" w14:textId="52E073CE"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促进男女平等国家行动计划，</w:t>
      </w:r>
      <w:r w:rsidRPr="00401CEE">
        <w:rPr>
          <w:rFonts w:hint="eastAsia"/>
        </w:rPr>
        <w:t>2020</w:t>
      </w:r>
      <w:r w:rsidRPr="00401CEE">
        <w:rPr>
          <w:rFonts w:hint="eastAsia"/>
        </w:rPr>
        <w:t>年；</w:t>
      </w:r>
    </w:p>
    <w:p w14:paraId="3813CBF3" w14:textId="5BCC80C9"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为执行安全理事会第</w:t>
      </w:r>
      <w:hyperlink r:id="rId26" w:history="1">
        <w:r w:rsidRPr="00401CEE">
          <w:rPr>
            <w:rStyle w:val="af7"/>
            <w:rFonts w:hint="eastAsia"/>
          </w:rPr>
          <w:t>1325 (2000)</w:t>
        </w:r>
      </w:hyperlink>
      <w:r w:rsidRPr="00401CEE">
        <w:rPr>
          <w:rFonts w:hint="eastAsia"/>
        </w:rPr>
        <w:t>号决议而分别为</w:t>
      </w:r>
      <w:r w:rsidRPr="00401CEE">
        <w:rPr>
          <w:rFonts w:hint="eastAsia"/>
        </w:rPr>
        <w:t>2018-2023</w:t>
      </w:r>
      <w:r w:rsidRPr="00401CEE">
        <w:rPr>
          <w:rFonts w:hint="eastAsia"/>
        </w:rPr>
        <w:t>年和</w:t>
      </w:r>
      <w:r w:rsidRPr="00401CEE">
        <w:rPr>
          <w:rFonts w:hint="eastAsia"/>
        </w:rPr>
        <w:t>2025-2030</w:t>
      </w:r>
      <w:r w:rsidRPr="00401CEE">
        <w:rPr>
          <w:rFonts w:hint="eastAsia"/>
        </w:rPr>
        <w:t>年制定的第一个和第二个“妇女与和平与安全”国家行动计划；</w:t>
      </w:r>
    </w:p>
    <w:p w14:paraId="61A55FB8" w14:textId="0D1D8EA4"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执行《残疾人权利公约》国家行动计划</w:t>
      </w:r>
      <w:r w:rsidRPr="00401CEE">
        <w:rPr>
          <w:rFonts w:hint="eastAsia"/>
        </w:rPr>
        <w:t>(2019-2024</w:t>
      </w:r>
      <w:r w:rsidRPr="00401CEE">
        <w:rPr>
          <w:rFonts w:hint="eastAsia"/>
        </w:rPr>
        <w:t>年</w:t>
      </w:r>
      <w:r w:rsidRPr="00401CEE">
        <w:rPr>
          <w:rFonts w:hint="eastAsia"/>
        </w:rPr>
        <w:t>)</w:t>
      </w:r>
      <w:r w:rsidRPr="00401CEE">
        <w:rPr>
          <w:rFonts w:hint="eastAsia"/>
        </w:rPr>
        <w:t>；</w:t>
      </w:r>
    </w:p>
    <w:p w14:paraId="7159178A" w14:textId="41F5E8BE"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第三个国家可持续发展计划，</w:t>
      </w:r>
      <w:r w:rsidRPr="00401CEE">
        <w:rPr>
          <w:rFonts w:hint="eastAsia"/>
        </w:rPr>
        <w:t>2019</w:t>
      </w:r>
      <w:r w:rsidRPr="00401CEE">
        <w:rPr>
          <w:rFonts w:hint="eastAsia"/>
        </w:rPr>
        <w:t>年；</w:t>
      </w:r>
    </w:p>
    <w:p w14:paraId="01E8FBED" w14:textId="11EE9F96" w:rsidR="00AE14A8" w:rsidRPr="00401CEE" w:rsidRDefault="00AE14A8" w:rsidP="00AE14A8">
      <w:pPr>
        <w:pStyle w:val="SingleTxt"/>
      </w:pPr>
      <w:r w:rsidRPr="00401CEE">
        <w:tab/>
      </w:r>
      <w:r w:rsidRPr="00401CEE">
        <w:rPr>
          <w:rFonts w:hint="eastAsia"/>
        </w:rPr>
        <w:t>(e)</w:t>
      </w:r>
      <w:r w:rsidRPr="00401CEE">
        <w:rPr>
          <w:rFonts w:hint="eastAsia"/>
        </w:rPr>
        <w:tab/>
      </w:r>
      <w:r w:rsidRPr="00401CEE">
        <w:rPr>
          <w:rFonts w:hint="eastAsia"/>
        </w:rPr>
        <w:t>第一个促进男女同性恋、双性恋、跨性别者和间性者权利国家行动计划，</w:t>
      </w:r>
      <w:r w:rsidRPr="00401CEE">
        <w:rPr>
          <w:rFonts w:hint="eastAsia"/>
        </w:rPr>
        <w:t>2018</w:t>
      </w:r>
      <w:r w:rsidRPr="00401CEE">
        <w:rPr>
          <w:rFonts w:hint="eastAsia"/>
        </w:rPr>
        <w:t>年。</w:t>
      </w:r>
    </w:p>
    <w:p w14:paraId="62157110" w14:textId="77777777" w:rsidR="00AE14A8" w:rsidRPr="00401CEE" w:rsidRDefault="00AE14A8" w:rsidP="00AE14A8">
      <w:pPr>
        <w:pStyle w:val="SingleTxt"/>
      </w:pPr>
      <w:r w:rsidRPr="00401CEE">
        <w:rPr>
          <w:rFonts w:hint="eastAsia"/>
        </w:rPr>
        <w:t>7.</w:t>
      </w:r>
      <w:r w:rsidRPr="00401CEE">
        <w:rPr>
          <w:rFonts w:hint="eastAsia"/>
        </w:rPr>
        <w:tab/>
      </w:r>
      <w:r w:rsidRPr="00401CEE">
        <w:rPr>
          <w:rFonts w:hint="eastAsia"/>
        </w:rPr>
        <w:t>委员会欣见自上次报告审议以来缔约国已批准下列国际人权文书：</w:t>
      </w:r>
    </w:p>
    <w:p w14:paraId="6B9F54F8" w14:textId="0A6CF9D0"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《保护所有人免遭强迫失踪国际公约》，</w:t>
      </w:r>
      <w:r w:rsidRPr="00401CEE">
        <w:rPr>
          <w:rFonts w:hint="eastAsia"/>
        </w:rPr>
        <w:t>2022</w:t>
      </w:r>
      <w:r w:rsidRPr="00401CEE">
        <w:rPr>
          <w:rFonts w:hint="eastAsia"/>
        </w:rPr>
        <w:t>年</w:t>
      </w:r>
      <w:r w:rsidRPr="00401CEE">
        <w:rPr>
          <w:rFonts w:hint="eastAsia"/>
        </w:rPr>
        <w:t>4</w:t>
      </w:r>
      <w:r w:rsidRPr="00401CEE">
        <w:rPr>
          <w:rFonts w:hint="eastAsia"/>
        </w:rPr>
        <w:t>月</w:t>
      </w:r>
      <w:r w:rsidRPr="00401CEE">
        <w:rPr>
          <w:rFonts w:hint="eastAsia"/>
        </w:rPr>
        <w:t>1</w:t>
      </w:r>
      <w:r w:rsidRPr="00401CEE">
        <w:rPr>
          <w:rFonts w:hint="eastAsia"/>
        </w:rPr>
        <w:t>日；</w:t>
      </w:r>
    </w:p>
    <w:p w14:paraId="5A8B9CFC" w14:textId="753D8D5E"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国际劳工组织《</w:t>
      </w:r>
      <w:r w:rsidRPr="008906A7">
        <w:rPr>
          <w:rFonts w:ascii="宋体" w:hAnsi="宋体" w:hint="eastAsia"/>
        </w:rPr>
        <w:t>&lt;</w:t>
      </w:r>
      <w:r w:rsidRPr="00401CEE">
        <w:rPr>
          <w:rFonts w:hint="eastAsia"/>
        </w:rPr>
        <w:t>1930</w:t>
      </w:r>
      <w:r w:rsidRPr="00401CEE">
        <w:rPr>
          <w:rFonts w:hint="eastAsia"/>
        </w:rPr>
        <w:t>年强迫劳动公约</w:t>
      </w:r>
      <w:r w:rsidRPr="008906A7">
        <w:rPr>
          <w:rFonts w:ascii="宋体" w:hAnsi="宋体" w:hint="eastAsia"/>
        </w:rPr>
        <w:t>&gt;</w:t>
      </w:r>
      <w:r w:rsidRPr="00401CEE">
        <w:rPr>
          <w:rFonts w:hint="eastAsia"/>
        </w:rPr>
        <w:t>(</w:t>
      </w:r>
      <w:r w:rsidRPr="00401CEE">
        <w:rPr>
          <w:rFonts w:hint="eastAsia"/>
        </w:rPr>
        <w:t>第</w:t>
      </w:r>
      <w:r w:rsidRPr="00401CEE">
        <w:rPr>
          <w:rFonts w:hint="eastAsia"/>
        </w:rPr>
        <w:t>29</w:t>
      </w:r>
      <w:r w:rsidRPr="00401CEE">
        <w:rPr>
          <w:rFonts w:hint="eastAsia"/>
        </w:rPr>
        <w:t>号</w:t>
      </w:r>
      <w:r w:rsidRPr="00401CEE">
        <w:rPr>
          <w:rFonts w:hint="eastAsia"/>
        </w:rPr>
        <w:t>)2014</w:t>
      </w:r>
      <w:r w:rsidRPr="00401CEE">
        <w:rPr>
          <w:rFonts w:hint="eastAsia"/>
        </w:rPr>
        <w:t>年议定书》，</w:t>
      </w:r>
      <w:r w:rsidRPr="00401CEE">
        <w:rPr>
          <w:rFonts w:hint="eastAsia"/>
        </w:rPr>
        <w:t>2021</w:t>
      </w:r>
      <w:r w:rsidRPr="00401CEE">
        <w:rPr>
          <w:rFonts w:hint="eastAsia"/>
        </w:rPr>
        <w:t>年</w:t>
      </w:r>
      <w:r w:rsidRPr="00401CEE">
        <w:rPr>
          <w:rFonts w:hint="eastAsia"/>
        </w:rPr>
        <w:t>3</w:t>
      </w:r>
      <w:r w:rsidRPr="00401CEE">
        <w:rPr>
          <w:rFonts w:hint="eastAsia"/>
        </w:rPr>
        <w:t>月</w:t>
      </w:r>
      <w:r w:rsidRPr="00401CEE">
        <w:rPr>
          <w:rFonts w:hint="eastAsia"/>
        </w:rPr>
        <w:t>18</w:t>
      </w:r>
      <w:r w:rsidRPr="00401CEE">
        <w:rPr>
          <w:rFonts w:hint="eastAsia"/>
        </w:rPr>
        <w:t>日；</w:t>
      </w:r>
    </w:p>
    <w:p w14:paraId="39126928" w14:textId="68C1A6B0"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《欧洲委员会预防和打击暴力侵害妇女行为及家庭暴力公约》，</w:t>
      </w:r>
      <w:r w:rsidRPr="00401CEE">
        <w:rPr>
          <w:rFonts w:hint="eastAsia"/>
        </w:rPr>
        <w:t>2018</w:t>
      </w:r>
      <w:r w:rsidRPr="00401CEE">
        <w:rPr>
          <w:rFonts w:hint="eastAsia"/>
        </w:rPr>
        <w:t>年</w:t>
      </w:r>
      <w:r w:rsidRPr="00401CEE">
        <w:rPr>
          <w:rFonts w:hint="eastAsia"/>
        </w:rPr>
        <w:t>8</w:t>
      </w:r>
      <w:r w:rsidRPr="00401CEE">
        <w:rPr>
          <w:rFonts w:hint="eastAsia"/>
        </w:rPr>
        <w:t>月</w:t>
      </w:r>
      <w:r w:rsidRPr="00401CEE">
        <w:rPr>
          <w:rFonts w:hint="eastAsia"/>
        </w:rPr>
        <w:t>7</w:t>
      </w:r>
      <w:r w:rsidRPr="00401CEE">
        <w:rPr>
          <w:rFonts w:hint="eastAsia"/>
        </w:rPr>
        <w:t>日。</w:t>
      </w:r>
    </w:p>
    <w:p w14:paraId="1258F5CE" w14:textId="1151684C" w:rsidR="00AE14A8" w:rsidRPr="00401CEE" w:rsidRDefault="00AE14A8" w:rsidP="00AE14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lastRenderedPageBreak/>
        <w:tab/>
      </w:r>
      <w:r w:rsidRPr="00401CEE">
        <w:rPr>
          <w:rFonts w:hint="eastAsia"/>
        </w:rPr>
        <w:t>C.</w:t>
      </w:r>
      <w:r w:rsidRPr="00401CEE">
        <w:rPr>
          <w:rFonts w:hint="eastAsia"/>
        </w:rPr>
        <w:tab/>
      </w:r>
      <w:r w:rsidRPr="00401CEE">
        <w:rPr>
          <w:rFonts w:hint="eastAsia"/>
        </w:rPr>
        <w:t>可持续发展目标</w:t>
      </w:r>
    </w:p>
    <w:p w14:paraId="79DAA43E"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8.</w:t>
      </w:r>
      <w:r w:rsidRPr="00401CEE">
        <w:rPr>
          <w:rFonts w:asciiTheme="majorBidi" w:eastAsia="黑体" w:hAnsiTheme="majorBidi" w:cstheme="majorBidi"/>
        </w:rPr>
        <w:tab/>
      </w:r>
      <w:r w:rsidRPr="00401CEE">
        <w:rPr>
          <w:rFonts w:asciiTheme="majorBidi" w:eastAsia="黑体" w:hAnsiTheme="majorBidi" w:cstheme="majorBidi"/>
        </w:rPr>
        <w:t>委员会欣见国际社会为可持续发展目标提供支持，呼吁在落实《</w:t>
      </w:r>
      <w:r w:rsidRPr="00401CEE">
        <w:rPr>
          <w:rFonts w:asciiTheme="majorBidi" w:eastAsia="黑体" w:hAnsiTheme="majorBidi" w:cstheme="majorBidi"/>
        </w:rPr>
        <w:t>2030</w:t>
      </w:r>
      <w:r w:rsidRPr="00401CEE">
        <w:rPr>
          <w:rFonts w:asciiTheme="majorBidi" w:eastAsia="黑体" w:hAnsiTheme="majorBidi" w:cstheme="majorBidi"/>
        </w:rPr>
        <w:t>年可持续发展议程》的整个过程中根据《公约》各项规定实现法律上和事实上</w:t>
      </w:r>
      <w:r w:rsidRPr="00401CEE">
        <w:rPr>
          <w:rFonts w:asciiTheme="majorBidi" w:eastAsia="黑体" w:hAnsiTheme="majorBidi" w:cstheme="majorBidi"/>
        </w:rPr>
        <w:t>(</w:t>
      </w:r>
      <w:r w:rsidRPr="00401CEE">
        <w:rPr>
          <w:rFonts w:asciiTheme="majorBidi" w:eastAsia="黑体" w:hAnsiTheme="majorBidi" w:cstheme="majorBidi"/>
        </w:rPr>
        <w:t>实质性</w:t>
      </w:r>
      <w:r w:rsidRPr="00401CEE">
        <w:rPr>
          <w:rFonts w:asciiTheme="majorBidi" w:eastAsia="黑体" w:hAnsiTheme="majorBidi" w:cstheme="majorBidi"/>
        </w:rPr>
        <w:t>)</w:t>
      </w:r>
      <w:r w:rsidRPr="00401CEE">
        <w:rPr>
          <w:rFonts w:asciiTheme="majorBidi" w:eastAsia="黑体" w:hAnsiTheme="majorBidi" w:cstheme="majorBidi"/>
        </w:rPr>
        <w:t>的性别平等。委员会回顾可持续发展目标</w:t>
      </w:r>
      <w:r w:rsidRPr="00401CEE">
        <w:rPr>
          <w:rFonts w:asciiTheme="majorBidi" w:eastAsia="黑体" w:hAnsiTheme="majorBidi" w:cstheme="majorBidi"/>
        </w:rPr>
        <w:t>5</w:t>
      </w:r>
      <w:r w:rsidRPr="00401CEE">
        <w:rPr>
          <w:rFonts w:asciiTheme="majorBidi" w:eastAsia="黑体" w:hAnsiTheme="majorBidi" w:cstheme="majorBidi"/>
        </w:rPr>
        <w:t>以及将平等和不歧视原则纳入所有</w:t>
      </w:r>
      <w:r w:rsidRPr="00401CEE">
        <w:rPr>
          <w:rFonts w:asciiTheme="majorBidi" w:eastAsia="黑体" w:hAnsiTheme="majorBidi" w:cstheme="majorBidi"/>
        </w:rPr>
        <w:t>17</w:t>
      </w:r>
      <w:r w:rsidRPr="00401CEE">
        <w:rPr>
          <w:rFonts w:asciiTheme="majorBidi" w:eastAsia="黑体" w:hAnsiTheme="majorBidi" w:cstheme="majorBidi"/>
        </w:rPr>
        <w:t>项目标主流的重要性。它敦促缔约国承认妇女是缔约国可持续发展的推动力，并为此采取相关政策和战略。</w:t>
      </w:r>
      <w:bookmarkStart w:id="1" w:name="TmpSave"/>
      <w:bookmarkEnd w:id="1"/>
    </w:p>
    <w:p w14:paraId="53DBD881" w14:textId="6D0D28CA" w:rsidR="00AE14A8" w:rsidRPr="00401CEE" w:rsidRDefault="00AE14A8" w:rsidP="00AE14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tab/>
      </w:r>
      <w:r w:rsidRPr="00401CEE">
        <w:rPr>
          <w:rFonts w:hint="eastAsia"/>
        </w:rPr>
        <w:t>D.</w:t>
      </w:r>
      <w:r w:rsidRPr="00401CEE">
        <w:rPr>
          <w:rFonts w:hint="eastAsia"/>
        </w:rPr>
        <w:tab/>
      </w:r>
      <w:r w:rsidRPr="00401CEE">
        <w:rPr>
          <w:rFonts w:hint="eastAsia"/>
        </w:rPr>
        <w:t>议会</w:t>
      </w:r>
    </w:p>
    <w:p w14:paraId="340DC1FA" w14:textId="6C84553C"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9.</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委员会强调指出，立法机构在确保《公约》得到充分执行方面起着至关重要的作用</w:t>
      </w:r>
      <w:r w:rsidRPr="00401CEE">
        <w:rPr>
          <w:rFonts w:asciiTheme="majorBidi" w:eastAsia="黑体" w:hAnsiTheme="majorBidi" w:cstheme="majorBidi" w:hint="eastAsia"/>
        </w:rPr>
        <w:t>(</w:t>
      </w:r>
      <w:r w:rsidRPr="00401CEE">
        <w:rPr>
          <w:rFonts w:asciiTheme="majorBidi" w:eastAsia="黑体" w:hAnsiTheme="majorBidi" w:cstheme="majorBidi" w:hint="eastAsia"/>
        </w:rPr>
        <w:t>见</w:t>
      </w:r>
      <w:hyperlink r:id="rId27" w:history="1">
        <w:r w:rsidRPr="00401CEE">
          <w:rPr>
            <w:rStyle w:val="af7"/>
            <w:rFonts w:asciiTheme="majorBidi" w:eastAsia="黑体" w:hAnsiTheme="majorBidi" w:cstheme="majorBidi" w:hint="eastAsia"/>
          </w:rPr>
          <w:t>A/65/38</w:t>
        </w:r>
      </w:hyperlink>
      <w:r w:rsidRPr="00401CEE">
        <w:rPr>
          <w:rFonts w:asciiTheme="majorBidi" w:eastAsia="黑体" w:hAnsiTheme="majorBidi" w:cstheme="majorBidi" w:hint="eastAsia"/>
        </w:rPr>
        <w:t>，第二部分，附件六</w:t>
      </w:r>
      <w:r w:rsidRPr="00401CEE">
        <w:rPr>
          <w:rFonts w:asciiTheme="majorBidi" w:eastAsia="黑体" w:hAnsiTheme="majorBidi" w:cstheme="majorBidi" w:hint="eastAsia"/>
        </w:rPr>
        <w:t>)</w:t>
      </w:r>
      <w:r w:rsidRPr="00401CEE">
        <w:rPr>
          <w:rFonts w:asciiTheme="majorBidi" w:eastAsia="黑体" w:hAnsiTheme="majorBidi" w:cstheme="majorBidi" w:hint="eastAsia"/>
        </w:rPr>
        <w:t>。委员会请众议院根据自身任务授权，从现在起至根据《公约》提交下一次定期报告期间采取必要措施落实本结论性意见。</w:t>
      </w:r>
    </w:p>
    <w:p w14:paraId="0ED769FE" w14:textId="54DE8928" w:rsidR="00AE14A8" w:rsidRPr="00401CEE" w:rsidRDefault="00AE14A8" w:rsidP="00AE14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tab/>
      </w:r>
      <w:r w:rsidRPr="00401CEE">
        <w:rPr>
          <w:rFonts w:hint="eastAsia"/>
        </w:rPr>
        <w:t>E.</w:t>
      </w:r>
      <w:r w:rsidRPr="00401CEE">
        <w:rPr>
          <w:rFonts w:hint="eastAsia"/>
        </w:rPr>
        <w:tab/>
      </w:r>
      <w:r w:rsidRPr="00401CEE">
        <w:rPr>
          <w:rFonts w:hint="eastAsia"/>
        </w:rPr>
        <w:t>主要关切领域和建议</w:t>
      </w:r>
    </w:p>
    <w:p w14:paraId="7909E466"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对《公约》及其《任择议定书》和委员会一般性建议的认识程度</w:t>
      </w:r>
    </w:p>
    <w:p w14:paraId="0B8C26ED" w14:textId="77777777" w:rsidR="00AE14A8" w:rsidRPr="00401CEE" w:rsidRDefault="00AE14A8" w:rsidP="00AE14A8">
      <w:pPr>
        <w:pStyle w:val="SingleTxt"/>
      </w:pPr>
      <w:r w:rsidRPr="00401CEE">
        <w:rPr>
          <w:rFonts w:hint="eastAsia"/>
        </w:rPr>
        <w:t>10.</w:t>
      </w:r>
      <w:r w:rsidRPr="00401CEE">
        <w:rPr>
          <w:rFonts w:hint="eastAsia"/>
        </w:rPr>
        <w:tab/>
      </w:r>
      <w:r w:rsidRPr="00401CEE">
        <w:rPr>
          <w:rFonts w:hint="eastAsia"/>
        </w:rPr>
        <w:t>委员会关切地注意到，政府、司法机构、民间社会和广大民众对《公约》、委员会根据《任择议定书》作出的判例及委员会一般性建议缺乏认识。委员会尤感关切的是，《公约》在法院未得到援引，民间社会未参与向委员会提交报告的进程。</w:t>
      </w:r>
    </w:p>
    <w:p w14:paraId="1ABE0DF8"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11.</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考虑到其此前建议，再次建议缔约国采取措施确保《公约》得到广泛的了解，包括为此在司法机构、执法官员、民间社会和广大公众中迅速和广泛地传播《公约》及其《任择议定书》、委员会的一般性建议和本结论性意见。</w:t>
      </w:r>
    </w:p>
    <w:p w14:paraId="082A9B98"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宪法和立法框架及歧视妇女的定义</w:t>
      </w:r>
    </w:p>
    <w:p w14:paraId="659FC80B" w14:textId="77777777" w:rsidR="00AE14A8" w:rsidRPr="00401CEE" w:rsidRDefault="00AE14A8" w:rsidP="00AE14A8">
      <w:pPr>
        <w:pStyle w:val="SingleTxt"/>
      </w:pPr>
      <w:r w:rsidRPr="00401CEE">
        <w:rPr>
          <w:rFonts w:hint="eastAsia"/>
        </w:rPr>
        <w:t>12.</w:t>
      </w:r>
      <w:r w:rsidRPr="00401CEE">
        <w:rPr>
          <w:rFonts w:hint="eastAsia"/>
        </w:rPr>
        <w:tab/>
      </w:r>
      <w:r w:rsidRPr="00401CEE">
        <w:rPr>
          <w:rFonts w:hint="eastAsia"/>
        </w:rPr>
        <w:t>委员会深感关切的是，尽管卢森堡《宪法》载有性别平等原则，宪法法院也有这方面的判例，但</w:t>
      </w:r>
      <w:r w:rsidRPr="00401CEE">
        <w:rPr>
          <w:rFonts w:hint="eastAsia"/>
        </w:rPr>
        <w:t>2023</w:t>
      </w:r>
      <w:r w:rsidRPr="00401CEE">
        <w:rPr>
          <w:rFonts w:hint="eastAsia"/>
        </w:rPr>
        <w:t>年修正的《宪法》在法律面前平等问题上对是本国国民的妇女和并非本国国民的妇女有所区分。</w:t>
      </w:r>
    </w:p>
    <w:p w14:paraId="3DCA462E"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spacing w:val="2"/>
        </w:rPr>
        <w:t>13.</w:t>
      </w:r>
      <w:r w:rsidRPr="00401CEE">
        <w:rPr>
          <w:rFonts w:asciiTheme="majorBidi" w:eastAsia="黑体" w:hAnsiTheme="majorBidi" w:cstheme="majorBidi" w:hint="eastAsia"/>
          <w:spacing w:val="2"/>
        </w:rPr>
        <w:tab/>
      </w:r>
      <w:r w:rsidRPr="00401CEE">
        <w:rPr>
          <w:rFonts w:asciiTheme="majorBidi" w:eastAsia="黑体" w:hAnsiTheme="majorBidi" w:cstheme="majorBidi" w:hint="eastAsia"/>
          <w:spacing w:val="2"/>
        </w:rPr>
        <w:t>委员会敦促缔约国修正《宪法》，以确保缔约国所有妇女不论公民身份如何，</w:t>
      </w:r>
      <w:r w:rsidRPr="00401CEE">
        <w:rPr>
          <w:rFonts w:asciiTheme="majorBidi" w:eastAsia="黑体" w:hAnsiTheme="majorBidi" w:cstheme="majorBidi" w:hint="eastAsia"/>
        </w:rPr>
        <w:t>在法律面前人人平等并得到法律的有效保护。</w:t>
      </w:r>
    </w:p>
    <w:p w14:paraId="13F33A0A" w14:textId="77777777" w:rsidR="00AE14A8" w:rsidRPr="00401CEE" w:rsidRDefault="00AE14A8" w:rsidP="00AE14A8">
      <w:pPr>
        <w:pStyle w:val="SingleTxt"/>
      </w:pPr>
      <w:r w:rsidRPr="00401CEE">
        <w:rPr>
          <w:rFonts w:hint="eastAsia"/>
        </w:rPr>
        <w:t>14.</w:t>
      </w:r>
      <w:r w:rsidRPr="00401CEE">
        <w:rPr>
          <w:rFonts w:hint="eastAsia"/>
        </w:rPr>
        <w:tab/>
      </w:r>
      <w:r w:rsidRPr="00401CEE">
        <w:rPr>
          <w:rFonts w:hint="eastAsia"/>
        </w:rPr>
        <w:t>委员会仍感到关切的是，歧视的法律定义没有充分保护妇女免受交叉形式歧视；日益趋向于通过性别中性的立法；缺乏与《公约》所有领域相关的按性别分列数据。</w:t>
      </w:r>
    </w:p>
    <w:p w14:paraId="7506579D"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15.</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委员会建议缔约国：</w:t>
      </w:r>
    </w:p>
    <w:p w14:paraId="0F5C14E7" w14:textId="4CD5C6B2"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根据《公约》第一条通过关于多重和交叉形式歧视的立法，并将禁止交叉形式歧视纳入公共政策；</w:t>
      </w:r>
    </w:p>
    <w:p w14:paraId="5A9AA6ED" w14:textId="6D837D25" w:rsidR="00AE14A8" w:rsidRPr="00401CEE" w:rsidRDefault="00436988" w:rsidP="00AE14A8">
      <w:pPr>
        <w:pStyle w:val="SingleTxt"/>
        <w:rPr>
          <w:rFonts w:asciiTheme="majorBidi" w:eastAsia="黑体" w:hAnsiTheme="majorBidi" w:cstheme="majorBidi"/>
        </w:rPr>
      </w:pPr>
      <w:r w:rsidRPr="00401CEE">
        <w:rPr>
          <w:rFonts w:asciiTheme="majorBidi" w:eastAsia="黑体" w:hAnsiTheme="majorBidi" w:cstheme="majorBidi"/>
        </w:rPr>
        <w:tab/>
      </w:r>
      <w:r w:rsidR="00AE14A8" w:rsidRPr="00401CEE">
        <w:rPr>
          <w:rFonts w:asciiTheme="majorBidi" w:eastAsia="黑体" w:hAnsiTheme="majorBidi" w:cstheme="majorBidi" w:hint="eastAsia"/>
        </w:rPr>
        <w:t>(b)</w:t>
      </w:r>
      <w:r w:rsidR="00AE14A8" w:rsidRPr="00401CEE">
        <w:rPr>
          <w:rFonts w:asciiTheme="majorBidi" w:eastAsia="黑体" w:hAnsiTheme="majorBidi" w:cstheme="majorBidi" w:hint="eastAsia"/>
        </w:rPr>
        <w:tab/>
      </w:r>
      <w:r w:rsidR="00AE14A8" w:rsidRPr="00401CEE">
        <w:rPr>
          <w:rFonts w:asciiTheme="majorBidi" w:eastAsia="黑体" w:hAnsiTheme="majorBidi" w:cstheme="majorBidi" w:hint="eastAsia"/>
        </w:rPr>
        <w:t>依照委员会关于缔约国在《公约》第二条之下核心义务的第</w:t>
      </w:r>
      <w:r w:rsidR="00AE14A8" w:rsidRPr="00401CEE">
        <w:rPr>
          <w:rFonts w:asciiTheme="majorBidi" w:eastAsia="黑体" w:hAnsiTheme="majorBidi" w:cstheme="majorBidi" w:hint="eastAsia"/>
        </w:rPr>
        <w:t>28</w:t>
      </w:r>
      <w:r w:rsidR="00AE14A8" w:rsidRPr="00401CEE">
        <w:rPr>
          <w:rFonts w:asciiTheme="majorBidi" w:eastAsia="黑体" w:hAnsiTheme="majorBidi" w:cstheme="majorBidi" w:hint="eastAsia"/>
        </w:rPr>
        <w:t>号一般性建议</w:t>
      </w:r>
      <w:r w:rsidR="00AE14A8" w:rsidRPr="00401CEE">
        <w:rPr>
          <w:rFonts w:asciiTheme="majorBidi" w:eastAsia="黑体" w:hAnsiTheme="majorBidi" w:cstheme="majorBidi" w:hint="eastAsia"/>
        </w:rPr>
        <w:t>(2010</w:t>
      </w:r>
      <w:r w:rsidR="00AE14A8" w:rsidRPr="00401CEE">
        <w:rPr>
          <w:rFonts w:asciiTheme="majorBidi" w:eastAsia="黑体" w:hAnsiTheme="majorBidi" w:cstheme="majorBidi" w:hint="eastAsia"/>
        </w:rPr>
        <w:t>年</w:t>
      </w:r>
      <w:r w:rsidR="00AE14A8" w:rsidRPr="00401CEE">
        <w:rPr>
          <w:rFonts w:asciiTheme="majorBidi" w:eastAsia="黑体" w:hAnsiTheme="majorBidi" w:cstheme="majorBidi" w:hint="eastAsia"/>
        </w:rPr>
        <w:t>)</w:t>
      </w:r>
      <w:r w:rsidR="00AE14A8" w:rsidRPr="00401CEE">
        <w:rPr>
          <w:rFonts w:asciiTheme="majorBidi" w:eastAsia="黑体" w:hAnsiTheme="majorBidi" w:cstheme="majorBidi" w:hint="eastAsia"/>
        </w:rPr>
        <w:t>第</w:t>
      </w:r>
      <w:r w:rsidR="00AE14A8" w:rsidRPr="00401CEE">
        <w:rPr>
          <w:rFonts w:asciiTheme="majorBidi" w:eastAsia="黑体" w:hAnsiTheme="majorBidi" w:cstheme="majorBidi" w:hint="eastAsia"/>
        </w:rPr>
        <w:t>5</w:t>
      </w:r>
      <w:r w:rsidR="00AE14A8" w:rsidRPr="00401CEE">
        <w:rPr>
          <w:rFonts w:asciiTheme="majorBidi" w:eastAsia="黑体" w:hAnsiTheme="majorBidi" w:cstheme="majorBidi" w:hint="eastAsia"/>
        </w:rPr>
        <w:t>段确保立法、政策和方案促进性别平等，包括为此纳入性别平等观点；</w:t>
      </w:r>
    </w:p>
    <w:p w14:paraId="7A02B719" w14:textId="4ABC9BE4" w:rsidR="00AE14A8" w:rsidRPr="00401CEE" w:rsidRDefault="008A2E88" w:rsidP="00AE14A8">
      <w:pPr>
        <w:pStyle w:val="SingleTxt"/>
        <w:rPr>
          <w:rFonts w:asciiTheme="majorBidi" w:eastAsia="黑体" w:hAnsiTheme="majorBidi" w:cstheme="majorBidi"/>
        </w:rPr>
      </w:pPr>
      <w:r w:rsidRPr="00401CEE">
        <w:rPr>
          <w:rFonts w:asciiTheme="majorBidi" w:eastAsia="黑体" w:hAnsiTheme="majorBidi" w:cstheme="majorBidi"/>
        </w:rPr>
        <w:tab/>
      </w:r>
      <w:r w:rsidR="00AE14A8" w:rsidRPr="00401CEE">
        <w:rPr>
          <w:rFonts w:asciiTheme="majorBidi" w:eastAsia="黑体" w:hAnsiTheme="majorBidi" w:cstheme="majorBidi" w:hint="eastAsia"/>
        </w:rPr>
        <w:t>(c)</w:t>
      </w:r>
      <w:r w:rsidR="00AE14A8" w:rsidRPr="00401CEE">
        <w:rPr>
          <w:rFonts w:asciiTheme="majorBidi" w:eastAsia="黑体" w:hAnsiTheme="majorBidi" w:cstheme="majorBidi" w:hint="eastAsia"/>
        </w:rPr>
        <w:tab/>
      </w:r>
      <w:r w:rsidR="00AE14A8" w:rsidRPr="00401CEE">
        <w:rPr>
          <w:rFonts w:asciiTheme="majorBidi" w:eastAsia="黑体" w:hAnsiTheme="majorBidi" w:cstheme="majorBidi" w:hint="eastAsia"/>
        </w:rPr>
        <w:t>收集按性别、年龄、残疾状况、国籍、种族出身、宗教和社会经济背景分列的数据，以便准确评估妇女和女童的状况，并在必要时制定《公约》所涉领域的具体政策。</w:t>
      </w:r>
    </w:p>
    <w:p w14:paraId="55373497"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域外国家义务</w:t>
      </w:r>
    </w:p>
    <w:p w14:paraId="41E95E18" w14:textId="77777777" w:rsidR="00AE14A8" w:rsidRPr="00401CEE" w:rsidRDefault="00AE14A8" w:rsidP="00AE14A8">
      <w:pPr>
        <w:pStyle w:val="SingleTxt"/>
      </w:pPr>
      <w:r w:rsidRPr="00401CEE">
        <w:rPr>
          <w:rFonts w:hint="eastAsia"/>
        </w:rPr>
        <w:t>16.</w:t>
      </w:r>
      <w:r w:rsidRPr="00401CEE">
        <w:rPr>
          <w:rFonts w:hint="eastAsia"/>
        </w:rPr>
        <w:tab/>
      </w:r>
      <w:r w:rsidRPr="00401CEE">
        <w:rPr>
          <w:rFonts w:hint="eastAsia"/>
        </w:rPr>
        <w:t>委员会满意地注意到国家工商业与人权契约以及第一和第二个工商业与人权国家行动计划获通过。然而，委员会关切地注意到，缔约国的域外公司和金融政策对妇女权利和性别平等的影响未得到独立评估。委员会还感到关切的是，据报，存在卢森堡银行的某些资金可能源自犯罪和剥削行为，特别是贩运和偷运妇女活动。</w:t>
      </w:r>
    </w:p>
    <w:p w14:paraId="30CBA55F" w14:textId="0277ED73" w:rsidR="00AE14A8" w:rsidRPr="00401CEE" w:rsidRDefault="00AE14A8" w:rsidP="00AE14A8">
      <w:pPr>
        <w:pStyle w:val="SingleTxt"/>
      </w:pPr>
      <w:r w:rsidRPr="00401CEE">
        <w:rPr>
          <w:rFonts w:hint="eastAsia"/>
        </w:rPr>
        <w:t>17.</w:t>
      </w:r>
      <w:r w:rsidRPr="00401CEE">
        <w:rPr>
          <w:rFonts w:hint="eastAsia"/>
        </w:rPr>
        <w:tab/>
      </w:r>
      <w:r w:rsidRPr="00401CEE">
        <w:rPr>
          <w:rFonts w:asciiTheme="majorBidi" w:eastAsia="黑体" w:hAnsiTheme="majorBidi" w:cstheme="majorBidi" w:hint="eastAsia"/>
        </w:rPr>
        <w:t>委员会提醒缔约国，根据尽责义务，如果缔约国未能采取一切适当措施以防止、调查、起诉和惩罚非国家行为体的行为或不作为，包括域外经营的公司的行为，并为之提供赔偿，则可能被追究责任。委员会考虑到其此前建议</w:t>
      </w:r>
      <w:r w:rsidRPr="00401CEE">
        <w:rPr>
          <w:rFonts w:asciiTheme="majorBidi" w:eastAsia="黑体" w:hAnsiTheme="majorBidi" w:cstheme="majorBidi" w:hint="eastAsia"/>
        </w:rPr>
        <w:t>(</w:t>
      </w:r>
      <w:hyperlink r:id="rId28" w:history="1">
        <w:r w:rsidRPr="00401CEE">
          <w:rPr>
            <w:rStyle w:val="af7"/>
            <w:rFonts w:asciiTheme="majorBidi" w:eastAsia="黑体" w:hAnsiTheme="majorBidi" w:cstheme="majorBidi" w:hint="eastAsia"/>
          </w:rPr>
          <w:t>CEDAW/C/LUX/CO/6-7</w:t>
        </w:r>
      </w:hyperlink>
      <w:r w:rsidRPr="00401CEE">
        <w:rPr>
          <w:rFonts w:asciiTheme="majorBidi" w:eastAsia="黑体" w:hAnsiTheme="majorBidi" w:cstheme="majorBidi" w:hint="eastAsia"/>
        </w:rPr>
        <w:t>，第</w:t>
      </w:r>
      <w:r w:rsidRPr="00401CEE">
        <w:rPr>
          <w:rFonts w:asciiTheme="majorBidi" w:eastAsia="黑体" w:hAnsiTheme="majorBidi" w:cstheme="majorBidi" w:hint="eastAsia"/>
        </w:rPr>
        <w:t>16(c)</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对本国的金融保密和公司税收政策及其商业活动对受影响国家妇女权利和男女实质性平等的域外影响进行独立、参与式和定期的影响评估，确保这些评估得以公正开展，公开披露所使用的方法和随后的评估结果，并进一步审查本国的公司和金融立法、政策和做法，以期在国内和域外充分实现妇女对《公约》规定权利的享有。委员会还建议缔约国在缔约国境内的公司发生域外侵犯人权行为时为妇女获得有效补救提供便利。</w:t>
      </w:r>
    </w:p>
    <w:p w14:paraId="0F940182"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妇女诉诸司法的机会</w:t>
      </w:r>
    </w:p>
    <w:p w14:paraId="3C0AA375" w14:textId="77777777" w:rsidR="00AE14A8" w:rsidRPr="00401CEE" w:rsidRDefault="00AE14A8" w:rsidP="00AE14A8">
      <w:pPr>
        <w:pStyle w:val="SingleTxt"/>
      </w:pPr>
      <w:r w:rsidRPr="00401CEE">
        <w:rPr>
          <w:rFonts w:hint="eastAsia"/>
        </w:rPr>
        <w:t>18.</w:t>
      </w:r>
      <w:r w:rsidRPr="00401CEE">
        <w:rPr>
          <w:rFonts w:hint="eastAsia"/>
        </w:rPr>
        <w:tab/>
      </w:r>
      <w:r w:rsidRPr="00401CEE">
        <w:rPr>
          <w:rFonts w:hint="eastAsia"/>
        </w:rPr>
        <w:t>委员会欢迎缔约国采取立法措施，以期任命专门处理家庭事务的法官</w:t>
      </w:r>
      <w:r w:rsidRPr="00401CEE">
        <w:rPr>
          <w:rFonts w:hint="eastAsia"/>
        </w:rPr>
        <w:t>(2018</w:t>
      </w:r>
      <w:r w:rsidRPr="00401CEE">
        <w:rPr>
          <w:rFonts w:hint="eastAsia"/>
        </w:rPr>
        <w:t>年</w:t>
      </w:r>
      <w:r w:rsidRPr="00401CEE">
        <w:rPr>
          <w:rFonts w:hint="eastAsia"/>
        </w:rPr>
        <w:t>6</w:t>
      </w:r>
      <w:r w:rsidRPr="00401CEE">
        <w:rPr>
          <w:rFonts w:hint="eastAsia"/>
        </w:rPr>
        <w:t>月</w:t>
      </w:r>
      <w:r w:rsidRPr="00401CEE">
        <w:rPr>
          <w:rFonts w:hint="eastAsia"/>
        </w:rPr>
        <w:t>27</w:t>
      </w:r>
      <w:r w:rsidRPr="00401CEE">
        <w:rPr>
          <w:rFonts w:hint="eastAsia"/>
        </w:rPr>
        <w:t>日设立家庭法官办公室和改革离婚和亲权的法律第</w:t>
      </w:r>
      <w:r w:rsidRPr="00401CEE">
        <w:rPr>
          <w:rFonts w:hint="eastAsia"/>
        </w:rPr>
        <w:t>1</w:t>
      </w:r>
      <w:r w:rsidRPr="00401CEE">
        <w:rPr>
          <w:rFonts w:hint="eastAsia"/>
        </w:rPr>
        <w:t>条</w:t>
      </w:r>
      <w:r w:rsidRPr="00401CEE">
        <w:rPr>
          <w:rFonts w:hint="eastAsia"/>
        </w:rPr>
        <w:t>)</w:t>
      </w:r>
      <w:r w:rsidRPr="00401CEE">
        <w:rPr>
          <w:rFonts w:hint="eastAsia"/>
        </w:rPr>
        <w:t>，并为因经济状况而无权获得全部法律援助者提供部分法律援助</w:t>
      </w:r>
      <w:r w:rsidRPr="00401CEE">
        <w:rPr>
          <w:rFonts w:hint="eastAsia"/>
        </w:rPr>
        <w:t>(2023</w:t>
      </w:r>
      <w:r w:rsidRPr="00401CEE">
        <w:rPr>
          <w:rFonts w:hint="eastAsia"/>
        </w:rPr>
        <w:t>年</w:t>
      </w:r>
      <w:r w:rsidRPr="00401CEE">
        <w:rPr>
          <w:rFonts w:hint="eastAsia"/>
        </w:rPr>
        <w:t>8</w:t>
      </w:r>
      <w:r w:rsidRPr="00401CEE">
        <w:rPr>
          <w:rFonts w:hint="eastAsia"/>
        </w:rPr>
        <w:t>月</w:t>
      </w:r>
      <w:r w:rsidRPr="00401CEE">
        <w:rPr>
          <w:rFonts w:hint="eastAsia"/>
        </w:rPr>
        <w:t>7</w:t>
      </w:r>
      <w:r w:rsidRPr="00401CEE">
        <w:rPr>
          <w:rFonts w:hint="eastAsia"/>
        </w:rPr>
        <w:t>日关于安排法律援助及废除</w:t>
      </w:r>
      <w:r w:rsidRPr="00401CEE">
        <w:rPr>
          <w:rFonts w:hint="eastAsia"/>
        </w:rPr>
        <w:t>1991</w:t>
      </w:r>
      <w:r w:rsidRPr="00401CEE">
        <w:rPr>
          <w:rFonts w:hint="eastAsia"/>
        </w:rPr>
        <w:t>年</w:t>
      </w:r>
      <w:r w:rsidRPr="00401CEE">
        <w:rPr>
          <w:rFonts w:hint="eastAsia"/>
        </w:rPr>
        <w:t>8</w:t>
      </w:r>
      <w:r w:rsidRPr="00401CEE">
        <w:rPr>
          <w:rFonts w:hint="eastAsia"/>
        </w:rPr>
        <w:t>月</w:t>
      </w:r>
      <w:r w:rsidRPr="00401CEE">
        <w:rPr>
          <w:rFonts w:hint="eastAsia"/>
        </w:rPr>
        <w:t>10</w:t>
      </w:r>
      <w:r w:rsidRPr="00401CEE">
        <w:rPr>
          <w:rFonts w:hint="eastAsia"/>
        </w:rPr>
        <w:t>日关于律师职业修正法第</w:t>
      </w:r>
      <w:r w:rsidRPr="00401CEE">
        <w:rPr>
          <w:rFonts w:hint="eastAsia"/>
        </w:rPr>
        <w:t>37-1</w:t>
      </w:r>
      <w:r w:rsidRPr="00401CEE">
        <w:rPr>
          <w:rFonts w:hint="eastAsia"/>
        </w:rPr>
        <w:t>条的法律第</w:t>
      </w:r>
      <w:r w:rsidRPr="00401CEE">
        <w:rPr>
          <w:rFonts w:hint="eastAsia"/>
        </w:rPr>
        <w:t>6</w:t>
      </w:r>
      <w:r w:rsidRPr="00401CEE">
        <w:rPr>
          <w:rFonts w:hint="eastAsia"/>
        </w:rPr>
        <w:t>条</w:t>
      </w:r>
      <w:r w:rsidRPr="00401CEE">
        <w:rPr>
          <w:rFonts w:hint="eastAsia"/>
        </w:rPr>
        <w:t>)</w:t>
      </w:r>
      <w:r w:rsidRPr="00401CEE">
        <w:rPr>
          <w:rFonts w:hint="eastAsia"/>
        </w:rPr>
        <w:t>。委员会还满意地注意到正在开展的少年司法法案草案工作。然而，委员会关切地注意到：</w:t>
      </w:r>
    </w:p>
    <w:p w14:paraId="7F2D8110" w14:textId="5D801629"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缔约国立法中对公正审判权和辩护方权利等程序权利缺乏明确性；</w:t>
      </w:r>
    </w:p>
    <w:p w14:paraId="0FBD408C" w14:textId="15DF177C"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对歧视妇女案件缺乏调查和惩罚；</w:t>
      </w:r>
    </w:p>
    <w:p w14:paraId="6A61E68A" w14:textId="2A94BBCD"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存在限制妇女、特别是外籍妇女和残疾妇女诉诸司法的障碍，如对现有各种可用的补救措施缺乏认识；害怕报复和被解雇；缺乏无障碍环境、合理便利和程序调整，包括对决策的支持；</w:t>
      </w:r>
    </w:p>
    <w:p w14:paraId="48D6385D" w14:textId="26F57374"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平等待遇中心无权代表受歧视妇女提出申诉。</w:t>
      </w:r>
    </w:p>
    <w:p w14:paraId="5D3D27C4" w14:textId="77777777" w:rsidR="00AE14A8" w:rsidRPr="00401CEE" w:rsidRDefault="00AE14A8" w:rsidP="00AE14A8">
      <w:pPr>
        <w:pStyle w:val="SingleTxt"/>
        <w:rPr>
          <w:rFonts w:asciiTheme="majorBidi" w:eastAsia="黑体" w:hAnsiTheme="majorBidi" w:cstheme="majorBidi"/>
          <w:spacing w:val="-8"/>
        </w:rPr>
      </w:pPr>
      <w:r w:rsidRPr="00401CEE">
        <w:rPr>
          <w:rFonts w:asciiTheme="majorBidi" w:eastAsia="黑体" w:hAnsiTheme="majorBidi" w:cstheme="majorBidi" w:hint="eastAsia"/>
          <w:spacing w:val="-8"/>
        </w:rPr>
        <w:t>19.</w:t>
      </w:r>
      <w:r w:rsidRPr="00401CEE">
        <w:rPr>
          <w:rFonts w:asciiTheme="majorBidi" w:eastAsia="黑体" w:hAnsiTheme="majorBidi" w:cstheme="majorBidi" w:hint="eastAsia"/>
          <w:spacing w:val="-8"/>
        </w:rPr>
        <w:tab/>
      </w:r>
      <w:r w:rsidRPr="00401CEE">
        <w:rPr>
          <w:rFonts w:asciiTheme="majorBidi" w:eastAsia="黑体" w:hAnsiTheme="majorBidi" w:cstheme="majorBidi" w:hint="eastAsia"/>
          <w:spacing w:val="-8"/>
        </w:rPr>
        <w:t>委员会回顾其关于妇女诉诸司法的第</w:t>
      </w:r>
      <w:r w:rsidRPr="00401CEE">
        <w:rPr>
          <w:rFonts w:asciiTheme="majorBidi" w:eastAsia="黑体" w:hAnsiTheme="majorBidi" w:cstheme="majorBidi" w:hint="eastAsia"/>
          <w:spacing w:val="-8"/>
        </w:rPr>
        <w:t>33</w:t>
      </w:r>
      <w:r w:rsidRPr="00401CEE">
        <w:rPr>
          <w:rFonts w:asciiTheme="majorBidi" w:eastAsia="黑体" w:hAnsiTheme="majorBidi" w:cstheme="majorBidi" w:hint="eastAsia"/>
          <w:spacing w:val="-8"/>
        </w:rPr>
        <w:t>号一般性建议</w:t>
      </w:r>
      <w:r w:rsidRPr="00401CEE">
        <w:rPr>
          <w:rFonts w:asciiTheme="majorBidi" w:eastAsia="黑体" w:hAnsiTheme="majorBidi" w:cstheme="majorBidi" w:hint="eastAsia"/>
          <w:spacing w:val="-8"/>
        </w:rPr>
        <w:t>(2015</w:t>
      </w:r>
      <w:r w:rsidRPr="00401CEE">
        <w:rPr>
          <w:rFonts w:asciiTheme="majorBidi" w:eastAsia="黑体" w:hAnsiTheme="majorBidi" w:cstheme="majorBidi" w:hint="eastAsia"/>
          <w:spacing w:val="-8"/>
        </w:rPr>
        <w:t>年</w:t>
      </w:r>
      <w:r w:rsidRPr="00401CEE">
        <w:rPr>
          <w:rFonts w:asciiTheme="majorBidi" w:eastAsia="黑体" w:hAnsiTheme="majorBidi" w:cstheme="majorBidi" w:hint="eastAsia"/>
          <w:spacing w:val="-8"/>
        </w:rPr>
        <w:t>)</w:t>
      </w:r>
      <w:r w:rsidRPr="00401CEE">
        <w:rPr>
          <w:rFonts w:asciiTheme="majorBidi" w:eastAsia="黑体" w:hAnsiTheme="majorBidi" w:cstheme="majorBidi" w:hint="eastAsia"/>
          <w:spacing w:val="-8"/>
        </w:rPr>
        <w:t>，建议缔约国：</w:t>
      </w:r>
    </w:p>
    <w:p w14:paraId="0E2B7E32" w14:textId="315AE3A9"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加强立法以确保程序权利，包括公正审判权和辩护方权利；</w:t>
      </w:r>
    </w:p>
    <w:p w14:paraId="3594FE89" w14:textId="1C151261" w:rsidR="00AE14A8" w:rsidRPr="00401CEE" w:rsidRDefault="00AE14A8" w:rsidP="00AE14A8">
      <w:pPr>
        <w:pStyle w:val="SingleTxt"/>
      </w:pPr>
      <w:r w:rsidRPr="00401CEE">
        <w:rPr>
          <w:spacing w:val="-4"/>
        </w:rPr>
        <w:tab/>
      </w:r>
      <w:r w:rsidRPr="00401CEE">
        <w:rPr>
          <w:rFonts w:hint="eastAsia"/>
          <w:spacing w:val="-4"/>
        </w:rPr>
        <w:t>(b)</w:t>
      </w:r>
      <w:r w:rsidRPr="00401CEE">
        <w:rPr>
          <w:spacing w:val="-4"/>
        </w:rPr>
        <w:tab/>
      </w:r>
      <w:r w:rsidRPr="00401CEE">
        <w:rPr>
          <w:rFonts w:hint="eastAsia"/>
          <w:spacing w:val="-4"/>
        </w:rPr>
        <w:t>提高公众对禁止歧视妇女的立法和对受害者可利用的补救办法的认识，</w:t>
      </w:r>
      <w:r w:rsidRPr="00401CEE">
        <w:rPr>
          <w:rFonts w:hint="eastAsia"/>
        </w:rPr>
        <w:t>并为司法机构提供严格适用此方面立法的能力建设活动；</w:t>
      </w:r>
    </w:p>
    <w:p w14:paraId="2FF5945A" w14:textId="08A78233" w:rsidR="00AE14A8" w:rsidRPr="00401CEE" w:rsidRDefault="00AE14A8" w:rsidP="008A2E88">
      <w:pPr>
        <w:pStyle w:val="SingleTxt"/>
        <w:spacing w:after="120"/>
      </w:pPr>
      <w:r w:rsidRPr="00401CEE">
        <w:tab/>
      </w:r>
      <w:r w:rsidRPr="00401CEE">
        <w:rPr>
          <w:rFonts w:hint="eastAsia"/>
        </w:rPr>
        <w:t>(c)</w:t>
      </w:r>
      <w:r w:rsidRPr="00401CEE">
        <w:tab/>
      </w:r>
      <w:r w:rsidRPr="00401CEE">
        <w:rPr>
          <w:rFonts w:hint="eastAsia"/>
        </w:rPr>
        <w:t>解决遭受性别暴力、歧视或虐待的妇女受害者在诉诸司法方面面临的障碍，特别关注外籍妇女和残疾妇女；</w:t>
      </w:r>
    </w:p>
    <w:p w14:paraId="7B491E94" w14:textId="2C0AC361" w:rsidR="00AE14A8" w:rsidRPr="00401CEE" w:rsidRDefault="00AE14A8" w:rsidP="008A2E88">
      <w:pPr>
        <w:pStyle w:val="SingleTxt"/>
        <w:spacing w:after="120"/>
      </w:pPr>
      <w:r w:rsidRPr="00401CEE">
        <w:rPr>
          <w:spacing w:val="-4"/>
        </w:rPr>
        <w:tab/>
      </w:r>
      <w:r w:rsidRPr="00401CEE">
        <w:rPr>
          <w:rFonts w:hint="eastAsia"/>
          <w:spacing w:val="-4"/>
        </w:rPr>
        <w:t>(d)</w:t>
      </w:r>
      <w:r w:rsidRPr="00401CEE">
        <w:rPr>
          <w:rFonts w:hint="eastAsia"/>
          <w:spacing w:val="-4"/>
        </w:rPr>
        <w:tab/>
      </w:r>
      <w:r w:rsidRPr="00401CEE">
        <w:rPr>
          <w:rFonts w:hint="eastAsia"/>
          <w:spacing w:val="-4"/>
        </w:rPr>
        <w:t>增加分配给平等待遇中心的人力、技术和财政资源，加强其任务授权，</w:t>
      </w:r>
      <w:r w:rsidRPr="00401CEE">
        <w:rPr>
          <w:rFonts w:hint="eastAsia"/>
        </w:rPr>
        <w:t>特别是为此而赋予该中心代表歧视受害者提起法律诉讼的权力，并为此而加强其调查权力且使其决定具有约束力；</w:t>
      </w:r>
    </w:p>
    <w:p w14:paraId="3F270475" w14:textId="696214A8" w:rsidR="00AE14A8" w:rsidRPr="00401CEE" w:rsidRDefault="00AE14A8" w:rsidP="008A2E88">
      <w:pPr>
        <w:pStyle w:val="SingleTxt"/>
        <w:spacing w:after="120"/>
      </w:pPr>
      <w:r w:rsidRPr="00401CEE">
        <w:tab/>
      </w:r>
      <w:r w:rsidRPr="00401CEE">
        <w:rPr>
          <w:rFonts w:hint="eastAsia"/>
        </w:rPr>
        <w:t>(e)</w:t>
      </w:r>
      <w:r w:rsidRPr="00401CEE">
        <w:rPr>
          <w:rFonts w:hint="eastAsia"/>
        </w:rPr>
        <w:tab/>
      </w:r>
      <w:r w:rsidRPr="00401CEE">
        <w:rPr>
          <w:rFonts w:hint="eastAsia"/>
        </w:rPr>
        <w:t>按照人权咨询委员会的建议，在少年司法法案草案中列入一项一般性规定，禁止对怀孕或哺乳期女孩判处监禁或将她们关在审前拘留设施内。</w:t>
      </w:r>
    </w:p>
    <w:p w14:paraId="56E2DD89"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提高妇女地位国家机构</w:t>
      </w:r>
    </w:p>
    <w:p w14:paraId="5859B339" w14:textId="77777777" w:rsidR="00AE14A8" w:rsidRPr="00401CEE" w:rsidRDefault="00AE14A8" w:rsidP="008A2E88">
      <w:pPr>
        <w:pStyle w:val="SingleTxt"/>
        <w:spacing w:after="120"/>
      </w:pPr>
      <w:r w:rsidRPr="00401CEE">
        <w:rPr>
          <w:rFonts w:hint="eastAsia"/>
        </w:rPr>
        <w:t>20.</w:t>
      </w:r>
      <w:r w:rsidRPr="00401CEE">
        <w:rPr>
          <w:rFonts w:hint="eastAsia"/>
        </w:rPr>
        <w:tab/>
      </w:r>
      <w:r w:rsidRPr="00401CEE">
        <w:rPr>
          <w:rFonts w:hint="eastAsia"/>
        </w:rPr>
        <w:t>委员会欢迎</w:t>
      </w:r>
      <w:r w:rsidRPr="00401CEE">
        <w:rPr>
          <w:rFonts w:hint="eastAsia"/>
        </w:rPr>
        <w:t>2024</w:t>
      </w:r>
      <w:r w:rsidRPr="00401CEE">
        <w:rPr>
          <w:rFonts w:hint="eastAsia"/>
        </w:rPr>
        <w:t>年</w:t>
      </w:r>
      <w:r w:rsidRPr="00401CEE">
        <w:rPr>
          <w:rFonts w:hint="eastAsia"/>
        </w:rPr>
        <w:t>11</w:t>
      </w:r>
      <w:r w:rsidRPr="00401CEE">
        <w:rPr>
          <w:rFonts w:hint="eastAsia"/>
        </w:rPr>
        <w:t>月</w:t>
      </w:r>
      <w:r w:rsidRPr="00401CEE">
        <w:rPr>
          <w:rFonts w:hint="eastAsia"/>
        </w:rPr>
        <w:t>7</w:t>
      </w:r>
      <w:r w:rsidRPr="00401CEE">
        <w:rPr>
          <w:rFonts w:hint="eastAsia"/>
        </w:rPr>
        <w:t>日性别平等观察站和性别平等高级理事会设立法获通过，并注意到男女平等部更名为性别平等和多样性事务部。然而，委员会关切地注意到：</w:t>
      </w:r>
    </w:p>
    <w:p w14:paraId="043D857A" w14:textId="18949FA4" w:rsidR="00AE14A8" w:rsidRPr="00401CEE" w:rsidRDefault="00AE14A8" w:rsidP="008A2E88">
      <w:pPr>
        <w:pStyle w:val="SingleTxt"/>
        <w:spacing w:after="120"/>
      </w:pPr>
      <w:r w:rsidRPr="00401CEE">
        <w:tab/>
      </w:r>
      <w:r w:rsidRPr="00401CEE">
        <w:rPr>
          <w:rFonts w:hint="eastAsia"/>
        </w:rPr>
        <w:t>(a)</w:t>
      </w:r>
      <w:r w:rsidRPr="00401CEE">
        <w:rPr>
          <w:rFonts w:hint="eastAsia"/>
        </w:rPr>
        <w:tab/>
        <w:t>2020</w:t>
      </w:r>
      <w:r w:rsidRPr="00401CEE">
        <w:rPr>
          <w:rFonts w:hint="eastAsia"/>
        </w:rPr>
        <w:t>年通过的第二个促进男女平等国家行动计划仅部分得以执行，相关挑战仍有待克服；</w:t>
      </w:r>
    </w:p>
    <w:p w14:paraId="47363EC9" w14:textId="18BD09C2" w:rsidR="00AE14A8" w:rsidRPr="00401CEE" w:rsidRDefault="00AE14A8" w:rsidP="008A2E88">
      <w:pPr>
        <w:pStyle w:val="SingleTxt"/>
        <w:spacing w:after="120"/>
      </w:pPr>
      <w:r w:rsidRPr="00401CEE">
        <w:tab/>
      </w:r>
      <w:r w:rsidRPr="00401CEE">
        <w:rPr>
          <w:rFonts w:hint="eastAsia"/>
        </w:rPr>
        <w:t>(b)</w:t>
      </w:r>
      <w:r w:rsidRPr="00401CEE">
        <w:rPr>
          <w:rFonts w:hint="eastAsia"/>
        </w:rPr>
        <w:tab/>
      </w:r>
      <w:r w:rsidRPr="00401CEE">
        <w:rPr>
          <w:rFonts w:hint="eastAsia"/>
        </w:rPr>
        <w:t>缔约国对平等政策采取的性别中性做法可能有碍其制定有效政策来解决结构性性别不平等及其对妇女权利的影响；</w:t>
      </w:r>
    </w:p>
    <w:p w14:paraId="071377F8" w14:textId="272C0D47" w:rsidR="00AE14A8" w:rsidRPr="00401CEE" w:rsidRDefault="00AE14A8" w:rsidP="008A2E88">
      <w:pPr>
        <w:pStyle w:val="SingleTxt"/>
        <w:spacing w:after="120"/>
      </w:pPr>
      <w:r w:rsidRPr="00401CEE">
        <w:tab/>
      </w:r>
      <w:r w:rsidRPr="00401CEE">
        <w:rPr>
          <w:rFonts w:hint="eastAsia"/>
        </w:rPr>
        <w:t>(c)</w:t>
      </w:r>
      <w:r w:rsidRPr="00401CEE">
        <w:rPr>
          <w:rFonts w:hint="eastAsia"/>
        </w:rPr>
        <w:tab/>
      </w:r>
      <w:r w:rsidRPr="00401CEE">
        <w:rPr>
          <w:rFonts w:hint="eastAsia"/>
        </w:rPr>
        <w:t>肤色、语言、性别认同和性特征尚未列入《平等待遇法》保护理由清单，这有碍评估与弱势群体妇女有关的立法和公共政策的有效性。</w:t>
      </w:r>
    </w:p>
    <w:p w14:paraId="10EE1B7F" w14:textId="77777777" w:rsidR="00AE14A8" w:rsidRPr="00401CEE" w:rsidRDefault="00AE14A8" w:rsidP="00AE14A8">
      <w:pPr>
        <w:pStyle w:val="SingleTxt"/>
        <w:rPr>
          <w:rFonts w:asciiTheme="majorBidi" w:eastAsia="黑体" w:hAnsiTheme="majorBidi" w:cstheme="majorBidi"/>
        </w:rPr>
      </w:pPr>
      <w:r w:rsidRPr="00401CEE">
        <w:rPr>
          <w:rFonts w:hint="eastAsia"/>
        </w:rPr>
        <w:t>21.</w:t>
      </w:r>
      <w:r w:rsidRPr="00401CEE">
        <w:rPr>
          <w:rFonts w:hint="eastAsia"/>
        </w:rPr>
        <w:tab/>
      </w:r>
      <w:r w:rsidRPr="00401CEE">
        <w:rPr>
          <w:rFonts w:asciiTheme="majorBidi" w:eastAsia="黑体" w:hAnsiTheme="majorBidi" w:cstheme="majorBidi" w:hint="eastAsia"/>
        </w:rPr>
        <w:t>委员会建议缔约国：</w:t>
      </w:r>
    </w:p>
    <w:p w14:paraId="19A185AB" w14:textId="6006204D" w:rsidR="00AE14A8" w:rsidRPr="00401CEE" w:rsidRDefault="00AE14A8" w:rsidP="008A2E88">
      <w:pPr>
        <w:pStyle w:val="SingleTxt"/>
        <w:spacing w:after="120"/>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确保分配适足的人力、技术和财政资源，以有效执行促进男女平等国家行动计划，并有效执行、监测和评价其影响，包括在消除根深蒂固的性别陈规定型观念这方面；</w:t>
      </w:r>
    </w:p>
    <w:p w14:paraId="6491C33E" w14:textId="66121D0F" w:rsidR="00AE14A8" w:rsidRPr="00401CEE" w:rsidRDefault="00AE14A8" w:rsidP="008A2E88">
      <w:pPr>
        <w:pStyle w:val="SingleTxt"/>
        <w:spacing w:after="120"/>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评估平等立法和政策中适用的性别中性做法对弱势群体妇女状况变化的影响；</w:t>
      </w:r>
    </w:p>
    <w:p w14:paraId="46FBFE5C" w14:textId="5FF1C8A6" w:rsidR="00AE14A8" w:rsidRPr="00401CEE" w:rsidRDefault="00AE14A8" w:rsidP="008A2E88">
      <w:pPr>
        <w:pStyle w:val="SingleTxt"/>
        <w:spacing w:after="120"/>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设立性别平等高级理事会，为其提供履行职能所需的必要人力和财政资源。</w:t>
      </w:r>
    </w:p>
    <w:p w14:paraId="4C59EB49"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国家人权机构</w:t>
      </w:r>
    </w:p>
    <w:p w14:paraId="30A41D85" w14:textId="77777777" w:rsidR="00AE14A8" w:rsidRPr="00401CEE" w:rsidRDefault="00AE14A8" w:rsidP="008A2E88">
      <w:pPr>
        <w:pStyle w:val="SingleTxt"/>
        <w:spacing w:after="120"/>
      </w:pPr>
      <w:r w:rsidRPr="00401CEE">
        <w:rPr>
          <w:rFonts w:hint="eastAsia"/>
        </w:rPr>
        <w:t>22.</w:t>
      </w:r>
      <w:r w:rsidRPr="00401CEE">
        <w:rPr>
          <w:rFonts w:hint="eastAsia"/>
        </w:rPr>
        <w:tab/>
      </w:r>
      <w:r w:rsidRPr="00401CEE">
        <w:rPr>
          <w:rFonts w:hint="eastAsia"/>
        </w:rPr>
        <w:t>委员会仍感关切的是，人权咨询委员会缺乏有效执行任务所需的人力、技术和财政资源。委员会还感到关切的是，该机构不具有审查个人申诉和在这方面提出具有约束力的建议的授权。</w:t>
      </w:r>
    </w:p>
    <w:p w14:paraId="230D5487" w14:textId="77777777" w:rsidR="00AE14A8" w:rsidRPr="00401CEE" w:rsidRDefault="00AE14A8" w:rsidP="008A2E88">
      <w:pPr>
        <w:pStyle w:val="SingleTxt"/>
        <w:spacing w:after="120"/>
        <w:rPr>
          <w:rFonts w:asciiTheme="majorBidi" w:eastAsia="黑体" w:hAnsiTheme="majorBidi" w:cstheme="majorBidi"/>
        </w:rPr>
      </w:pPr>
      <w:r w:rsidRPr="00401CEE">
        <w:rPr>
          <w:rFonts w:hint="eastAsia"/>
        </w:rPr>
        <w:t>23.</w:t>
      </w:r>
      <w:r w:rsidRPr="00401CEE">
        <w:rPr>
          <w:rFonts w:hint="eastAsia"/>
        </w:rPr>
        <w:tab/>
      </w:r>
      <w:r w:rsidRPr="00401CEE">
        <w:rPr>
          <w:rFonts w:asciiTheme="majorBidi" w:eastAsia="黑体" w:hAnsiTheme="majorBidi" w:cstheme="majorBidi" w:hint="eastAsia"/>
        </w:rPr>
        <w:t>委员会建议缔约国增加对人权咨询委员会的资源分配，并落实国家人权机构全球联盟</w:t>
      </w:r>
      <w:r w:rsidRPr="00401CEE">
        <w:rPr>
          <w:rFonts w:asciiTheme="majorBidi" w:eastAsia="黑体" w:hAnsiTheme="majorBidi" w:cstheme="majorBidi" w:hint="eastAsia"/>
        </w:rPr>
        <w:t>2022</w:t>
      </w:r>
      <w:r w:rsidRPr="00401CEE">
        <w:rPr>
          <w:rFonts w:asciiTheme="majorBidi" w:eastAsia="黑体" w:hAnsiTheme="majorBidi" w:cstheme="majorBidi" w:hint="eastAsia"/>
        </w:rPr>
        <w:t>年提出的建议。委员会还建议缔约国加强人权咨询委员会的任务授权，使其能够审查个人申诉并在这方面提出具有约束力的建议。</w:t>
      </w:r>
    </w:p>
    <w:p w14:paraId="51709762"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暂行特别措施</w:t>
      </w:r>
    </w:p>
    <w:p w14:paraId="676C6A5C" w14:textId="77777777" w:rsidR="00AE14A8" w:rsidRPr="00401CEE" w:rsidRDefault="00AE14A8" w:rsidP="00AE14A8">
      <w:pPr>
        <w:pStyle w:val="SingleTxt"/>
      </w:pPr>
      <w:r w:rsidRPr="00401CEE">
        <w:rPr>
          <w:rFonts w:hint="eastAsia"/>
        </w:rPr>
        <w:t>24.</w:t>
      </w:r>
      <w:r w:rsidRPr="00401CEE">
        <w:rPr>
          <w:rFonts w:hint="eastAsia"/>
        </w:rPr>
        <w:tab/>
      </w:r>
      <w:r w:rsidRPr="00401CEE">
        <w:rPr>
          <w:rFonts w:hint="eastAsia"/>
        </w:rPr>
        <w:t>委员会注意到，在缔约国，参加大选的政党选举名单中代表比例不足的性别必须占</w:t>
      </w:r>
      <w:r w:rsidRPr="00401CEE">
        <w:rPr>
          <w:rFonts w:hint="eastAsia"/>
        </w:rPr>
        <w:t>40%</w:t>
      </w:r>
      <w:r w:rsidRPr="00401CEE">
        <w:rPr>
          <w:rFonts w:hint="eastAsia"/>
        </w:rPr>
        <w:t>的最低配额，市议会和国有企业董事会也规定有自愿配额。然而，委员会关切地注意到，除最低配额和自愿配额外，没有采取暂行特别措施。委员会还关切地注意到，据报，公众持续反对提高妇女地位的暂行特别措施。</w:t>
      </w:r>
    </w:p>
    <w:p w14:paraId="45392A82" w14:textId="346A0D97" w:rsidR="00AE14A8" w:rsidRPr="00401CEE" w:rsidRDefault="00AE14A8" w:rsidP="00AE14A8">
      <w:pPr>
        <w:pStyle w:val="SingleTxt"/>
        <w:rPr>
          <w:rFonts w:asciiTheme="majorBidi" w:eastAsia="黑体" w:hAnsiTheme="majorBidi" w:cstheme="majorBidi"/>
        </w:rPr>
      </w:pPr>
      <w:r w:rsidRPr="00401CEE">
        <w:rPr>
          <w:rFonts w:hint="eastAsia"/>
        </w:rPr>
        <w:t>25.</w:t>
      </w:r>
      <w:r w:rsidRPr="00401CEE">
        <w:rPr>
          <w:rFonts w:hint="eastAsia"/>
        </w:rPr>
        <w:tab/>
      </w:r>
      <w:r w:rsidRPr="00401CEE">
        <w:rPr>
          <w:rFonts w:asciiTheme="majorBidi" w:eastAsia="黑体" w:hAnsiTheme="majorBidi" w:cstheme="majorBidi" w:hint="eastAsia"/>
        </w:rPr>
        <w:t>委员会回顾其关于暂行特别措施的第</w:t>
      </w:r>
      <w:r w:rsidRPr="00401CEE">
        <w:rPr>
          <w:rFonts w:asciiTheme="majorBidi" w:eastAsia="黑体" w:hAnsiTheme="majorBidi" w:cstheme="majorBidi" w:hint="eastAsia"/>
        </w:rPr>
        <w:t>25</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(2004</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并根据《公约》第四条第</w:t>
      </w:r>
      <w:r w:rsidRPr="00401CEE">
        <w:rPr>
          <w:rFonts w:asciiTheme="majorBidi" w:eastAsia="黑体" w:hAnsiTheme="majorBidi" w:cstheme="majorBidi" w:hint="eastAsia"/>
        </w:rPr>
        <w:t>1</w:t>
      </w:r>
      <w:r w:rsidRPr="00401CEE">
        <w:rPr>
          <w:rFonts w:asciiTheme="majorBidi" w:eastAsia="黑体" w:hAnsiTheme="majorBidi" w:cstheme="majorBidi" w:hint="eastAsia"/>
        </w:rPr>
        <w:t>款重申其此前的结论性意见</w:t>
      </w:r>
      <w:r w:rsidRPr="00401CEE">
        <w:rPr>
          <w:rFonts w:asciiTheme="majorBidi" w:eastAsia="黑体" w:hAnsiTheme="majorBidi" w:cstheme="majorBidi" w:hint="eastAsia"/>
        </w:rPr>
        <w:t>(</w:t>
      </w:r>
      <w:hyperlink r:id="rId29" w:history="1">
        <w:r w:rsidRPr="00401CEE">
          <w:rPr>
            <w:rStyle w:val="af7"/>
            <w:rFonts w:asciiTheme="majorBidi" w:eastAsia="黑体" w:hAnsiTheme="majorBidi" w:cstheme="majorBidi" w:hint="eastAsia"/>
          </w:rPr>
          <w:t>CEDAW/C/LUX/CO/6-7</w:t>
        </w:r>
      </w:hyperlink>
      <w:r w:rsidRPr="00401CEE">
        <w:rPr>
          <w:rFonts w:asciiTheme="majorBidi" w:eastAsia="黑体" w:hAnsiTheme="majorBidi" w:cstheme="majorBidi" w:hint="eastAsia"/>
        </w:rPr>
        <w:t>，第</w:t>
      </w:r>
      <w:r w:rsidRPr="00401CEE">
        <w:rPr>
          <w:rFonts w:asciiTheme="majorBidi" w:eastAsia="黑体" w:hAnsiTheme="majorBidi" w:cstheme="majorBidi" w:hint="eastAsia"/>
        </w:rPr>
        <w:t>24</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w:t>
      </w:r>
    </w:p>
    <w:p w14:paraId="3D2083F6" w14:textId="7B4743A4"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继续提高政治家、公职人员、媒体和公众对在妇女代表性不足或处于不利地位的所有领域采取暂行特别措施实现男女实质性平等的非歧视性质及必要性的认识；</w:t>
      </w:r>
    </w:p>
    <w:p w14:paraId="237339D4" w14:textId="77FADFEA"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在妇女处于不利地位或代表性不足的所有公共和私人领域采取暂行特别措施，如针对性别的奖励措施、优先征聘妇女、有时限的目标、均等配额和具体目标。</w:t>
      </w:r>
    </w:p>
    <w:p w14:paraId="167E3C1B"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性别陈规定型观念</w:t>
      </w:r>
    </w:p>
    <w:p w14:paraId="03D4933B" w14:textId="5E52245F" w:rsidR="00AE14A8" w:rsidRPr="00401CEE" w:rsidRDefault="00AE14A8" w:rsidP="00AE14A8">
      <w:pPr>
        <w:pStyle w:val="SingleTxt"/>
      </w:pPr>
      <w:r w:rsidRPr="00401CEE">
        <w:rPr>
          <w:rFonts w:hint="eastAsia"/>
        </w:rPr>
        <w:t>26.</w:t>
      </w:r>
      <w:r w:rsidRPr="00401CEE">
        <w:rPr>
          <w:rFonts w:hint="eastAsia"/>
        </w:rPr>
        <w:tab/>
      </w:r>
      <w:r w:rsidRPr="00401CEE">
        <w:rPr>
          <w:rFonts w:hint="eastAsia"/>
        </w:rPr>
        <w:t>委员会重申其此前表达的对传统媒体和社交媒体在使负面和性别歧视性质的陈规定型观念长期存在方面所起作用的关切</w:t>
      </w:r>
      <w:r w:rsidRPr="00401CEE">
        <w:rPr>
          <w:rFonts w:hint="eastAsia"/>
        </w:rPr>
        <w:t>(</w:t>
      </w:r>
      <w:hyperlink r:id="rId30" w:history="1">
        <w:r w:rsidRPr="00401CEE">
          <w:rPr>
            <w:rStyle w:val="af7"/>
            <w:rFonts w:hint="eastAsia"/>
          </w:rPr>
          <w:t>CEDAW/C/LUX/CO/6-7</w:t>
        </w:r>
      </w:hyperlink>
      <w:r w:rsidRPr="00401CEE">
        <w:rPr>
          <w:rFonts w:hint="eastAsia"/>
        </w:rPr>
        <w:t>，第</w:t>
      </w:r>
      <w:r w:rsidRPr="00401CEE">
        <w:rPr>
          <w:rFonts w:hint="eastAsia"/>
        </w:rPr>
        <w:t>25</w:t>
      </w:r>
      <w:r w:rsidRPr="00401CEE">
        <w:rPr>
          <w:rFonts w:hint="eastAsia"/>
        </w:rPr>
        <w:t>段</w:t>
      </w:r>
      <w:r w:rsidRPr="00401CEE">
        <w:rPr>
          <w:rFonts w:hint="eastAsia"/>
        </w:rPr>
        <w:t>)</w:t>
      </w:r>
      <w:r w:rsidRPr="00401CEE">
        <w:rPr>
          <w:rFonts w:hint="eastAsia"/>
        </w:rPr>
        <w:t>。委员会注意到，缔约国的法律惩处歧视，包括性别歧视，以及媒体和广告中的仇恨言论。然而，委员会关切地注意到，相关应对机制主要基于个人投诉，而个人投诉很少。委员会提醒缔约国，消除性别陈规定型观念是一国的义务，履行这一义务不能仅限于设有个人投诉机制，因此不能仅依赖公民的主动行动。委员会还感到遗憾的是，尽管为公共部门各级和不同领域的官员实施了广泛的性别平等培训和能力建设举措，但没有对此类培训的范围和影响进行定期评价。</w:t>
      </w:r>
    </w:p>
    <w:p w14:paraId="0D20F37C" w14:textId="77777777" w:rsidR="00AE14A8" w:rsidRPr="00401CEE" w:rsidRDefault="00AE14A8" w:rsidP="00AE14A8">
      <w:pPr>
        <w:pStyle w:val="SingleTxt"/>
        <w:rPr>
          <w:rFonts w:asciiTheme="majorBidi" w:eastAsia="黑体" w:hAnsiTheme="majorBidi" w:cstheme="majorBidi"/>
        </w:rPr>
      </w:pPr>
      <w:r w:rsidRPr="00401CEE">
        <w:rPr>
          <w:rFonts w:hint="eastAsia"/>
        </w:rPr>
        <w:t>27.</w:t>
      </w:r>
      <w:r w:rsidRPr="00401CEE">
        <w:rPr>
          <w:rFonts w:hint="eastAsia"/>
        </w:rPr>
        <w:tab/>
      </w:r>
      <w:r w:rsidRPr="00401CEE">
        <w:rPr>
          <w:rFonts w:asciiTheme="majorBidi" w:eastAsia="黑体" w:hAnsiTheme="majorBidi" w:cstheme="majorBidi" w:hint="eastAsia"/>
        </w:rPr>
        <w:t>委员会建议缔约国：</w:t>
      </w:r>
    </w:p>
    <w:p w14:paraId="4429A69A" w14:textId="1FA1C0AD"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与边缘化群体的妇女合作，制定和执行一项通盘战略</w:t>
      </w:r>
      <w:r w:rsidR="008A2E88" w:rsidRPr="00401CEE">
        <w:rPr>
          <w:rFonts w:asciiTheme="majorBidi" w:eastAsia="黑体" w:hAnsiTheme="majorBidi" w:cstheme="majorBidi" w:hint="eastAsia"/>
        </w:rPr>
        <w:t>——</w:t>
      </w:r>
      <w:r w:rsidRPr="00401CEE">
        <w:rPr>
          <w:rFonts w:asciiTheme="majorBidi" w:eastAsia="黑体" w:hAnsiTheme="majorBidi" w:cstheme="majorBidi" w:hint="eastAsia"/>
        </w:rPr>
        <w:t>纳入跨部门办法并强调对性别问题有敏感认识的语言</w:t>
      </w:r>
      <w:r w:rsidR="008A2E88" w:rsidRPr="00401CEE">
        <w:rPr>
          <w:rFonts w:asciiTheme="majorBidi" w:eastAsia="黑体" w:hAnsiTheme="majorBidi" w:cstheme="majorBidi" w:hint="eastAsia"/>
        </w:rPr>
        <w:t>——</w:t>
      </w:r>
      <w:r w:rsidRPr="00401CEE">
        <w:rPr>
          <w:rFonts w:asciiTheme="majorBidi" w:eastAsia="黑体" w:hAnsiTheme="majorBidi" w:cstheme="majorBidi" w:hint="eastAsia"/>
        </w:rPr>
        <w:t>以消除广告、电子媒体和社交媒体中的性别陈规定型观念，同时促进妇女作为发展的积极推动力量的正面形象；</w:t>
      </w:r>
    </w:p>
    <w:p w14:paraId="0CE93186" w14:textId="63D1F3D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从跨部门角度出发，将性别平等纳入公共部门所有行政人员的初始和持续培训；</w:t>
      </w:r>
    </w:p>
    <w:p w14:paraId="691D9168" w14:textId="08835F36"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建立一个机制，以便定期评价此类培训和能力建设方案对机构政策和做法的影响。</w:t>
      </w:r>
    </w:p>
    <w:p w14:paraId="2E6037AC"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有害习俗</w:t>
      </w:r>
    </w:p>
    <w:p w14:paraId="3C4482BF" w14:textId="77777777" w:rsidR="00AE14A8" w:rsidRPr="00401CEE" w:rsidRDefault="00AE14A8" w:rsidP="00AE14A8">
      <w:pPr>
        <w:pStyle w:val="SingleTxt"/>
      </w:pPr>
      <w:r w:rsidRPr="00401CEE">
        <w:rPr>
          <w:rFonts w:hint="eastAsia"/>
        </w:rPr>
        <w:t>28.</w:t>
      </w:r>
      <w:r w:rsidRPr="00401CEE">
        <w:rPr>
          <w:rFonts w:hint="eastAsia"/>
        </w:rPr>
        <w:tab/>
      </w:r>
      <w:r w:rsidRPr="00401CEE">
        <w:rPr>
          <w:rFonts w:hint="eastAsia"/>
        </w:rPr>
        <w:t>委员会赞赏地注意到卢森堡政府</w:t>
      </w:r>
      <w:r w:rsidRPr="00401CEE">
        <w:rPr>
          <w:rFonts w:hint="eastAsia"/>
        </w:rPr>
        <w:t>2023</w:t>
      </w:r>
      <w:r w:rsidRPr="00401CEE">
        <w:rPr>
          <w:rFonts w:hint="eastAsia"/>
        </w:rPr>
        <w:t>年</w:t>
      </w:r>
      <w:r w:rsidRPr="00401CEE">
        <w:rPr>
          <w:rFonts w:hint="eastAsia"/>
        </w:rPr>
        <w:t>2</w:t>
      </w:r>
      <w:r w:rsidRPr="00401CEE">
        <w:rPr>
          <w:rFonts w:hint="eastAsia"/>
        </w:rPr>
        <w:t>月</w:t>
      </w:r>
      <w:r w:rsidRPr="00401CEE">
        <w:rPr>
          <w:rFonts w:hint="eastAsia"/>
        </w:rPr>
        <w:t>6</w:t>
      </w:r>
      <w:r w:rsidRPr="00401CEE">
        <w:rPr>
          <w:rFonts w:hint="eastAsia"/>
        </w:rPr>
        <w:t>日的声明，其中重申致力于打击残割女性外阴现象。然而，委员会仍感关切的是，对残割女性外阴案件没有起诉和定罪，也没有关于这一现象严重程度的数据，而且有报告称，在卢森堡，许多妇女和女孩面临残割女性外阴风险。委员会还关切地注意到，其此前结论性意见中提及的有害习俗持续存在。</w:t>
      </w:r>
    </w:p>
    <w:p w14:paraId="2B58BB3F" w14:textId="0CB41D6B" w:rsidR="00AE14A8" w:rsidRPr="00401CEE" w:rsidRDefault="00AE14A8" w:rsidP="00AE14A8">
      <w:pPr>
        <w:pStyle w:val="SingleTxt"/>
        <w:rPr>
          <w:rFonts w:asciiTheme="majorBidi" w:eastAsia="黑体" w:hAnsiTheme="majorBidi" w:cstheme="majorBidi"/>
        </w:rPr>
      </w:pPr>
      <w:r w:rsidRPr="00401CEE">
        <w:rPr>
          <w:rFonts w:hint="eastAsia"/>
        </w:rPr>
        <w:t>29.</w:t>
      </w:r>
      <w:r w:rsidRPr="00401CEE">
        <w:rPr>
          <w:rFonts w:hint="eastAsia"/>
        </w:rPr>
        <w:tab/>
      </w:r>
      <w:r w:rsidRPr="00401CEE">
        <w:rPr>
          <w:rFonts w:asciiTheme="majorBidi" w:eastAsia="黑体" w:hAnsiTheme="majorBidi" w:cstheme="majorBidi" w:hint="eastAsia"/>
        </w:rPr>
        <w:t>委员会提请注意经修订的关于有害做法的消除对妇女歧视委员会第</w:t>
      </w:r>
      <w:r w:rsidRPr="00401CEE">
        <w:rPr>
          <w:rFonts w:asciiTheme="majorBidi" w:eastAsia="黑体" w:hAnsiTheme="majorBidi" w:cstheme="majorBidi" w:hint="eastAsia"/>
        </w:rPr>
        <w:t>31</w:t>
      </w:r>
      <w:r w:rsidRPr="00401CEE">
        <w:rPr>
          <w:rFonts w:asciiTheme="majorBidi" w:eastAsia="黑体" w:hAnsiTheme="majorBidi" w:cstheme="majorBidi" w:hint="eastAsia"/>
        </w:rPr>
        <w:t>号和儿童权利委员会第</w:t>
      </w:r>
      <w:r w:rsidRPr="00401CEE">
        <w:rPr>
          <w:rFonts w:asciiTheme="majorBidi" w:eastAsia="黑体" w:hAnsiTheme="majorBidi" w:cstheme="majorBidi" w:hint="eastAsia"/>
        </w:rPr>
        <w:t>18</w:t>
      </w:r>
      <w:r w:rsidRPr="00401CEE">
        <w:rPr>
          <w:rFonts w:asciiTheme="majorBidi" w:eastAsia="黑体" w:hAnsiTheme="majorBidi" w:cstheme="majorBidi" w:hint="eastAsia"/>
        </w:rPr>
        <w:t>号联合一般性建议</w:t>
      </w:r>
      <w:r w:rsidRPr="00401CEE">
        <w:rPr>
          <w:rFonts w:asciiTheme="majorBidi" w:eastAsia="黑体" w:hAnsiTheme="majorBidi" w:cstheme="majorBidi" w:hint="eastAsia"/>
        </w:rPr>
        <w:t>/</w:t>
      </w:r>
      <w:r w:rsidRPr="00401CEE">
        <w:rPr>
          <w:rFonts w:asciiTheme="majorBidi" w:eastAsia="黑体" w:hAnsiTheme="majorBidi" w:cstheme="majorBidi" w:hint="eastAsia"/>
        </w:rPr>
        <w:t>意见</w:t>
      </w:r>
      <w:r w:rsidRPr="00401CEE">
        <w:rPr>
          <w:rFonts w:asciiTheme="majorBidi" w:eastAsia="黑体" w:hAnsiTheme="majorBidi" w:cstheme="majorBidi" w:hint="eastAsia"/>
        </w:rPr>
        <w:t>(2019</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并回顾委员会此前建议</w:t>
      </w:r>
      <w:r w:rsidRPr="00401CEE">
        <w:rPr>
          <w:rFonts w:asciiTheme="majorBidi" w:eastAsia="黑体" w:hAnsiTheme="majorBidi" w:cstheme="majorBidi" w:hint="eastAsia"/>
        </w:rPr>
        <w:t>(</w:t>
      </w:r>
      <w:hyperlink r:id="rId31" w:history="1">
        <w:r w:rsidRPr="00401CEE">
          <w:rPr>
            <w:rStyle w:val="af7"/>
            <w:rFonts w:asciiTheme="majorBidi" w:eastAsia="黑体" w:hAnsiTheme="majorBidi" w:cstheme="majorBidi" w:hint="eastAsia"/>
          </w:rPr>
          <w:t>CEDAW/C/LUX/6-7</w:t>
        </w:r>
      </w:hyperlink>
      <w:r w:rsidRPr="00401CEE">
        <w:rPr>
          <w:rFonts w:asciiTheme="majorBidi" w:eastAsia="黑体" w:hAnsiTheme="majorBidi" w:cstheme="majorBidi" w:hint="eastAsia"/>
        </w:rPr>
        <w:t>，第</w:t>
      </w:r>
      <w:r w:rsidRPr="00401CEE">
        <w:rPr>
          <w:rFonts w:asciiTheme="majorBidi" w:eastAsia="黑体" w:hAnsiTheme="majorBidi" w:cstheme="majorBidi" w:hint="eastAsia"/>
        </w:rPr>
        <w:t>28</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w:t>
      </w:r>
    </w:p>
    <w:p w14:paraId="06141BE8" w14:textId="44C5B4B6"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继续系统收集缔约国境内残割女性外阴和其他有害习俗发生率的分列数据；</w:t>
      </w:r>
    </w:p>
    <w:p w14:paraId="4C7F59B7" w14:textId="6FB27318"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spacing w:val="-2"/>
        </w:rPr>
        <w:tab/>
      </w:r>
      <w:r w:rsidRPr="00401CEE">
        <w:rPr>
          <w:rFonts w:asciiTheme="majorBidi" w:eastAsia="黑体" w:hAnsiTheme="majorBidi" w:cstheme="majorBidi" w:hint="eastAsia"/>
          <w:spacing w:val="-2"/>
        </w:rPr>
        <w:t>(b)</w:t>
      </w:r>
      <w:r w:rsidRPr="00401CEE">
        <w:rPr>
          <w:rFonts w:asciiTheme="majorBidi" w:eastAsia="黑体" w:hAnsiTheme="majorBidi" w:cstheme="majorBidi" w:hint="eastAsia"/>
          <w:spacing w:val="-2"/>
        </w:rPr>
        <w:tab/>
      </w:r>
      <w:r w:rsidRPr="00401CEE">
        <w:rPr>
          <w:rFonts w:asciiTheme="majorBidi" w:eastAsia="黑体" w:hAnsiTheme="majorBidi" w:cstheme="majorBidi" w:hint="eastAsia"/>
          <w:spacing w:val="-2"/>
        </w:rPr>
        <w:t>向遭遇残割女性外阴行径的幸存者提供关于可获得的支助服务的信息；</w:t>
      </w:r>
      <w:r w:rsidRPr="00401CEE">
        <w:rPr>
          <w:rFonts w:asciiTheme="majorBidi" w:eastAsia="黑体" w:hAnsiTheme="majorBidi" w:cstheme="majorBidi" w:hint="eastAsia"/>
        </w:rPr>
        <w:t>为卫生专业人员和社会工作者接受关于识别面临残割女性外阴风险的妇女和女童和将她们转介至适当支助服务机构的必修培训提供适足资金；确保施害者受到起诉和应有惩罚；</w:t>
      </w:r>
    </w:p>
    <w:p w14:paraId="4CA1916E" w14:textId="2BF65CC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明确禁止未经同意而向残疾妇女和女童、特别是有心理残疾的妇女和女童提供避孕药具、医疗或绝育；</w:t>
      </w:r>
    </w:p>
    <w:p w14:paraId="6D54FB88" w14:textId="2551F7EA"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明确将所有强迫绝育案件而不仅仅是构成战争罪或危害人类罪的强迫绝育案件定为刑事犯罪。</w:t>
      </w:r>
    </w:p>
    <w:p w14:paraId="704270B0"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对妇女的性别暴力</w:t>
      </w:r>
    </w:p>
    <w:p w14:paraId="3FE9F983" w14:textId="77777777" w:rsidR="00AE14A8" w:rsidRPr="00401CEE" w:rsidRDefault="00AE14A8" w:rsidP="00AE14A8">
      <w:pPr>
        <w:pStyle w:val="SingleTxt"/>
      </w:pPr>
      <w:r w:rsidRPr="00401CEE">
        <w:rPr>
          <w:rFonts w:hint="eastAsia"/>
        </w:rPr>
        <w:t>30.</w:t>
      </w:r>
      <w:r w:rsidRPr="00401CEE">
        <w:rPr>
          <w:rFonts w:hint="eastAsia"/>
        </w:rPr>
        <w:tab/>
      </w:r>
      <w:r w:rsidRPr="00401CEE">
        <w:rPr>
          <w:rFonts w:hint="eastAsia"/>
        </w:rPr>
        <w:t>委员会赞赏地注意到缔约国为解决对妇女的性别暴力行为而采取的立法措施以及拟议的性别暴力问题全球战略，该战略使国家可应对家庭暴力和其他形式的暴力侵害妇女行为，如残割女性外阴和强迫婚姻。委员会还感兴趣地注意到，预期将在</w:t>
      </w:r>
      <w:r w:rsidRPr="00401CEE">
        <w:rPr>
          <w:rFonts w:hint="eastAsia"/>
        </w:rPr>
        <w:t>2025</w:t>
      </w:r>
      <w:r w:rsidRPr="00401CEE">
        <w:rPr>
          <w:rFonts w:hint="eastAsia"/>
        </w:rPr>
        <w:t>年为包括性别暴力在内的各种暴力的受害者启用国家接待中心。然而，委员会感到关切的是：</w:t>
      </w:r>
    </w:p>
    <w:p w14:paraId="0E15EDE2" w14:textId="49A2621F"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惩治强奸罪的诉讼时效目前限于</w:t>
      </w:r>
      <w:r w:rsidRPr="00401CEE">
        <w:rPr>
          <w:rFonts w:hint="eastAsia"/>
        </w:rPr>
        <w:t>10</w:t>
      </w:r>
      <w:r w:rsidRPr="00401CEE">
        <w:rPr>
          <w:rFonts w:hint="eastAsia"/>
        </w:rPr>
        <w:t>年；</w:t>
      </w:r>
    </w:p>
    <w:p w14:paraId="7A53C207" w14:textId="759B1C18"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心理暴力本身不被界定为犯罪，仅在伴有另一项犯罪时才成为应受惩处的行为；</w:t>
      </w:r>
    </w:p>
    <w:p w14:paraId="7A4778F5" w14:textId="5A91C6F1"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各种形式性别暴力、包括针对残疾人的性别暴力的总体处理办法没有以贯穿各领域的方式引入跨部门做法；</w:t>
      </w:r>
    </w:p>
    <w:p w14:paraId="22F836EE" w14:textId="258A0011"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对法官缺乏关于对妇女的性别暴力问题的必修培训，司法部门的能力建设仅限于家庭暴力问题；</w:t>
      </w:r>
    </w:p>
    <w:p w14:paraId="27601FE7" w14:textId="3A3150F6" w:rsidR="00AE14A8" w:rsidRPr="00401CEE" w:rsidRDefault="00AE14A8" w:rsidP="00AE14A8">
      <w:pPr>
        <w:pStyle w:val="SingleTxt"/>
      </w:pPr>
      <w:r w:rsidRPr="00401CEE">
        <w:tab/>
      </w:r>
      <w:r w:rsidRPr="00401CEE">
        <w:rPr>
          <w:rFonts w:hint="eastAsia"/>
        </w:rPr>
        <w:t>(e)</w:t>
      </w:r>
      <w:r w:rsidRPr="00401CEE">
        <w:rPr>
          <w:rFonts w:hint="eastAsia"/>
        </w:rPr>
        <w:tab/>
      </w:r>
      <w:r w:rsidRPr="00401CEE">
        <w:rPr>
          <w:rFonts w:hint="eastAsia"/>
        </w:rPr>
        <w:t>在收集关于各类性别暴力和关于起诉和定罪率的数据方面存在差距；</w:t>
      </w:r>
    </w:p>
    <w:p w14:paraId="2DB4B9C9" w14:textId="10FBBD78" w:rsidR="00AE14A8" w:rsidRPr="00401CEE" w:rsidRDefault="00AE14A8" w:rsidP="00AE14A8">
      <w:pPr>
        <w:pStyle w:val="SingleTxt"/>
      </w:pPr>
      <w:r w:rsidRPr="00401CEE">
        <w:tab/>
      </w:r>
      <w:r w:rsidRPr="00401CEE">
        <w:rPr>
          <w:rFonts w:hint="eastAsia"/>
        </w:rPr>
        <w:t>(f)</w:t>
      </w:r>
      <w:r w:rsidRPr="00401CEE">
        <w:rPr>
          <w:rFonts w:hint="eastAsia"/>
        </w:rPr>
        <w:tab/>
      </w:r>
      <w:r w:rsidRPr="00401CEE">
        <w:rPr>
          <w:rFonts w:hint="eastAsia"/>
        </w:rPr>
        <w:t>卢森堡治暴专业人员合作委员会关于对性别暴力背景下杀人或杀人未遂案件进行追溯审查的建议未得到落实。</w:t>
      </w:r>
    </w:p>
    <w:p w14:paraId="094817D5" w14:textId="494598EF" w:rsidR="00AE14A8" w:rsidRPr="00401CEE" w:rsidRDefault="00AE14A8" w:rsidP="00AE14A8">
      <w:pPr>
        <w:pStyle w:val="SingleTxt"/>
        <w:rPr>
          <w:rFonts w:asciiTheme="majorBidi" w:eastAsia="黑体" w:hAnsiTheme="majorBidi" w:cstheme="majorBidi"/>
        </w:rPr>
      </w:pPr>
      <w:r w:rsidRPr="00401CEE">
        <w:rPr>
          <w:rFonts w:hint="eastAsia"/>
        </w:rPr>
        <w:t>31.</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委员会考虑到其关于基于性别的暴力侵害妇女行为的第</w:t>
      </w:r>
      <w:r w:rsidRPr="00401CEE">
        <w:rPr>
          <w:rFonts w:asciiTheme="majorBidi" w:eastAsia="黑体" w:hAnsiTheme="majorBidi" w:cstheme="majorBidi" w:hint="eastAsia"/>
        </w:rPr>
        <w:t>35</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(2017</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更新第</w:t>
      </w:r>
      <w:r w:rsidRPr="00401CEE">
        <w:rPr>
          <w:rFonts w:asciiTheme="majorBidi" w:eastAsia="黑体" w:hAnsiTheme="majorBidi" w:cstheme="majorBidi" w:hint="eastAsia"/>
        </w:rPr>
        <w:t>19</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w:t>
      </w:r>
      <w:r w:rsidRPr="00401CEE">
        <w:rPr>
          <w:rFonts w:asciiTheme="majorBidi" w:eastAsia="黑体" w:hAnsiTheme="majorBidi" w:cstheme="majorBidi" w:hint="eastAsia"/>
        </w:rPr>
        <w:t>以及关于消除公共和私人领域一切形式暴力侵害妇女和女童行为的可持续发展目标具体目标</w:t>
      </w:r>
      <w:r w:rsidRPr="00401CEE">
        <w:rPr>
          <w:rFonts w:asciiTheme="majorBidi" w:eastAsia="黑体" w:hAnsiTheme="majorBidi" w:cstheme="majorBidi" w:hint="eastAsia"/>
        </w:rPr>
        <w:t>5.2</w:t>
      </w:r>
      <w:r w:rsidRPr="00401CEE">
        <w:rPr>
          <w:rFonts w:asciiTheme="majorBidi" w:eastAsia="黑体" w:hAnsiTheme="majorBidi" w:cstheme="majorBidi" w:hint="eastAsia"/>
        </w:rPr>
        <w:t>，建议缔约国：</w:t>
      </w:r>
    </w:p>
    <w:p w14:paraId="2DC7089E" w14:textId="24A05EBD"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延长惩治强奸罪的诉讼时效；</w:t>
      </w:r>
    </w:p>
    <w:p w14:paraId="47A25EC1" w14:textId="375F50B4"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将心理暴力定为刑事犯罪，无论其是否伴随另一项犯罪；</w:t>
      </w:r>
    </w:p>
    <w:p w14:paraId="3B19E549" w14:textId="5EA7CD46"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在打击对妇女的性别暴力行为的所有战略中纳入跨部门办法，包括覆盖残疾妇女、寻求庇护妇女和移民妇女；</w:t>
      </w:r>
    </w:p>
    <w:p w14:paraId="6B7DECD2" w14:textId="667AE5FF"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扩大司法机构能力建设范围，以涵盖所有形式的性别暴力，并规定这种培训为必修培训；</w:t>
      </w:r>
    </w:p>
    <w:p w14:paraId="58F3232F" w14:textId="13D6533D"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spacing w:val="-4"/>
        </w:rPr>
        <w:tab/>
      </w:r>
      <w:r w:rsidRPr="00401CEE">
        <w:rPr>
          <w:rFonts w:asciiTheme="majorBidi" w:eastAsia="黑体" w:hAnsiTheme="majorBidi" w:cstheme="majorBidi" w:hint="eastAsia"/>
          <w:spacing w:val="-4"/>
        </w:rPr>
        <w:t>(e)</w:t>
      </w:r>
      <w:r w:rsidRPr="00401CEE">
        <w:rPr>
          <w:rFonts w:asciiTheme="majorBidi" w:eastAsia="黑体" w:hAnsiTheme="majorBidi" w:cstheme="majorBidi" w:hint="eastAsia"/>
          <w:spacing w:val="-4"/>
        </w:rPr>
        <w:tab/>
      </w:r>
      <w:r w:rsidRPr="00401CEE">
        <w:rPr>
          <w:rFonts w:asciiTheme="majorBidi" w:eastAsia="黑体" w:hAnsiTheme="majorBidi" w:cstheme="majorBidi" w:hint="eastAsia"/>
          <w:spacing w:val="-4"/>
        </w:rPr>
        <w:t>改进数据收集系统，以反映所有各类性别暴力和司法系统的应对情况，</w:t>
      </w:r>
      <w:r w:rsidRPr="00401CEE">
        <w:rPr>
          <w:rFonts w:asciiTheme="majorBidi" w:eastAsia="黑体" w:hAnsiTheme="majorBidi" w:cstheme="majorBidi" w:hint="eastAsia"/>
        </w:rPr>
        <w:t>包括起诉率和定罪率；</w:t>
      </w:r>
    </w:p>
    <w:p w14:paraId="02999553" w14:textId="2043F858"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(f)</w:t>
      </w:r>
      <w:r w:rsidRPr="00401CEE">
        <w:rPr>
          <w:rFonts w:asciiTheme="majorBidi" w:eastAsia="黑体" w:hAnsiTheme="majorBidi" w:cstheme="majorBidi" w:hint="eastAsia"/>
        </w:rPr>
        <w:tab/>
      </w:r>
      <w:r w:rsidRPr="00401CEE">
        <w:rPr>
          <w:rFonts w:asciiTheme="majorBidi" w:eastAsia="黑体" w:hAnsiTheme="majorBidi" w:cstheme="majorBidi" w:hint="eastAsia"/>
        </w:rPr>
        <w:t>按照卢森堡治暴专业人员合作委员会的建议，对性别暴力背景下杀人或杀人未遂案件实施追溯审查制度。</w:t>
      </w:r>
    </w:p>
    <w:p w14:paraId="59023D0F"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贩运人口和利用卖淫营利</w:t>
      </w:r>
    </w:p>
    <w:p w14:paraId="45ED5339" w14:textId="4C57CF3F" w:rsidR="00AE14A8" w:rsidRPr="00401CEE" w:rsidRDefault="00AE14A8" w:rsidP="00AE14A8">
      <w:pPr>
        <w:pStyle w:val="SingleTxt"/>
        <w:rPr>
          <w:spacing w:val="-8"/>
        </w:rPr>
      </w:pPr>
      <w:r w:rsidRPr="00401CEE">
        <w:rPr>
          <w:rFonts w:hint="eastAsia"/>
          <w:spacing w:val="-8"/>
        </w:rPr>
        <w:t>32.</w:t>
      </w:r>
      <w:r w:rsidRPr="00401CEE">
        <w:rPr>
          <w:rFonts w:hint="eastAsia"/>
          <w:spacing w:val="-8"/>
        </w:rPr>
        <w:tab/>
      </w:r>
      <w:r w:rsidRPr="00401CEE">
        <w:rPr>
          <w:rFonts w:hint="eastAsia"/>
          <w:spacing w:val="-8"/>
        </w:rPr>
        <w:t>委员会回顾其此前的关切</w:t>
      </w:r>
      <w:r w:rsidRPr="00401CEE">
        <w:rPr>
          <w:rFonts w:hint="eastAsia"/>
          <w:spacing w:val="-8"/>
        </w:rPr>
        <w:t>(</w:t>
      </w:r>
      <w:hyperlink r:id="rId32" w:history="1">
        <w:r w:rsidRPr="00401CEE">
          <w:rPr>
            <w:rStyle w:val="af7"/>
            <w:rFonts w:hint="eastAsia"/>
            <w:spacing w:val="-8"/>
          </w:rPr>
          <w:t>CEDAW/C/LUX/CO/6-7</w:t>
        </w:r>
      </w:hyperlink>
      <w:r w:rsidRPr="00401CEE">
        <w:rPr>
          <w:rFonts w:hint="eastAsia"/>
          <w:spacing w:val="-8"/>
        </w:rPr>
        <w:t>，第</w:t>
      </w:r>
      <w:r w:rsidRPr="00401CEE">
        <w:rPr>
          <w:rFonts w:hint="eastAsia"/>
          <w:spacing w:val="-8"/>
        </w:rPr>
        <w:t>31</w:t>
      </w:r>
      <w:r w:rsidRPr="00401CEE">
        <w:rPr>
          <w:rFonts w:hint="eastAsia"/>
          <w:spacing w:val="-8"/>
        </w:rPr>
        <w:t>段</w:t>
      </w:r>
      <w:r w:rsidRPr="00401CEE">
        <w:rPr>
          <w:rFonts w:hint="eastAsia"/>
          <w:spacing w:val="-8"/>
        </w:rPr>
        <w:t>)</w:t>
      </w:r>
      <w:r w:rsidRPr="00401CEE">
        <w:rPr>
          <w:rFonts w:hint="eastAsia"/>
          <w:spacing w:val="-8"/>
        </w:rPr>
        <w:t>，惊愕地注意到：</w:t>
      </w:r>
    </w:p>
    <w:p w14:paraId="3C9E9C55" w14:textId="4722C036"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缔约国立法中关于贩运人口的定义与国际法中的定义不完全一致，武力、欺诈和胁迫被列为加重处罚因素，而不是列为构成要素；</w:t>
      </w:r>
    </w:p>
    <w:p w14:paraId="2BE02E90" w14:textId="1B34BAC0"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缔约国未对</w:t>
      </w:r>
      <w:r w:rsidRPr="00401CEE">
        <w:rPr>
          <w:rFonts w:hint="eastAsia"/>
        </w:rPr>
        <w:t>2016</w:t>
      </w:r>
      <w:r w:rsidRPr="00401CEE">
        <w:rPr>
          <w:rFonts w:hint="eastAsia"/>
        </w:rPr>
        <w:t>年通过的打击贩运人口行为国家行动计划作出评价，目前也没有开展任何的制定新计划工作；</w:t>
      </w:r>
    </w:p>
    <w:p w14:paraId="5267214E" w14:textId="50ED1723"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据报，对贩运人口罪犯的判决很轻，法官往往不了解对性别问题有敏感认识的审讯方法，贩运者的资产很少被没收，受害者很少得到赔偿；</w:t>
      </w:r>
    </w:p>
    <w:p w14:paraId="597582C1" w14:textId="329D8D2E"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目前对寻求庇护和移民妇女和女童进行贩运风险指标筛查的程序可能导致受害者受惩处，包括被驱逐出境，并使贩运活动的许多妇女和女童受害者未被发现；</w:t>
      </w:r>
    </w:p>
    <w:p w14:paraId="0C2602A7" w14:textId="613DF407" w:rsidR="00AE14A8" w:rsidRPr="00401CEE" w:rsidRDefault="00AE14A8" w:rsidP="00AE14A8">
      <w:pPr>
        <w:pStyle w:val="SingleTxt"/>
        <w:rPr>
          <w:spacing w:val="6"/>
        </w:rPr>
      </w:pPr>
      <w:r w:rsidRPr="00401CEE">
        <w:rPr>
          <w:spacing w:val="6"/>
        </w:rPr>
        <w:tab/>
      </w:r>
      <w:r w:rsidRPr="00401CEE">
        <w:rPr>
          <w:rFonts w:hint="eastAsia"/>
          <w:spacing w:val="6"/>
        </w:rPr>
        <w:t>(e)</w:t>
      </w:r>
      <w:r w:rsidRPr="00401CEE">
        <w:rPr>
          <w:rFonts w:hint="eastAsia"/>
          <w:spacing w:val="6"/>
        </w:rPr>
        <w:tab/>
      </w:r>
      <w:r w:rsidRPr="00401CEE">
        <w:rPr>
          <w:rFonts w:hint="eastAsia"/>
          <w:spacing w:val="6"/>
        </w:rPr>
        <w:t>缔约国自</w:t>
      </w:r>
      <w:r w:rsidRPr="00401CEE">
        <w:rPr>
          <w:rFonts w:hint="eastAsia"/>
          <w:spacing w:val="6"/>
        </w:rPr>
        <w:t>2023</w:t>
      </w:r>
      <w:r w:rsidRPr="00401CEE">
        <w:rPr>
          <w:rFonts w:hint="eastAsia"/>
          <w:spacing w:val="6"/>
        </w:rPr>
        <w:t>年以来并且是连续三年未发现任何贩运儿童活动的受害者；</w:t>
      </w:r>
    </w:p>
    <w:p w14:paraId="294080A9" w14:textId="20C793FA" w:rsidR="00AE14A8" w:rsidRPr="00401CEE" w:rsidRDefault="00AE14A8" w:rsidP="00AE14A8">
      <w:pPr>
        <w:pStyle w:val="SingleTxt"/>
      </w:pPr>
      <w:r w:rsidRPr="00401CEE">
        <w:tab/>
      </w:r>
      <w:r w:rsidRPr="00401CEE">
        <w:rPr>
          <w:rFonts w:hint="eastAsia"/>
        </w:rPr>
        <w:t>(f)</w:t>
      </w:r>
      <w:r w:rsidRPr="00401CEE">
        <w:rPr>
          <w:rFonts w:hint="eastAsia"/>
        </w:rPr>
        <w:tab/>
      </w:r>
      <w:r w:rsidRPr="00401CEE">
        <w:rPr>
          <w:rFonts w:hint="eastAsia"/>
        </w:rPr>
        <w:t>关于移民工人的数据收集不足，据报他们尤易受到剥削，而且缺乏受害者支助服务、获得赔偿的机会以及欲脱离卖淫业妇女退出方案。</w:t>
      </w:r>
    </w:p>
    <w:p w14:paraId="2A948B84" w14:textId="79B3FB33"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33.</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委员会考虑到其关于全球移民背景下贩运妇女和女童问题的第</w:t>
      </w:r>
      <w:r w:rsidRPr="00401CEE">
        <w:rPr>
          <w:rFonts w:asciiTheme="majorBidi" w:eastAsia="黑体" w:hAnsiTheme="majorBidi" w:cstheme="majorBidi" w:hint="eastAsia"/>
        </w:rPr>
        <w:t>38</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(2020</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并回顾其此前建议</w:t>
      </w:r>
      <w:r w:rsidRPr="00401CEE">
        <w:rPr>
          <w:rFonts w:asciiTheme="majorBidi" w:eastAsia="黑体" w:hAnsiTheme="majorBidi" w:cstheme="majorBidi" w:hint="eastAsia"/>
        </w:rPr>
        <w:t>(</w:t>
      </w:r>
      <w:hyperlink r:id="rId33" w:history="1">
        <w:r w:rsidRPr="00401CEE">
          <w:rPr>
            <w:rStyle w:val="af7"/>
            <w:rFonts w:asciiTheme="majorBidi" w:eastAsia="黑体" w:hAnsiTheme="majorBidi" w:cstheme="majorBidi" w:hint="eastAsia"/>
          </w:rPr>
          <w:t>CEDAW/C/LUX/CO/6-7</w:t>
        </w:r>
      </w:hyperlink>
      <w:r w:rsidRPr="00401CEE">
        <w:rPr>
          <w:rFonts w:asciiTheme="majorBidi" w:eastAsia="黑体" w:hAnsiTheme="majorBidi" w:cstheme="majorBidi" w:hint="eastAsia"/>
        </w:rPr>
        <w:t>，第</w:t>
      </w:r>
      <w:r w:rsidRPr="00401CEE">
        <w:rPr>
          <w:rFonts w:asciiTheme="majorBidi" w:eastAsia="黑体" w:hAnsiTheme="majorBidi" w:cstheme="majorBidi" w:hint="eastAsia"/>
        </w:rPr>
        <w:t>32</w:t>
      </w:r>
      <w:r w:rsidRPr="00401CEE">
        <w:rPr>
          <w:rFonts w:asciiTheme="majorBidi" w:eastAsia="黑体" w:hAnsiTheme="majorBidi" w:cstheme="majorBidi" w:hint="eastAsia"/>
        </w:rPr>
        <w:t>和</w:t>
      </w:r>
      <w:r w:rsidRPr="00401CEE">
        <w:rPr>
          <w:rFonts w:asciiTheme="majorBidi" w:eastAsia="黑体" w:hAnsiTheme="majorBidi" w:cstheme="majorBidi" w:hint="eastAsia"/>
        </w:rPr>
        <w:t>34</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w:t>
      </w:r>
    </w:p>
    <w:p w14:paraId="1FB922AB" w14:textId="238492B9"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依照打击人口贩运行动专家组</w:t>
      </w:r>
      <w:r w:rsidRPr="00401CEE">
        <w:rPr>
          <w:rFonts w:asciiTheme="majorBidi" w:eastAsia="黑体" w:hAnsiTheme="majorBidi" w:cstheme="majorBidi" w:hint="eastAsia"/>
        </w:rPr>
        <w:t>2022</w:t>
      </w:r>
      <w:r w:rsidRPr="00401CEE">
        <w:rPr>
          <w:rFonts w:asciiTheme="majorBidi" w:eastAsia="黑体" w:hAnsiTheme="majorBidi" w:cstheme="majorBidi" w:hint="eastAsia"/>
        </w:rPr>
        <w:t>年建议修订贩运的定义，使之符合《联合国打击跨国有组织犯罪公约关于预防、禁止和惩治贩运人口特别是妇女和儿童行为的补充议定书》和相关国际人权标准；</w:t>
      </w:r>
    </w:p>
    <w:p w14:paraId="1C73BA30" w14:textId="2FFD7FD3"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加快通过新的打击贩运人口行为国家行动计划，并确保该计划考虑到贩运问题的交叉和性别层面；</w:t>
      </w:r>
    </w:p>
    <w:p w14:paraId="1EBA8288" w14:textId="2B1D9978" w:rsidR="00AE14A8" w:rsidRPr="00401CEE" w:rsidRDefault="00AE14A8" w:rsidP="00AE14A8">
      <w:pPr>
        <w:pStyle w:val="SingleTxt"/>
        <w:rPr>
          <w:rFonts w:asciiTheme="majorBidi" w:eastAsia="黑体" w:hAnsiTheme="majorBidi" w:cstheme="majorBidi"/>
          <w:spacing w:val="-2"/>
        </w:rPr>
      </w:pPr>
      <w:r w:rsidRPr="00401CEE">
        <w:rPr>
          <w:rFonts w:asciiTheme="majorBidi" w:eastAsia="黑体" w:hAnsiTheme="majorBidi" w:cstheme="majorBidi"/>
          <w:spacing w:val="-2"/>
        </w:rPr>
        <w:tab/>
      </w:r>
      <w:r w:rsidRPr="00401CEE">
        <w:rPr>
          <w:rFonts w:asciiTheme="majorBidi" w:eastAsia="黑体" w:hAnsiTheme="majorBidi" w:cstheme="majorBidi" w:hint="eastAsia"/>
          <w:spacing w:val="-2"/>
        </w:rPr>
        <w:t>(c)</w:t>
      </w:r>
      <w:r w:rsidRPr="00401CEE">
        <w:rPr>
          <w:rFonts w:asciiTheme="majorBidi" w:eastAsia="黑体" w:hAnsiTheme="majorBidi" w:cstheme="majorBidi" w:hint="eastAsia"/>
          <w:spacing w:val="-2"/>
        </w:rPr>
        <w:tab/>
      </w:r>
      <w:r w:rsidRPr="00401CEE">
        <w:rPr>
          <w:rFonts w:asciiTheme="majorBidi" w:eastAsia="黑体" w:hAnsiTheme="majorBidi" w:cstheme="majorBidi" w:hint="eastAsia"/>
          <w:spacing w:val="-2"/>
        </w:rPr>
        <w:t>迅速调查和起诉所有贩运妇女和女童案件，确保对犯罪者的判决与罪行严重程度相称，没收贩运者的资产，并确保为受害者提供适当补救，包括赔偿；</w:t>
      </w:r>
    </w:p>
    <w:p w14:paraId="742E4CA2" w14:textId="299565F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继续加强法官、检察官和执法专业人员在严格适用关于贩运问题和对性别问题有敏感认识的调查的刑法规定以及关于审讯方法和以对性别问题有敏感认识的方式适用受害者支助立法方面的能力建设；</w:t>
      </w:r>
    </w:p>
    <w:p w14:paraId="2F3EC9A8" w14:textId="63747DC1"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(e)</w:t>
      </w:r>
      <w:r w:rsidRPr="00401CEE">
        <w:rPr>
          <w:rFonts w:asciiTheme="majorBidi" w:eastAsia="黑体" w:hAnsiTheme="majorBidi" w:cstheme="majorBidi" w:hint="eastAsia"/>
        </w:rPr>
        <w:tab/>
      </w:r>
      <w:r w:rsidRPr="00401CEE">
        <w:rPr>
          <w:rFonts w:asciiTheme="majorBidi" w:eastAsia="黑体" w:hAnsiTheme="majorBidi" w:cstheme="majorBidi" w:hint="eastAsia"/>
        </w:rPr>
        <w:t>加大力度防止以行政犯罪和违反移民法等罪名对贩运活动受害者定罪和处罚、包括驱逐出境，向受害者发放临时居留证而不论其是否有能力或愿意与检察机关合作，并适用不惩罚贩运活动受害者的原则；</w:t>
      </w:r>
    </w:p>
    <w:p w14:paraId="16CAED9A" w14:textId="07093F9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(f)</w:t>
      </w:r>
      <w:r w:rsidRPr="00401CEE">
        <w:rPr>
          <w:rFonts w:asciiTheme="majorBidi" w:eastAsia="黑体" w:hAnsiTheme="majorBidi" w:cstheme="majorBidi" w:hint="eastAsia"/>
        </w:rPr>
        <w:tab/>
      </w:r>
      <w:r w:rsidRPr="00401CEE">
        <w:rPr>
          <w:rFonts w:asciiTheme="majorBidi" w:eastAsia="黑体" w:hAnsiTheme="majorBidi" w:cstheme="majorBidi" w:hint="eastAsia"/>
        </w:rPr>
        <w:t>更大力尽早发现贩运活动受害者并将其转介至适当的支助服务机构，途径包括能力建设以及收集和分析关于寻求庇护和移民妇女和女孩面临的被贩运风险的数据；</w:t>
      </w:r>
    </w:p>
    <w:p w14:paraId="0209EFEF" w14:textId="08D93B9B"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(g)</w:t>
      </w:r>
      <w:r w:rsidRPr="00401CEE">
        <w:rPr>
          <w:rFonts w:asciiTheme="majorBidi" w:eastAsia="黑体" w:hAnsiTheme="majorBidi" w:cstheme="majorBidi" w:hint="eastAsia"/>
        </w:rPr>
        <w:tab/>
      </w:r>
      <w:r w:rsidRPr="00401CEE">
        <w:rPr>
          <w:rFonts w:asciiTheme="majorBidi" w:eastAsia="黑体" w:hAnsiTheme="majorBidi" w:cstheme="majorBidi" w:hint="eastAsia"/>
        </w:rPr>
        <w:t>优先查明贩运活动儿童受害者；加强措施，使民间社会组织、劳动监察员、社会工作者和医疗保健专业人员参与正式查明贩运活动儿童受害者；</w:t>
      </w:r>
    </w:p>
    <w:p w14:paraId="52466623" w14:textId="10D0622F"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(h)</w:t>
      </w:r>
      <w:r w:rsidRPr="00401CEE">
        <w:rPr>
          <w:rFonts w:asciiTheme="majorBidi" w:eastAsia="黑体" w:hAnsiTheme="majorBidi" w:cstheme="majorBidi" w:hint="eastAsia"/>
        </w:rPr>
        <w:tab/>
      </w:r>
      <w:r w:rsidRPr="00401CEE">
        <w:rPr>
          <w:rFonts w:asciiTheme="majorBidi" w:eastAsia="黑体" w:hAnsiTheme="majorBidi" w:cstheme="majorBidi" w:hint="eastAsia"/>
        </w:rPr>
        <w:t>使性工作所有方面都去刑罪化，确保为执行卖淫问题行动计划分配适足资源，特别是为了采取措施减少卖淫需求，审查对欲脱离卖淫业妇女退出方案的支持情况并制定新的退出方案，以确保提高成功率。</w:t>
      </w:r>
    </w:p>
    <w:p w14:paraId="71C91D0A"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平等参与政治和公共生活</w:t>
      </w:r>
    </w:p>
    <w:p w14:paraId="4B6BEEAF" w14:textId="77777777" w:rsidR="00AE14A8" w:rsidRPr="00401CEE" w:rsidRDefault="00AE14A8" w:rsidP="00AE14A8">
      <w:pPr>
        <w:pStyle w:val="SingleTxt"/>
      </w:pPr>
      <w:r w:rsidRPr="00401CEE">
        <w:rPr>
          <w:rFonts w:hint="eastAsia"/>
        </w:rPr>
        <w:t>34.</w:t>
      </w:r>
      <w:r w:rsidRPr="00401CEE">
        <w:rPr>
          <w:rFonts w:hint="eastAsia"/>
        </w:rPr>
        <w:tab/>
      </w:r>
      <w:r w:rsidRPr="00401CEE">
        <w:rPr>
          <w:rFonts w:hint="eastAsia"/>
        </w:rPr>
        <w:t>委员会欣见缔约国自对参加大选的政党选举名单中妇女人数规定</w:t>
      </w:r>
      <w:r w:rsidRPr="00401CEE">
        <w:rPr>
          <w:rFonts w:hint="eastAsia"/>
        </w:rPr>
        <w:t>40%</w:t>
      </w:r>
      <w:r w:rsidRPr="00401CEE">
        <w:rPr>
          <w:rFonts w:hint="eastAsia"/>
        </w:rPr>
        <w:t>的配额及违规处罚措施以来取得的进展。委员会赞赏地注意到自实行</w:t>
      </w:r>
      <w:r w:rsidRPr="00401CEE">
        <w:rPr>
          <w:rFonts w:hint="eastAsia"/>
        </w:rPr>
        <w:t>40%</w:t>
      </w:r>
      <w:r w:rsidRPr="00401CEE">
        <w:rPr>
          <w:rFonts w:hint="eastAsia"/>
        </w:rPr>
        <w:t>的自愿配额以来，妇女在公共部门理事机构的代表性取得了进展。然而，委员会关切地注意到，</w:t>
      </w:r>
      <w:r w:rsidRPr="00401CEE">
        <w:rPr>
          <w:rFonts w:hint="eastAsia"/>
        </w:rPr>
        <w:t>2023</w:t>
      </w:r>
      <w:r w:rsidRPr="00401CEE">
        <w:rPr>
          <w:rFonts w:hint="eastAsia"/>
        </w:rPr>
        <w:t>年，妇女在议会中的代表比例仅为</w:t>
      </w:r>
      <w:r w:rsidRPr="00401CEE">
        <w:rPr>
          <w:rFonts w:hint="eastAsia"/>
        </w:rPr>
        <w:t>30%</w:t>
      </w:r>
      <w:r w:rsidRPr="00401CEE">
        <w:rPr>
          <w:rFonts w:hint="eastAsia"/>
        </w:rPr>
        <w:t>，低于</w:t>
      </w:r>
      <w:r w:rsidRPr="00401CEE">
        <w:rPr>
          <w:rFonts w:hint="eastAsia"/>
        </w:rPr>
        <w:t>40%</w:t>
      </w:r>
      <w:r w:rsidRPr="00401CEE">
        <w:rPr>
          <w:rFonts w:hint="eastAsia"/>
        </w:rPr>
        <w:t>的基准。委员会还感到关切的是，妇女在市政府、外交部门高级职位、私营部门决策职位以及在军队和警察中的任职人数不足。</w:t>
      </w:r>
    </w:p>
    <w:p w14:paraId="06B098B4" w14:textId="77777777" w:rsidR="00AE14A8" w:rsidRPr="00401CEE" w:rsidRDefault="00AE14A8" w:rsidP="00AE14A8">
      <w:pPr>
        <w:pStyle w:val="SingleTxt"/>
        <w:rPr>
          <w:rFonts w:asciiTheme="majorBidi" w:eastAsia="黑体" w:hAnsiTheme="majorBidi" w:cstheme="majorBidi"/>
        </w:rPr>
      </w:pPr>
      <w:r w:rsidRPr="00401CEE">
        <w:rPr>
          <w:rFonts w:hint="eastAsia"/>
        </w:rPr>
        <w:t>35.</w:t>
      </w:r>
      <w:r w:rsidRPr="00401CEE">
        <w:rPr>
          <w:rFonts w:hint="eastAsia"/>
        </w:rPr>
        <w:tab/>
      </w:r>
      <w:r w:rsidRPr="00401CEE">
        <w:rPr>
          <w:rFonts w:asciiTheme="majorBidi" w:eastAsia="黑体" w:hAnsiTheme="majorBidi" w:cstheme="majorBidi" w:hint="eastAsia"/>
        </w:rPr>
        <w:t>委员会回顾其关于妇女在决策系统中平等和包容性代表权的第</w:t>
      </w:r>
      <w:r w:rsidRPr="00401CEE">
        <w:rPr>
          <w:rFonts w:asciiTheme="majorBidi" w:eastAsia="黑体" w:hAnsiTheme="majorBidi" w:cstheme="majorBidi" w:hint="eastAsia"/>
        </w:rPr>
        <w:t>40</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(2024</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以及关于确保妇女全面有效参与各级政治、经济和公共生活的决策并有平等机会进入以上各级决策领导层的可持续发展目标具体目标</w:t>
      </w:r>
      <w:r w:rsidRPr="00401CEE">
        <w:rPr>
          <w:rFonts w:asciiTheme="majorBidi" w:eastAsia="黑体" w:hAnsiTheme="majorBidi" w:cstheme="majorBidi" w:hint="eastAsia"/>
        </w:rPr>
        <w:t>5.5</w:t>
      </w:r>
      <w:r w:rsidRPr="00401CEE">
        <w:rPr>
          <w:rFonts w:asciiTheme="majorBidi" w:eastAsia="黑体" w:hAnsiTheme="majorBidi" w:cstheme="majorBidi" w:hint="eastAsia"/>
        </w:rPr>
        <w:t>，建议缔约国采取具体和有针对性的措施，解决妇女在市政府、外交部门高级职位以及私营部门、军队和警察系统决策职位中任职人数方面的性别差距，以期在政治和公共生活的所有领域实现性别均等。</w:t>
      </w:r>
    </w:p>
    <w:p w14:paraId="3FDEDECC"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国籍</w:t>
      </w:r>
    </w:p>
    <w:p w14:paraId="641614CB" w14:textId="77777777" w:rsidR="00AE14A8" w:rsidRPr="00401CEE" w:rsidRDefault="00AE14A8" w:rsidP="00AE14A8">
      <w:pPr>
        <w:pStyle w:val="SingleTxt"/>
      </w:pPr>
      <w:r w:rsidRPr="00401CEE">
        <w:rPr>
          <w:rFonts w:hint="eastAsia"/>
        </w:rPr>
        <w:t>36.</w:t>
      </w:r>
      <w:r w:rsidRPr="00401CEE">
        <w:rPr>
          <w:rFonts w:hint="eastAsia"/>
        </w:rPr>
        <w:tab/>
      </w:r>
      <w:r w:rsidRPr="00401CEE">
        <w:rPr>
          <w:rFonts w:hint="eastAsia"/>
        </w:rPr>
        <w:t>委员会注意到，缔约国的国籍法载有若干旨在防止和减少无国籍状态的规定。然而，委员会感到关切的是：</w:t>
      </w:r>
    </w:p>
    <w:p w14:paraId="3E28A409" w14:textId="26E454AD"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该法不保护申请无国籍地位者在申请过程中在卢森堡居住的权利，也不能使他们在获得无国籍地位后自动获得这一权利；</w:t>
      </w:r>
    </w:p>
    <w:p w14:paraId="3829C383" w14:textId="209145D2"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联合国难民事务高级专员公署关于难民、无国籍人和寻求庇护者的登记标准没有充分纳入缔约国法律；</w:t>
      </w:r>
    </w:p>
    <w:p w14:paraId="353E550D" w14:textId="00303C05"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缔约国未提供关于无国籍妇女和女童以及寻求庇护的妇女和女童的统计数据。</w:t>
      </w:r>
    </w:p>
    <w:p w14:paraId="3351B31C" w14:textId="77777777" w:rsidR="00AE14A8" w:rsidRPr="00401CEE" w:rsidRDefault="00AE14A8" w:rsidP="00AE14A8">
      <w:pPr>
        <w:pStyle w:val="SingleTxt"/>
        <w:rPr>
          <w:rFonts w:asciiTheme="majorBidi" w:eastAsia="黑体" w:hAnsiTheme="majorBidi" w:cstheme="majorBidi"/>
        </w:rPr>
      </w:pPr>
      <w:r w:rsidRPr="00401CEE">
        <w:rPr>
          <w:rFonts w:hint="eastAsia"/>
        </w:rPr>
        <w:t>37.</w:t>
      </w:r>
      <w:r w:rsidRPr="00401CEE">
        <w:rPr>
          <w:rFonts w:hint="eastAsia"/>
        </w:rPr>
        <w:tab/>
      </w:r>
      <w:r w:rsidRPr="00401CEE">
        <w:rPr>
          <w:rFonts w:asciiTheme="majorBidi" w:eastAsia="黑体" w:hAnsiTheme="majorBidi" w:cstheme="majorBidi" w:hint="eastAsia"/>
        </w:rPr>
        <w:t>委员会建议缔约国根据《关于无国籍人地位的公约》和《减少无国籍状态公约》规定的义务：</w:t>
      </w:r>
    </w:p>
    <w:p w14:paraId="6050F56A" w14:textId="557B3E2B"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保障申请无国籍地位者在申请过程中在卢森堡居住的权利，并在给予他们无国籍地位后自动承认这一权利；</w:t>
      </w:r>
    </w:p>
    <w:p w14:paraId="1CE3BED9" w14:textId="740CD3DB"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将联合国难民事务高级专员公署关于难民、无国籍人和寻求庇护者的登记标准纳入国内立法，并汇编关于无国籍妇女和女童以及寻求庇护的妇女和女童的按性别分列数据。</w:t>
      </w:r>
    </w:p>
    <w:p w14:paraId="681D4E6A"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教育</w:t>
      </w:r>
    </w:p>
    <w:p w14:paraId="47563291" w14:textId="77777777" w:rsidR="00AE14A8" w:rsidRPr="00401CEE" w:rsidRDefault="00AE14A8" w:rsidP="00AE14A8">
      <w:pPr>
        <w:pStyle w:val="SingleTxt"/>
      </w:pPr>
      <w:r w:rsidRPr="00401CEE">
        <w:rPr>
          <w:rFonts w:hint="eastAsia"/>
        </w:rPr>
        <w:t>38.</w:t>
      </w:r>
      <w:r w:rsidRPr="00401CEE">
        <w:rPr>
          <w:rFonts w:hint="eastAsia"/>
        </w:rPr>
        <w:tab/>
      </w:r>
      <w:r w:rsidRPr="00401CEE">
        <w:rPr>
          <w:rFonts w:hint="eastAsia"/>
        </w:rPr>
        <w:t>委员会赞扬缔约国于</w:t>
      </w:r>
      <w:r w:rsidRPr="00401CEE">
        <w:rPr>
          <w:rFonts w:hint="eastAsia"/>
        </w:rPr>
        <w:t>2023</w:t>
      </w:r>
      <w:r w:rsidRPr="00401CEE">
        <w:rPr>
          <w:rFonts w:hint="eastAsia"/>
        </w:rPr>
        <w:t>年</w:t>
      </w:r>
      <w:r w:rsidRPr="00401CEE">
        <w:rPr>
          <w:rFonts w:hint="eastAsia"/>
        </w:rPr>
        <w:t>7</w:t>
      </w:r>
      <w:r w:rsidRPr="00401CEE">
        <w:rPr>
          <w:rFonts w:hint="eastAsia"/>
        </w:rPr>
        <w:t>月</w:t>
      </w:r>
      <w:r w:rsidRPr="00401CEE">
        <w:rPr>
          <w:rFonts w:hint="eastAsia"/>
        </w:rPr>
        <w:t>20</w:t>
      </w:r>
      <w:r w:rsidRPr="00401CEE">
        <w:rPr>
          <w:rFonts w:hint="eastAsia"/>
        </w:rPr>
        <w:t>日通过义务教育法，其中将从</w:t>
      </w:r>
      <w:r w:rsidRPr="00401CEE">
        <w:rPr>
          <w:rFonts w:hint="eastAsia"/>
        </w:rPr>
        <w:t>4</w:t>
      </w:r>
      <w:r w:rsidRPr="00401CEE">
        <w:rPr>
          <w:rFonts w:hint="eastAsia"/>
        </w:rPr>
        <w:t>岁开始的义务教育年龄从</w:t>
      </w:r>
      <w:r w:rsidRPr="00401CEE">
        <w:rPr>
          <w:rFonts w:hint="eastAsia"/>
        </w:rPr>
        <w:t>16</w:t>
      </w:r>
      <w:r w:rsidRPr="00401CEE">
        <w:rPr>
          <w:rFonts w:hint="eastAsia"/>
        </w:rPr>
        <w:t>岁延长至</w:t>
      </w:r>
      <w:r w:rsidRPr="00401CEE">
        <w:rPr>
          <w:rFonts w:hint="eastAsia"/>
        </w:rPr>
        <w:t>18</w:t>
      </w:r>
      <w:r w:rsidRPr="00401CEE">
        <w:rPr>
          <w:rFonts w:hint="eastAsia"/>
        </w:rPr>
        <w:t>岁，作为解决辍学问题的一个重要工具。委员会还赞赏地注意到缔约国努力鼓励妇女和女童从事数字学习和职业。然而，委员会关切地注意到：</w:t>
      </w:r>
    </w:p>
    <w:p w14:paraId="50DEBA65" w14:textId="56090E3A"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围绕科学、技术、工程和数学学科存在性别陈规定型观念，往往有碍妇女和女童就读这些学科和传统上以男性为主的其他研究领域，包括建筑；</w:t>
      </w:r>
    </w:p>
    <w:p w14:paraId="0BA186BE" w14:textId="3473B1B2"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在满足残疾、生活贫困、移民、难民和寻求庇护的女童和妇女的教育需求方面存在挑战；</w:t>
      </w:r>
    </w:p>
    <w:p w14:paraId="4EBAD687" w14:textId="0BB0AE58"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与学校有关的欺凌和暴力以及网络暴力的报道，包括接触和传播性和色情内容；</w:t>
      </w:r>
    </w:p>
    <w:p w14:paraId="70C4D906" w14:textId="7ADD9052" w:rsidR="00AE14A8" w:rsidRPr="00401CEE" w:rsidRDefault="00AE14A8" w:rsidP="00AE14A8">
      <w:pPr>
        <w:pStyle w:val="SingleTxt"/>
      </w:pPr>
      <w:r w:rsidRPr="00401CEE">
        <w:rPr>
          <w:spacing w:val="-4"/>
        </w:rPr>
        <w:tab/>
      </w:r>
      <w:r w:rsidRPr="00401CEE">
        <w:rPr>
          <w:rFonts w:hint="eastAsia"/>
          <w:spacing w:val="-4"/>
        </w:rPr>
        <w:t>(d)</w:t>
      </w:r>
      <w:r w:rsidRPr="00401CEE">
        <w:rPr>
          <w:rFonts w:hint="eastAsia"/>
          <w:spacing w:val="-4"/>
        </w:rPr>
        <w:tab/>
      </w:r>
      <w:r w:rsidRPr="00401CEE">
        <w:rPr>
          <w:rFonts w:hint="eastAsia"/>
          <w:spacing w:val="-4"/>
        </w:rPr>
        <w:t>在监狱机构中被单独监禁的妇女据报没有机会接受教育或进入图书馆，</w:t>
      </w:r>
      <w:r w:rsidRPr="00401CEE">
        <w:rPr>
          <w:rFonts w:hint="eastAsia"/>
        </w:rPr>
        <w:t>尽管</w:t>
      </w:r>
      <w:r w:rsidRPr="00401CEE">
        <w:rPr>
          <w:rFonts w:hint="eastAsia"/>
        </w:rPr>
        <w:t>2018</w:t>
      </w:r>
      <w:r w:rsidRPr="00401CEE">
        <w:rPr>
          <w:rFonts w:hint="eastAsia"/>
        </w:rPr>
        <w:t>年</w:t>
      </w:r>
      <w:r w:rsidRPr="00401CEE">
        <w:rPr>
          <w:rFonts w:hint="eastAsia"/>
        </w:rPr>
        <w:t>7</w:t>
      </w:r>
      <w:r w:rsidRPr="00401CEE">
        <w:rPr>
          <w:rFonts w:hint="eastAsia"/>
        </w:rPr>
        <w:t>月</w:t>
      </w:r>
      <w:r w:rsidRPr="00401CEE">
        <w:rPr>
          <w:rFonts w:hint="eastAsia"/>
        </w:rPr>
        <w:t>20</w:t>
      </w:r>
      <w:r w:rsidRPr="00401CEE">
        <w:rPr>
          <w:rFonts w:hint="eastAsia"/>
        </w:rPr>
        <w:t>日监狱管理改革法规定，单独监禁不应影响囚犯参加经调整的活动，包括教育方案；</w:t>
      </w:r>
    </w:p>
    <w:p w14:paraId="4AC6AF2B" w14:textId="20F69593" w:rsidR="00AE14A8" w:rsidRPr="00401CEE" w:rsidRDefault="00AE14A8" w:rsidP="00AE14A8">
      <w:pPr>
        <w:pStyle w:val="SingleTxt"/>
      </w:pPr>
      <w:r w:rsidRPr="00401CEE">
        <w:tab/>
      </w:r>
      <w:r w:rsidRPr="00401CEE">
        <w:rPr>
          <w:rFonts w:hint="eastAsia"/>
        </w:rPr>
        <w:t>(e)</w:t>
      </w:r>
      <w:r w:rsidRPr="00401CEE">
        <w:rPr>
          <w:rFonts w:hint="eastAsia"/>
        </w:rPr>
        <w:tab/>
      </w:r>
      <w:r w:rsidRPr="00401CEE">
        <w:rPr>
          <w:rFonts w:hint="eastAsia"/>
        </w:rPr>
        <w:t>关于女学生长时间上网及其对她们发展的影响的报道。</w:t>
      </w:r>
    </w:p>
    <w:p w14:paraId="433AE55B" w14:textId="36D030F9" w:rsidR="00AE14A8" w:rsidRPr="00401CEE" w:rsidRDefault="00AE14A8" w:rsidP="00AE14A8">
      <w:pPr>
        <w:pStyle w:val="SingleTxt"/>
        <w:rPr>
          <w:rFonts w:asciiTheme="majorBidi" w:eastAsia="黑体" w:hAnsiTheme="majorBidi" w:cstheme="majorBidi"/>
        </w:rPr>
      </w:pPr>
      <w:r w:rsidRPr="00401CEE">
        <w:rPr>
          <w:rFonts w:hint="eastAsia"/>
        </w:rPr>
        <w:t>39.</w:t>
      </w:r>
      <w:r w:rsidRPr="00401CEE">
        <w:rPr>
          <w:rFonts w:hint="eastAsia"/>
        </w:rPr>
        <w:tab/>
      </w:r>
      <w:r w:rsidRPr="00401CEE">
        <w:rPr>
          <w:rFonts w:asciiTheme="majorBidi" w:eastAsia="黑体" w:hAnsiTheme="majorBidi" w:cstheme="majorBidi" w:hint="eastAsia"/>
        </w:rPr>
        <w:t>委员会考虑到其关于女童和妇女受教育权的第</w:t>
      </w:r>
      <w:r w:rsidRPr="00401CEE">
        <w:rPr>
          <w:rFonts w:asciiTheme="majorBidi" w:eastAsia="黑体" w:hAnsiTheme="majorBidi" w:cstheme="majorBidi" w:hint="eastAsia"/>
        </w:rPr>
        <w:t>36</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(2017</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并回顾其此前建议</w:t>
      </w:r>
      <w:r w:rsidRPr="00401CEE">
        <w:rPr>
          <w:rFonts w:asciiTheme="majorBidi" w:eastAsia="黑体" w:hAnsiTheme="majorBidi" w:cstheme="majorBidi" w:hint="eastAsia"/>
        </w:rPr>
        <w:t>(</w:t>
      </w:r>
      <w:hyperlink r:id="rId34" w:history="1">
        <w:r w:rsidRPr="00401CEE">
          <w:rPr>
            <w:rStyle w:val="af7"/>
            <w:rFonts w:asciiTheme="majorBidi" w:eastAsia="黑体" w:hAnsiTheme="majorBidi" w:cstheme="majorBidi" w:hint="eastAsia"/>
          </w:rPr>
          <w:t>CEDAW/C/LUX/CO/6-7</w:t>
        </w:r>
      </w:hyperlink>
      <w:r w:rsidRPr="00401CEE">
        <w:rPr>
          <w:rFonts w:asciiTheme="majorBidi" w:eastAsia="黑体" w:hAnsiTheme="majorBidi" w:cstheme="majorBidi" w:hint="eastAsia"/>
        </w:rPr>
        <w:t>，第</w:t>
      </w:r>
      <w:r w:rsidRPr="00401CEE">
        <w:rPr>
          <w:rFonts w:asciiTheme="majorBidi" w:eastAsia="黑体" w:hAnsiTheme="majorBidi" w:cstheme="majorBidi" w:hint="eastAsia"/>
        </w:rPr>
        <w:t>40</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，建议缔约国继续宣传女童接受各级教育的重要性，以此作为增强她们权能的基础。委员会并建议缔约国：</w:t>
      </w:r>
    </w:p>
    <w:p w14:paraId="457D9AA4" w14:textId="2ED4DE94"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对职业指导采取对性别问题有敏感认识的办法，包括以榜样为基础，以鼓励女童进入传统上男性占主导地位的学习领域，如数学、信息技术和科学，并追求非传统的职业道路；对各级教育系统的教师开展防止陈规定型观念的培训；收集按性别、年龄、残疾状况、国籍、种族出身、宗教、社会经济背景和其他相关因素分列的高等教育科学、技术、工程、数学和建筑领域妇女和女童就读人数的数据；</w:t>
      </w:r>
    </w:p>
    <w:p w14:paraId="7EA26376" w14:textId="376B93C1"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加大措施力度以满足残疾女童和妇女以及生活贫困、移民、难民和寻求庇护的女童和妇女的教育需求，并在下次定期报告中提供关于上述所有处境不利的女童和妇女群体教育情况的信息和统计数据；</w:t>
      </w:r>
    </w:p>
    <w:p w14:paraId="36CE968F" w14:textId="35103199"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提供适足的财政、技术、人力和后勤资源，以有效确保女童和妇女在学校环境和网络空间中的身体、精神和在线安全，包括用于有效实施</w:t>
      </w:r>
      <w:r w:rsidRPr="00401CEE">
        <w:rPr>
          <w:rFonts w:asciiTheme="majorBidi" w:eastAsia="黑体" w:hAnsiTheme="majorBidi" w:cstheme="majorBidi" w:hint="eastAsia"/>
          <w:b/>
          <w:bCs/>
        </w:rPr>
        <w:t>Bee Secure Stopline</w:t>
      </w:r>
      <w:r w:rsidRPr="00401CEE">
        <w:rPr>
          <w:rFonts w:asciiTheme="majorBidi" w:eastAsia="黑体" w:hAnsiTheme="majorBidi" w:cstheme="majorBidi" w:hint="eastAsia"/>
        </w:rPr>
        <w:t>服务，保护她们免受与学校有关的性暴力、不接触和传播色情内容、免受欺凌和网络暴力；</w:t>
      </w:r>
    </w:p>
    <w:p w14:paraId="2E72CCFC" w14:textId="494B964B"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全面执行</w:t>
      </w:r>
      <w:r w:rsidRPr="00401CEE">
        <w:rPr>
          <w:rFonts w:asciiTheme="majorBidi" w:eastAsia="黑体" w:hAnsiTheme="majorBidi" w:cstheme="majorBidi" w:hint="eastAsia"/>
        </w:rPr>
        <w:t>2018</w:t>
      </w:r>
      <w:r w:rsidRPr="00401CEE">
        <w:rPr>
          <w:rFonts w:asciiTheme="majorBidi" w:eastAsia="黑体" w:hAnsiTheme="majorBidi" w:cstheme="majorBidi" w:hint="eastAsia"/>
        </w:rPr>
        <w:t>年</w:t>
      </w:r>
      <w:r w:rsidRPr="00401CEE">
        <w:rPr>
          <w:rFonts w:asciiTheme="majorBidi" w:eastAsia="黑体" w:hAnsiTheme="majorBidi" w:cstheme="majorBidi" w:hint="eastAsia"/>
        </w:rPr>
        <w:t>7</w:t>
      </w:r>
      <w:r w:rsidRPr="00401CEE">
        <w:rPr>
          <w:rFonts w:asciiTheme="majorBidi" w:eastAsia="黑体" w:hAnsiTheme="majorBidi" w:cstheme="majorBidi" w:hint="eastAsia"/>
        </w:rPr>
        <w:t>月</w:t>
      </w:r>
      <w:r w:rsidRPr="00401CEE">
        <w:rPr>
          <w:rFonts w:asciiTheme="majorBidi" w:eastAsia="黑体" w:hAnsiTheme="majorBidi" w:cstheme="majorBidi" w:hint="eastAsia"/>
        </w:rPr>
        <w:t>20</w:t>
      </w:r>
      <w:r w:rsidRPr="00401CEE">
        <w:rPr>
          <w:rFonts w:asciiTheme="majorBidi" w:eastAsia="黑体" w:hAnsiTheme="majorBidi" w:cstheme="majorBidi" w:hint="eastAsia"/>
        </w:rPr>
        <w:t>日监狱改革法，以确保单独监禁的妇女能充分利用教育方案；</w:t>
      </w:r>
    </w:p>
    <w:p w14:paraId="052E9BA5" w14:textId="73D1A1AC"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(e)</w:t>
      </w:r>
      <w:r w:rsidRPr="00401CEE">
        <w:rPr>
          <w:rFonts w:asciiTheme="majorBidi" w:eastAsia="黑体" w:hAnsiTheme="majorBidi" w:cstheme="majorBidi" w:hint="eastAsia"/>
        </w:rPr>
        <w:tab/>
      </w:r>
      <w:r w:rsidRPr="00401CEE">
        <w:rPr>
          <w:rFonts w:asciiTheme="majorBidi" w:eastAsia="黑体" w:hAnsiTheme="majorBidi" w:cstheme="majorBidi" w:hint="eastAsia"/>
        </w:rPr>
        <w:t>采取措施，有效解决女学生上网过长及其对她们发展的影响问题；</w:t>
      </w:r>
    </w:p>
    <w:p w14:paraId="6815AFFA" w14:textId="4C3428F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(f)</w:t>
      </w:r>
      <w:r w:rsidRPr="00401CEE">
        <w:rPr>
          <w:rFonts w:asciiTheme="majorBidi" w:eastAsia="黑体" w:hAnsiTheme="majorBidi" w:cstheme="majorBidi" w:hint="eastAsia"/>
        </w:rPr>
        <w:tab/>
      </w:r>
      <w:r w:rsidRPr="00401CEE">
        <w:rPr>
          <w:rFonts w:asciiTheme="majorBidi" w:eastAsia="黑体" w:hAnsiTheme="majorBidi" w:cstheme="majorBidi" w:hint="eastAsia"/>
        </w:rPr>
        <w:t>继续支持《安全学校宣言》和《防止武装冲突期间将学校和大学用于军事目的的准则》的落实和实施。</w:t>
      </w:r>
    </w:p>
    <w:p w14:paraId="230CFC03"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就业</w:t>
      </w:r>
    </w:p>
    <w:p w14:paraId="442CD209" w14:textId="77777777" w:rsidR="00AE14A8" w:rsidRPr="00401CEE" w:rsidRDefault="00AE14A8" w:rsidP="00AE14A8">
      <w:pPr>
        <w:pStyle w:val="SingleTxt"/>
      </w:pPr>
      <w:r w:rsidRPr="00401CEE">
        <w:rPr>
          <w:rFonts w:hint="eastAsia"/>
        </w:rPr>
        <w:t>40.</w:t>
      </w:r>
      <w:r w:rsidRPr="00401CEE">
        <w:rPr>
          <w:rFonts w:hint="eastAsia"/>
        </w:rPr>
        <w:tab/>
      </w:r>
      <w:r w:rsidRPr="00401CEE">
        <w:rPr>
          <w:rFonts w:hint="eastAsia"/>
        </w:rPr>
        <w:t>委员会欣见缔约国成为欧洲联盟第一个有效消除性别工资差距的国家。委员会赞赏地注意到</w:t>
      </w:r>
      <w:r w:rsidRPr="00401CEE">
        <w:rPr>
          <w:rFonts w:hint="eastAsia"/>
        </w:rPr>
        <w:t>2023</w:t>
      </w:r>
      <w:r w:rsidRPr="00401CEE">
        <w:rPr>
          <w:rFonts w:hint="eastAsia"/>
        </w:rPr>
        <w:t>年</w:t>
      </w:r>
      <w:r w:rsidRPr="00401CEE">
        <w:rPr>
          <w:rFonts w:hint="eastAsia"/>
        </w:rPr>
        <w:t>3</w:t>
      </w:r>
      <w:r w:rsidRPr="00401CEE">
        <w:rPr>
          <w:rFonts w:hint="eastAsia"/>
        </w:rPr>
        <w:t>月</w:t>
      </w:r>
      <w:r w:rsidRPr="00401CEE">
        <w:rPr>
          <w:rFonts w:hint="eastAsia"/>
        </w:rPr>
        <w:t>29</w:t>
      </w:r>
      <w:r w:rsidRPr="00401CEE">
        <w:rPr>
          <w:rFonts w:hint="eastAsia"/>
        </w:rPr>
        <w:t>日通过了《劳动法》修正法，旨在建立防止工作场所道德骚扰制度。然而，委员会关切地注意到：</w:t>
      </w:r>
    </w:p>
    <w:p w14:paraId="06828009" w14:textId="2D409291"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消除工资差距方面的进展并未转化为消除养老金差距方面的进展，</w:t>
      </w:r>
      <w:r w:rsidRPr="00401CEE">
        <w:rPr>
          <w:rFonts w:hint="eastAsia"/>
        </w:rPr>
        <w:t>2023</w:t>
      </w:r>
      <w:r w:rsidRPr="00401CEE">
        <w:rPr>
          <w:rFonts w:hint="eastAsia"/>
        </w:rPr>
        <w:t>年男女养老金差距为</w:t>
      </w:r>
      <w:r w:rsidRPr="00401CEE">
        <w:rPr>
          <w:rFonts w:hint="eastAsia"/>
        </w:rPr>
        <w:t>33.9%</w:t>
      </w:r>
      <w:r w:rsidRPr="00401CEE">
        <w:rPr>
          <w:rFonts w:hint="eastAsia"/>
        </w:rPr>
        <w:t>；</w:t>
      </w:r>
    </w:p>
    <w:p w14:paraId="577687CD" w14:textId="04D871D9"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近三分之一</w:t>
      </w:r>
      <w:r w:rsidRPr="00401CEE">
        <w:rPr>
          <w:rFonts w:hint="eastAsia"/>
        </w:rPr>
        <w:t>(30.9%)</w:t>
      </w:r>
      <w:r w:rsidRPr="00401CEE">
        <w:rPr>
          <w:rFonts w:hint="eastAsia"/>
        </w:rPr>
        <w:t>的妇女从事非全日制工作，而男子的这一比例仅为</w:t>
      </w:r>
      <w:r w:rsidRPr="00401CEE">
        <w:rPr>
          <w:rFonts w:hint="eastAsia"/>
        </w:rPr>
        <w:t>7.1%</w:t>
      </w:r>
      <w:r w:rsidRPr="00401CEE">
        <w:rPr>
          <w:rFonts w:hint="eastAsia"/>
        </w:rPr>
        <w:t>；</w:t>
      </w:r>
    </w:p>
    <w:p w14:paraId="79449597" w14:textId="36DDA564" w:rsidR="00AE14A8" w:rsidRPr="00401CEE" w:rsidRDefault="00AE14A8" w:rsidP="00AE14A8">
      <w:pPr>
        <w:pStyle w:val="SingleTxt"/>
      </w:pPr>
      <w:r w:rsidRPr="00401CEE">
        <w:tab/>
      </w:r>
      <w:r w:rsidRPr="00401CEE">
        <w:rPr>
          <w:rFonts w:hint="eastAsia"/>
        </w:rPr>
        <w:t>(c)</w:t>
      </w:r>
      <w:r w:rsidRPr="00401CEE">
        <w:rPr>
          <w:rFonts w:hint="eastAsia"/>
        </w:rPr>
        <w:tab/>
        <w:t>2003</w:t>
      </w:r>
      <w:r w:rsidRPr="00401CEE">
        <w:rPr>
          <w:rFonts w:hint="eastAsia"/>
        </w:rPr>
        <w:t>年</w:t>
      </w:r>
      <w:r w:rsidRPr="00401CEE">
        <w:rPr>
          <w:rFonts w:hint="eastAsia"/>
        </w:rPr>
        <w:t>9</w:t>
      </w:r>
      <w:r w:rsidRPr="00401CEE">
        <w:rPr>
          <w:rFonts w:hint="eastAsia"/>
        </w:rPr>
        <w:t>月</w:t>
      </w:r>
      <w:r w:rsidRPr="00401CEE">
        <w:rPr>
          <w:rFonts w:hint="eastAsia"/>
        </w:rPr>
        <w:t>12</w:t>
      </w:r>
      <w:r w:rsidRPr="00401CEE">
        <w:rPr>
          <w:rFonts w:hint="eastAsia"/>
        </w:rPr>
        <w:t>日残疾人法将不符合丧失</w:t>
      </w:r>
      <w:r w:rsidRPr="00401CEE">
        <w:rPr>
          <w:rFonts w:hint="eastAsia"/>
        </w:rPr>
        <w:t>30%</w:t>
      </w:r>
      <w:r w:rsidRPr="00401CEE">
        <w:rPr>
          <w:rFonts w:hint="eastAsia"/>
        </w:rPr>
        <w:t>工作能力这一规定的残疾人排除在“残疾工人”身份和相关包容性津贴之外；</w:t>
      </w:r>
    </w:p>
    <w:p w14:paraId="572BC50E" w14:textId="0127749F"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寻求庇护者提交申请后必须等待</w:t>
      </w:r>
      <w:r w:rsidRPr="00401CEE">
        <w:rPr>
          <w:rFonts w:hint="eastAsia"/>
        </w:rPr>
        <w:t>6</w:t>
      </w:r>
      <w:r w:rsidRPr="00401CEE">
        <w:rPr>
          <w:rFonts w:hint="eastAsia"/>
        </w:rPr>
        <w:t>个月才能进入劳动力市场；</w:t>
      </w:r>
    </w:p>
    <w:p w14:paraId="45338606" w14:textId="6416F8F8" w:rsidR="00AE14A8" w:rsidRPr="00401CEE" w:rsidRDefault="00AE14A8" w:rsidP="00AE14A8">
      <w:pPr>
        <w:pStyle w:val="SingleTxt"/>
      </w:pPr>
      <w:r w:rsidRPr="00401CEE">
        <w:tab/>
      </w:r>
      <w:r w:rsidRPr="00401CEE">
        <w:rPr>
          <w:rFonts w:hint="eastAsia"/>
        </w:rPr>
        <w:t>(e)</w:t>
      </w:r>
      <w:r w:rsidRPr="00401CEE">
        <w:rPr>
          <w:rFonts w:hint="eastAsia"/>
        </w:rPr>
        <w:tab/>
      </w:r>
      <w:r w:rsidRPr="00401CEE">
        <w:rPr>
          <w:rFonts w:hint="eastAsia"/>
        </w:rPr>
        <w:t>《劳动法》第五章禁止工作场所性骚扰，但《刑法》并未将其定为刑事犯罪。</w:t>
      </w:r>
    </w:p>
    <w:p w14:paraId="64A96925"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41.</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委员会根据可持续发展目标具体目标</w:t>
      </w:r>
      <w:r w:rsidRPr="00401CEE">
        <w:rPr>
          <w:rFonts w:asciiTheme="majorBidi" w:eastAsia="黑体" w:hAnsiTheme="majorBidi" w:cstheme="majorBidi" w:hint="eastAsia"/>
        </w:rPr>
        <w:t>8.5(</w:t>
      </w:r>
      <w:r w:rsidRPr="00401CEE">
        <w:rPr>
          <w:rFonts w:asciiTheme="majorBidi" w:eastAsia="黑体" w:hAnsiTheme="majorBidi" w:cstheme="majorBidi" w:hint="eastAsia"/>
        </w:rPr>
        <w:t>所有男女，包括青年和残疾人实现充分和生产性就业，有体面工作，并做到同工同酬</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w:t>
      </w:r>
    </w:p>
    <w:p w14:paraId="5233AFE5" w14:textId="605A2CB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继续努力解决男女养恤金差异的根源，并采取有针对性的措施缩小性别养恤金差距，包括为此承认妇女从事的无酬照护工作并计入养恤金和社会福利；将社会保障覆盖面扩至非正规经济中的妇女和自营职业妇女，如最低工资、带薪假和产假等社会保障；为妇女和男子引入灵活工作安排；</w:t>
      </w:r>
    </w:p>
    <w:p w14:paraId="23EFBCE9" w14:textId="7E725486"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采取有针对性的措施，优先帮助妇女从兼职过渡到全职工作，包括为此提供足够数量的适当且无障碍的托儿设施；</w:t>
      </w:r>
    </w:p>
    <w:p w14:paraId="3F2EEC85" w14:textId="0321960A"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审查</w:t>
      </w:r>
      <w:r w:rsidRPr="00401CEE">
        <w:rPr>
          <w:rFonts w:asciiTheme="majorBidi" w:eastAsia="黑体" w:hAnsiTheme="majorBidi" w:cstheme="majorBidi" w:hint="eastAsia"/>
        </w:rPr>
        <w:t>2003</w:t>
      </w:r>
      <w:r w:rsidRPr="00401CEE">
        <w:rPr>
          <w:rFonts w:asciiTheme="majorBidi" w:eastAsia="黑体" w:hAnsiTheme="majorBidi" w:cstheme="majorBidi" w:hint="eastAsia"/>
        </w:rPr>
        <w:t>年</w:t>
      </w:r>
      <w:r w:rsidRPr="00401CEE">
        <w:rPr>
          <w:rFonts w:asciiTheme="majorBidi" w:eastAsia="黑体" w:hAnsiTheme="majorBidi" w:cstheme="majorBidi" w:hint="eastAsia"/>
        </w:rPr>
        <w:t>9</w:t>
      </w:r>
      <w:r w:rsidRPr="00401CEE">
        <w:rPr>
          <w:rFonts w:asciiTheme="majorBidi" w:eastAsia="黑体" w:hAnsiTheme="majorBidi" w:cstheme="majorBidi" w:hint="eastAsia"/>
        </w:rPr>
        <w:t>月</w:t>
      </w:r>
      <w:r w:rsidRPr="00401CEE">
        <w:rPr>
          <w:rFonts w:asciiTheme="majorBidi" w:eastAsia="黑体" w:hAnsiTheme="majorBidi" w:cstheme="majorBidi" w:hint="eastAsia"/>
        </w:rPr>
        <w:t>12</w:t>
      </w:r>
      <w:r w:rsidRPr="00401CEE">
        <w:rPr>
          <w:rFonts w:asciiTheme="majorBidi" w:eastAsia="黑体" w:hAnsiTheme="majorBidi" w:cstheme="majorBidi" w:hint="eastAsia"/>
        </w:rPr>
        <w:t>日残疾人法，以取消排斥条款；</w:t>
      </w:r>
    </w:p>
    <w:p w14:paraId="063474CD" w14:textId="3A85ACC3"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加快申请程序，取消提交庇护申请后</w:t>
      </w:r>
      <w:r w:rsidRPr="00401CEE">
        <w:rPr>
          <w:rFonts w:asciiTheme="majorBidi" w:eastAsia="黑体" w:hAnsiTheme="majorBidi" w:cstheme="majorBidi" w:hint="eastAsia"/>
        </w:rPr>
        <w:t>6</w:t>
      </w:r>
      <w:r w:rsidRPr="00401CEE">
        <w:rPr>
          <w:rFonts w:asciiTheme="majorBidi" w:eastAsia="黑体" w:hAnsiTheme="majorBidi" w:cstheme="majorBidi" w:hint="eastAsia"/>
        </w:rPr>
        <w:t>个月的等待期，从而为寻求庇护者迅速进入劳动力市场提供便利；</w:t>
      </w:r>
    </w:p>
    <w:p w14:paraId="25717EB8" w14:textId="35419859"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(e)</w:t>
      </w:r>
      <w:r w:rsidRPr="00401CEE">
        <w:rPr>
          <w:rFonts w:asciiTheme="majorBidi" w:eastAsia="黑体" w:hAnsiTheme="majorBidi" w:cstheme="majorBidi" w:hint="eastAsia"/>
        </w:rPr>
        <w:tab/>
      </w:r>
      <w:r w:rsidRPr="00401CEE">
        <w:rPr>
          <w:rFonts w:asciiTheme="majorBidi" w:eastAsia="黑体" w:hAnsiTheme="majorBidi" w:cstheme="majorBidi" w:hint="eastAsia"/>
        </w:rPr>
        <w:t>颁布立法，明确将工作场所性骚扰定为刑事犯罪，从而规定对行为人的适当惩处；</w:t>
      </w:r>
    </w:p>
    <w:p w14:paraId="0E170CB3" w14:textId="307E6134"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(f)</w:t>
      </w:r>
      <w:r w:rsidRPr="00401CEE">
        <w:rPr>
          <w:rFonts w:asciiTheme="majorBidi" w:eastAsia="黑体" w:hAnsiTheme="majorBidi" w:cstheme="majorBidi" w:hint="eastAsia"/>
        </w:rPr>
        <w:tab/>
      </w:r>
      <w:r w:rsidRPr="00401CEE">
        <w:rPr>
          <w:rFonts w:asciiTheme="majorBidi" w:eastAsia="黑体" w:hAnsiTheme="majorBidi" w:cstheme="majorBidi" w:hint="eastAsia"/>
        </w:rPr>
        <w:t>批准国际劳工组织《</w:t>
      </w:r>
      <w:r w:rsidRPr="00401CEE">
        <w:rPr>
          <w:rFonts w:asciiTheme="majorBidi" w:eastAsia="黑体" w:hAnsiTheme="majorBidi" w:cstheme="majorBidi" w:hint="eastAsia"/>
        </w:rPr>
        <w:t>2011</w:t>
      </w:r>
      <w:r w:rsidRPr="00401CEE">
        <w:rPr>
          <w:rFonts w:asciiTheme="majorBidi" w:eastAsia="黑体" w:hAnsiTheme="majorBidi" w:cstheme="majorBidi" w:hint="eastAsia"/>
        </w:rPr>
        <w:t>年家庭工人公约》</w:t>
      </w:r>
      <w:r w:rsidRPr="00401CEE">
        <w:rPr>
          <w:rFonts w:asciiTheme="majorBidi" w:eastAsia="黑体" w:hAnsiTheme="majorBidi" w:cstheme="majorBidi" w:hint="eastAsia"/>
        </w:rPr>
        <w:t>(</w:t>
      </w:r>
      <w:r w:rsidRPr="00401CEE">
        <w:rPr>
          <w:rFonts w:asciiTheme="majorBidi" w:eastAsia="黑体" w:hAnsiTheme="majorBidi" w:cstheme="majorBidi" w:hint="eastAsia"/>
        </w:rPr>
        <w:t>第</w:t>
      </w:r>
      <w:r w:rsidRPr="00401CEE">
        <w:rPr>
          <w:rFonts w:asciiTheme="majorBidi" w:eastAsia="黑体" w:hAnsiTheme="majorBidi" w:cstheme="majorBidi" w:hint="eastAsia"/>
        </w:rPr>
        <w:t>189</w:t>
      </w:r>
      <w:r w:rsidRPr="00401CEE">
        <w:rPr>
          <w:rFonts w:asciiTheme="majorBidi" w:eastAsia="黑体" w:hAnsiTheme="majorBidi" w:cstheme="majorBidi" w:hint="eastAsia"/>
        </w:rPr>
        <w:t>号</w:t>
      </w:r>
      <w:r w:rsidRPr="00401CEE">
        <w:rPr>
          <w:rFonts w:asciiTheme="majorBidi" w:eastAsia="黑体" w:hAnsiTheme="majorBidi" w:cstheme="majorBidi" w:hint="eastAsia"/>
        </w:rPr>
        <w:t>)</w:t>
      </w:r>
      <w:r w:rsidRPr="00401CEE">
        <w:rPr>
          <w:rFonts w:asciiTheme="majorBidi" w:eastAsia="黑体" w:hAnsiTheme="majorBidi" w:cstheme="majorBidi" w:hint="eastAsia"/>
        </w:rPr>
        <w:t>和《</w:t>
      </w:r>
      <w:r w:rsidRPr="00401CEE">
        <w:rPr>
          <w:rFonts w:asciiTheme="majorBidi" w:eastAsia="黑体" w:hAnsiTheme="majorBidi" w:cstheme="majorBidi" w:hint="eastAsia"/>
        </w:rPr>
        <w:t>2019</w:t>
      </w:r>
      <w:r w:rsidRPr="00401CEE">
        <w:rPr>
          <w:rFonts w:asciiTheme="majorBidi" w:eastAsia="黑体" w:hAnsiTheme="majorBidi" w:cstheme="majorBidi" w:hint="eastAsia"/>
        </w:rPr>
        <w:t>年暴力和骚扰公约》</w:t>
      </w:r>
      <w:r w:rsidRPr="00401CEE">
        <w:rPr>
          <w:rFonts w:asciiTheme="majorBidi" w:eastAsia="黑体" w:hAnsiTheme="majorBidi" w:cstheme="majorBidi" w:hint="eastAsia"/>
        </w:rPr>
        <w:t>(</w:t>
      </w:r>
      <w:r w:rsidRPr="00401CEE">
        <w:rPr>
          <w:rFonts w:asciiTheme="majorBidi" w:eastAsia="黑体" w:hAnsiTheme="majorBidi" w:cstheme="majorBidi" w:hint="eastAsia"/>
        </w:rPr>
        <w:t>第</w:t>
      </w:r>
      <w:r w:rsidRPr="00401CEE">
        <w:rPr>
          <w:rFonts w:asciiTheme="majorBidi" w:eastAsia="黑体" w:hAnsiTheme="majorBidi" w:cstheme="majorBidi" w:hint="eastAsia"/>
        </w:rPr>
        <w:t>190</w:t>
      </w:r>
      <w:r w:rsidRPr="00401CEE">
        <w:rPr>
          <w:rFonts w:asciiTheme="majorBidi" w:eastAsia="黑体" w:hAnsiTheme="majorBidi" w:cstheme="majorBidi" w:hint="eastAsia"/>
        </w:rPr>
        <w:t>号</w:t>
      </w:r>
      <w:r w:rsidRPr="00401CEE">
        <w:rPr>
          <w:rFonts w:asciiTheme="majorBidi" w:eastAsia="黑体" w:hAnsiTheme="majorBidi" w:cstheme="majorBidi" w:hint="eastAsia"/>
        </w:rPr>
        <w:t>)</w:t>
      </w:r>
      <w:r w:rsidRPr="00401CEE">
        <w:rPr>
          <w:rFonts w:asciiTheme="majorBidi" w:eastAsia="黑体" w:hAnsiTheme="majorBidi" w:cstheme="majorBidi" w:hint="eastAsia"/>
        </w:rPr>
        <w:t>。</w:t>
      </w:r>
    </w:p>
    <w:p w14:paraId="254ED6D1"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卫生</w:t>
      </w:r>
    </w:p>
    <w:p w14:paraId="5C93D4B5" w14:textId="77777777" w:rsidR="00AE14A8" w:rsidRPr="00401CEE" w:rsidRDefault="00AE14A8" w:rsidP="00AE14A8">
      <w:pPr>
        <w:pStyle w:val="SingleTxt"/>
      </w:pPr>
      <w:r w:rsidRPr="00401CEE">
        <w:rPr>
          <w:rFonts w:hint="eastAsia"/>
        </w:rPr>
        <w:t>42.</w:t>
      </w:r>
      <w:r w:rsidRPr="00401CEE">
        <w:rPr>
          <w:rFonts w:hint="eastAsia"/>
        </w:rPr>
        <w:tab/>
      </w:r>
      <w:r w:rsidRPr="00401CEE">
        <w:rPr>
          <w:rFonts w:hint="eastAsia"/>
        </w:rPr>
        <w:t>委员会感兴趣地表示注意到，缔约国批准一项法案，其中废除了发放处女证、施行处女膜成形术和堕胎必须有三天强制性考虑期等做法。然而，委员会关切地注意到：</w:t>
      </w:r>
    </w:p>
    <w:p w14:paraId="2E541A38" w14:textId="22782E2F"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缔约国继续在未征得间性者知情同意的情况下进行非紧急医疗，以使间性者“性正常化”；</w:t>
      </w:r>
    </w:p>
    <w:p w14:paraId="6B7E907C" w14:textId="779081CF"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据报，缔约国的烟草使用率高于欧洲平均率，妇女和女童的烟草使用率近期有所上升。</w:t>
      </w:r>
    </w:p>
    <w:p w14:paraId="7179E373" w14:textId="7A3415A2"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43.</w:t>
      </w:r>
      <w:r w:rsidRPr="00401CEE">
        <w:rPr>
          <w:rFonts w:asciiTheme="majorBidi" w:eastAsia="黑体" w:hAnsiTheme="majorBidi" w:cstheme="majorBidi" w:hint="eastAsia"/>
        </w:rPr>
        <w:tab/>
      </w:r>
      <w:r w:rsidRPr="00401CEE">
        <w:rPr>
          <w:rFonts w:asciiTheme="majorBidi" w:eastAsia="黑体" w:hAnsiTheme="majorBidi" w:cstheme="majorBidi" w:hint="eastAsia"/>
          <w:spacing w:val="-4"/>
        </w:rPr>
        <w:t>委员会考虑到关于有害做法的消除对妇女歧视委员会第</w:t>
      </w:r>
      <w:r w:rsidRPr="00401CEE">
        <w:rPr>
          <w:rFonts w:asciiTheme="majorBidi" w:eastAsia="黑体" w:hAnsiTheme="majorBidi" w:cstheme="majorBidi" w:hint="eastAsia"/>
          <w:spacing w:val="-4"/>
        </w:rPr>
        <w:t>31</w:t>
      </w:r>
      <w:r w:rsidRPr="00401CEE">
        <w:rPr>
          <w:rFonts w:asciiTheme="majorBidi" w:eastAsia="黑体" w:hAnsiTheme="majorBidi" w:cstheme="majorBidi" w:hint="eastAsia"/>
          <w:spacing w:val="-4"/>
        </w:rPr>
        <w:t>号和儿童权利委员会第</w:t>
      </w:r>
      <w:r w:rsidRPr="00401CEE">
        <w:rPr>
          <w:rFonts w:asciiTheme="majorBidi" w:eastAsia="黑体" w:hAnsiTheme="majorBidi" w:cstheme="majorBidi" w:hint="eastAsia"/>
          <w:spacing w:val="-4"/>
        </w:rPr>
        <w:t>18</w:t>
      </w:r>
      <w:r w:rsidRPr="00401CEE">
        <w:rPr>
          <w:rFonts w:asciiTheme="majorBidi" w:eastAsia="黑体" w:hAnsiTheme="majorBidi" w:cstheme="majorBidi" w:hint="eastAsia"/>
          <w:spacing w:val="-4"/>
        </w:rPr>
        <w:t>号联合一般性建议</w:t>
      </w:r>
      <w:r w:rsidRPr="00401CEE">
        <w:rPr>
          <w:rFonts w:asciiTheme="majorBidi" w:eastAsia="黑体" w:hAnsiTheme="majorBidi" w:cstheme="majorBidi" w:hint="eastAsia"/>
          <w:spacing w:val="-4"/>
        </w:rPr>
        <w:t>/</w:t>
      </w:r>
      <w:r w:rsidRPr="00401CEE">
        <w:rPr>
          <w:rFonts w:asciiTheme="majorBidi" w:eastAsia="黑体" w:hAnsiTheme="majorBidi" w:cstheme="majorBidi" w:hint="eastAsia"/>
          <w:spacing w:val="-4"/>
        </w:rPr>
        <w:t>意见并回顾委员会此前建议</w:t>
      </w:r>
      <w:r w:rsidRPr="00401CEE">
        <w:rPr>
          <w:rFonts w:asciiTheme="majorBidi" w:eastAsia="黑体" w:hAnsiTheme="majorBidi" w:cstheme="majorBidi" w:hint="eastAsia"/>
          <w:spacing w:val="-4"/>
        </w:rPr>
        <w:t>(</w:t>
      </w:r>
      <w:hyperlink r:id="rId35" w:history="1">
        <w:r w:rsidRPr="00401CEE">
          <w:rPr>
            <w:rStyle w:val="af7"/>
            <w:rFonts w:asciiTheme="majorBidi" w:eastAsia="黑体" w:hAnsiTheme="majorBidi" w:cstheme="majorBidi" w:hint="eastAsia"/>
            <w:spacing w:val="-4"/>
          </w:rPr>
          <w:t>CEDAW/C/LUX/CO/6-7</w:t>
        </w:r>
      </w:hyperlink>
      <w:r w:rsidRPr="00401CEE">
        <w:rPr>
          <w:rFonts w:asciiTheme="majorBidi" w:eastAsia="黑体" w:hAnsiTheme="majorBidi" w:cstheme="majorBidi" w:hint="eastAsia"/>
          <w:spacing w:val="-4"/>
        </w:rPr>
        <w:t>，</w:t>
      </w:r>
      <w:r w:rsidRPr="00401CEE">
        <w:rPr>
          <w:rFonts w:asciiTheme="majorBidi" w:eastAsia="黑体" w:hAnsiTheme="majorBidi" w:cstheme="majorBidi" w:hint="eastAsia"/>
        </w:rPr>
        <w:t>第</w:t>
      </w:r>
      <w:r w:rsidRPr="00401CEE">
        <w:rPr>
          <w:rFonts w:asciiTheme="majorBidi" w:eastAsia="黑体" w:hAnsiTheme="majorBidi" w:cstheme="majorBidi" w:hint="eastAsia"/>
        </w:rPr>
        <w:t>46</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w:t>
      </w:r>
    </w:p>
    <w:p w14:paraId="6C179D19" w14:textId="7DD0E00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加速通过立法程序使上述法案成为法律；</w:t>
      </w:r>
    </w:p>
    <w:p w14:paraId="60F2BEB1" w14:textId="512E5F4D"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明确禁止对间性者进行未经同意的变性手术，并为间性儿童制定和实施基于权利的卫生保健规程，规定医学上不可逆的变性手术需经间性儿童的知情同意；</w:t>
      </w:r>
    </w:p>
    <w:p w14:paraId="5B8A7AD2" w14:textId="7B0AFE3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加速最后制定和执行第二个国家禁烟行动计划，并确保该计划纳入性别层面，使该计划生成的政策和措施能够满足妇女的具体需要。</w:t>
      </w:r>
    </w:p>
    <w:p w14:paraId="6A96A10E"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增强妇女经济权能</w:t>
      </w:r>
    </w:p>
    <w:p w14:paraId="2FAD7CF7" w14:textId="77777777" w:rsidR="00AE14A8" w:rsidRPr="00401CEE" w:rsidRDefault="00AE14A8" w:rsidP="00AE14A8">
      <w:pPr>
        <w:pStyle w:val="SingleTxt"/>
      </w:pPr>
      <w:r w:rsidRPr="00401CEE">
        <w:rPr>
          <w:rFonts w:hint="eastAsia"/>
        </w:rPr>
        <w:t>44.</w:t>
      </w:r>
      <w:r w:rsidRPr="00401CEE">
        <w:rPr>
          <w:rFonts w:hint="eastAsia"/>
        </w:rPr>
        <w:tab/>
      </w:r>
      <w:r w:rsidRPr="00401CEE">
        <w:rPr>
          <w:rFonts w:hint="eastAsia"/>
        </w:rPr>
        <w:t>委员会赞赏地注意到，缔约国努力成为依照《公约》规定利用包容、促进性别平等的政策改善卢森堡妇女的经济和社会生活、以此为战略实现经济多样化和财富再分配的典范，并向作为非正规照护者的妇女提供财政支助、免费托儿服务以及卢森堡证券交易所发行的注重性别平等的债券和量身定制的债务工具。然而，委员会关切地注意到：</w:t>
      </w:r>
    </w:p>
    <w:p w14:paraId="2D9FD245" w14:textId="73EC5899"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缔约国工作妇女、特别是单身母亲的贫困率高达</w:t>
      </w:r>
      <w:r w:rsidRPr="00401CEE">
        <w:rPr>
          <w:rFonts w:hint="eastAsia"/>
        </w:rPr>
        <w:t>13.5%</w:t>
      </w:r>
      <w:r w:rsidRPr="00401CEE">
        <w:rPr>
          <w:rFonts w:hint="eastAsia"/>
        </w:rPr>
        <w:t>，尽管缔约国的人均国内生产总值在欧洲联盟位列首位；</w:t>
      </w:r>
    </w:p>
    <w:p w14:paraId="67525FEE" w14:textId="4D0FED6D"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养老金和保险改革对自营职业者规定了强制登记要求，导致在非正规经济部门工作的妇女无法平等获得社会保障；</w:t>
      </w:r>
    </w:p>
    <w:p w14:paraId="5E371682" w14:textId="77145492" w:rsidR="00AE14A8" w:rsidRPr="00401CEE" w:rsidRDefault="00AE14A8" w:rsidP="00AE14A8">
      <w:pPr>
        <w:pStyle w:val="SingleTxt"/>
      </w:pPr>
      <w:r w:rsidRPr="00401CEE">
        <w:tab/>
      </w:r>
      <w:r w:rsidRPr="00401CEE">
        <w:rPr>
          <w:rFonts w:hint="eastAsia"/>
        </w:rPr>
        <w:t>(c)</w:t>
      </w:r>
      <w:r w:rsidRPr="00401CEE">
        <w:rPr>
          <w:rFonts w:hint="eastAsia"/>
        </w:rPr>
        <w:tab/>
      </w:r>
      <w:r w:rsidRPr="00401CEE">
        <w:rPr>
          <w:rFonts w:hint="eastAsia"/>
        </w:rPr>
        <w:t>低收入单身母亲和失业妇女、包括无酬照护者获得住房的机会有限，有碍她们的生产力和福祉；</w:t>
      </w:r>
    </w:p>
    <w:p w14:paraId="02676C65" w14:textId="61FD6D68"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金融产品量身定制不足，无法满足妇女具体的商业和创业需求，导致妇女获得金融服务的机会有限；</w:t>
      </w:r>
    </w:p>
    <w:p w14:paraId="54B61922" w14:textId="525B1F19" w:rsidR="00AE14A8" w:rsidRPr="00401CEE" w:rsidRDefault="00AE14A8" w:rsidP="00AE14A8">
      <w:pPr>
        <w:pStyle w:val="SingleTxt"/>
      </w:pPr>
      <w:r w:rsidRPr="00401CEE">
        <w:tab/>
      </w:r>
      <w:r w:rsidRPr="00401CEE">
        <w:rPr>
          <w:rFonts w:hint="eastAsia"/>
        </w:rPr>
        <w:t>(e)</w:t>
      </w:r>
      <w:r w:rsidRPr="00401CEE">
        <w:rPr>
          <w:rFonts w:hint="eastAsia"/>
        </w:rPr>
        <w:tab/>
      </w:r>
      <w:r w:rsidRPr="00401CEE">
        <w:rPr>
          <w:rFonts w:hint="eastAsia"/>
        </w:rPr>
        <w:t>存在性别数字鸿沟，现有方案未能使妇女和女童具备获得新兴工作、技术解决方案和创新所需的能力。</w:t>
      </w:r>
    </w:p>
    <w:p w14:paraId="68EF2144"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45.</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委员会建议缔约国：</w:t>
      </w:r>
    </w:p>
    <w:p w14:paraId="38DC1E79" w14:textId="0CC4E6A4"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spacing w:val="-4"/>
        </w:rPr>
        <w:tab/>
      </w:r>
      <w:r w:rsidRPr="00401CEE">
        <w:rPr>
          <w:rFonts w:asciiTheme="majorBidi" w:eastAsia="黑体" w:hAnsiTheme="majorBidi" w:cstheme="majorBidi" w:hint="eastAsia"/>
          <w:spacing w:val="-4"/>
        </w:rPr>
        <w:t>(a)</w:t>
      </w:r>
      <w:r w:rsidRPr="00401CEE">
        <w:rPr>
          <w:rFonts w:asciiTheme="majorBidi" w:eastAsia="黑体" w:hAnsiTheme="majorBidi" w:cstheme="majorBidi" w:hint="eastAsia"/>
          <w:spacing w:val="-4"/>
        </w:rPr>
        <w:tab/>
      </w:r>
      <w:r w:rsidRPr="00401CEE">
        <w:rPr>
          <w:rFonts w:asciiTheme="majorBidi" w:eastAsia="黑体" w:hAnsiTheme="majorBidi" w:cstheme="majorBidi" w:hint="eastAsia"/>
          <w:spacing w:val="-4"/>
        </w:rPr>
        <w:t>加大力度减少妇女贫困现象，特别重视单亲家庭和处境不利妇女群体，</w:t>
      </w:r>
      <w:r w:rsidRPr="00401CEE">
        <w:rPr>
          <w:rFonts w:asciiTheme="majorBidi" w:eastAsia="黑体" w:hAnsiTheme="majorBidi" w:cstheme="majorBidi" w:hint="eastAsia"/>
        </w:rPr>
        <w:t>包括为失业妇女和从事无酬照护工作的妇女获得失业福利、正规就业和专业培训提供便利；</w:t>
      </w:r>
    </w:p>
    <w:p w14:paraId="6F89C997" w14:textId="78D0CBE9"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提高自营职业妇女和在非正规经济部门工作的妇女，包括工匠、照护者和在中小企业工作者对养恤金和社会保险计划规定的强制性登记规定的认识，并确保她们能够充分获得社会保障；</w:t>
      </w:r>
    </w:p>
    <w:p w14:paraId="1407AA8E" w14:textId="7D2B9B88"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优先向单身母亲和失业妇女、包括无酬照护者分配负担得起的国家补贴住房；</w:t>
      </w:r>
    </w:p>
    <w:p w14:paraId="0526D771" w14:textId="0CFAB435"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增加对妇女拥有的企业和创业活动的投资，促进妇女获得信贷和金融服务的机会，并确保提供反馈机制，以便评估影响和加强改革；</w:t>
      </w:r>
    </w:p>
    <w:p w14:paraId="3E23B2F6" w14:textId="08E01C3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(e)</w:t>
      </w:r>
      <w:r w:rsidRPr="00401CEE">
        <w:rPr>
          <w:rFonts w:asciiTheme="majorBidi" w:eastAsia="黑体" w:hAnsiTheme="majorBidi" w:cstheme="majorBidi" w:hint="eastAsia"/>
        </w:rPr>
        <w:tab/>
      </w:r>
      <w:r w:rsidRPr="00401CEE">
        <w:rPr>
          <w:rFonts w:asciiTheme="majorBidi" w:eastAsia="黑体" w:hAnsiTheme="majorBidi" w:cstheme="majorBidi" w:hint="eastAsia"/>
        </w:rPr>
        <w:t>提高专用于加强妇女和女童信息技术能力的数字化基金的百分比。</w:t>
      </w:r>
    </w:p>
    <w:p w14:paraId="7A9567F2"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残疾妇女</w:t>
      </w:r>
    </w:p>
    <w:p w14:paraId="50C1B449" w14:textId="77777777" w:rsidR="00AE14A8" w:rsidRPr="00401CEE" w:rsidRDefault="00AE14A8" w:rsidP="00AE14A8">
      <w:pPr>
        <w:pStyle w:val="SingleTxt"/>
      </w:pPr>
      <w:r w:rsidRPr="00401CEE">
        <w:rPr>
          <w:rFonts w:hint="eastAsia"/>
        </w:rPr>
        <w:t>46.</w:t>
      </w:r>
      <w:r w:rsidRPr="00401CEE">
        <w:rPr>
          <w:rFonts w:hint="eastAsia"/>
        </w:rPr>
        <w:tab/>
      </w:r>
      <w:r w:rsidRPr="00401CEE">
        <w:rPr>
          <w:rFonts w:hint="eastAsia"/>
        </w:rPr>
        <w:t>委员会关切地注意到，缔约国残疾妇女面临交叉形式的歧视，特别是在诉诸司法、教育、就业和卫生保健方面。委员会表示注意到</w:t>
      </w:r>
      <w:r w:rsidRPr="00401CEE">
        <w:rPr>
          <w:rFonts w:hint="eastAsia"/>
        </w:rPr>
        <w:t>2019-2024</w:t>
      </w:r>
      <w:r w:rsidRPr="00401CEE">
        <w:rPr>
          <w:rFonts w:hint="eastAsia"/>
        </w:rPr>
        <w:t>年执行《残疾人权利公约》国家行动计划。然而，委员会感到关切的是，该计划未纳入性别层面。委员会还关切地注意到，目前的促进男女平等国家行动计划未触及残疾问题。</w:t>
      </w:r>
    </w:p>
    <w:p w14:paraId="322E3AA6"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47.</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委员会建议缔约国确保：</w:t>
      </w:r>
    </w:p>
    <w:p w14:paraId="328CBBE3" w14:textId="13770671"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残疾妇女和女童能够诉诸司法，进入劳动力市场，获得全纳教育、就业、卫生保健服务，包括性健康和生殖健康保健服务，并能够充分行使她们的身体自主权以及在生殖权利、子女监护和照护方面的决策权；</w:t>
      </w:r>
    </w:p>
    <w:p w14:paraId="5C10B52D" w14:textId="583ED971"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下一个执行《残疾人权利公约》国家行动计划纳入性别层面，并修订促进男女平等国家行动计划以纳入残疾层面。</w:t>
      </w:r>
    </w:p>
    <w:p w14:paraId="080364A8"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少数民族妇女</w:t>
      </w:r>
    </w:p>
    <w:p w14:paraId="05392454" w14:textId="77777777" w:rsidR="00AE14A8" w:rsidRPr="00401CEE" w:rsidRDefault="00AE14A8" w:rsidP="00AE14A8">
      <w:pPr>
        <w:pStyle w:val="SingleTxt"/>
      </w:pPr>
      <w:r w:rsidRPr="00401CEE">
        <w:rPr>
          <w:rFonts w:hint="eastAsia"/>
        </w:rPr>
        <w:t>48.</w:t>
      </w:r>
      <w:r w:rsidRPr="00401CEE">
        <w:rPr>
          <w:rFonts w:hint="eastAsia"/>
        </w:rPr>
        <w:tab/>
      </w:r>
      <w:r w:rsidRPr="00401CEE">
        <w:rPr>
          <w:rFonts w:hint="eastAsia"/>
        </w:rPr>
        <w:t>委员会关切地注意到，缔约国缺乏协助非居民穆斯林妇女和女童及非洲裔妇女和女童寻找就业和住房、获得卫生保健服务和教育的支助系统。</w:t>
      </w:r>
    </w:p>
    <w:p w14:paraId="7C334CD4" w14:textId="392E1F3D" w:rsidR="001D2EBA"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49.</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委员会建议缔约国采取措施便利非居民穆斯林妇女和女童及非洲裔妇女和女童获得住房、就业、卫生保健服务和教育。</w:t>
      </w:r>
    </w:p>
    <w:p w14:paraId="397138FC" w14:textId="77777777" w:rsidR="001D2EBA" w:rsidRPr="00401CEE" w:rsidRDefault="001D2EBA">
      <w:pPr>
        <w:spacing w:after="160" w:line="259" w:lineRule="auto"/>
        <w:jc w:val="left"/>
        <w:rPr>
          <w:rFonts w:asciiTheme="majorBidi" w:eastAsia="黑体" w:hAnsiTheme="majorBidi" w:cstheme="majorBidi"/>
        </w:rPr>
      </w:pPr>
      <w:r w:rsidRPr="00401CEE">
        <w:rPr>
          <w:rFonts w:asciiTheme="majorBidi" w:eastAsia="黑体" w:hAnsiTheme="majorBidi" w:cstheme="majorBidi"/>
        </w:rPr>
        <w:br w:type="page"/>
      </w:r>
    </w:p>
    <w:p w14:paraId="5717688F"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减少灾害风险与气候变化</w:t>
      </w:r>
    </w:p>
    <w:p w14:paraId="3813266B" w14:textId="77777777" w:rsidR="00AE14A8" w:rsidRPr="00401CEE" w:rsidRDefault="00AE14A8" w:rsidP="00AE14A8">
      <w:pPr>
        <w:pStyle w:val="SingleTxt"/>
      </w:pPr>
      <w:r w:rsidRPr="00401CEE">
        <w:rPr>
          <w:rFonts w:hint="eastAsia"/>
        </w:rPr>
        <w:t>50.</w:t>
      </w:r>
      <w:r w:rsidRPr="00401CEE">
        <w:rPr>
          <w:rFonts w:hint="eastAsia"/>
        </w:rPr>
        <w:tab/>
      </w:r>
      <w:r w:rsidRPr="00401CEE">
        <w:rPr>
          <w:rFonts w:hint="eastAsia"/>
        </w:rPr>
        <w:t>委员会注意到，缔约国已向为支持受气候变化尤其严重影响的发展中国家而设立的应对损失和损害基金捐款</w:t>
      </w:r>
      <w:r w:rsidRPr="00401CEE">
        <w:rPr>
          <w:rFonts w:hint="eastAsia"/>
        </w:rPr>
        <w:t>800</w:t>
      </w:r>
      <w:r w:rsidRPr="00401CEE">
        <w:rPr>
          <w:rFonts w:hint="eastAsia"/>
        </w:rPr>
        <w:t>万欧元。然而，委员会遗憾地注意到，该基金仍然资金不足。委员会还关切地注意到，缔约国管辖下的私营金融机构继续在化石燃料工业和其他碳密集部门大量投资。</w:t>
      </w:r>
    </w:p>
    <w:p w14:paraId="51B5A2FF"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51.</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委员会根据其关于气候变化背景下减少灾害风险所涉性别方面的第</w:t>
      </w:r>
      <w:r w:rsidRPr="00401CEE">
        <w:rPr>
          <w:rFonts w:asciiTheme="majorBidi" w:eastAsia="黑体" w:hAnsiTheme="majorBidi" w:cstheme="majorBidi" w:hint="eastAsia"/>
        </w:rPr>
        <w:t>37</w:t>
      </w:r>
      <w:r w:rsidRPr="00401CEE">
        <w:rPr>
          <w:rFonts w:asciiTheme="majorBidi" w:eastAsia="黑体" w:hAnsiTheme="majorBidi" w:cstheme="majorBidi" w:hint="eastAsia"/>
        </w:rPr>
        <w:t>号一般性建议</w:t>
      </w:r>
      <w:r w:rsidRPr="00401CEE">
        <w:rPr>
          <w:rFonts w:asciiTheme="majorBidi" w:eastAsia="黑体" w:hAnsiTheme="majorBidi" w:cstheme="majorBidi" w:hint="eastAsia"/>
        </w:rPr>
        <w:t>(2018</w:t>
      </w:r>
      <w:r w:rsidRPr="00401CEE">
        <w:rPr>
          <w:rFonts w:asciiTheme="majorBidi" w:eastAsia="黑体" w:hAnsiTheme="majorBidi" w:cstheme="majorBidi" w:hint="eastAsia"/>
        </w:rPr>
        <w:t>年</w:t>
      </w:r>
      <w:r w:rsidRPr="00401CEE">
        <w:rPr>
          <w:rFonts w:asciiTheme="majorBidi" w:eastAsia="黑体" w:hAnsiTheme="majorBidi" w:cstheme="majorBidi" w:hint="eastAsia"/>
        </w:rPr>
        <w:t>)</w:t>
      </w:r>
      <w:r w:rsidRPr="00401CEE">
        <w:rPr>
          <w:rFonts w:asciiTheme="majorBidi" w:eastAsia="黑体" w:hAnsiTheme="majorBidi" w:cstheme="majorBidi" w:hint="eastAsia"/>
        </w:rPr>
        <w:t>建议缔约国：</w:t>
      </w:r>
    </w:p>
    <w:p w14:paraId="403AFF75" w14:textId="61BF63A3"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考虑增加对应对损失和损害基金的捐款，并从所述捐款中为与性别相关问题指定专项资金；</w:t>
      </w:r>
    </w:p>
    <w:p w14:paraId="3266F7C8" w14:textId="065E4134"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spacing w:val="-4"/>
        </w:rPr>
        <w:tab/>
      </w:r>
      <w:r w:rsidRPr="00401CEE">
        <w:rPr>
          <w:rFonts w:asciiTheme="majorBidi" w:eastAsia="黑体" w:hAnsiTheme="majorBidi" w:cstheme="majorBidi" w:hint="eastAsia"/>
          <w:spacing w:val="-4"/>
        </w:rPr>
        <w:t>(b)</w:t>
      </w:r>
      <w:r w:rsidRPr="00401CEE">
        <w:rPr>
          <w:rFonts w:asciiTheme="majorBidi" w:eastAsia="黑体" w:hAnsiTheme="majorBidi" w:cstheme="majorBidi" w:hint="eastAsia"/>
          <w:spacing w:val="-4"/>
        </w:rPr>
        <w:tab/>
      </w:r>
      <w:r w:rsidRPr="00401CEE">
        <w:rPr>
          <w:rFonts w:asciiTheme="majorBidi" w:eastAsia="黑体" w:hAnsiTheme="majorBidi" w:cstheme="majorBidi" w:hint="eastAsia"/>
          <w:spacing w:val="-4"/>
        </w:rPr>
        <w:t>制定监管政策以鼓励私营部门金融机构投资于可再生能源和绿色经济，</w:t>
      </w:r>
      <w:r w:rsidRPr="00401CEE">
        <w:rPr>
          <w:rFonts w:asciiTheme="majorBidi" w:eastAsia="黑体" w:hAnsiTheme="majorBidi" w:cstheme="majorBidi" w:hint="eastAsia"/>
        </w:rPr>
        <w:t>劝阻它们投资于燃料工业和其他碳密集部门，并促进遵守《联合国气候变化框架公约》、《巴黎协定》和《工商企业与人权指导原则：实施联合国“保护、尊重和补救”框架》；</w:t>
      </w:r>
    </w:p>
    <w:p w14:paraId="333C8A0D" w14:textId="68F82B53" w:rsidR="00AE14A8" w:rsidRPr="00401CEE" w:rsidRDefault="00AE14A8" w:rsidP="00AE14A8">
      <w:pPr>
        <w:pStyle w:val="SingleTxt"/>
        <w:rPr>
          <w:rFonts w:asciiTheme="majorBidi" w:eastAsia="黑体" w:hAnsiTheme="majorBidi" w:cstheme="majorBidi"/>
          <w:spacing w:val="-4"/>
        </w:rPr>
      </w:pPr>
      <w:r w:rsidRPr="00401CEE">
        <w:rPr>
          <w:rFonts w:asciiTheme="majorBidi" w:eastAsia="黑体" w:hAnsiTheme="majorBidi" w:cstheme="majorBidi"/>
          <w:spacing w:val="-4"/>
        </w:rPr>
        <w:tab/>
      </w:r>
      <w:r w:rsidRPr="00401CEE">
        <w:rPr>
          <w:rFonts w:asciiTheme="majorBidi" w:eastAsia="黑体" w:hAnsiTheme="majorBidi" w:cstheme="majorBidi" w:hint="eastAsia"/>
          <w:spacing w:val="-4"/>
        </w:rPr>
        <w:t>(c)</w:t>
      </w:r>
      <w:r w:rsidRPr="00401CEE">
        <w:rPr>
          <w:rFonts w:asciiTheme="majorBidi" w:eastAsia="黑体" w:hAnsiTheme="majorBidi" w:cstheme="majorBidi" w:hint="eastAsia"/>
          <w:spacing w:val="-4"/>
        </w:rPr>
        <w:tab/>
      </w:r>
      <w:r w:rsidRPr="00401CEE">
        <w:rPr>
          <w:rFonts w:asciiTheme="majorBidi" w:eastAsia="黑体" w:hAnsiTheme="majorBidi" w:cstheme="majorBidi" w:hint="eastAsia"/>
          <w:spacing w:val="-4"/>
        </w:rPr>
        <w:t>建立人权尽职调查程序以确保企业识别、预防、减轻和衡算气候影响。</w:t>
      </w:r>
    </w:p>
    <w:p w14:paraId="3488D8C2"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婚姻和家庭关系</w:t>
      </w:r>
    </w:p>
    <w:p w14:paraId="00F0619F" w14:textId="77777777" w:rsidR="00AE14A8" w:rsidRPr="00401CEE" w:rsidRDefault="00AE14A8" w:rsidP="00AE14A8">
      <w:pPr>
        <w:pStyle w:val="SingleTxt"/>
      </w:pPr>
      <w:r w:rsidRPr="00401CEE">
        <w:rPr>
          <w:rFonts w:hint="eastAsia"/>
        </w:rPr>
        <w:t>52.</w:t>
      </w:r>
      <w:r w:rsidRPr="00401CEE">
        <w:rPr>
          <w:rFonts w:hint="eastAsia"/>
        </w:rPr>
        <w:tab/>
      </w:r>
      <w:r w:rsidRPr="00401CEE">
        <w:rPr>
          <w:rFonts w:hint="eastAsia"/>
        </w:rPr>
        <w:t>委员会感到关切的是：</w:t>
      </w:r>
    </w:p>
    <w:p w14:paraId="20DDCDC1" w14:textId="7E72D85B" w:rsidR="00AE14A8" w:rsidRPr="00401CEE" w:rsidRDefault="00AE14A8" w:rsidP="00AE14A8">
      <w:pPr>
        <w:pStyle w:val="SingleTxt"/>
      </w:pPr>
      <w:r w:rsidRPr="00401CEE">
        <w:tab/>
      </w:r>
      <w:r w:rsidRPr="00401CEE">
        <w:rPr>
          <w:rFonts w:hint="eastAsia"/>
        </w:rPr>
        <w:t>(a)</w:t>
      </w:r>
      <w:r w:rsidRPr="00401CEE">
        <w:rPr>
          <w:rFonts w:hint="eastAsia"/>
        </w:rPr>
        <w:tab/>
      </w:r>
      <w:r w:rsidRPr="00401CEE">
        <w:rPr>
          <w:rFonts w:hint="eastAsia"/>
        </w:rPr>
        <w:t>在缔约国，“婚生子女”与“非婚生子女”仍存在区别，这意味着在法律面前和社会中的不平等；</w:t>
      </w:r>
    </w:p>
    <w:p w14:paraId="782B3968" w14:textId="16E310C6" w:rsidR="00AE14A8" w:rsidRPr="00401CEE" w:rsidRDefault="00AE14A8" w:rsidP="00AE14A8">
      <w:pPr>
        <w:pStyle w:val="SingleTxt"/>
      </w:pPr>
      <w:r w:rsidRPr="00401CEE">
        <w:tab/>
      </w:r>
      <w:r w:rsidRPr="00401CEE">
        <w:rPr>
          <w:rFonts w:hint="eastAsia"/>
        </w:rPr>
        <w:t>(b)</w:t>
      </w:r>
      <w:r w:rsidRPr="00401CEE">
        <w:rPr>
          <w:rFonts w:hint="eastAsia"/>
        </w:rPr>
        <w:tab/>
      </w:r>
      <w:r w:rsidRPr="00401CEE">
        <w:rPr>
          <w:rFonts w:hint="eastAsia"/>
        </w:rPr>
        <w:t>同性伴侣的父母身份不享有自动确认，因此，非亲生父母可能仍需借助收养程序；</w:t>
      </w:r>
    </w:p>
    <w:p w14:paraId="2D463D63" w14:textId="20073D32" w:rsidR="00AE14A8" w:rsidRPr="00401CEE" w:rsidRDefault="00AE14A8" w:rsidP="00AE14A8">
      <w:pPr>
        <w:pStyle w:val="SingleTxt"/>
        <w:rPr>
          <w:spacing w:val="-2"/>
        </w:rPr>
      </w:pPr>
      <w:r w:rsidRPr="00401CEE">
        <w:rPr>
          <w:spacing w:val="-2"/>
        </w:rPr>
        <w:tab/>
      </w:r>
      <w:r w:rsidRPr="00401CEE">
        <w:rPr>
          <w:rFonts w:hint="eastAsia"/>
          <w:spacing w:val="-2"/>
        </w:rPr>
        <w:t>(c)</w:t>
      </w:r>
      <w:r w:rsidRPr="00401CEE">
        <w:rPr>
          <w:rFonts w:hint="eastAsia"/>
          <w:spacing w:val="-2"/>
        </w:rPr>
        <w:tab/>
      </w:r>
      <w:r w:rsidRPr="00401CEE">
        <w:rPr>
          <w:rFonts w:hint="eastAsia"/>
          <w:spacing w:val="-2"/>
        </w:rPr>
        <w:t>在法院决定将儿童安置在寄养机构或家庭的情况下，法律允许法官决定父母责任的转移而不尊重上诉权、获得律师帮助的权利和儿童表达意见的权利；</w:t>
      </w:r>
    </w:p>
    <w:p w14:paraId="7AADBEBA" w14:textId="50C362A8" w:rsidR="00AE14A8" w:rsidRPr="00401CEE" w:rsidRDefault="00AE14A8" w:rsidP="00AE14A8">
      <w:pPr>
        <w:pStyle w:val="SingleTxt"/>
      </w:pPr>
      <w:r w:rsidRPr="00401CEE">
        <w:tab/>
      </w:r>
      <w:r w:rsidRPr="00401CEE">
        <w:rPr>
          <w:rFonts w:hint="eastAsia"/>
        </w:rPr>
        <w:t>(d)</w:t>
      </w:r>
      <w:r w:rsidRPr="00401CEE">
        <w:rPr>
          <w:rFonts w:hint="eastAsia"/>
        </w:rPr>
        <w:tab/>
      </w:r>
      <w:r w:rsidRPr="00401CEE">
        <w:rPr>
          <w:rFonts w:hint="eastAsia"/>
        </w:rPr>
        <w:t>对代孕做法没有明确的监管，导致不确定性和对当事人缺乏保护，特别是对母亲、代孕母亲和代孕所生子女而言。</w:t>
      </w:r>
    </w:p>
    <w:p w14:paraId="767AD583"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53.</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委员会敦促缔约国：</w:t>
      </w:r>
    </w:p>
    <w:p w14:paraId="615DEAD0" w14:textId="72ACA969"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(a)</w:t>
      </w:r>
      <w:r w:rsidRPr="00401CEE">
        <w:rPr>
          <w:rFonts w:asciiTheme="majorBidi" w:eastAsia="黑体" w:hAnsiTheme="majorBidi" w:cstheme="majorBidi" w:hint="eastAsia"/>
        </w:rPr>
        <w:tab/>
      </w:r>
      <w:r w:rsidRPr="00401CEE">
        <w:rPr>
          <w:rFonts w:asciiTheme="majorBidi" w:eastAsia="黑体" w:hAnsiTheme="majorBidi" w:cstheme="majorBidi" w:hint="eastAsia"/>
        </w:rPr>
        <w:t>立即颁布旨在消除“婚生子女”与“非婚生子女”间任何法律或行政区别的立法；</w:t>
      </w:r>
    </w:p>
    <w:p w14:paraId="6B0620E0" w14:textId="64EC0DF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(b)</w:t>
      </w:r>
      <w:r w:rsidRPr="00401CEE">
        <w:rPr>
          <w:rFonts w:asciiTheme="majorBidi" w:eastAsia="黑体" w:hAnsiTheme="majorBidi" w:cstheme="majorBidi" w:hint="eastAsia"/>
        </w:rPr>
        <w:tab/>
      </w:r>
      <w:r w:rsidRPr="00401CEE">
        <w:rPr>
          <w:rFonts w:asciiTheme="majorBidi" w:eastAsia="黑体" w:hAnsiTheme="majorBidi" w:cstheme="majorBidi" w:hint="eastAsia"/>
        </w:rPr>
        <w:t>制定立法和行政措施，以确保同性伴侣的父母身份自动获承认；</w:t>
      </w:r>
    </w:p>
    <w:p w14:paraId="6528201E" w14:textId="4EDFA68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(c)</w:t>
      </w:r>
      <w:r w:rsidRPr="00401CEE">
        <w:rPr>
          <w:rFonts w:asciiTheme="majorBidi" w:eastAsia="黑体" w:hAnsiTheme="majorBidi" w:cstheme="majorBidi" w:hint="eastAsia"/>
        </w:rPr>
        <w:tab/>
      </w:r>
      <w:r w:rsidRPr="00401CEE">
        <w:rPr>
          <w:rFonts w:asciiTheme="majorBidi" w:eastAsia="黑体" w:hAnsiTheme="majorBidi" w:cstheme="majorBidi" w:hint="eastAsia"/>
        </w:rPr>
        <w:t>对共同监护协议的有效性和司法裁决中可能存在的性别不平等问题开展研究；</w:t>
      </w:r>
    </w:p>
    <w:p w14:paraId="4F650AB8" w14:textId="2245FAE8" w:rsidR="001D2EBA"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rPr>
        <w:tab/>
      </w:r>
      <w:r w:rsidRPr="00401CEE">
        <w:rPr>
          <w:rFonts w:asciiTheme="majorBidi" w:eastAsia="黑体" w:hAnsiTheme="majorBidi" w:cstheme="majorBidi" w:hint="eastAsia"/>
        </w:rPr>
        <w:t>(d)</w:t>
      </w:r>
      <w:r w:rsidRPr="00401CEE">
        <w:rPr>
          <w:rFonts w:asciiTheme="majorBidi" w:eastAsia="黑体" w:hAnsiTheme="majorBidi" w:cstheme="majorBidi" w:hint="eastAsia"/>
        </w:rPr>
        <w:tab/>
      </w:r>
      <w:r w:rsidRPr="00401CEE">
        <w:rPr>
          <w:rFonts w:asciiTheme="majorBidi" w:eastAsia="黑体" w:hAnsiTheme="majorBidi" w:cstheme="majorBidi" w:hint="eastAsia"/>
        </w:rPr>
        <w:t>订立代孕监管立法框架，以保护代孕妇女、使用代孕的母亲和代孕所生儿童免受剥削、胁迫、歧视和贩运。</w:t>
      </w:r>
    </w:p>
    <w:p w14:paraId="71B75B4A" w14:textId="77777777" w:rsidR="001D2EBA" w:rsidRPr="00401CEE" w:rsidRDefault="001D2EBA">
      <w:pPr>
        <w:spacing w:after="160" w:line="259" w:lineRule="auto"/>
        <w:jc w:val="left"/>
        <w:rPr>
          <w:rFonts w:asciiTheme="majorBidi" w:eastAsia="黑体" w:hAnsiTheme="majorBidi" w:cstheme="majorBidi"/>
        </w:rPr>
      </w:pPr>
      <w:r w:rsidRPr="00401CEE">
        <w:rPr>
          <w:rFonts w:asciiTheme="majorBidi" w:eastAsia="黑体" w:hAnsiTheme="majorBidi" w:cstheme="majorBidi"/>
        </w:rPr>
        <w:br w:type="page"/>
      </w:r>
    </w:p>
    <w:p w14:paraId="72591D4B"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数据收集和分析</w:t>
      </w:r>
    </w:p>
    <w:p w14:paraId="5FC5A807" w14:textId="77777777" w:rsidR="00AE14A8" w:rsidRPr="00401CEE" w:rsidRDefault="00AE14A8" w:rsidP="00AE14A8">
      <w:pPr>
        <w:pStyle w:val="SingleTxt"/>
      </w:pPr>
      <w:r w:rsidRPr="00401CEE">
        <w:rPr>
          <w:rFonts w:hint="eastAsia"/>
        </w:rPr>
        <w:t>54.</w:t>
      </w:r>
      <w:r w:rsidRPr="00401CEE">
        <w:rPr>
          <w:rFonts w:hint="eastAsia"/>
        </w:rPr>
        <w:tab/>
      </w:r>
      <w:r w:rsidRPr="00401CEE">
        <w:rPr>
          <w:rFonts w:hint="eastAsia"/>
        </w:rPr>
        <w:t>委员会感到关切的是，在与执行《公约》有关的许多领域没有收集按性别分列的数据。</w:t>
      </w:r>
    </w:p>
    <w:p w14:paraId="3CCBF008"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55.</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建议缔约国促进和建设使用最合适技术收集统计数据的能力，包括按年龄、残疾状况、性取向、社会经济背景和其他相关要素分列的关于对妇女的性别暴力发生率、贩运妇女和女童行为发生率以及妇女接受教育的机会和社会经济地位的数据，以便准确评估妇女和女童状况，设计和执行有针对性且促进性别平等的立法、政策、方案和预算。</w:t>
      </w:r>
    </w:p>
    <w:p w14:paraId="76C4346D"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《北京宣言》和《行动纲要》</w:t>
      </w:r>
    </w:p>
    <w:p w14:paraId="601C2B69"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56.</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委员会促请缔约国发挥《北京宣言》和《行动纲要》的作用并进一步评价《公约》所载权利的实现情况，以实现男女实质平等。</w:t>
      </w:r>
    </w:p>
    <w:p w14:paraId="33BA580D"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宣传</w:t>
      </w:r>
    </w:p>
    <w:p w14:paraId="0ED0BCB3"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57.</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委员会请缔约国确保以缔约国官方语文向</w:t>
      </w:r>
      <w:r w:rsidRPr="00401CEE">
        <w:rPr>
          <w:rFonts w:asciiTheme="majorBidi" w:eastAsia="黑体" w:hAnsiTheme="majorBidi" w:cstheme="majorBidi" w:hint="eastAsia"/>
        </w:rPr>
        <w:t>(</w:t>
      </w:r>
      <w:r w:rsidRPr="00401CEE">
        <w:rPr>
          <w:rFonts w:asciiTheme="majorBidi" w:eastAsia="黑体" w:hAnsiTheme="majorBidi" w:cstheme="majorBidi" w:hint="eastAsia"/>
        </w:rPr>
        <w:t>国家、地区、地方</w:t>
      </w:r>
      <w:r w:rsidRPr="00401CEE">
        <w:rPr>
          <w:rFonts w:asciiTheme="majorBidi" w:eastAsia="黑体" w:hAnsiTheme="majorBidi" w:cstheme="majorBidi" w:hint="eastAsia"/>
        </w:rPr>
        <w:t>)</w:t>
      </w:r>
      <w:r w:rsidRPr="00401CEE">
        <w:rPr>
          <w:rFonts w:asciiTheme="majorBidi" w:eastAsia="黑体" w:hAnsiTheme="majorBidi" w:cstheme="majorBidi" w:hint="eastAsia"/>
        </w:rPr>
        <w:t>各级相关国家机构，尤其是向政府、议会和司法部门及时传播本结论性意见，使之得到充分落实。</w:t>
      </w:r>
    </w:p>
    <w:p w14:paraId="78E3C78F"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批准其他条约</w:t>
      </w:r>
    </w:p>
    <w:p w14:paraId="556BC36A" w14:textId="59F2F410"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58.</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委员会指出，缔约国加入九项主要国际人权文书</w:t>
      </w:r>
      <w:r w:rsidR="00EC40E3" w:rsidRPr="00401CEE">
        <w:rPr>
          <w:rFonts w:asciiTheme="majorBidi" w:eastAsia="黑体" w:hAnsiTheme="majorBidi" w:cstheme="majorBidi"/>
          <w:vertAlign w:val="superscript"/>
        </w:rPr>
        <w:footnoteReference w:id="1"/>
      </w:r>
      <w:r w:rsidR="00EC40E3" w:rsidRPr="00401CEE">
        <w:rPr>
          <w:rFonts w:asciiTheme="majorBidi" w:eastAsia="黑体" w:hAnsiTheme="majorBidi" w:cstheme="majorBidi" w:hint="eastAsia"/>
        </w:rPr>
        <w:t xml:space="preserve"> </w:t>
      </w:r>
      <w:r w:rsidRPr="00401CEE">
        <w:rPr>
          <w:rFonts w:asciiTheme="majorBidi" w:eastAsia="黑体" w:hAnsiTheme="majorBidi" w:cstheme="majorBidi" w:hint="eastAsia"/>
        </w:rPr>
        <w:t>将促进妇女在生活各个方面享受人权和基本自由。因此，委员会鼓励缔约国批准其尚未加入的《保护所有移徙工人及其家庭成员权利国际公约》。</w:t>
      </w:r>
    </w:p>
    <w:p w14:paraId="2234AD20"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结论性意见的后续落实</w:t>
      </w:r>
    </w:p>
    <w:p w14:paraId="59E26284" w14:textId="77777777"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rPr>
        <w:t>59.</w:t>
      </w:r>
      <w:r w:rsidRPr="00401CEE">
        <w:rPr>
          <w:rFonts w:asciiTheme="majorBidi" w:eastAsia="黑体" w:hAnsiTheme="majorBidi" w:cstheme="majorBidi" w:hint="eastAsia"/>
        </w:rPr>
        <w:tab/>
      </w:r>
      <w:r w:rsidRPr="00401CEE">
        <w:rPr>
          <w:rFonts w:asciiTheme="majorBidi" w:eastAsia="黑体" w:hAnsiTheme="majorBidi" w:cstheme="majorBidi" w:hint="eastAsia"/>
        </w:rPr>
        <w:t>委员会请缔约国在两年内提供书面资料，说明为执行上文第</w:t>
      </w:r>
      <w:r w:rsidRPr="00401CEE">
        <w:rPr>
          <w:rFonts w:asciiTheme="majorBidi" w:eastAsia="黑体" w:hAnsiTheme="majorBidi" w:cstheme="majorBidi" w:hint="eastAsia"/>
        </w:rPr>
        <w:t>19(c)</w:t>
      </w:r>
      <w:r w:rsidRPr="00401CEE">
        <w:rPr>
          <w:rFonts w:asciiTheme="majorBidi" w:eastAsia="黑体" w:hAnsiTheme="majorBidi" w:cstheme="majorBidi" w:hint="eastAsia"/>
        </w:rPr>
        <w:t>、</w:t>
      </w:r>
      <w:r w:rsidRPr="00401CEE">
        <w:rPr>
          <w:rFonts w:asciiTheme="majorBidi" w:eastAsia="黑体" w:hAnsiTheme="majorBidi" w:cstheme="majorBidi" w:hint="eastAsia"/>
        </w:rPr>
        <w:t>21(b)</w:t>
      </w:r>
      <w:r w:rsidRPr="00401CEE">
        <w:rPr>
          <w:rFonts w:asciiTheme="majorBidi" w:eastAsia="黑体" w:hAnsiTheme="majorBidi" w:cstheme="majorBidi" w:hint="eastAsia"/>
        </w:rPr>
        <w:t>、</w:t>
      </w:r>
      <w:r w:rsidRPr="00401CEE">
        <w:rPr>
          <w:rFonts w:asciiTheme="majorBidi" w:eastAsia="黑体" w:hAnsiTheme="majorBidi" w:cstheme="majorBidi" w:hint="eastAsia"/>
        </w:rPr>
        <w:t>31(c)</w:t>
      </w:r>
      <w:r w:rsidRPr="00401CEE">
        <w:rPr>
          <w:rFonts w:asciiTheme="majorBidi" w:eastAsia="黑体" w:hAnsiTheme="majorBidi" w:cstheme="majorBidi" w:hint="eastAsia"/>
        </w:rPr>
        <w:t>和</w:t>
      </w:r>
      <w:r w:rsidRPr="00401CEE">
        <w:rPr>
          <w:rFonts w:asciiTheme="majorBidi" w:eastAsia="黑体" w:hAnsiTheme="majorBidi" w:cstheme="majorBidi" w:hint="eastAsia"/>
        </w:rPr>
        <w:t>41(e)</w:t>
      </w:r>
      <w:r w:rsidRPr="00401CEE">
        <w:rPr>
          <w:rFonts w:asciiTheme="majorBidi" w:eastAsia="黑体" w:hAnsiTheme="majorBidi" w:cstheme="majorBidi" w:hint="eastAsia"/>
        </w:rPr>
        <w:t>段所载建议而采取的步骤。</w:t>
      </w:r>
    </w:p>
    <w:p w14:paraId="5CEA3D24" w14:textId="77777777" w:rsidR="00AE14A8" w:rsidRPr="00401CEE" w:rsidRDefault="00AE14A8" w:rsidP="00AE14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01CEE">
        <w:rPr>
          <w:rFonts w:hint="eastAsia"/>
        </w:rPr>
        <w:tab/>
      </w:r>
      <w:r w:rsidRPr="00401CEE">
        <w:rPr>
          <w:rFonts w:hint="eastAsia"/>
        </w:rPr>
        <w:tab/>
      </w:r>
      <w:r w:rsidRPr="00401CEE">
        <w:rPr>
          <w:rFonts w:hint="eastAsia"/>
        </w:rPr>
        <w:t>下次报告的编写</w:t>
      </w:r>
    </w:p>
    <w:p w14:paraId="21386A18" w14:textId="6AD2778C" w:rsidR="00AE14A8" w:rsidRPr="00401CEE" w:rsidRDefault="00AE14A8" w:rsidP="00AE14A8">
      <w:pPr>
        <w:pStyle w:val="SingleTxt"/>
        <w:rPr>
          <w:rFonts w:asciiTheme="majorBidi" w:eastAsia="黑体" w:hAnsiTheme="majorBidi" w:cstheme="majorBidi"/>
        </w:rPr>
      </w:pPr>
      <w:r w:rsidRPr="00401CEE">
        <w:rPr>
          <w:rFonts w:asciiTheme="majorBidi" w:eastAsia="黑体" w:hAnsiTheme="majorBidi" w:cstheme="majorBidi" w:hint="eastAsia"/>
          <w:spacing w:val="-4"/>
        </w:rPr>
        <w:t>60.</w:t>
      </w:r>
      <w:r w:rsidRPr="00401CEE">
        <w:rPr>
          <w:rFonts w:asciiTheme="majorBidi" w:eastAsia="黑体" w:hAnsiTheme="majorBidi" w:cstheme="majorBidi" w:hint="eastAsia"/>
          <w:spacing w:val="-4"/>
        </w:rPr>
        <w:tab/>
      </w:r>
      <w:r w:rsidRPr="00401CEE">
        <w:rPr>
          <w:rFonts w:asciiTheme="majorBidi" w:eastAsia="黑体" w:hAnsiTheme="majorBidi" w:cstheme="majorBidi" w:hint="eastAsia"/>
          <w:spacing w:val="-4"/>
        </w:rPr>
        <w:t>委员会将根据缔约国今后提交报告的明晰和规范化的时间表</w:t>
      </w:r>
      <w:r w:rsidRPr="00401CEE">
        <w:rPr>
          <w:rFonts w:asciiTheme="majorBidi" w:eastAsia="黑体" w:hAnsiTheme="majorBidi" w:cstheme="majorBidi" w:hint="eastAsia"/>
          <w:spacing w:val="-4"/>
        </w:rPr>
        <w:t>(</w:t>
      </w:r>
      <w:r w:rsidRPr="00401CEE">
        <w:rPr>
          <w:rFonts w:asciiTheme="majorBidi" w:eastAsia="黑体" w:hAnsiTheme="majorBidi" w:cstheme="majorBidi" w:hint="eastAsia"/>
          <w:spacing w:val="-4"/>
        </w:rPr>
        <w:t>大会第</w:t>
      </w:r>
      <w:hyperlink r:id="rId36" w:history="1">
        <w:r w:rsidRPr="00401CEE">
          <w:rPr>
            <w:rStyle w:val="af7"/>
            <w:rFonts w:asciiTheme="majorBidi" w:eastAsia="黑体" w:hAnsiTheme="majorBidi" w:cstheme="majorBidi" w:hint="eastAsia"/>
            <w:spacing w:val="-4"/>
          </w:rPr>
          <w:t>79/165</w:t>
        </w:r>
      </w:hyperlink>
      <w:r w:rsidRPr="00401CEE">
        <w:rPr>
          <w:rFonts w:asciiTheme="majorBidi" w:eastAsia="黑体" w:hAnsiTheme="majorBidi" w:cstheme="majorBidi" w:hint="eastAsia"/>
          <w:spacing w:val="-4"/>
        </w:rPr>
        <w:t>，</w:t>
      </w:r>
      <w:r w:rsidRPr="00401CEE">
        <w:rPr>
          <w:rFonts w:asciiTheme="majorBidi" w:eastAsia="黑体" w:hAnsiTheme="majorBidi" w:cstheme="majorBidi" w:hint="eastAsia"/>
        </w:rPr>
        <w:t>第</w:t>
      </w:r>
      <w:r w:rsidRPr="00401CEE">
        <w:rPr>
          <w:rFonts w:asciiTheme="majorBidi" w:eastAsia="黑体" w:hAnsiTheme="majorBidi" w:cstheme="majorBidi" w:hint="eastAsia"/>
        </w:rPr>
        <w:t>6</w:t>
      </w:r>
      <w:r w:rsidRPr="00401CEE">
        <w:rPr>
          <w:rFonts w:asciiTheme="majorBidi" w:eastAsia="黑体" w:hAnsiTheme="majorBidi" w:cstheme="majorBidi" w:hint="eastAsia"/>
        </w:rPr>
        <w:t>段</w:t>
      </w:r>
      <w:r w:rsidRPr="00401CEE">
        <w:rPr>
          <w:rFonts w:asciiTheme="majorBidi" w:eastAsia="黑体" w:hAnsiTheme="majorBidi" w:cstheme="majorBidi" w:hint="eastAsia"/>
        </w:rPr>
        <w:t>)</w:t>
      </w:r>
      <w:r w:rsidRPr="00401CEE">
        <w:rPr>
          <w:rFonts w:asciiTheme="majorBidi" w:eastAsia="黑体" w:hAnsiTheme="majorBidi" w:cstheme="majorBidi" w:hint="eastAsia"/>
        </w:rPr>
        <w:t>，并酌情在缔约国提交报告前通过一份议题和问题清单后确定并向缔约国通报第九次定期报告的最后提交日期。下次定期报告应覆盖直至提交日的整个时期。</w:t>
      </w:r>
    </w:p>
    <w:p w14:paraId="21A8638E" w14:textId="083D3E2C" w:rsidR="00AE14A8" w:rsidRPr="00401CEE" w:rsidRDefault="00AE14A8" w:rsidP="00AE14A8">
      <w:pPr>
        <w:pStyle w:val="SingleTxt"/>
      </w:pPr>
      <w:r w:rsidRPr="00401CEE">
        <w:rPr>
          <w:rFonts w:hint="eastAsia"/>
        </w:rPr>
        <w:t>61.</w:t>
      </w:r>
      <w:r w:rsidRPr="00401CEE">
        <w:rPr>
          <w:rFonts w:hint="eastAsia"/>
        </w:rPr>
        <w:tab/>
      </w:r>
      <w:r w:rsidRPr="00401CEE">
        <w:rPr>
          <w:rFonts w:asciiTheme="majorBidi" w:eastAsia="黑体" w:hAnsiTheme="majorBidi" w:cstheme="majorBidi" w:hint="eastAsia"/>
        </w:rPr>
        <w:t>委员会请缔约国遵守包括共同核心文件和条约专要文件准则在内的根据国际人权条约提交报告的协调准则</w:t>
      </w:r>
      <w:r w:rsidRPr="00401CEE">
        <w:rPr>
          <w:rFonts w:hint="eastAsia"/>
        </w:rPr>
        <w:t>(</w:t>
      </w:r>
      <w:hyperlink r:id="rId37" w:history="1">
        <w:r w:rsidRPr="00401CEE">
          <w:rPr>
            <w:rStyle w:val="af7"/>
            <w:rFonts w:hint="eastAsia"/>
          </w:rPr>
          <w:t>HRI/GEN/2/Rev.6</w:t>
        </w:r>
      </w:hyperlink>
      <w:r w:rsidRPr="00401CEE">
        <w:rPr>
          <w:rFonts w:hint="eastAsia"/>
        </w:rPr>
        <w:t>，</w:t>
      </w:r>
      <w:r w:rsidRPr="00401CEE">
        <w:rPr>
          <w:rFonts w:asciiTheme="majorBidi" w:eastAsia="黑体" w:hAnsiTheme="majorBidi" w:cstheme="majorBidi" w:hint="eastAsia"/>
        </w:rPr>
        <w:t>第一章</w:t>
      </w:r>
      <w:r w:rsidRPr="00401CEE">
        <w:rPr>
          <w:rFonts w:asciiTheme="majorBidi" w:eastAsia="黑体" w:hAnsiTheme="majorBidi" w:cstheme="majorBidi" w:hint="eastAsia"/>
        </w:rPr>
        <w:t>)</w:t>
      </w:r>
      <w:r w:rsidRPr="00401CEE">
        <w:rPr>
          <w:rFonts w:hint="eastAsia"/>
        </w:rPr>
        <w:t>。</w:t>
      </w:r>
    </w:p>
    <w:p w14:paraId="0A5B12DC" w14:textId="71B73C3D" w:rsidR="00333781" w:rsidRPr="00AE14A8" w:rsidRDefault="00AE14A8" w:rsidP="00AE14A8">
      <w:pPr>
        <w:pStyle w:val="SingleTxt"/>
        <w:spacing w:after="0" w:line="240" w:lineRule="auto"/>
        <w:rPr>
          <w:sz w:val="20"/>
        </w:rPr>
      </w:pPr>
      <w:r w:rsidRPr="00401CEE">
        <w:rPr>
          <w:noProof/>
          <w:sz w:val="20"/>
        </w:rPr>
        <mc:AlternateContent>
          <mc:Choice Requires="wps">
            <w:drawing>
              <wp:anchor distT="0" distB="0" distL="114300" distR="114300" simplePos="0" relativeHeight="251659264" behindDoc="0" locked="0" layoutInCell="1" allowOverlap="1" wp14:anchorId="1D8EEDD1" wp14:editId="1F8BA7DF">
                <wp:simplePos x="0" y="0"/>
                <wp:positionH relativeFrom="column">
                  <wp:align>center</wp:align>
                </wp:positionH>
                <wp:positionV relativeFrom="paragraph">
                  <wp:posOffset>381000</wp:posOffset>
                </wp:positionV>
                <wp:extent cx="914400" cy="0"/>
                <wp:effectExtent l="0" t="0" r="0" b="0"/>
                <wp:wrapNone/>
                <wp:docPr id="2066003813"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4FB7E5"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AE14A8" w:rsidSect="00AE14A8">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8T18:50:00Z" w:initials="Start">
    <w:p w14:paraId="48724705" w14:textId="77777777" w:rsidR="00446627" w:rsidRDefault="00446627">
      <w:pPr>
        <w:pStyle w:val="ae"/>
      </w:pPr>
      <w:r>
        <w:rPr>
          <w:rStyle w:val="af2"/>
        </w:rPr>
        <w:annotationRef/>
      </w:r>
      <w:r>
        <w:t>&lt;&lt;ODS JOB NO&gt;&gt;N2505492C&lt;&lt;ODS JOB NO&gt;&gt;</w:t>
      </w:r>
    </w:p>
    <w:p w14:paraId="2E921FF4" w14:textId="77777777" w:rsidR="00446627" w:rsidRDefault="00446627">
      <w:pPr>
        <w:pStyle w:val="ae"/>
      </w:pPr>
      <w:r>
        <w:t>&lt;&lt;ODS DOC SYMBOL1&gt;&gt;CEDAW/C/LUX/CO/8&lt;&lt;ODS DOC SYMBOL1&gt;&gt;</w:t>
      </w:r>
    </w:p>
    <w:p w14:paraId="06F3D72F" w14:textId="36E096ED" w:rsidR="00446627" w:rsidRDefault="0044662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F3D7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B15BF9" w16cex:dateUtc="2025-03-18T2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F3D72F" w16cid:durableId="23B15B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4596F" w14:textId="77777777" w:rsidR="005C6E48" w:rsidRDefault="005C6E48" w:rsidP="00E3371C">
      <w:pPr>
        <w:spacing w:line="240" w:lineRule="auto"/>
      </w:pPr>
      <w:r>
        <w:separator/>
      </w:r>
    </w:p>
  </w:endnote>
  <w:endnote w:type="continuationSeparator" w:id="0">
    <w:p w14:paraId="3B00E7BB" w14:textId="77777777" w:rsidR="005C6E48" w:rsidRDefault="005C6E48"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6627" w14:paraId="0212B739" w14:textId="77777777" w:rsidTr="00446627">
      <w:tc>
        <w:tcPr>
          <w:tcW w:w="4920" w:type="dxa"/>
          <w:shd w:val="clear" w:color="auto" w:fill="auto"/>
        </w:tcPr>
        <w:p w14:paraId="783F6730" w14:textId="72665DED" w:rsidR="00446627" w:rsidRPr="00446627" w:rsidRDefault="00446627" w:rsidP="0044662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7831">
            <w:rPr>
              <w:b w:val="0"/>
              <w:w w:val="103"/>
              <w:sz w:val="14"/>
            </w:rPr>
            <w:t>25-03386</w:t>
          </w:r>
          <w:r>
            <w:rPr>
              <w:b w:val="0"/>
              <w:w w:val="103"/>
              <w:sz w:val="14"/>
            </w:rPr>
            <w:fldChar w:fldCharType="end"/>
          </w:r>
        </w:p>
      </w:tc>
      <w:tc>
        <w:tcPr>
          <w:tcW w:w="4920" w:type="dxa"/>
          <w:shd w:val="clear" w:color="auto" w:fill="auto"/>
        </w:tcPr>
        <w:p w14:paraId="33669945" w14:textId="04265030" w:rsidR="00446627" w:rsidRPr="00446627" w:rsidRDefault="00446627" w:rsidP="0044662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44F7AD2" w14:textId="77777777" w:rsidR="00446627" w:rsidRPr="00446627" w:rsidRDefault="00446627" w:rsidP="0044662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6627" w14:paraId="7F1DC93B" w14:textId="77777777" w:rsidTr="00446627">
      <w:tc>
        <w:tcPr>
          <w:tcW w:w="4920" w:type="dxa"/>
          <w:shd w:val="clear" w:color="auto" w:fill="auto"/>
        </w:tcPr>
        <w:p w14:paraId="6B27F6C7" w14:textId="00D36070" w:rsidR="00446627" w:rsidRPr="00446627" w:rsidRDefault="00446627" w:rsidP="00446627">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77331E49" w14:textId="74D7517B" w:rsidR="00446627" w:rsidRPr="00446627" w:rsidRDefault="00446627" w:rsidP="0044662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7831">
            <w:rPr>
              <w:b w:val="0"/>
              <w:w w:val="103"/>
              <w:sz w:val="14"/>
            </w:rPr>
            <w:t>25-03386</w:t>
          </w:r>
          <w:r>
            <w:rPr>
              <w:b w:val="0"/>
              <w:w w:val="103"/>
              <w:sz w:val="14"/>
            </w:rPr>
            <w:fldChar w:fldCharType="end"/>
          </w:r>
        </w:p>
      </w:tc>
    </w:tr>
  </w:tbl>
  <w:p w14:paraId="657D2F1D" w14:textId="77777777" w:rsidR="00446627" w:rsidRPr="00446627" w:rsidRDefault="00446627" w:rsidP="0044662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446627" w14:paraId="47DD8E97" w14:textId="77777777" w:rsidTr="00446627">
      <w:tc>
        <w:tcPr>
          <w:tcW w:w="3744" w:type="dxa"/>
          <w:shd w:val="clear" w:color="auto" w:fill="auto"/>
        </w:tcPr>
        <w:p w14:paraId="5E58D6D5" w14:textId="4276090A" w:rsidR="00446627" w:rsidRDefault="00446627" w:rsidP="00446627">
          <w:pPr>
            <w:pStyle w:val="Release"/>
          </w:pPr>
          <w:r>
            <w:rPr>
              <w:noProof/>
            </w:rPr>
            <w:drawing>
              <wp:anchor distT="0" distB="0" distL="114300" distR="114300" simplePos="0" relativeHeight="251658240" behindDoc="0" locked="0" layoutInCell="1" allowOverlap="1" wp14:anchorId="58280BA6" wp14:editId="41EB9D06">
                <wp:simplePos x="0" y="0"/>
                <wp:positionH relativeFrom="column">
                  <wp:posOffset>5522595</wp:posOffset>
                </wp:positionH>
                <wp:positionV relativeFrom="paragraph">
                  <wp:posOffset>-356235</wp:posOffset>
                </wp:positionV>
                <wp:extent cx="694690" cy="694690"/>
                <wp:effectExtent l="0" t="0" r="0" b="0"/>
                <wp:wrapNone/>
                <wp:docPr id="17456445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517831">
              <w:t>25-03386 (C)</w:t>
            </w:r>
          </w:fldSimple>
          <w:r>
            <w:t xml:space="preserve">    1</w:t>
          </w:r>
          <w:r w:rsidR="00AE14A8">
            <w:t>7</w:t>
          </w:r>
          <w:r>
            <w:t xml:space="preserve">0325    </w:t>
          </w:r>
          <w:r w:rsidR="00AE14A8">
            <w:t>27</w:t>
          </w:r>
          <w:r>
            <w:t>0325</w:t>
          </w:r>
        </w:p>
        <w:p w14:paraId="5EA54D32" w14:textId="11368612" w:rsidR="00446627" w:rsidRPr="00446627" w:rsidRDefault="00446627" w:rsidP="00446627">
          <w:pPr>
            <w:spacing w:before="80" w:line="210" w:lineRule="exact"/>
            <w:rPr>
              <w:rFonts w:ascii="Barcode 3 of 9 by request" w:hAnsi="Barcode 3 of 9 by request"/>
              <w:sz w:val="24"/>
            </w:rPr>
          </w:pPr>
          <w:r>
            <w:rPr>
              <w:rFonts w:ascii="Barcode 3 of 9 by request" w:hAnsi="Barcode 3 of 9 by request"/>
              <w:b/>
              <w:sz w:val="24"/>
            </w:rPr>
            <w:t>*2503386*</w:t>
          </w:r>
        </w:p>
      </w:tc>
      <w:tc>
        <w:tcPr>
          <w:tcW w:w="4920" w:type="dxa"/>
          <w:shd w:val="clear" w:color="auto" w:fill="auto"/>
          <w:vAlign w:val="center"/>
        </w:tcPr>
        <w:p w14:paraId="068F708D" w14:textId="75BDA3AF" w:rsidR="00446627" w:rsidRDefault="00446627" w:rsidP="00446627">
          <w:pPr>
            <w:jc w:val="right"/>
          </w:pPr>
          <w:r>
            <w:rPr>
              <w:noProof/>
            </w:rPr>
            <w:drawing>
              <wp:inline distT="0" distB="0" distL="0" distR="0" wp14:anchorId="073D737A" wp14:editId="6AB7C80D">
                <wp:extent cx="618745" cy="231648"/>
                <wp:effectExtent l="0" t="0" r="0" b="0"/>
                <wp:docPr id="644379441" name="图片 2"/>
                <wp:cNvGraphicFramePr/>
                <a:graphic xmlns:a="http://schemas.openxmlformats.org/drawingml/2006/main">
                  <a:graphicData uri="http://schemas.openxmlformats.org/drawingml/2006/picture">
                    <pic:pic xmlns:pic="http://schemas.openxmlformats.org/drawingml/2006/picture">
                      <pic:nvPicPr>
                        <pic:cNvPr id="644379441"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C98CB7C" w14:textId="77777777" w:rsidR="00446627" w:rsidRPr="00446627" w:rsidRDefault="00446627" w:rsidP="0044662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3B822" w14:textId="3F489C60" w:rsidR="005C6E48" w:rsidRPr="00EC40E3" w:rsidRDefault="00EC40E3" w:rsidP="00EC40E3">
      <w:pPr>
        <w:pStyle w:val="a5"/>
        <w:spacing w:after="80"/>
        <w:ind w:left="792"/>
        <w:rPr>
          <w:sz w:val="16"/>
        </w:rPr>
      </w:pPr>
      <w:r w:rsidRPr="00EC40E3">
        <w:rPr>
          <w:sz w:val="16"/>
        </w:rPr>
        <w:t>__________________</w:t>
      </w:r>
    </w:p>
  </w:footnote>
  <w:footnote w:type="continuationSeparator" w:id="0">
    <w:p w14:paraId="7DEA9E18" w14:textId="2D09D2D4" w:rsidR="005C6E48" w:rsidRPr="00EC40E3" w:rsidRDefault="00EC40E3" w:rsidP="00EC40E3">
      <w:pPr>
        <w:pStyle w:val="a5"/>
        <w:spacing w:after="80"/>
        <w:ind w:left="792"/>
        <w:rPr>
          <w:sz w:val="16"/>
        </w:rPr>
      </w:pPr>
      <w:r w:rsidRPr="00EC40E3">
        <w:rPr>
          <w:sz w:val="16"/>
        </w:rPr>
        <w:t>__________________</w:t>
      </w:r>
    </w:p>
  </w:footnote>
  <w:footnote w:id="1">
    <w:p w14:paraId="5889E42D" w14:textId="574FD2D3" w:rsidR="00EC40E3" w:rsidRPr="00EC40E3" w:rsidRDefault="00EC40E3" w:rsidP="00EC40E3">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EC40E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46627" w14:paraId="41A8B17A" w14:textId="77777777" w:rsidTr="00446627">
      <w:trPr>
        <w:trHeight w:hRule="exact" w:val="864"/>
      </w:trPr>
      <w:tc>
        <w:tcPr>
          <w:tcW w:w="4925" w:type="dxa"/>
          <w:shd w:val="clear" w:color="auto" w:fill="auto"/>
          <w:vAlign w:val="bottom"/>
        </w:tcPr>
        <w:p w14:paraId="220A8DD2" w14:textId="39E45644" w:rsidR="00446627" w:rsidRPr="00446627" w:rsidRDefault="00446627" w:rsidP="0044662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17831">
            <w:rPr>
              <w:b/>
              <w:sz w:val="17"/>
            </w:rPr>
            <w:t>CEDAW/C/LUX/CO/8</w:t>
          </w:r>
          <w:r>
            <w:rPr>
              <w:b/>
              <w:sz w:val="17"/>
            </w:rPr>
            <w:fldChar w:fldCharType="end"/>
          </w:r>
        </w:p>
      </w:tc>
      <w:tc>
        <w:tcPr>
          <w:tcW w:w="4920" w:type="dxa"/>
          <w:shd w:val="clear" w:color="auto" w:fill="auto"/>
          <w:vAlign w:val="bottom"/>
        </w:tcPr>
        <w:p w14:paraId="09EF7002" w14:textId="77777777" w:rsidR="00446627" w:rsidRDefault="00446627" w:rsidP="00446627">
          <w:pPr>
            <w:pStyle w:val="a3"/>
          </w:pPr>
        </w:p>
      </w:tc>
    </w:tr>
  </w:tbl>
  <w:p w14:paraId="5698B1BC" w14:textId="77777777" w:rsidR="00446627" w:rsidRPr="00446627" w:rsidRDefault="00446627" w:rsidP="0044662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46627" w14:paraId="456CD1F0" w14:textId="77777777" w:rsidTr="00446627">
      <w:trPr>
        <w:trHeight w:hRule="exact" w:val="864"/>
      </w:trPr>
      <w:tc>
        <w:tcPr>
          <w:tcW w:w="4925" w:type="dxa"/>
          <w:shd w:val="clear" w:color="auto" w:fill="auto"/>
          <w:vAlign w:val="bottom"/>
        </w:tcPr>
        <w:p w14:paraId="7DDF9831" w14:textId="77777777" w:rsidR="00446627" w:rsidRDefault="00446627" w:rsidP="00446627">
          <w:pPr>
            <w:pStyle w:val="a3"/>
          </w:pPr>
        </w:p>
      </w:tc>
      <w:tc>
        <w:tcPr>
          <w:tcW w:w="4920" w:type="dxa"/>
          <w:shd w:val="clear" w:color="auto" w:fill="auto"/>
          <w:vAlign w:val="bottom"/>
        </w:tcPr>
        <w:p w14:paraId="05DE8A50" w14:textId="109F2437" w:rsidR="00446627" w:rsidRPr="00446627" w:rsidRDefault="00446627" w:rsidP="0044662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17831">
            <w:rPr>
              <w:b/>
              <w:sz w:val="17"/>
            </w:rPr>
            <w:t>CEDAW/C/LUX/CO/8</w:t>
          </w:r>
          <w:r>
            <w:rPr>
              <w:b/>
              <w:sz w:val="17"/>
            </w:rPr>
            <w:fldChar w:fldCharType="end"/>
          </w:r>
        </w:p>
      </w:tc>
    </w:tr>
  </w:tbl>
  <w:p w14:paraId="0750E3C1" w14:textId="77777777" w:rsidR="00446627" w:rsidRPr="00446627" w:rsidRDefault="00446627" w:rsidP="0044662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46627" w14:paraId="1D975750" w14:textId="77777777" w:rsidTr="00446627">
      <w:trPr>
        <w:trHeight w:hRule="exact" w:val="864"/>
      </w:trPr>
      <w:tc>
        <w:tcPr>
          <w:tcW w:w="1267" w:type="dxa"/>
          <w:tcBorders>
            <w:bottom w:val="single" w:sz="4" w:space="0" w:color="auto"/>
          </w:tcBorders>
          <w:shd w:val="clear" w:color="auto" w:fill="auto"/>
          <w:vAlign w:val="bottom"/>
        </w:tcPr>
        <w:p w14:paraId="618BAD7B" w14:textId="77777777" w:rsidR="00446627" w:rsidRDefault="00446627" w:rsidP="00446627">
          <w:pPr>
            <w:pStyle w:val="a3"/>
            <w:spacing w:after="120"/>
          </w:pPr>
        </w:p>
      </w:tc>
      <w:tc>
        <w:tcPr>
          <w:tcW w:w="1872" w:type="dxa"/>
          <w:tcBorders>
            <w:bottom w:val="single" w:sz="4" w:space="0" w:color="auto"/>
          </w:tcBorders>
          <w:shd w:val="clear" w:color="auto" w:fill="auto"/>
          <w:vAlign w:val="bottom"/>
        </w:tcPr>
        <w:p w14:paraId="468B2EDC" w14:textId="0451D9C6" w:rsidR="00446627" w:rsidRPr="00446627" w:rsidRDefault="00446627" w:rsidP="0044662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4918C54" w14:textId="77777777" w:rsidR="00446627" w:rsidRDefault="00446627" w:rsidP="00446627">
          <w:pPr>
            <w:pStyle w:val="a3"/>
            <w:spacing w:after="120"/>
          </w:pPr>
        </w:p>
      </w:tc>
      <w:tc>
        <w:tcPr>
          <w:tcW w:w="6437" w:type="dxa"/>
          <w:gridSpan w:val="3"/>
          <w:tcBorders>
            <w:bottom w:val="single" w:sz="4" w:space="0" w:color="auto"/>
          </w:tcBorders>
          <w:shd w:val="clear" w:color="auto" w:fill="auto"/>
          <w:vAlign w:val="bottom"/>
        </w:tcPr>
        <w:p w14:paraId="3EC16DA0" w14:textId="7B640A55" w:rsidR="00446627" w:rsidRPr="00446627" w:rsidRDefault="00446627" w:rsidP="00446627">
          <w:pPr>
            <w:spacing w:after="80" w:line="240" w:lineRule="auto"/>
            <w:jc w:val="right"/>
            <w:rPr>
              <w:position w:val="-4"/>
            </w:rPr>
          </w:pPr>
          <w:r>
            <w:rPr>
              <w:position w:val="-4"/>
              <w:sz w:val="40"/>
            </w:rPr>
            <w:t>CEDAW</w:t>
          </w:r>
          <w:r>
            <w:rPr>
              <w:position w:val="-4"/>
            </w:rPr>
            <w:t>/C/LUX/CO/8</w:t>
          </w:r>
        </w:p>
      </w:tc>
    </w:tr>
    <w:tr w:rsidR="00446627" w:rsidRPr="00446627" w14:paraId="02049196" w14:textId="77777777" w:rsidTr="00446627">
      <w:trPr>
        <w:trHeight w:hRule="exact" w:val="2880"/>
      </w:trPr>
      <w:tc>
        <w:tcPr>
          <w:tcW w:w="1267" w:type="dxa"/>
          <w:tcBorders>
            <w:top w:val="single" w:sz="4" w:space="0" w:color="auto"/>
            <w:bottom w:val="single" w:sz="12" w:space="0" w:color="auto"/>
          </w:tcBorders>
          <w:shd w:val="clear" w:color="auto" w:fill="auto"/>
        </w:tcPr>
        <w:p w14:paraId="51FD56C7" w14:textId="3AE0BA7B" w:rsidR="00446627" w:rsidRPr="00446627" w:rsidRDefault="00446627" w:rsidP="00446627">
          <w:pPr>
            <w:pStyle w:val="a3"/>
            <w:spacing w:before="109"/>
          </w:pPr>
          <w:r>
            <w:t xml:space="preserve"> </w:t>
          </w:r>
          <w:r>
            <w:drawing>
              <wp:inline distT="0" distB="0" distL="0" distR="0" wp14:anchorId="5A5EDF51" wp14:editId="3C048DE7">
                <wp:extent cx="711200" cy="597103"/>
                <wp:effectExtent l="0" t="0" r="0" b="0"/>
                <wp:docPr id="1308554810" name="图片 1"/>
                <wp:cNvGraphicFramePr/>
                <a:graphic xmlns:a="http://schemas.openxmlformats.org/drawingml/2006/main">
                  <a:graphicData uri="http://schemas.openxmlformats.org/drawingml/2006/picture">
                    <pic:pic xmlns:pic="http://schemas.openxmlformats.org/drawingml/2006/picture">
                      <pic:nvPicPr>
                        <pic:cNvPr id="130855481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F6EB67" w14:textId="15C4A11A" w:rsidR="00446627" w:rsidRPr="00446627" w:rsidRDefault="00446627" w:rsidP="00446627">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1B1C9D3" w14:textId="77777777" w:rsidR="00446627" w:rsidRPr="00446627" w:rsidRDefault="00446627" w:rsidP="00446627">
          <w:pPr>
            <w:pStyle w:val="a3"/>
            <w:spacing w:before="109"/>
          </w:pPr>
        </w:p>
      </w:tc>
      <w:tc>
        <w:tcPr>
          <w:tcW w:w="3080" w:type="dxa"/>
          <w:tcBorders>
            <w:top w:val="single" w:sz="4" w:space="0" w:color="auto"/>
            <w:bottom w:val="single" w:sz="12" w:space="0" w:color="auto"/>
          </w:tcBorders>
          <w:shd w:val="clear" w:color="auto" w:fill="auto"/>
        </w:tcPr>
        <w:p w14:paraId="48F6D6F6" w14:textId="77777777" w:rsidR="00446627" w:rsidRDefault="00446627" w:rsidP="00446627">
          <w:pPr>
            <w:pStyle w:val="Distr"/>
          </w:pPr>
          <w:r>
            <w:t>Distr.: General</w:t>
          </w:r>
        </w:p>
        <w:p w14:paraId="00D25E65" w14:textId="77777777" w:rsidR="00446627" w:rsidRDefault="00446627" w:rsidP="00446627">
          <w:pPr>
            <w:pStyle w:val="Publication"/>
          </w:pPr>
          <w:r>
            <w:t>28 February 2025</w:t>
          </w:r>
        </w:p>
        <w:p w14:paraId="1E5C51A1" w14:textId="77777777" w:rsidR="00446627" w:rsidRDefault="00446627" w:rsidP="00446627">
          <w:pPr>
            <w:spacing w:line="240" w:lineRule="exact"/>
          </w:pPr>
          <w:r>
            <w:t>Chinese</w:t>
          </w:r>
        </w:p>
        <w:p w14:paraId="41A59917" w14:textId="77777777" w:rsidR="00446627" w:rsidRDefault="00446627" w:rsidP="00446627">
          <w:pPr>
            <w:pStyle w:val="Original"/>
          </w:pPr>
          <w:r>
            <w:t>Original: English</w:t>
          </w:r>
        </w:p>
        <w:p w14:paraId="7C9883C8" w14:textId="5BC42A1F" w:rsidR="00446627" w:rsidRPr="00446627" w:rsidRDefault="00446627" w:rsidP="00446627"/>
      </w:tc>
    </w:tr>
  </w:tbl>
  <w:p w14:paraId="1DDCE3E9" w14:textId="77777777" w:rsidR="00446627" w:rsidRPr="00446627" w:rsidRDefault="00446627" w:rsidP="0044662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6*"/>
    <w:docVar w:name="CreationDt" w:val="18/03/2025 18:50:43"/>
    <w:docVar w:name="DocCategory" w:val="Doc"/>
    <w:docVar w:name="DocType" w:val="Final"/>
    <w:docVar w:name="DutyStation" w:val="New York"/>
    <w:docVar w:name="FooterJN" w:val="25-03386"/>
    <w:docVar w:name="jobn" w:val="25-03386 (C)"/>
    <w:docVar w:name="jobnDT" w:val="25-03386 (C)   180325"/>
    <w:docVar w:name="jobnDTDT" w:val="25-03386 (C)   180325   180325"/>
    <w:docVar w:name="JobNo" w:val="2503386C"/>
    <w:docVar w:name="LocalDrive" w:val="-1"/>
    <w:docVar w:name="OandT" w:val="gb"/>
    <w:docVar w:name="sss1" w:val="CEDAW/C/LUX/CO/8"/>
    <w:docVar w:name="sss2" w:val="-"/>
    <w:docVar w:name="Symbol1" w:val="CEDAW/C/LUX/CO/8"/>
    <w:docVar w:name="Symbol2" w:val="-"/>
    <w:docVar w:name="Title1" w:val="_x0009__x0009_关于卢森堡第八次定期报告的结论性意见*_x000d_"/>
  </w:docVars>
  <w:rsids>
    <w:rsidRoot w:val="005C6E48"/>
    <w:rsid w:val="00003E22"/>
    <w:rsid w:val="0000600D"/>
    <w:rsid w:val="00011A74"/>
    <w:rsid w:val="00064A94"/>
    <w:rsid w:val="000B224B"/>
    <w:rsid w:val="000B60A6"/>
    <w:rsid w:val="00141CB1"/>
    <w:rsid w:val="00195578"/>
    <w:rsid w:val="001A7D60"/>
    <w:rsid w:val="001D2EBA"/>
    <w:rsid w:val="001D4893"/>
    <w:rsid w:val="0024131D"/>
    <w:rsid w:val="0025736B"/>
    <w:rsid w:val="00265945"/>
    <w:rsid w:val="002676CA"/>
    <w:rsid w:val="00306444"/>
    <w:rsid w:val="003201A0"/>
    <w:rsid w:val="00333781"/>
    <w:rsid w:val="003E0D8F"/>
    <w:rsid w:val="003F5CF7"/>
    <w:rsid w:val="00401CEE"/>
    <w:rsid w:val="00436988"/>
    <w:rsid w:val="00446627"/>
    <w:rsid w:val="00463DF4"/>
    <w:rsid w:val="00493AD3"/>
    <w:rsid w:val="00507C44"/>
    <w:rsid w:val="00517831"/>
    <w:rsid w:val="0057503F"/>
    <w:rsid w:val="005C6E48"/>
    <w:rsid w:val="005D2D6D"/>
    <w:rsid w:val="006218FC"/>
    <w:rsid w:val="006370FC"/>
    <w:rsid w:val="00647858"/>
    <w:rsid w:val="006D2306"/>
    <w:rsid w:val="00716146"/>
    <w:rsid w:val="007316FE"/>
    <w:rsid w:val="007B45A6"/>
    <w:rsid w:val="007F1595"/>
    <w:rsid w:val="008906A7"/>
    <w:rsid w:val="008A15A1"/>
    <w:rsid w:val="008A2E88"/>
    <w:rsid w:val="008A7BD4"/>
    <w:rsid w:val="008B67EE"/>
    <w:rsid w:val="008F2968"/>
    <w:rsid w:val="008F611B"/>
    <w:rsid w:val="00906E6A"/>
    <w:rsid w:val="009141A3"/>
    <w:rsid w:val="009146FD"/>
    <w:rsid w:val="00980869"/>
    <w:rsid w:val="009901F2"/>
    <w:rsid w:val="009B20A4"/>
    <w:rsid w:val="009C0F00"/>
    <w:rsid w:val="009D0569"/>
    <w:rsid w:val="00A20CBC"/>
    <w:rsid w:val="00A21540"/>
    <w:rsid w:val="00A22C01"/>
    <w:rsid w:val="00A54C89"/>
    <w:rsid w:val="00AE136E"/>
    <w:rsid w:val="00AE14A8"/>
    <w:rsid w:val="00B360B0"/>
    <w:rsid w:val="00BA543D"/>
    <w:rsid w:val="00C07E63"/>
    <w:rsid w:val="00C12B76"/>
    <w:rsid w:val="00C64E6E"/>
    <w:rsid w:val="00CE6F34"/>
    <w:rsid w:val="00D62BCE"/>
    <w:rsid w:val="00DC5892"/>
    <w:rsid w:val="00DD5D01"/>
    <w:rsid w:val="00DD703D"/>
    <w:rsid w:val="00DE23F3"/>
    <w:rsid w:val="00E3371C"/>
    <w:rsid w:val="00E82CF7"/>
    <w:rsid w:val="00EB38C9"/>
    <w:rsid w:val="00EC40E3"/>
    <w:rsid w:val="00EC7339"/>
    <w:rsid w:val="00ED145A"/>
    <w:rsid w:val="00ED7739"/>
    <w:rsid w:val="00EE6A9C"/>
    <w:rsid w:val="00F07559"/>
    <w:rsid w:val="00F16AC0"/>
    <w:rsid w:val="00F527B3"/>
    <w:rsid w:val="00FD0D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AC7B1"/>
  <w15:chartTrackingRefBased/>
  <w15:docId w15:val="{F0D1ABD6-1106-4E5C-AB0A-F48E702ED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5C6E48"/>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5C6E48"/>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5C6E48"/>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5C6E48"/>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5C6E48"/>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5C6E48"/>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RepBullet">
    <w:name w:val="Rep_Bullet"/>
    <w:qFormat/>
    <w:rsid w:val="002676CA"/>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a"/>
    <w:qFormat/>
    <w:rsid w:val="002676CA"/>
    <w:pPr>
      <w:suppressAutoHyphens/>
      <w:spacing w:line="240" w:lineRule="auto"/>
      <w:ind w:left="432" w:right="432"/>
      <w:jc w:val="center"/>
      <w:outlineLvl w:val="0"/>
    </w:pPr>
    <w:rPr>
      <w:rFonts w:eastAsia="Calibri"/>
      <w:b/>
      <w:bCs/>
      <w:spacing w:val="4"/>
      <w:w w:val="103"/>
      <w:sz w:val="40"/>
      <w:szCs w:val="40"/>
      <w:lang w:val="en-GB" w:eastAsia="en-US"/>
    </w:rPr>
  </w:style>
  <w:style w:type="paragraph" w:customStyle="1" w:styleId="RepCtrNumberedHdg">
    <w:name w:val="Rep_Ctr_Numbered_Hdg"/>
    <w:basedOn w:val="a"/>
    <w:qFormat/>
    <w:rsid w:val="002676CA"/>
    <w:pPr>
      <w:suppressAutoHyphens/>
      <w:spacing w:line="240" w:lineRule="auto"/>
      <w:ind w:left="749" w:hanging="749"/>
      <w:jc w:val="center"/>
      <w:outlineLvl w:val="0"/>
    </w:pPr>
    <w:rPr>
      <w:rFonts w:eastAsia="Calibri"/>
      <w:b/>
      <w:bCs/>
      <w:spacing w:val="4"/>
      <w:w w:val="103"/>
      <w:sz w:val="28"/>
      <w:szCs w:val="28"/>
      <w:lang w:val="en-GB" w:eastAsia="en-US"/>
    </w:rPr>
  </w:style>
  <w:style w:type="paragraph" w:customStyle="1" w:styleId="RepFootnote">
    <w:name w:val="Rep_Footnote"/>
    <w:basedOn w:val="aa"/>
    <w:qFormat/>
    <w:rsid w:val="002676CA"/>
    <w:pPr>
      <w:widowControl w:val="0"/>
      <w:tabs>
        <w:tab w:val="clear" w:pos="418"/>
        <w:tab w:val="right" w:pos="954"/>
        <w:tab w:val="left" w:pos="1170"/>
        <w:tab w:val="left" w:pos="1440"/>
      </w:tabs>
      <w:suppressAutoHyphens/>
      <w:spacing w:after="0" w:line="210" w:lineRule="exact"/>
      <w:ind w:left="1022" w:right="432" w:hanging="590"/>
      <w:jc w:val="left"/>
    </w:pPr>
    <w:rPr>
      <w:rFonts w:eastAsia="Calibri"/>
      <w:noProof w:val="0"/>
      <w:spacing w:val="5"/>
      <w:w w:val="103"/>
      <w:sz w:val="17"/>
      <w:szCs w:val="17"/>
      <w:lang w:val="en-GB" w:eastAsia="en-US"/>
    </w:rPr>
  </w:style>
  <w:style w:type="paragraph" w:customStyle="1" w:styleId="RepH1">
    <w:name w:val="Rep_H1"/>
    <w:basedOn w:val="H1"/>
    <w:qFormat/>
    <w:rsid w:val="002676CA"/>
    <w:pPr>
      <w:tabs>
        <w:tab w:val="left" w:pos="1008"/>
      </w:tabs>
      <w:spacing w:line="240" w:lineRule="auto"/>
      <w:ind w:left="1022" w:right="432" w:hanging="590"/>
      <w:jc w:val="left"/>
    </w:pPr>
    <w:rPr>
      <w:rFonts w:eastAsia="Calibri"/>
      <w:b/>
      <w:bCs/>
      <w:spacing w:val="4"/>
      <w:w w:val="103"/>
      <w:szCs w:val="24"/>
      <w:lang w:val="en-GB" w:eastAsia="en-US"/>
    </w:rPr>
  </w:style>
  <w:style w:type="paragraph" w:customStyle="1" w:styleId="RepH1Margin">
    <w:name w:val="Rep_H1_Margin"/>
    <w:basedOn w:val="H1"/>
    <w:qFormat/>
    <w:rsid w:val="002676CA"/>
    <w:pPr>
      <w:spacing w:line="270" w:lineRule="exact"/>
      <w:ind w:left="432" w:right="432" w:firstLine="0"/>
      <w:jc w:val="left"/>
    </w:pPr>
    <w:rPr>
      <w:rFonts w:eastAsia="Calibri"/>
      <w:b/>
      <w:spacing w:val="4"/>
      <w:w w:val="103"/>
      <w:lang w:val="en-GB" w:eastAsia="en-US"/>
    </w:rPr>
  </w:style>
  <w:style w:type="paragraph" w:customStyle="1" w:styleId="RepH2">
    <w:name w:val="Rep_H2"/>
    <w:basedOn w:val="H23"/>
    <w:rsid w:val="002676CA"/>
    <w:pPr>
      <w:suppressAutoHyphens/>
      <w:spacing w:line="240" w:lineRule="exact"/>
      <w:ind w:left="1008" w:right="432" w:hanging="576"/>
      <w:jc w:val="left"/>
    </w:pPr>
    <w:rPr>
      <w:rFonts w:eastAsia="Calibri"/>
      <w:b/>
      <w:spacing w:val="4"/>
      <w:w w:val="103"/>
      <w:sz w:val="20"/>
      <w:lang w:eastAsia="en-US"/>
    </w:rPr>
  </w:style>
  <w:style w:type="paragraph" w:customStyle="1" w:styleId="RepH4">
    <w:name w:val="Rep_H4"/>
    <w:basedOn w:val="H4"/>
    <w:rsid w:val="002676CA"/>
    <w:pPr>
      <w:tabs>
        <w:tab w:val="clear" w:pos="431"/>
        <w:tab w:val="left" w:pos="1008"/>
      </w:tabs>
      <w:spacing w:line="240" w:lineRule="exact"/>
      <w:ind w:left="1022" w:right="432" w:hanging="590"/>
      <w:jc w:val="left"/>
    </w:pPr>
    <w:rPr>
      <w:rFonts w:eastAsia="Calibri"/>
      <w:i/>
      <w:noProof w:val="0"/>
      <w:spacing w:val="3"/>
      <w:w w:val="103"/>
      <w:sz w:val="20"/>
      <w:lang w:val="en-GB" w:eastAsia="en-US"/>
    </w:rPr>
  </w:style>
  <w:style w:type="paragraph" w:customStyle="1" w:styleId="RepMainIntro">
    <w:name w:val="Rep_Main_Intro"/>
    <w:basedOn w:val="SingleTxt"/>
    <w:next w:val="H1"/>
    <w:qFormat/>
    <w:rsid w:val="002676CA"/>
    <w:p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08"/>
      </w:tabs>
      <w:suppressAutoHyphens/>
      <w:spacing w:after="0" w:line="240" w:lineRule="auto"/>
      <w:ind w:left="432" w:right="432"/>
      <w:jc w:val="left"/>
      <w:outlineLvl w:val="0"/>
    </w:pPr>
    <w:rPr>
      <w:rFonts w:eastAsia="Calibri"/>
      <w:b/>
      <w:bCs/>
      <w:spacing w:val="4"/>
      <w:w w:val="103"/>
      <w:sz w:val="28"/>
      <w:szCs w:val="28"/>
      <w:lang w:val="en-GB" w:eastAsia="en-US"/>
    </w:rPr>
  </w:style>
  <w:style w:type="paragraph" w:customStyle="1" w:styleId="RepNumberedH1">
    <w:name w:val="Rep_Numbered_H1"/>
    <w:basedOn w:val="H1"/>
    <w:qFormat/>
    <w:rsid w:val="002676CA"/>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jc w:val="left"/>
    </w:pPr>
    <w:rPr>
      <w:rFonts w:eastAsia="Calibri"/>
      <w:b/>
      <w:bCs/>
      <w:spacing w:val="4"/>
      <w:w w:val="103"/>
      <w:szCs w:val="24"/>
      <w:lang w:val="en-GB" w:eastAsia="en-US"/>
    </w:rPr>
  </w:style>
  <w:style w:type="paragraph" w:customStyle="1" w:styleId="RepNumberedH2">
    <w:name w:val="Rep_Numbered_H2"/>
    <w:basedOn w:val="RepNumberedH1"/>
    <w:qFormat/>
    <w:rsid w:val="002676CA"/>
    <w:rPr>
      <w:sz w:val="20"/>
      <w:szCs w:val="20"/>
    </w:rPr>
  </w:style>
  <w:style w:type="paragraph" w:customStyle="1" w:styleId="RepPartNumber">
    <w:name w:val="Rep_PartNumber"/>
    <w:basedOn w:val="a"/>
    <w:qFormat/>
    <w:rsid w:val="001D4893"/>
    <w:pPr>
      <w:suppressAutoHyphens/>
      <w:spacing w:before="2280" w:line="500" w:lineRule="exact"/>
      <w:ind w:right="1264"/>
      <w:jc w:val="left"/>
      <w:outlineLvl w:val="0"/>
    </w:pPr>
    <w:rPr>
      <w:rFonts w:eastAsia="黑体"/>
      <w:b/>
      <w:bCs/>
      <w:spacing w:val="4"/>
      <w:w w:val="103"/>
      <w:sz w:val="40"/>
      <w:szCs w:val="40"/>
      <w:lang w:val="en-GB" w:eastAsia="en-US"/>
    </w:rPr>
  </w:style>
  <w:style w:type="paragraph" w:customStyle="1" w:styleId="RepPartTitle">
    <w:name w:val="Rep_PartTitle"/>
    <w:basedOn w:val="a"/>
    <w:qFormat/>
    <w:rsid w:val="00C07E63"/>
    <w:pPr>
      <w:suppressAutoHyphens/>
      <w:spacing w:line="500" w:lineRule="exact"/>
      <w:ind w:left="1264" w:right="1264"/>
      <w:outlineLvl w:val="0"/>
    </w:pPr>
    <w:rPr>
      <w:rFonts w:eastAsia="黑体"/>
      <w:b/>
      <w:bCs/>
      <w:spacing w:val="4"/>
      <w:w w:val="103"/>
      <w:sz w:val="40"/>
      <w:szCs w:val="40"/>
      <w:lang w:val="en-GB" w:eastAsia="en-US"/>
    </w:rPr>
  </w:style>
  <w:style w:type="paragraph" w:customStyle="1" w:styleId="RepSingleText">
    <w:name w:val="Rep_Single_Text"/>
    <w:basedOn w:val="a"/>
    <w:link w:val="RepSingleTextChar"/>
    <w:qFormat/>
    <w:rsid w:val="002676CA"/>
    <w:pPr>
      <w:tabs>
        <w:tab w:val="left" w:pos="1008"/>
      </w:tabs>
      <w:suppressAutoHyphens/>
      <w:spacing w:after="120" w:line="240" w:lineRule="auto"/>
      <w:ind w:left="432" w:right="432"/>
    </w:pPr>
    <w:rPr>
      <w:rFonts w:eastAsiaTheme="minorHAnsi"/>
      <w:spacing w:val="4"/>
      <w:w w:val="103"/>
      <w:sz w:val="20"/>
      <w:lang w:val="en-GB" w:eastAsia="en-US"/>
    </w:rPr>
  </w:style>
  <w:style w:type="character" w:customStyle="1" w:styleId="RepSingleTextChar">
    <w:name w:val="Rep_Single_Text Char"/>
    <w:basedOn w:val="a0"/>
    <w:link w:val="RepSingleText"/>
    <w:rsid w:val="002676CA"/>
    <w:rPr>
      <w:rFonts w:ascii="Times New Roman" w:eastAsiaTheme="minorHAnsi" w:hAnsi="Times New Roman" w:cs="Times New Roman"/>
      <w:spacing w:val="4"/>
      <w:w w:val="103"/>
      <w:kern w:val="14"/>
      <w:sz w:val="20"/>
      <w:szCs w:val="20"/>
      <w:lang w:val="en-GB" w:eastAsia="en-US"/>
    </w:rPr>
  </w:style>
  <w:style w:type="paragraph" w:customStyle="1" w:styleId="RepTableNumber">
    <w:name w:val="Rep_Table_Number"/>
    <w:basedOn w:val="RepH2"/>
    <w:qFormat/>
    <w:rsid w:val="00A22C01"/>
    <w:pPr>
      <w:spacing w:line="500" w:lineRule="exact"/>
      <w:ind w:left="431" w:right="431" w:firstLine="0"/>
    </w:pPr>
    <w:rPr>
      <w:b w:val="0"/>
      <w:bCs/>
      <w:sz w:val="40"/>
    </w:rPr>
  </w:style>
  <w:style w:type="paragraph" w:customStyle="1" w:styleId="RepTableTitle">
    <w:name w:val="Rep_Table_Title"/>
    <w:basedOn w:val="RepH2"/>
    <w:qFormat/>
    <w:rsid w:val="002676CA"/>
    <w:pPr>
      <w:ind w:left="432" w:firstLine="0"/>
    </w:pPr>
  </w:style>
  <w:style w:type="paragraph" w:customStyle="1" w:styleId="RepTitleL">
    <w:name w:val="Rep_Title_L"/>
    <w:basedOn w:val="STitleL"/>
    <w:qFormat/>
    <w:rsid w:val="002676CA"/>
    <w:pPr>
      <w:spacing w:line="540" w:lineRule="exact"/>
      <w:ind w:left="1267" w:right="1267"/>
      <w:jc w:val="left"/>
    </w:pPr>
    <w:rPr>
      <w:rFonts w:eastAsia="宋体"/>
      <w:b/>
      <w:noProof w:val="0"/>
      <w:lang w:val="en-GB"/>
    </w:rPr>
  </w:style>
  <w:style w:type="paragraph" w:customStyle="1" w:styleId="RepTitleM">
    <w:name w:val="Rep_Title_M"/>
    <w:basedOn w:val="STitleM"/>
    <w:qFormat/>
    <w:rsid w:val="002676CA"/>
    <w:pPr>
      <w:spacing w:line="390" w:lineRule="exact"/>
      <w:jc w:val="left"/>
    </w:pPr>
    <w:rPr>
      <w:rFonts w:ascii="Times New Roman" w:eastAsia="Calibri" w:hAnsi="Times New Roman"/>
      <w:b/>
      <w:lang w:val="en-GB"/>
    </w:rPr>
  </w:style>
  <w:style w:type="paragraph" w:customStyle="1" w:styleId="RepTitleS">
    <w:name w:val="Rep_Title_S"/>
    <w:basedOn w:val="SS"/>
    <w:qFormat/>
    <w:rsid w:val="002676CA"/>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firstLine="0"/>
      <w:jc w:val="left"/>
    </w:pPr>
    <w:rPr>
      <w:rFonts w:eastAsia="Calibri"/>
      <w:b/>
      <w:spacing w:val="-2"/>
      <w:w w:val="103"/>
      <w:lang w:val="en-GB" w:eastAsia="en-US"/>
    </w:rPr>
  </w:style>
  <w:style w:type="paragraph" w:customStyle="1" w:styleId="RepertoireFootnoteText">
    <w:name w:val="Repertoire Footnote Text"/>
    <w:basedOn w:val="a"/>
    <w:link w:val="RepertoireFootnoteTextChar"/>
    <w:qFormat/>
    <w:rsid w:val="002676CA"/>
    <w:pPr>
      <w:tabs>
        <w:tab w:val="right" w:pos="418"/>
      </w:tabs>
      <w:suppressAutoHyphens/>
      <w:spacing w:line="210" w:lineRule="exact"/>
      <w:ind w:left="475" w:hanging="475"/>
      <w:jc w:val="left"/>
    </w:pPr>
    <w:rPr>
      <w:rFonts w:eastAsiaTheme="minorHAnsi"/>
      <w:spacing w:val="2"/>
      <w:w w:val="103"/>
      <w:sz w:val="17"/>
      <w:szCs w:val="17"/>
      <w:lang w:val="en-GB" w:eastAsia="en-US"/>
    </w:rPr>
  </w:style>
  <w:style w:type="character" w:customStyle="1" w:styleId="RepertoireFootnoteTextChar">
    <w:name w:val="Repertoire Footnote Text Char"/>
    <w:basedOn w:val="a0"/>
    <w:link w:val="RepertoireFootnoteText"/>
    <w:rsid w:val="002676CA"/>
    <w:rPr>
      <w:rFonts w:ascii="Times New Roman" w:eastAsiaTheme="minorHAnsi" w:hAnsi="Times New Roman" w:cs="Times New Roman"/>
      <w:spacing w:val="2"/>
      <w:w w:val="103"/>
      <w:kern w:val="14"/>
      <w:sz w:val="17"/>
      <w:szCs w:val="17"/>
      <w:lang w:val="en-GB" w:eastAsia="en-US"/>
    </w:rPr>
  </w:style>
  <w:style w:type="table" w:styleId="af8">
    <w:name w:val="Table Grid"/>
    <w:basedOn w:val="a1"/>
    <w:rsid w:val="00195578"/>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
    <w:semiHidden/>
    <w:rsid w:val="005C6E48"/>
    <w:rPr>
      <w:rFonts w:cstheme="majorBidi"/>
      <w:color w:val="2F5496" w:themeColor="accent1" w:themeShade="BF"/>
      <w:kern w:val="14"/>
      <w:sz w:val="28"/>
      <w:szCs w:val="28"/>
    </w:rPr>
  </w:style>
  <w:style w:type="character" w:customStyle="1" w:styleId="50">
    <w:name w:val="标题 5 字符"/>
    <w:basedOn w:val="a0"/>
    <w:link w:val="5"/>
    <w:uiPriority w:val="9"/>
    <w:semiHidden/>
    <w:rsid w:val="005C6E48"/>
    <w:rPr>
      <w:rFonts w:cstheme="majorBidi"/>
      <w:color w:val="2F5496" w:themeColor="accent1" w:themeShade="BF"/>
      <w:kern w:val="14"/>
      <w:sz w:val="24"/>
      <w:szCs w:val="24"/>
    </w:rPr>
  </w:style>
  <w:style w:type="character" w:customStyle="1" w:styleId="60">
    <w:name w:val="标题 6 字符"/>
    <w:basedOn w:val="a0"/>
    <w:link w:val="6"/>
    <w:uiPriority w:val="9"/>
    <w:semiHidden/>
    <w:rsid w:val="005C6E48"/>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5C6E48"/>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5C6E48"/>
    <w:rPr>
      <w:rFonts w:cstheme="majorBidi"/>
      <w:color w:val="595959" w:themeColor="text1" w:themeTint="A6"/>
      <w:kern w:val="14"/>
      <w:sz w:val="21"/>
      <w:szCs w:val="20"/>
    </w:rPr>
  </w:style>
  <w:style w:type="character" w:customStyle="1" w:styleId="90">
    <w:name w:val="标题 9 字符"/>
    <w:basedOn w:val="a0"/>
    <w:link w:val="9"/>
    <w:uiPriority w:val="9"/>
    <w:semiHidden/>
    <w:rsid w:val="005C6E48"/>
    <w:rPr>
      <w:rFonts w:eastAsiaTheme="majorEastAsia" w:cstheme="majorBidi"/>
      <w:color w:val="595959" w:themeColor="text1" w:themeTint="A6"/>
      <w:kern w:val="14"/>
      <w:sz w:val="21"/>
      <w:szCs w:val="20"/>
    </w:rPr>
  </w:style>
  <w:style w:type="paragraph" w:styleId="af9">
    <w:name w:val="Title"/>
    <w:basedOn w:val="a"/>
    <w:next w:val="a"/>
    <w:link w:val="afa"/>
    <w:uiPriority w:val="10"/>
    <w:qFormat/>
    <w:rsid w:val="005C6E4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a">
    <w:name w:val="标题 字符"/>
    <w:basedOn w:val="a0"/>
    <w:link w:val="af9"/>
    <w:uiPriority w:val="10"/>
    <w:rsid w:val="005C6E48"/>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qFormat/>
    <w:rsid w:val="005C6E4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c">
    <w:name w:val="副标题 字符"/>
    <w:basedOn w:val="a0"/>
    <w:link w:val="afb"/>
    <w:uiPriority w:val="11"/>
    <w:rsid w:val="005C6E48"/>
    <w:rPr>
      <w:rFonts w:asciiTheme="majorHAnsi" w:eastAsiaTheme="majorEastAsia" w:hAnsiTheme="majorHAnsi" w:cstheme="majorBidi"/>
      <w:color w:val="595959" w:themeColor="text1" w:themeTint="A6"/>
      <w:spacing w:val="15"/>
      <w:kern w:val="14"/>
      <w:sz w:val="28"/>
      <w:szCs w:val="28"/>
    </w:rPr>
  </w:style>
  <w:style w:type="paragraph" w:styleId="afd">
    <w:name w:val="Quote"/>
    <w:basedOn w:val="a"/>
    <w:next w:val="a"/>
    <w:link w:val="afe"/>
    <w:uiPriority w:val="29"/>
    <w:qFormat/>
    <w:rsid w:val="005C6E48"/>
    <w:pPr>
      <w:spacing w:before="160" w:after="160"/>
      <w:jc w:val="center"/>
    </w:pPr>
    <w:rPr>
      <w:i/>
      <w:iCs/>
      <w:color w:val="404040" w:themeColor="text1" w:themeTint="BF"/>
    </w:rPr>
  </w:style>
  <w:style w:type="character" w:customStyle="1" w:styleId="afe">
    <w:name w:val="引用 字符"/>
    <w:basedOn w:val="a0"/>
    <w:link w:val="afd"/>
    <w:uiPriority w:val="29"/>
    <w:rsid w:val="005C6E48"/>
    <w:rPr>
      <w:rFonts w:ascii="Times New Roman" w:hAnsi="Times New Roman" w:cs="Times New Roman"/>
      <w:i/>
      <w:iCs/>
      <w:color w:val="404040" w:themeColor="text1" w:themeTint="BF"/>
      <w:kern w:val="14"/>
      <w:sz w:val="21"/>
      <w:szCs w:val="20"/>
    </w:rPr>
  </w:style>
  <w:style w:type="paragraph" w:styleId="aff">
    <w:name w:val="List Paragraph"/>
    <w:basedOn w:val="a"/>
    <w:uiPriority w:val="34"/>
    <w:qFormat/>
    <w:rsid w:val="005C6E48"/>
    <w:pPr>
      <w:ind w:left="720"/>
      <w:contextualSpacing/>
    </w:pPr>
  </w:style>
  <w:style w:type="character" w:styleId="aff0">
    <w:name w:val="Intense Emphasis"/>
    <w:basedOn w:val="a0"/>
    <w:uiPriority w:val="21"/>
    <w:qFormat/>
    <w:rsid w:val="005C6E48"/>
    <w:rPr>
      <w:i/>
      <w:iCs/>
      <w:color w:val="2F5496" w:themeColor="accent1" w:themeShade="BF"/>
    </w:rPr>
  </w:style>
  <w:style w:type="paragraph" w:styleId="aff1">
    <w:name w:val="Intense Quote"/>
    <w:basedOn w:val="a"/>
    <w:next w:val="a"/>
    <w:link w:val="aff2"/>
    <w:uiPriority w:val="30"/>
    <w:qFormat/>
    <w:rsid w:val="005C6E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0"/>
    <w:link w:val="aff1"/>
    <w:uiPriority w:val="30"/>
    <w:rsid w:val="005C6E48"/>
    <w:rPr>
      <w:rFonts w:ascii="Times New Roman" w:hAnsi="Times New Roman" w:cs="Times New Roman"/>
      <w:i/>
      <w:iCs/>
      <w:color w:val="2F5496" w:themeColor="accent1" w:themeShade="BF"/>
      <w:kern w:val="14"/>
      <w:sz w:val="21"/>
      <w:szCs w:val="20"/>
    </w:rPr>
  </w:style>
  <w:style w:type="character" w:styleId="aff3">
    <w:name w:val="Intense Reference"/>
    <w:basedOn w:val="a0"/>
    <w:uiPriority w:val="32"/>
    <w:qFormat/>
    <w:rsid w:val="005C6E48"/>
    <w:rPr>
      <w:b/>
      <w:bCs/>
      <w:smallCaps/>
      <w:color w:val="2F5496" w:themeColor="accent1" w:themeShade="BF"/>
      <w:spacing w:val="5"/>
    </w:rPr>
  </w:style>
  <w:style w:type="paragraph" w:styleId="aff4">
    <w:name w:val="Revision"/>
    <w:hidden/>
    <w:uiPriority w:val="99"/>
    <w:semiHidden/>
    <w:rsid w:val="00C12B76"/>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S/RES/1325(2000)" TargetMode="External"/><Relationship Id="rId39" Type="http://schemas.microsoft.com/office/2011/relationships/people" Target="people.xml"/><Relationship Id="rId21" Type="http://schemas.openxmlformats.org/officeDocument/2006/relationships/hyperlink" Target="https://docs.un.org/zh/CEDAW/C/SR.2127" TargetMode="External"/><Relationship Id="rId34" Type="http://schemas.openxmlformats.org/officeDocument/2006/relationships/hyperlink" Target="https://docs.un.org/zh/CEDAW/C/LUX/CO/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LUX/CO/6-7" TargetMode="External"/><Relationship Id="rId33" Type="http://schemas.openxmlformats.org/officeDocument/2006/relationships/hyperlink" Target="https://docs.un.org/zh/CEDAW/C/LUX/CO/6-7"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26" TargetMode="External"/><Relationship Id="rId29" Type="http://schemas.openxmlformats.org/officeDocument/2006/relationships/hyperlink" Target="https://docs.un.org/zh/CEDAW/C/LUX/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LUX/FCO/6-7" TargetMode="External"/><Relationship Id="rId32" Type="http://schemas.openxmlformats.org/officeDocument/2006/relationships/hyperlink" Target="https://docs.un.org/zh/CEDAW/C/LUX/CO/6-7" TargetMode="External"/><Relationship Id="rId37" Type="http://schemas.openxmlformats.org/officeDocument/2006/relationships/hyperlink" Target="https://docs.un.org/zh/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LUX/QPR/8" TargetMode="External"/><Relationship Id="rId28" Type="http://schemas.openxmlformats.org/officeDocument/2006/relationships/hyperlink" Target="https://docs.un.org/zh/CEDAW/C/LUX/CO/6-7" TargetMode="External"/><Relationship Id="rId36" Type="http://schemas.openxmlformats.org/officeDocument/2006/relationships/hyperlink" Target="https://docs.un.org/zh/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CEDAW/C/LUX/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LUX/8" TargetMode="External"/><Relationship Id="rId27" Type="http://schemas.openxmlformats.org/officeDocument/2006/relationships/hyperlink" Target="https://docs.un.org/zh/A/65/38" TargetMode="External"/><Relationship Id="rId30" Type="http://schemas.openxmlformats.org/officeDocument/2006/relationships/hyperlink" Target="https://docs.un.org/zh/CEDAW/C/LUX/CO/6-7" TargetMode="External"/><Relationship Id="rId35" Type="http://schemas.openxmlformats.org/officeDocument/2006/relationships/hyperlink" Target="https://docs.un.org/zh/CEDAW/C/LUX/CO/6-7"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http://purl.org/dc/elements/1.1/"/>
    <ds:schemaRef ds:uri="http://www.w3.org/XML/1998/namespace"/>
    <ds:schemaRef ds:uri="41c8501f-7554-4cfe-b76f-88ff51cf7baf"/>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http://purl.org/dc/terms/"/>
    <ds:schemaRef ds:uri="985ec44e-1bab-4c0b-9df0-6ba128686fc9"/>
    <ds:schemaRef ds:uri="32aca14f-6975-493a-b86a-2ec1bd8de72a"/>
    <ds:schemaRef ds:uri="http://purl.org/dc/dcmitype/"/>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3A832E45-6E01-422B-86CC-D5355937D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7074</Words>
  <Characters>7640</Characters>
  <Application>Microsoft Office Word</Application>
  <DocSecurity>0</DocSecurity>
  <Lines>293</Lines>
  <Paragraphs>245</Paragraphs>
  <ScaleCrop>false</ScaleCrop>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Heng Tan</cp:lastModifiedBy>
  <cp:revision>3</cp:revision>
  <cp:lastPrinted>2025-03-26T18:43:00Z</cp:lastPrinted>
  <dcterms:created xsi:type="dcterms:W3CDTF">2025-03-26T18:43:00Z</dcterms:created>
  <dcterms:modified xsi:type="dcterms:W3CDTF">2025-03-26T18:43:00Z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2503386</vt:lpwstr>
  </property>
  <property fmtid="{D5CDD505-2E9C-101B-9397-08002B2CF9AE}" pid="3" name="ODSRefJobNo">
    <vt:lpwstr>2505492C</vt:lpwstr>
  </property>
  <property fmtid="{D5CDD505-2E9C-101B-9397-08002B2CF9AE}" pid="4" name="Symbol1">
    <vt:lpwstr>CEDAW/C/LUX/CO/8</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28 February 2025</vt:lpwstr>
  </property>
  <property fmtid="{D5CDD505-2E9C-101B-9397-08002B2CF9AE}" pid="14" name="Original">
    <vt:lpwstr>English</vt:lpwstr>
  </property>
  <property fmtid="{D5CDD505-2E9C-101B-9397-08002B2CF9AE}" pid="15" name="Release Date">
    <vt:lpwstr>180325</vt:lpwstr>
  </property>
  <property fmtid="{D5CDD505-2E9C-101B-9397-08002B2CF9AE}" pid="16" name="Title1">
    <vt:lpwstr>		关于卢森堡第八次定期报告的结论性意见*_x000d_</vt:lpwstr>
  </property>
</Properties>
</file>