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434DF37D" w14:textId="77777777" w:rsidTr="00C01462">
        <w:trPr>
          <w:cantSplit/>
          <w:trHeight w:hRule="exact" w:val="851"/>
        </w:trPr>
        <w:tc>
          <w:tcPr>
            <w:tcW w:w="1276" w:type="dxa"/>
            <w:tcBorders>
              <w:bottom w:val="single" w:sz="4" w:space="0" w:color="auto"/>
            </w:tcBorders>
            <w:vAlign w:val="bottom"/>
          </w:tcPr>
          <w:p w14:paraId="6E406AD8" w14:textId="77777777" w:rsidR="00307688" w:rsidRPr="007233F9" w:rsidRDefault="00307688" w:rsidP="007233F9">
            <w:pPr>
              <w:pStyle w:val="SingleTxtG"/>
            </w:pPr>
          </w:p>
        </w:tc>
        <w:tc>
          <w:tcPr>
            <w:tcW w:w="2268" w:type="dxa"/>
            <w:tcBorders>
              <w:bottom w:val="single" w:sz="4" w:space="0" w:color="auto"/>
            </w:tcBorders>
            <w:vAlign w:val="bottom"/>
          </w:tcPr>
          <w:p w14:paraId="384FC9AB"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7F87FDB" w14:textId="1010498A" w:rsidR="00307688" w:rsidRPr="002E51B7" w:rsidRDefault="00607541" w:rsidP="00607541">
            <w:pPr>
              <w:suppressAutoHyphens w:val="0"/>
              <w:spacing w:after="20"/>
              <w:jc w:val="right"/>
            </w:pPr>
            <w:r w:rsidRPr="00607541">
              <w:rPr>
                <w:sz w:val="40"/>
              </w:rPr>
              <w:t>CERD</w:t>
            </w:r>
            <w:r>
              <w:t>/C/SRB/Q/6-9</w:t>
            </w:r>
          </w:p>
        </w:tc>
      </w:tr>
      <w:tr w:rsidR="0064263C" w14:paraId="7D06501E" w14:textId="77777777" w:rsidTr="00C01462">
        <w:trPr>
          <w:cantSplit/>
          <w:trHeight w:hRule="exact" w:val="2835"/>
        </w:trPr>
        <w:tc>
          <w:tcPr>
            <w:tcW w:w="1276" w:type="dxa"/>
            <w:tcBorders>
              <w:top w:val="single" w:sz="4" w:space="0" w:color="auto"/>
              <w:bottom w:val="single" w:sz="12" w:space="0" w:color="auto"/>
            </w:tcBorders>
          </w:tcPr>
          <w:p w14:paraId="2082D0B6" w14:textId="77777777" w:rsidR="0064263C" w:rsidRDefault="0064263C" w:rsidP="0064263C">
            <w:pPr>
              <w:spacing w:before="120"/>
              <w:jc w:val="center"/>
            </w:pPr>
            <w:r>
              <w:rPr>
                <w:noProof/>
                <w:lang w:val="fr-CH" w:eastAsia="fr-CH"/>
              </w:rPr>
              <w:drawing>
                <wp:inline distT="0" distB="0" distL="0" distR="0" wp14:anchorId="0E52F2B6" wp14:editId="1F35F893">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8DA8D6" w14:textId="77777777" w:rsidR="0064263C" w:rsidRPr="000B4EF7" w:rsidRDefault="0064263C" w:rsidP="0064263C">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369307F6" w14:textId="77777777" w:rsidR="0064263C" w:rsidRDefault="0064263C" w:rsidP="0064263C">
            <w:pPr>
              <w:spacing w:before="120" w:line="420" w:lineRule="exact"/>
            </w:pPr>
          </w:p>
        </w:tc>
        <w:tc>
          <w:tcPr>
            <w:tcW w:w="2835" w:type="dxa"/>
            <w:tcBorders>
              <w:top w:val="single" w:sz="4" w:space="0" w:color="auto"/>
              <w:bottom w:val="single" w:sz="12" w:space="0" w:color="auto"/>
            </w:tcBorders>
          </w:tcPr>
          <w:p w14:paraId="13174640" w14:textId="77777777" w:rsidR="0064263C" w:rsidRPr="00B43B1D" w:rsidRDefault="0064263C" w:rsidP="0064263C">
            <w:pPr>
              <w:suppressAutoHyphens w:val="0"/>
              <w:spacing w:before="240" w:line="240" w:lineRule="exact"/>
            </w:pPr>
            <w:r w:rsidRPr="00B43B1D">
              <w:t>Distr.: General</w:t>
            </w:r>
          </w:p>
          <w:p w14:paraId="7EEECEFA" w14:textId="5CB5C8F5" w:rsidR="0064263C" w:rsidRPr="00B43B1D" w:rsidRDefault="0064263C" w:rsidP="0064263C">
            <w:pPr>
              <w:suppressAutoHyphens w:val="0"/>
            </w:pPr>
            <w:r>
              <w:t>2</w:t>
            </w:r>
            <w:r w:rsidR="001311B5">
              <w:t>6</w:t>
            </w:r>
            <w:r w:rsidRPr="00B43B1D">
              <w:t xml:space="preserve"> February 2026</w:t>
            </w:r>
          </w:p>
          <w:p w14:paraId="2A8742D6" w14:textId="77777777" w:rsidR="0064263C" w:rsidRPr="00B43B1D" w:rsidRDefault="0064263C" w:rsidP="0064263C">
            <w:pPr>
              <w:suppressAutoHyphens w:val="0"/>
            </w:pPr>
          </w:p>
          <w:p w14:paraId="221BC284" w14:textId="77777777" w:rsidR="0064263C" w:rsidRPr="00B43B1D" w:rsidRDefault="0064263C" w:rsidP="0064263C">
            <w:pPr>
              <w:suppressAutoHyphens w:val="0"/>
            </w:pPr>
            <w:r w:rsidRPr="00B43B1D">
              <w:t>Original: English</w:t>
            </w:r>
          </w:p>
          <w:p w14:paraId="41A549A0" w14:textId="1E021354" w:rsidR="0064263C" w:rsidRDefault="0064263C" w:rsidP="0064263C">
            <w:pPr>
              <w:suppressAutoHyphens w:val="0"/>
            </w:pPr>
            <w:r w:rsidRPr="00B43B1D">
              <w:t>English, French and Spanish only</w:t>
            </w:r>
          </w:p>
        </w:tc>
      </w:tr>
    </w:tbl>
    <w:p w14:paraId="5010C500" w14:textId="77777777" w:rsidR="001311B5" w:rsidRPr="001D74E3" w:rsidRDefault="001311B5" w:rsidP="001311B5">
      <w:pPr>
        <w:spacing w:before="120"/>
        <w:rPr>
          <w:b/>
          <w:sz w:val="24"/>
          <w:szCs w:val="24"/>
        </w:rPr>
      </w:pPr>
      <w:r w:rsidRPr="001D74E3">
        <w:rPr>
          <w:b/>
          <w:sz w:val="24"/>
          <w:szCs w:val="24"/>
        </w:rPr>
        <w:t>Committee on the Elimination of Racial Discrimination</w:t>
      </w:r>
    </w:p>
    <w:p w14:paraId="2E626A8A" w14:textId="77777777" w:rsidR="001311B5" w:rsidRPr="001D74E3" w:rsidRDefault="001311B5" w:rsidP="001311B5">
      <w:r>
        <w:rPr>
          <w:b/>
          <w:bCs/>
        </w:rPr>
        <w:t>117</w:t>
      </w:r>
      <w:r w:rsidRPr="00B43B1D">
        <w:rPr>
          <w:b/>
          <w:bCs/>
        </w:rPr>
        <w:t xml:space="preserve">th </w:t>
      </w:r>
      <w:r w:rsidRPr="001D74E3">
        <w:rPr>
          <w:b/>
          <w:bCs/>
        </w:rPr>
        <w:t>session</w:t>
      </w:r>
      <w:r w:rsidRPr="001D74E3">
        <w:tab/>
      </w:r>
    </w:p>
    <w:p w14:paraId="109E0C4C" w14:textId="77777777" w:rsidR="001311B5" w:rsidRPr="001D74E3" w:rsidRDefault="001311B5" w:rsidP="001311B5">
      <w:r>
        <w:t>Geneva, 13 April–1 May 2026</w:t>
      </w:r>
    </w:p>
    <w:p w14:paraId="1A4A831F" w14:textId="77777777" w:rsidR="001311B5" w:rsidRPr="00B43B1D" w:rsidRDefault="001311B5" w:rsidP="001311B5">
      <w:pPr>
        <w:rPr>
          <w:b/>
          <w:bCs/>
        </w:rPr>
      </w:pPr>
      <w:r w:rsidRPr="00B43B1D">
        <w:t>Item 6 of the provisional agenda</w:t>
      </w:r>
    </w:p>
    <w:p w14:paraId="379508FD" w14:textId="77777777" w:rsidR="001311B5" w:rsidRPr="00B43B1D" w:rsidRDefault="001311B5" w:rsidP="001311B5">
      <w:pPr>
        <w:rPr>
          <w:b/>
          <w:bCs/>
        </w:rPr>
      </w:pPr>
      <w:r w:rsidRPr="00B43B1D">
        <w:rPr>
          <w:b/>
          <w:bCs/>
        </w:rPr>
        <w:t>Consideration of reports, comments and information submitted</w:t>
      </w:r>
    </w:p>
    <w:p w14:paraId="6B86ABBF" w14:textId="77777777" w:rsidR="001311B5" w:rsidRPr="001D74E3" w:rsidRDefault="001311B5" w:rsidP="001311B5">
      <w:pPr>
        <w:rPr>
          <w:b/>
          <w:bCs/>
        </w:rPr>
      </w:pPr>
      <w:r w:rsidRPr="00B43B1D">
        <w:rPr>
          <w:b/>
          <w:bCs/>
        </w:rPr>
        <w:t xml:space="preserve">by States </w:t>
      </w:r>
      <w:r>
        <w:rPr>
          <w:b/>
          <w:bCs/>
        </w:rPr>
        <w:t>P</w:t>
      </w:r>
      <w:r w:rsidRPr="00B43B1D">
        <w:rPr>
          <w:b/>
          <w:bCs/>
        </w:rPr>
        <w:t>arties under article 9 of the Convention</w:t>
      </w:r>
    </w:p>
    <w:p w14:paraId="2877B66C" w14:textId="2F8B286B" w:rsidR="001311B5" w:rsidRPr="001D74E3" w:rsidRDefault="001311B5" w:rsidP="001311B5">
      <w:pPr>
        <w:pStyle w:val="HChG"/>
      </w:pPr>
      <w:r w:rsidRPr="001D74E3">
        <w:tab/>
      </w:r>
      <w:r w:rsidRPr="001D74E3">
        <w:tab/>
        <w:t>List of themes in relation to the</w:t>
      </w:r>
      <w:r>
        <w:t xml:space="preserve"> combined sixth to ninth</w:t>
      </w:r>
      <w:r w:rsidR="00B82518">
        <w:t> </w:t>
      </w:r>
      <w:r w:rsidRPr="001D74E3">
        <w:t>periodic report</w:t>
      </w:r>
      <w:r>
        <w:t>s</w:t>
      </w:r>
      <w:r w:rsidRPr="001D74E3">
        <w:t xml:space="preserve"> of </w:t>
      </w:r>
      <w:r>
        <w:t>Serbia</w:t>
      </w:r>
    </w:p>
    <w:p w14:paraId="139E26C7" w14:textId="77777777" w:rsidR="001311B5" w:rsidRDefault="001311B5" w:rsidP="001311B5">
      <w:pPr>
        <w:pStyle w:val="H1G"/>
      </w:pPr>
      <w:r>
        <w:tab/>
      </w:r>
      <w:r>
        <w:tab/>
        <w:t>Note by the Country Rapporteur</w:t>
      </w:r>
    </w:p>
    <w:p w14:paraId="35425618" w14:textId="263B0A67" w:rsidR="001311B5" w:rsidRDefault="001311B5" w:rsidP="001311B5">
      <w:pPr>
        <w:pStyle w:val="SingleTxtG"/>
      </w:pPr>
      <w:r>
        <w:t>1.</w:t>
      </w:r>
      <w:r>
        <w:tab/>
        <w:t>The Committee on the Elimination of Racial Discrimination decided at its seventy</w:t>
      </w:r>
      <w:r w:rsidR="00696409">
        <w:noBreakHyphen/>
      </w:r>
      <w:r>
        <w:t>sixth session</w:t>
      </w:r>
      <w:r>
        <w:rPr>
          <w:rStyle w:val="FootnoteReference"/>
        </w:rPr>
        <w:footnoteReference w:id="1"/>
      </w:r>
      <w:r>
        <w:t xml:space="preserve"> that the Country Rapporteur would send to the State Party concerned a short list of themes with a view to guiding and focusing the dialogue between the State Party’s delegation and the Committee during the consideration of the State Party’s report. The present document contains a list of such themes. It is not an exhaustive list; other issues may also be raised in the course of the dialogue. No written replies are required.</w:t>
      </w:r>
    </w:p>
    <w:p w14:paraId="4CED9A3B" w14:textId="77777777" w:rsidR="001311B5" w:rsidRDefault="001311B5" w:rsidP="001311B5">
      <w:pPr>
        <w:pStyle w:val="H23G"/>
      </w:pPr>
      <w:r>
        <w:tab/>
      </w:r>
      <w:r>
        <w:tab/>
      </w:r>
      <w:r w:rsidRPr="00B34533">
        <w:t>Statistics</w:t>
      </w:r>
    </w:p>
    <w:p w14:paraId="52429629" w14:textId="35543C83" w:rsidR="001311B5" w:rsidRDefault="001311B5" w:rsidP="001311B5">
      <w:pPr>
        <w:pStyle w:val="SingleTxtG"/>
      </w:pPr>
      <w:r>
        <w:t>2.</w:t>
      </w:r>
      <w:r>
        <w:tab/>
        <w:t>Updated s</w:t>
      </w:r>
      <w:r w:rsidRPr="000A54A0">
        <w:t>tatistics on the demographic composition of the population based on self</w:t>
      </w:r>
      <w:r w:rsidR="009C547B">
        <w:noBreakHyphen/>
      </w:r>
      <w:r w:rsidRPr="000A54A0">
        <w:t>identification, disaggregated by ethnic origin, and on migrants, refugees, asylum</w:t>
      </w:r>
      <w:r>
        <w:t>-</w:t>
      </w:r>
      <w:r w:rsidRPr="000A54A0">
        <w:t xml:space="preserve">seekers, internally displaced persons and stateless persons. Economic and social indicators on various groups living in the State </w:t>
      </w:r>
      <w:r>
        <w:t>P</w:t>
      </w:r>
      <w:r w:rsidRPr="000A54A0">
        <w:t xml:space="preserve">arty’s territory, disaggregated by national or ethnic origin, gender and age, </w:t>
      </w:r>
      <w:r>
        <w:t>including</w:t>
      </w:r>
      <w:r w:rsidRPr="000A54A0">
        <w:t xml:space="preserve"> in respect of </w:t>
      </w:r>
      <w:r>
        <w:t xml:space="preserve">national </w:t>
      </w:r>
      <w:r w:rsidRPr="000A54A0">
        <w:t>minority groups</w:t>
      </w:r>
      <w:r>
        <w:t>.</w:t>
      </w:r>
      <w:r>
        <w:rPr>
          <w:rStyle w:val="FootnoteReference"/>
        </w:rPr>
        <w:footnoteReference w:id="2"/>
      </w:r>
      <w:r>
        <w:t xml:space="preserve"> </w:t>
      </w:r>
    </w:p>
    <w:p w14:paraId="5F877CBB" w14:textId="77777777" w:rsidR="001311B5" w:rsidRDefault="001311B5" w:rsidP="001311B5">
      <w:pPr>
        <w:pStyle w:val="H23G"/>
      </w:pPr>
      <w:r>
        <w:tab/>
      </w:r>
      <w:r>
        <w:tab/>
      </w:r>
      <w:r w:rsidRPr="00EF5A62">
        <w:t>The Convention in domestic law and the institutional and policy framework for its implementation (arts. 1, 2, 4 and 6)</w:t>
      </w:r>
    </w:p>
    <w:p w14:paraId="6BC909F7" w14:textId="77777777" w:rsidR="001311B5" w:rsidRDefault="001311B5" w:rsidP="001311B5">
      <w:pPr>
        <w:pStyle w:val="SingleTxtG"/>
      </w:pPr>
      <w:r>
        <w:t>3.</w:t>
      </w:r>
      <w:r>
        <w:tab/>
        <w:t xml:space="preserve">Information on the legislative framework to combat racial discrimination and its implementation, particularly considering the amendments made to the </w:t>
      </w:r>
      <w:r w:rsidRPr="00FF583A">
        <w:t>Law on the Prohibition of Discrimination</w:t>
      </w:r>
      <w:r>
        <w:t xml:space="preserve"> in May 2021 and to the Criminal Code in May 2019. Information on measures taken to align </w:t>
      </w:r>
      <w:r w:rsidRPr="0085281B">
        <w:t>the domestic legal framework on the prohibition of racial discrimination</w:t>
      </w:r>
      <w:r>
        <w:t xml:space="preserve"> with </w:t>
      </w:r>
      <w:r w:rsidRPr="00BA070E">
        <w:t>articles 1, 2 and 4 of the Convention</w:t>
      </w:r>
      <w:r>
        <w:t>.</w:t>
      </w:r>
      <w:r>
        <w:rPr>
          <w:rStyle w:val="FootnoteReference"/>
        </w:rPr>
        <w:footnoteReference w:id="3"/>
      </w:r>
      <w:r>
        <w:t xml:space="preserve"> </w:t>
      </w:r>
    </w:p>
    <w:p w14:paraId="1A90487C" w14:textId="77777777" w:rsidR="001311B5" w:rsidRDefault="001311B5" w:rsidP="001311B5">
      <w:pPr>
        <w:pStyle w:val="SingleTxtG"/>
      </w:pPr>
      <w:r>
        <w:t>4.</w:t>
      </w:r>
      <w:r>
        <w:tab/>
        <w:t xml:space="preserve">Information on the policy framework </w:t>
      </w:r>
      <w:r w:rsidRPr="006542F3">
        <w:t>to combat racism, racial discrimination and intolerance</w:t>
      </w:r>
      <w:r>
        <w:t>, including the scope and implementation of the national Strategy for Prevention and Protection against Discrimination for the period 2022–2030.</w:t>
      </w:r>
      <w:r>
        <w:rPr>
          <w:rStyle w:val="FootnoteReference"/>
        </w:rPr>
        <w:footnoteReference w:id="4"/>
      </w:r>
    </w:p>
    <w:p w14:paraId="2C398B59" w14:textId="77777777" w:rsidR="001311B5" w:rsidRDefault="001311B5" w:rsidP="001311B5">
      <w:pPr>
        <w:pStyle w:val="SingleTxtG"/>
      </w:pPr>
      <w:r>
        <w:t>5.</w:t>
      </w:r>
      <w:r>
        <w:tab/>
        <w:t>Updated i</w:t>
      </w:r>
      <w:r w:rsidRPr="00D9024A">
        <w:t>nformation on</w:t>
      </w:r>
      <w:r>
        <w:t xml:space="preserve"> other</w:t>
      </w:r>
      <w:r w:rsidRPr="00D9024A">
        <w:t xml:space="preserve"> measures taken to combat racist hate speech, including in political discourse, in the media and on the Internet</w:t>
      </w:r>
      <w:r>
        <w:t>.</w:t>
      </w:r>
      <w:r>
        <w:rPr>
          <w:rStyle w:val="FootnoteReference"/>
        </w:rPr>
        <w:footnoteReference w:id="5"/>
      </w:r>
    </w:p>
    <w:p w14:paraId="36A3A80E" w14:textId="77777777" w:rsidR="001311B5" w:rsidRDefault="001311B5" w:rsidP="001311B5">
      <w:pPr>
        <w:pStyle w:val="SingleTxtG"/>
      </w:pPr>
      <w:r>
        <w:lastRenderedPageBreak/>
        <w:t>6.</w:t>
      </w:r>
      <w:r>
        <w:tab/>
        <w:t>M</w:t>
      </w:r>
      <w:r w:rsidRPr="004F516F">
        <w:t>easures taken or envisaged to ensure that police and other law enforcement officers do not engage in racial discrimination, including racially motivated violence and practices that amount to racial profiling</w:t>
      </w:r>
      <w:r>
        <w:t>.</w:t>
      </w:r>
      <w:r>
        <w:rPr>
          <w:rStyle w:val="FootnoteReference"/>
        </w:rPr>
        <w:footnoteReference w:id="6"/>
      </w:r>
    </w:p>
    <w:p w14:paraId="3F72E8F1" w14:textId="77777777" w:rsidR="001311B5" w:rsidRDefault="001311B5" w:rsidP="001311B5">
      <w:pPr>
        <w:pStyle w:val="SingleTxtG"/>
      </w:pPr>
      <w:r>
        <w:t>7.</w:t>
      </w:r>
      <w:r>
        <w:tab/>
      </w:r>
      <w:r w:rsidRPr="00A34844">
        <w:t xml:space="preserve">Updated and detailed information on complaints registered with the courts or any other national institution, including the </w:t>
      </w:r>
      <w:r>
        <w:t xml:space="preserve">Commissioner for the Protection of Equality and the </w:t>
      </w:r>
      <w:r w:rsidRPr="00CD43D3">
        <w:t>Protector of Citizens</w:t>
      </w:r>
      <w:r>
        <w:t xml:space="preserve"> (Ombudsperson)</w:t>
      </w:r>
      <w:r w:rsidRPr="00A34844">
        <w:t>, concerning acts of racial discrimination, racist hate speech and racist hate crimes, including on the Internet and in the media, and information on the outcomes of those complaints and on investigations, prosecutions, convictions and disciplinary measures for perpetrators, and on reparations for victims</w:t>
      </w:r>
      <w:r>
        <w:t>.</w:t>
      </w:r>
      <w:r>
        <w:rPr>
          <w:rStyle w:val="FootnoteReference"/>
        </w:rPr>
        <w:footnoteReference w:id="7"/>
      </w:r>
    </w:p>
    <w:p w14:paraId="365F46CF" w14:textId="77777777" w:rsidR="001311B5" w:rsidRDefault="001311B5" w:rsidP="001311B5">
      <w:pPr>
        <w:pStyle w:val="SingleTxtG"/>
      </w:pPr>
      <w:r>
        <w:t>8.</w:t>
      </w:r>
      <w:r>
        <w:tab/>
        <w:t>Updated and detailed information on measures taken to guarantee and strengthen the independence of the judiciary, particularly the 2022 constitutional reform.</w:t>
      </w:r>
      <w:r>
        <w:rPr>
          <w:rStyle w:val="FootnoteReference"/>
        </w:rPr>
        <w:footnoteReference w:id="8"/>
      </w:r>
      <w:r>
        <w:t xml:space="preserve"> </w:t>
      </w:r>
    </w:p>
    <w:p w14:paraId="002C4433" w14:textId="77777777" w:rsidR="001311B5" w:rsidRDefault="001311B5" w:rsidP="001311B5">
      <w:pPr>
        <w:pStyle w:val="SingleTxtG"/>
      </w:pPr>
      <w:r>
        <w:t>9.</w:t>
      </w:r>
      <w:r>
        <w:tab/>
        <w:t>Updated information on m</w:t>
      </w:r>
      <w:r w:rsidRPr="00417E39">
        <w:t>easures taken to strengthen legal aid services and ensure their availability, and to provide legal assistance to facilitate litigation in racial discrimination cases,</w:t>
      </w:r>
      <w:r>
        <w:t xml:space="preserve"> including information on the implementation of the </w:t>
      </w:r>
      <w:r w:rsidRPr="00F17191">
        <w:t>Law on Free Legal Aid</w:t>
      </w:r>
      <w:r>
        <w:t>.</w:t>
      </w:r>
      <w:r>
        <w:rPr>
          <w:rStyle w:val="FootnoteReference"/>
        </w:rPr>
        <w:footnoteReference w:id="9"/>
      </w:r>
      <w:r>
        <w:t xml:space="preserve"> </w:t>
      </w:r>
    </w:p>
    <w:p w14:paraId="3D411991" w14:textId="77777777" w:rsidR="001311B5" w:rsidRDefault="001311B5" w:rsidP="001311B5">
      <w:pPr>
        <w:pStyle w:val="H23G"/>
      </w:pPr>
      <w:r>
        <w:tab/>
      </w:r>
      <w:r>
        <w:tab/>
      </w:r>
      <w:r w:rsidRPr="003D75B4">
        <w:t>Situation of ethnic minority groups (arts. 2, 5 and 6)</w:t>
      </w:r>
    </w:p>
    <w:p w14:paraId="057E9CA2" w14:textId="77777777" w:rsidR="001311B5" w:rsidRDefault="001311B5" w:rsidP="001311B5">
      <w:pPr>
        <w:pStyle w:val="SingleTxtG"/>
      </w:pPr>
      <w:r>
        <w:t>10.</w:t>
      </w:r>
      <w:r>
        <w:tab/>
        <w:t>Updated information on m</w:t>
      </w:r>
      <w:r w:rsidRPr="00DB18B5">
        <w:t>easures to ensure</w:t>
      </w:r>
      <w:r w:rsidRPr="008C49E3">
        <w:t xml:space="preserve"> </w:t>
      </w:r>
      <w:r w:rsidRPr="000146D2">
        <w:t>the enjoyment by members of ethnic minority groups of all the rights covered by the Convention without discrimination</w:t>
      </w:r>
      <w:r>
        <w:t xml:space="preserve">, particularly </w:t>
      </w:r>
      <w:r w:rsidRPr="00DB18B5">
        <w:t>economic, social and cultural rights,</w:t>
      </w:r>
      <w:r>
        <w:t xml:space="preserve"> and the </w:t>
      </w:r>
      <w:r w:rsidRPr="00DB18B5">
        <w:t>effective participation and representation</w:t>
      </w:r>
      <w:r w:rsidRPr="00EB6FBA">
        <w:t xml:space="preserve"> </w:t>
      </w:r>
      <w:r>
        <w:t xml:space="preserve">of </w:t>
      </w:r>
      <w:r w:rsidRPr="00EB6FBA">
        <w:t>members of ethnic minority groups</w:t>
      </w:r>
      <w:r w:rsidRPr="00DB18B5">
        <w:t xml:space="preserve"> in public and political life, particularly in State institutions, law enforcement and the judiciary</w:t>
      </w:r>
      <w:r>
        <w:t>.</w:t>
      </w:r>
      <w:r>
        <w:rPr>
          <w:rStyle w:val="FootnoteReference"/>
        </w:rPr>
        <w:footnoteReference w:id="10"/>
      </w:r>
      <w:r>
        <w:t xml:space="preserve"> Updated information on the mandate and activities of the national councils of national minorities and </w:t>
      </w:r>
      <w:r w:rsidRPr="00215483">
        <w:t xml:space="preserve">the allocation of resources to </w:t>
      </w:r>
      <w:r>
        <w:t>carry out their mandate.</w:t>
      </w:r>
      <w:r>
        <w:rPr>
          <w:rStyle w:val="FootnoteReference"/>
        </w:rPr>
        <w:footnoteReference w:id="11"/>
      </w:r>
    </w:p>
    <w:p w14:paraId="654BA341" w14:textId="77777777" w:rsidR="001311B5" w:rsidRDefault="001311B5" w:rsidP="001311B5">
      <w:pPr>
        <w:pStyle w:val="SingleTxtG"/>
      </w:pPr>
      <w:r>
        <w:t>11.</w:t>
      </w:r>
      <w:r>
        <w:tab/>
        <w:t xml:space="preserve">Information on the </w:t>
      </w:r>
      <w:r w:rsidRPr="00D521AA">
        <w:t xml:space="preserve">results achieved </w:t>
      </w:r>
      <w:r>
        <w:t xml:space="preserve">by </w:t>
      </w:r>
      <w:r w:rsidRPr="00D521AA">
        <w:t xml:space="preserve">and </w:t>
      </w:r>
      <w:r>
        <w:t xml:space="preserve">any </w:t>
      </w:r>
      <w:r w:rsidRPr="00D521AA">
        <w:t xml:space="preserve">assessment </w:t>
      </w:r>
      <w:r>
        <w:t xml:space="preserve">carried out on the implementation of the </w:t>
      </w:r>
      <w:r w:rsidRPr="00D60CCF">
        <w:t>Strategy for Social Inclusion of Roma in the Republic of Serbia for the period 2016–2025</w:t>
      </w:r>
      <w:r>
        <w:t xml:space="preserve"> </w:t>
      </w:r>
      <w:r w:rsidRPr="00787E81">
        <w:t>and on measures</w:t>
      </w:r>
      <w:r>
        <w:t xml:space="preserve"> taken</w:t>
      </w:r>
      <w:r w:rsidRPr="00787E81">
        <w:t xml:space="preserve"> to develop </w:t>
      </w:r>
      <w:r w:rsidRPr="009B50FF">
        <w:t>a new comprehensive national strategy</w:t>
      </w:r>
      <w:r>
        <w:t>,</w:t>
      </w:r>
      <w:r w:rsidRPr="009B50FF">
        <w:t xml:space="preserve"> ensuring </w:t>
      </w:r>
      <w:r w:rsidRPr="00C304D6">
        <w:t xml:space="preserve">consultation </w:t>
      </w:r>
      <w:r>
        <w:t xml:space="preserve">with </w:t>
      </w:r>
      <w:r w:rsidRPr="00C304D6">
        <w:t xml:space="preserve">and </w:t>
      </w:r>
      <w:r>
        <w:t xml:space="preserve">the </w:t>
      </w:r>
      <w:r w:rsidRPr="00C304D6">
        <w:t>participation of Roma in the design and implementation processes.</w:t>
      </w:r>
      <w:r>
        <w:rPr>
          <w:rStyle w:val="FootnoteReference"/>
        </w:rPr>
        <w:footnoteReference w:id="12"/>
      </w:r>
    </w:p>
    <w:p w14:paraId="21C2DB7E" w14:textId="77777777" w:rsidR="001311B5" w:rsidRDefault="001311B5" w:rsidP="001311B5">
      <w:pPr>
        <w:pStyle w:val="SingleTxtG"/>
      </w:pPr>
      <w:r>
        <w:t>12.</w:t>
      </w:r>
      <w:r>
        <w:tab/>
      </w:r>
      <w:r w:rsidRPr="00C304D6">
        <w:t xml:space="preserve">Information on measures taken to combat stereotypes and structural discrimination against Roma and to guarantee </w:t>
      </w:r>
      <w:r>
        <w:t xml:space="preserve">Roma </w:t>
      </w:r>
      <w:r w:rsidRPr="00C304D6">
        <w:t>their full and equal enjoyment of economic, social and cultural rights, particularly access to education and adequate housing.</w:t>
      </w:r>
      <w:r>
        <w:rPr>
          <w:rStyle w:val="FootnoteReference"/>
        </w:rPr>
        <w:footnoteReference w:id="13"/>
      </w:r>
      <w:r w:rsidRPr="00C304D6">
        <w:t xml:space="preserve"> Measures taken to ensure that Roma children have equal access to quality education</w:t>
      </w:r>
      <w:r>
        <w:t xml:space="preserve"> </w:t>
      </w:r>
      <w:r w:rsidRPr="00C304D6">
        <w:t>and to prevent de facto segregation of Roma pupils.</w:t>
      </w:r>
      <w:r>
        <w:rPr>
          <w:rStyle w:val="FootnoteReference"/>
        </w:rPr>
        <w:footnoteReference w:id="14"/>
      </w:r>
      <w:r>
        <w:t xml:space="preserve"> </w:t>
      </w:r>
    </w:p>
    <w:p w14:paraId="4B6B334F" w14:textId="5AADF350" w:rsidR="001311B5" w:rsidRDefault="001311B5" w:rsidP="001311B5">
      <w:pPr>
        <w:pStyle w:val="SingleTxtG"/>
      </w:pPr>
      <w:r>
        <w:t>13.</w:t>
      </w:r>
      <w:r>
        <w:tab/>
        <w:t>Information on the transitional justice process, accountability for past human rights violations and the denial of war crimes.</w:t>
      </w:r>
      <w:r>
        <w:rPr>
          <w:rStyle w:val="FootnoteReference"/>
        </w:rPr>
        <w:footnoteReference w:id="15"/>
      </w:r>
      <w:r w:rsidR="00FF03AC">
        <w:t xml:space="preserve"> </w:t>
      </w:r>
      <w:r>
        <w:t xml:space="preserve"> </w:t>
      </w:r>
    </w:p>
    <w:p w14:paraId="6A9C42ED" w14:textId="77777777" w:rsidR="001311B5" w:rsidRDefault="001311B5" w:rsidP="001311B5">
      <w:pPr>
        <w:pStyle w:val="SingleTxtG"/>
      </w:pPr>
      <w:r>
        <w:t>14.</w:t>
      </w:r>
      <w:r>
        <w:tab/>
        <w:t>Information on measures taken to facilitate the sustainable return and reintegration of war refugees.</w:t>
      </w:r>
      <w:r>
        <w:rPr>
          <w:rStyle w:val="FootnoteReference"/>
        </w:rPr>
        <w:footnoteReference w:id="16"/>
      </w:r>
    </w:p>
    <w:p w14:paraId="07C06727" w14:textId="77777777" w:rsidR="001311B5" w:rsidRDefault="001311B5" w:rsidP="001311B5">
      <w:pPr>
        <w:pStyle w:val="H23G"/>
      </w:pPr>
      <w:r>
        <w:lastRenderedPageBreak/>
        <w:tab/>
      </w:r>
      <w:r>
        <w:tab/>
      </w:r>
      <w:r w:rsidRPr="00E5387D">
        <w:t>Situation of migrants, asylum-seekers, refugees and stateless persons (arts. 2 and 5)</w:t>
      </w:r>
    </w:p>
    <w:p w14:paraId="7B41E99A" w14:textId="77777777" w:rsidR="001311B5" w:rsidRDefault="001311B5" w:rsidP="001311B5">
      <w:pPr>
        <w:pStyle w:val="SingleTxtG"/>
      </w:pPr>
      <w:r>
        <w:t>15.</w:t>
      </w:r>
      <w:r>
        <w:tab/>
      </w:r>
      <w:r w:rsidRPr="00166F00">
        <w:t>Updated information on the legislative and policy frameworks on asylum-seekers and refugees and on measures to ensure access</w:t>
      </w:r>
      <w:r>
        <w:t>,</w:t>
      </w:r>
      <w:r w:rsidRPr="00166F00">
        <w:t xml:space="preserve"> without discrimination</w:t>
      </w:r>
      <w:r>
        <w:t>,</w:t>
      </w:r>
      <w:r w:rsidRPr="00166F00">
        <w:t xml:space="preserve"> to education, employment and healthcare services to all persons under the State </w:t>
      </w:r>
      <w:r>
        <w:t>P</w:t>
      </w:r>
      <w:r w:rsidRPr="00166F00">
        <w:t>arty’s jurisdiction</w:t>
      </w:r>
      <w:r>
        <w:t>.</w:t>
      </w:r>
      <w:r>
        <w:rPr>
          <w:rStyle w:val="FootnoteReference"/>
        </w:rPr>
        <w:footnoteReference w:id="17"/>
      </w:r>
    </w:p>
    <w:p w14:paraId="2AABC01E" w14:textId="77777777" w:rsidR="001311B5" w:rsidRDefault="001311B5" w:rsidP="001311B5">
      <w:pPr>
        <w:pStyle w:val="SingleTxtG"/>
      </w:pPr>
      <w:r>
        <w:t>16.</w:t>
      </w:r>
      <w:r>
        <w:tab/>
      </w:r>
      <w:r w:rsidRPr="000668AF">
        <w:t xml:space="preserve">Information on measures to provide access to its territory for persons in need of international protection, </w:t>
      </w:r>
      <w:r>
        <w:t xml:space="preserve">to </w:t>
      </w:r>
      <w:r w:rsidRPr="000668AF">
        <w:t>respect the principle of non-refoulement</w:t>
      </w:r>
      <w:r>
        <w:t xml:space="preserve"> and to conduct </w:t>
      </w:r>
      <w:r w:rsidRPr="007660F4">
        <w:t>investigations into allegations of collective expulsions</w:t>
      </w:r>
      <w:r>
        <w:t xml:space="preserve"> and</w:t>
      </w:r>
      <w:r w:rsidRPr="007660F4">
        <w:t xml:space="preserve"> pushbacks</w:t>
      </w:r>
      <w:r>
        <w:t xml:space="preserve"> of </w:t>
      </w:r>
      <w:r w:rsidRPr="007660F4">
        <w:t>migrants, refugees and asylum-seekers</w:t>
      </w:r>
      <w:r>
        <w:t xml:space="preserve"> by law enforcement officials.</w:t>
      </w:r>
      <w:r>
        <w:rPr>
          <w:rStyle w:val="FootnoteReference"/>
        </w:rPr>
        <w:footnoteReference w:id="18"/>
      </w:r>
    </w:p>
    <w:p w14:paraId="19F60C74" w14:textId="77777777" w:rsidR="001311B5" w:rsidRDefault="001311B5" w:rsidP="001311B5">
      <w:pPr>
        <w:pStyle w:val="SingleTxtG"/>
      </w:pPr>
      <w:r>
        <w:t>17.</w:t>
      </w:r>
      <w:r>
        <w:tab/>
        <w:t>Updated information on measures taken to prevent and combat trafficking in persons, including on the impact of the measures, and on trafficking cases reported and prosecuted and convictions secured.</w:t>
      </w:r>
      <w:r>
        <w:rPr>
          <w:rStyle w:val="FootnoteReference"/>
        </w:rPr>
        <w:footnoteReference w:id="19"/>
      </w:r>
      <w:r>
        <w:t xml:space="preserve"> </w:t>
      </w:r>
    </w:p>
    <w:p w14:paraId="0F48718B" w14:textId="77777777" w:rsidR="001311B5" w:rsidRDefault="001311B5" w:rsidP="001311B5">
      <w:pPr>
        <w:pStyle w:val="SingleTxtG"/>
      </w:pPr>
      <w:r>
        <w:t>18.</w:t>
      </w:r>
      <w:r>
        <w:tab/>
        <w:t>Measures to prevent and protect people from statelessness, including updated statistics on stateless persons and those at risk of statelessness.</w:t>
      </w:r>
      <w:r>
        <w:rPr>
          <w:rStyle w:val="FootnoteReference"/>
        </w:rPr>
        <w:footnoteReference w:id="20"/>
      </w:r>
    </w:p>
    <w:p w14:paraId="6938AC33" w14:textId="77777777" w:rsidR="001311B5" w:rsidRDefault="001311B5" w:rsidP="001311B5">
      <w:pPr>
        <w:pStyle w:val="H23G"/>
      </w:pPr>
      <w:r>
        <w:tab/>
      </w:r>
      <w:r>
        <w:tab/>
        <w:t>Human rights education to combat prejudice and intolerance (art. 7)</w:t>
      </w:r>
    </w:p>
    <w:p w14:paraId="3E32FE0A" w14:textId="77777777" w:rsidR="001311B5" w:rsidRDefault="001311B5" w:rsidP="001311B5">
      <w:pPr>
        <w:pStyle w:val="SingleTxtG"/>
      </w:pPr>
      <w:r>
        <w:t>19.</w:t>
      </w:r>
      <w:r>
        <w:tab/>
        <w:t>Information on the measures taken to promote human rights education, including ways to combat racial discrimination, in all school curricula, university programmes and teacher training programmes, and on measures taken to raise awareness among the general public, civil servants, law enforcement and judicial authorities of the importance of cultural diversity and tolerance.</w:t>
      </w:r>
      <w:r>
        <w:rPr>
          <w:rStyle w:val="FootnoteReference"/>
        </w:rPr>
        <w:footnoteReference w:id="21"/>
      </w:r>
    </w:p>
    <w:p w14:paraId="4548937C" w14:textId="77777777" w:rsidR="001311B5" w:rsidRPr="00106A43" w:rsidRDefault="001311B5" w:rsidP="001311B5">
      <w:pPr>
        <w:spacing w:before="240"/>
        <w:jc w:val="center"/>
        <w:rPr>
          <w:u w:val="single"/>
        </w:rPr>
      </w:pPr>
      <w:r>
        <w:rPr>
          <w:u w:val="single"/>
        </w:rPr>
        <w:tab/>
      </w:r>
      <w:r>
        <w:rPr>
          <w:u w:val="single"/>
        </w:rPr>
        <w:tab/>
      </w:r>
      <w:r>
        <w:rPr>
          <w:u w:val="single"/>
        </w:rPr>
        <w:tab/>
      </w:r>
    </w:p>
    <w:sectPr w:rsidR="001311B5" w:rsidRPr="00106A43" w:rsidSect="00CB1FB9">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5DBAB6" w14:textId="77777777" w:rsidR="00507E66" w:rsidRPr="00A0297D" w:rsidRDefault="00507E66" w:rsidP="00A0297D">
      <w:pPr>
        <w:pStyle w:val="Footer"/>
      </w:pPr>
    </w:p>
  </w:endnote>
  <w:endnote w:type="continuationSeparator" w:id="0">
    <w:p w14:paraId="6F9526A0" w14:textId="77777777" w:rsidR="00507E66" w:rsidRPr="00A0297D" w:rsidRDefault="00507E66"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2EA6A" w14:textId="6C4A1A1C" w:rsidR="00607541" w:rsidRDefault="00607541" w:rsidP="00607541">
    <w:pPr>
      <w:pStyle w:val="Footer"/>
      <w:tabs>
        <w:tab w:val="right" w:pos="9638"/>
      </w:tabs>
    </w:pPr>
    <w:r w:rsidRPr="00607541">
      <w:rPr>
        <w:b/>
        <w:bCs/>
        <w:sz w:val="18"/>
      </w:rPr>
      <w:fldChar w:fldCharType="begin"/>
    </w:r>
    <w:r w:rsidRPr="00607541">
      <w:rPr>
        <w:b/>
        <w:bCs/>
        <w:sz w:val="18"/>
      </w:rPr>
      <w:instrText xml:space="preserve"> PAGE  \* MERGEFORMAT </w:instrText>
    </w:r>
    <w:r w:rsidRPr="00607541">
      <w:rPr>
        <w:b/>
        <w:bCs/>
        <w:sz w:val="18"/>
      </w:rPr>
      <w:fldChar w:fldCharType="separate"/>
    </w:r>
    <w:r w:rsidRPr="00607541">
      <w:rPr>
        <w:b/>
        <w:bCs/>
        <w:noProof/>
        <w:sz w:val="18"/>
      </w:rPr>
      <w:t>2</w:t>
    </w:r>
    <w:r w:rsidRPr="00607541">
      <w:rPr>
        <w:b/>
        <w:bCs/>
        <w:sz w:val="18"/>
      </w:rPr>
      <w:fldChar w:fldCharType="end"/>
    </w:r>
    <w:r>
      <w:tab/>
      <w:t>GE.26-01931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C42A4" w14:textId="497C40C1" w:rsidR="00607541" w:rsidRDefault="00607541" w:rsidP="00607541">
    <w:pPr>
      <w:pStyle w:val="Footer"/>
      <w:tabs>
        <w:tab w:val="right" w:pos="9638"/>
      </w:tabs>
    </w:pPr>
    <w:r>
      <w:t>GE.26-01931</w:t>
    </w:r>
    <w:r>
      <w:tab/>
    </w:r>
    <w:r w:rsidRPr="00607541">
      <w:rPr>
        <w:b/>
        <w:bCs/>
        <w:sz w:val="18"/>
      </w:rPr>
      <w:fldChar w:fldCharType="begin"/>
    </w:r>
    <w:r w:rsidRPr="00607541">
      <w:rPr>
        <w:b/>
        <w:bCs/>
        <w:sz w:val="18"/>
      </w:rPr>
      <w:instrText xml:space="preserve"> PAGE  \* MERGEFORMAT </w:instrText>
    </w:r>
    <w:r w:rsidRPr="00607541">
      <w:rPr>
        <w:b/>
        <w:bCs/>
        <w:sz w:val="18"/>
      </w:rPr>
      <w:fldChar w:fldCharType="separate"/>
    </w:r>
    <w:r w:rsidRPr="00607541">
      <w:rPr>
        <w:b/>
        <w:bCs/>
        <w:noProof/>
        <w:sz w:val="18"/>
      </w:rPr>
      <w:t>3</w:t>
    </w:r>
    <w:r w:rsidRPr="0060754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A2A7A" w14:textId="0EA7949F" w:rsidR="00607541" w:rsidRDefault="00607541">
    <w:pPr>
      <w:pStyle w:val="Footer"/>
      <w:rPr>
        <w:sz w:val="20"/>
      </w:rPr>
    </w:pPr>
    <w:r w:rsidRPr="0027112F">
      <w:rPr>
        <w:noProof/>
        <w:lang w:val="en-US"/>
      </w:rPr>
      <w:drawing>
        <wp:anchor distT="0" distB="0" distL="114300" distR="114300" simplePos="0" relativeHeight="251659264" behindDoc="0" locked="1" layoutInCell="1" allowOverlap="1" wp14:anchorId="4DFD5F05" wp14:editId="0C3312B2">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4E11153" w14:textId="6C3F597F" w:rsidR="00607541" w:rsidRPr="00607541" w:rsidRDefault="00607541" w:rsidP="00607541">
    <w:pPr>
      <w:pStyle w:val="Footer"/>
      <w:rPr>
        <w:sz w:val="20"/>
      </w:rPr>
    </w:pPr>
    <w:r>
      <w:rPr>
        <w:sz w:val="20"/>
      </w:rPr>
      <w:t>GE.26-01931  (E)</w:t>
    </w:r>
    <w:r>
      <w:rPr>
        <w:noProof/>
        <w:sz w:val="20"/>
      </w:rPr>
      <w:drawing>
        <wp:anchor distT="0" distB="0" distL="114300" distR="114300" simplePos="0" relativeHeight="251660288" behindDoc="0" locked="0" layoutInCell="1" allowOverlap="1" wp14:anchorId="608226F8" wp14:editId="07B0433E">
          <wp:simplePos x="0" y="0"/>
          <wp:positionH relativeFrom="margin">
            <wp:posOffset>5583555</wp:posOffset>
          </wp:positionH>
          <wp:positionV relativeFrom="margin">
            <wp:posOffset>8981440</wp:posOffset>
          </wp:positionV>
          <wp:extent cx="571500" cy="571500"/>
          <wp:effectExtent l="0" t="0" r="0" b="0"/>
          <wp:wrapNone/>
          <wp:docPr id="1516362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13CD0">
      <w:rPr>
        <w:sz w:val="20"/>
      </w:rPr>
      <w:t xml:space="preserve">    </w:t>
    </w:r>
    <w:r w:rsidR="00555BE9">
      <w:rPr>
        <w:sz w:val="20"/>
      </w:rPr>
      <w:t>250226    260226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C9266B" w14:textId="77777777" w:rsidR="00507E66" w:rsidRPr="00A0297D" w:rsidRDefault="00507E66" w:rsidP="00A0297D">
      <w:pPr>
        <w:tabs>
          <w:tab w:val="right" w:pos="2155"/>
        </w:tabs>
        <w:spacing w:after="80" w:line="240" w:lineRule="auto"/>
        <w:ind w:left="680"/>
      </w:pPr>
      <w:r>
        <w:rPr>
          <w:u w:val="single"/>
        </w:rPr>
        <w:tab/>
      </w:r>
    </w:p>
  </w:footnote>
  <w:footnote w:type="continuationSeparator" w:id="0">
    <w:p w14:paraId="3CD2E06B" w14:textId="77777777" w:rsidR="00507E66" w:rsidRPr="00A0297D" w:rsidRDefault="00507E66" w:rsidP="00A0297D">
      <w:pPr>
        <w:tabs>
          <w:tab w:val="right" w:pos="2155"/>
        </w:tabs>
        <w:spacing w:after="80" w:line="240" w:lineRule="auto"/>
        <w:ind w:left="680"/>
      </w:pPr>
      <w:r>
        <w:rPr>
          <w:u w:val="single"/>
        </w:rPr>
        <w:tab/>
      </w:r>
    </w:p>
  </w:footnote>
  <w:footnote w:id="1">
    <w:p w14:paraId="0C4ECB53" w14:textId="20138B45" w:rsidR="001311B5" w:rsidRPr="000E26E1" w:rsidRDefault="001311B5" w:rsidP="001311B5">
      <w:pPr>
        <w:pStyle w:val="FootnoteText"/>
        <w:rPr>
          <w:lang w:val="pt-BR"/>
        </w:rPr>
      </w:pPr>
      <w:r>
        <w:rPr>
          <w:lang w:val="es-ES"/>
        </w:rPr>
        <w:tab/>
      </w:r>
      <w:r>
        <w:rPr>
          <w:rStyle w:val="FootnoteReference"/>
        </w:rPr>
        <w:footnoteRef/>
      </w:r>
      <w:r w:rsidRPr="000E26E1">
        <w:rPr>
          <w:lang w:val="pt-BR"/>
        </w:rPr>
        <w:t xml:space="preserve"> </w:t>
      </w:r>
      <w:r w:rsidRPr="000E26E1">
        <w:rPr>
          <w:lang w:val="pt-BR"/>
        </w:rPr>
        <w:tab/>
      </w:r>
      <w:hyperlink r:id="rId1" w:history="1">
        <w:r w:rsidRPr="008620EF">
          <w:rPr>
            <w:rStyle w:val="Hyperlink"/>
            <w:lang w:val="pt-BR"/>
          </w:rPr>
          <w:t>A/65/18</w:t>
        </w:r>
      </w:hyperlink>
      <w:r w:rsidRPr="000E26E1">
        <w:rPr>
          <w:lang w:val="pt-BR"/>
        </w:rPr>
        <w:t>, para. 85.</w:t>
      </w:r>
    </w:p>
  </w:footnote>
  <w:footnote w:id="2">
    <w:p w14:paraId="45DAE95F" w14:textId="0FBA4FAB" w:rsidR="001311B5" w:rsidRPr="00554A24" w:rsidRDefault="001311B5" w:rsidP="001311B5">
      <w:pPr>
        <w:pStyle w:val="FootnoteText"/>
        <w:rPr>
          <w:lang w:val="pt-BR"/>
        </w:rPr>
      </w:pPr>
      <w:r w:rsidRPr="000E26E1">
        <w:rPr>
          <w:lang w:val="pt-BR"/>
        </w:rPr>
        <w:tab/>
      </w:r>
      <w:r>
        <w:rPr>
          <w:rStyle w:val="FootnoteReference"/>
        </w:rPr>
        <w:footnoteRef/>
      </w:r>
      <w:r w:rsidRPr="000E26E1">
        <w:rPr>
          <w:lang w:val="pt-BR"/>
        </w:rPr>
        <w:tab/>
      </w:r>
      <w:hyperlink r:id="rId2" w:history="1">
        <w:r w:rsidRPr="008620EF">
          <w:rPr>
            <w:rStyle w:val="Hyperlink"/>
            <w:lang w:val="pt-BR"/>
          </w:rPr>
          <w:t>CERD/C/SRB/6-9</w:t>
        </w:r>
      </w:hyperlink>
      <w:r w:rsidRPr="000E26E1">
        <w:rPr>
          <w:lang w:val="pt-BR"/>
        </w:rPr>
        <w:t xml:space="preserve">, paras. </w:t>
      </w:r>
      <w:r w:rsidRPr="00554A24">
        <w:rPr>
          <w:lang w:val="pt-BR"/>
        </w:rPr>
        <w:t xml:space="preserve">12–19, 37 </w:t>
      </w:r>
      <w:proofErr w:type="spellStart"/>
      <w:r w:rsidRPr="00554A24">
        <w:rPr>
          <w:lang w:val="pt-BR"/>
        </w:rPr>
        <w:t>and</w:t>
      </w:r>
      <w:proofErr w:type="spellEnd"/>
      <w:r w:rsidRPr="00554A24">
        <w:rPr>
          <w:lang w:val="pt-BR"/>
        </w:rPr>
        <w:t xml:space="preserve"> 38.</w:t>
      </w:r>
      <w:r w:rsidR="00FF03AC">
        <w:rPr>
          <w:lang w:val="pt-BR"/>
        </w:rPr>
        <w:t xml:space="preserve"> </w:t>
      </w:r>
    </w:p>
  </w:footnote>
  <w:footnote w:id="3">
    <w:p w14:paraId="7A37C084" w14:textId="11A4C09F" w:rsidR="001311B5" w:rsidRPr="001866E5" w:rsidRDefault="001311B5" w:rsidP="001311B5">
      <w:pPr>
        <w:pStyle w:val="FootnoteText"/>
        <w:rPr>
          <w:lang w:val="en-US"/>
        </w:rPr>
      </w:pPr>
      <w:r w:rsidRPr="00554A24">
        <w:rPr>
          <w:lang w:val="pt-BR"/>
        </w:rPr>
        <w:tab/>
      </w:r>
      <w:r>
        <w:rPr>
          <w:rStyle w:val="FootnoteReference"/>
        </w:rPr>
        <w:footnoteRef/>
      </w:r>
      <w:r w:rsidRPr="000E26E1">
        <w:rPr>
          <w:lang w:val="pt-BR"/>
        </w:rPr>
        <w:t xml:space="preserve"> </w:t>
      </w:r>
      <w:r w:rsidRPr="000E26E1">
        <w:rPr>
          <w:lang w:val="pt-BR"/>
        </w:rPr>
        <w:tab/>
      </w:r>
      <w:hyperlink r:id="rId3" w:history="1">
        <w:r w:rsidRPr="008620EF">
          <w:rPr>
            <w:rStyle w:val="Hyperlink"/>
            <w:lang w:val="pt-BR"/>
          </w:rPr>
          <w:t>CERD/C/SRB/CO/2-5</w:t>
        </w:r>
      </w:hyperlink>
      <w:r w:rsidRPr="000F3CD6">
        <w:rPr>
          <w:lang w:val="pt-BR"/>
        </w:rPr>
        <w:t xml:space="preserve">, </w:t>
      </w:r>
      <w:r w:rsidRPr="000E26E1">
        <w:rPr>
          <w:lang w:val="pt-BR"/>
        </w:rPr>
        <w:t xml:space="preserve">paras. </w:t>
      </w:r>
      <w:r w:rsidRPr="001866E5">
        <w:rPr>
          <w:lang w:val="en-US"/>
        </w:rPr>
        <w:t xml:space="preserve">14 and 16; and </w:t>
      </w:r>
      <w:hyperlink r:id="rId4" w:history="1">
        <w:r w:rsidRPr="008620EF">
          <w:rPr>
            <w:rStyle w:val="Hyperlink"/>
            <w:lang w:val="en-US"/>
          </w:rPr>
          <w:t>CERD/C/SRB/6-9</w:t>
        </w:r>
      </w:hyperlink>
      <w:r w:rsidRPr="001866E5">
        <w:rPr>
          <w:lang w:val="en-US"/>
        </w:rPr>
        <w:t>, paras. 81–102.</w:t>
      </w:r>
    </w:p>
  </w:footnote>
  <w:footnote w:id="4">
    <w:p w14:paraId="47E19472" w14:textId="0852AE9A" w:rsidR="001311B5" w:rsidRPr="001311B5" w:rsidRDefault="001311B5" w:rsidP="001311B5">
      <w:pPr>
        <w:pStyle w:val="FootnoteText"/>
      </w:pPr>
      <w:r>
        <w:rPr>
          <w:lang w:val="en-US"/>
        </w:rPr>
        <w:tab/>
      </w:r>
      <w:r>
        <w:rPr>
          <w:rStyle w:val="FootnoteReference"/>
        </w:rPr>
        <w:footnoteRef/>
      </w:r>
      <w:r w:rsidRPr="00554A24">
        <w:t xml:space="preserve"> </w:t>
      </w:r>
      <w:r w:rsidRPr="00554A24">
        <w:tab/>
      </w:r>
      <w:hyperlink r:id="rId5" w:history="1">
        <w:r w:rsidRPr="008620EF">
          <w:rPr>
            <w:rStyle w:val="Hyperlink"/>
          </w:rPr>
          <w:t>CERD/C/SRB/6-9</w:t>
        </w:r>
      </w:hyperlink>
      <w:r w:rsidRPr="00554A24">
        <w:t xml:space="preserve">, para. </w:t>
      </w:r>
      <w:r w:rsidRPr="001311B5">
        <w:t>54.</w:t>
      </w:r>
    </w:p>
  </w:footnote>
  <w:footnote w:id="5">
    <w:p w14:paraId="3408A312" w14:textId="1836255A" w:rsidR="001311B5" w:rsidRPr="00BD02F7" w:rsidRDefault="001311B5" w:rsidP="001311B5">
      <w:pPr>
        <w:pStyle w:val="FootnoteText"/>
        <w:rPr>
          <w:lang w:val="en-US"/>
        </w:rPr>
      </w:pPr>
      <w:r w:rsidRPr="001311B5">
        <w:tab/>
      </w:r>
      <w:r>
        <w:rPr>
          <w:rStyle w:val="FootnoteReference"/>
        </w:rPr>
        <w:footnoteRef/>
      </w:r>
      <w:r w:rsidRPr="000E26E1">
        <w:rPr>
          <w:lang w:val="pt-BR"/>
        </w:rPr>
        <w:t xml:space="preserve"> </w:t>
      </w:r>
      <w:r w:rsidRPr="000E26E1">
        <w:rPr>
          <w:lang w:val="pt-BR"/>
        </w:rPr>
        <w:tab/>
      </w:r>
      <w:hyperlink r:id="rId6" w:history="1">
        <w:r w:rsidRPr="008620EF">
          <w:rPr>
            <w:rStyle w:val="Hyperlink"/>
            <w:lang w:val="pt-BR"/>
          </w:rPr>
          <w:t>CERD/C/SRB/CO/2-5</w:t>
        </w:r>
      </w:hyperlink>
      <w:r w:rsidRPr="000E26E1">
        <w:rPr>
          <w:lang w:val="pt-BR"/>
        </w:rPr>
        <w:t xml:space="preserve">, para. </w:t>
      </w:r>
      <w:r w:rsidRPr="00CD0EFD">
        <w:rPr>
          <w:lang w:val="en-US"/>
        </w:rPr>
        <w:t>14</w:t>
      </w:r>
      <w:r>
        <w:rPr>
          <w:lang w:val="en-US"/>
        </w:rPr>
        <w:t>;</w:t>
      </w:r>
      <w:r w:rsidRPr="00CD0EFD">
        <w:rPr>
          <w:lang w:val="en-US"/>
        </w:rPr>
        <w:t xml:space="preserve"> and </w:t>
      </w:r>
      <w:hyperlink r:id="rId7" w:history="1">
        <w:r w:rsidRPr="008620EF">
          <w:rPr>
            <w:rStyle w:val="Hyperlink"/>
            <w:lang w:val="en-US"/>
          </w:rPr>
          <w:t>CERD/C/SRB/6-9</w:t>
        </w:r>
      </w:hyperlink>
      <w:r>
        <w:rPr>
          <w:lang w:val="en-US"/>
        </w:rPr>
        <w:t>,</w:t>
      </w:r>
      <w:r w:rsidRPr="00CD0EFD">
        <w:rPr>
          <w:lang w:val="en-US"/>
        </w:rPr>
        <w:t xml:space="preserve"> paras. 81–96</w:t>
      </w:r>
      <w:r>
        <w:rPr>
          <w:lang w:val="en-US"/>
        </w:rPr>
        <w:t>,</w:t>
      </w:r>
      <w:r w:rsidRPr="00CD0EFD">
        <w:rPr>
          <w:lang w:val="en-US"/>
        </w:rPr>
        <w:t xml:space="preserve"> 227</w:t>
      </w:r>
      <w:r>
        <w:rPr>
          <w:lang w:val="en-US"/>
        </w:rPr>
        <w:t xml:space="preserve"> and </w:t>
      </w:r>
      <w:r w:rsidRPr="00CD0EFD">
        <w:rPr>
          <w:lang w:val="en-US"/>
        </w:rPr>
        <w:t>228.</w:t>
      </w:r>
    </w:p>
  </w:footnote>
  <w:footnote w:id="6">
    <w:p w14:paraId="4A64B238" w14:textId="64A4154F" w:rsidR="001311B5" w:rsidRPr="005A5F3B" w:rsidRDefault="001311B5" w:rsidP="001311B5">
      <w:pPr>
        <w:pStyle w:val="FootnoteText"/>
        <w:rPr>
          <w:lang w:val="en-US"/>
        </w:rPr>
      </w:pPr>
      <w:r>
        <w:tab/>
      </w:r>
      <w:r>
        <w:rPr>
          <w:rStyle w:val="FootnoteReference"/>
        </w:rPr>
        <w:footnoteRef/>
      </w:r>
      <w:r>
        <w:t xml:space="preserve"> </w:t>
      </w:r>
      <w:r>
        <w:tab/>
      </w:r>
      <w:hyperlink r:id="rId8" w:history="1">
        <w:r w:rsidRPr="008620EF">
          <w:rPr>
            <w:rStyle w:val="Hyperlink"/>
            <w:lang w:val="en-US"/>
          </w:rPr>
          <w:t>CERD/C/SRB/6-9</w:t>
        </w:r>
      </w:hyperlink>
      <w:r w:rsidRPr="003F0906">
        <w:rPr>
          <w:lang w:val="en-US"/>
        </w:rPr>
        <w:t>, para</w:t>
      </w:r>
      <w:r>
        <w:rPr>
          <w:lang w:val="en-US"/>
        </w:rPr>
        <w:t>s</w:t>
      </w:r>
      <w:r w:rsidRPr="003F0906">
        <w:rPr>
          <w:lang w:val="en-US"/>
        </w:rPr>
        <w:t xml:space="preserve">. </w:t>
      </w:r>
      <w:r w:rsidRPr="00CD0EFD">
        <w:rPr>
          <w:lang w:val="en-US"/>
        </w:rPr>
        <w:t>133</w:t>
      </w:r>
      <w:r>
        <w:rPr>
          <w:lang w:val="en-US"/>
        </w:rPr>
        <w:t xml:space="preserve">, </w:t>
      </w:r>
      <w:r w:rsidRPr="00CD0EFD">
        <w:rPr>
          <w:lang w:val="en-US"/>
        </w:rPr>
        <w:t>134</w:t>
      </w:r>
      <w:r>
        <w:rPr>
          <w:lang w:val="en-US"/>
        </w:rPr>
        <w:t>, 157 and 158</w:t>
      </w:r>
      <w:r w:rsidRPr="00CD0EFD">
        <w:rPr>
          <w:lang w:val="en-US"/>
        </w:rPr>
        <w:t>.</w:t>
      </w:r>
    </w:p>
  </w:footnote>
  <w:footnote w:id="7">
    <w:p w14:paraId="1415EF87" w14:textId="2DDFEC28" w:rsidR="001311B5" w:rsidRPr="00C23605" w:rsidRDefault="001311B5" w:rsidP="001311B5">
      <w:pPr>
        <w:pStyle w:val="FootnoteText"/>
        <w:rPr>
          <w:lang w:val="en-US"/>
        </w:rPr>
      </w:pPr>
      <w:r>
        <w:tab/>
      </w:r>
      <w:r>
        <w:rPr>
          <w:rStyle w:val="FootnoteReference"/>
        </w:rPr>
        <w:footnoteRef/>
      </w:r>
      <w:r w:rsidRPr="000E26E1">
        <w:rPr>
          <w:lang w:val="pt-BR"/>
        </w:rPr>
        <w:t xml:space="preserve"> </w:t>
      </w:r>
      <w:r w:rsidRPr="000E26E1">
        <w:rPr>
          <w:lang w:val="pt-BR"/>
        </w:rPr>
        <w:tab/>
      </w:r>
      <w:hyperlink r:id="rId9" w:history="1">
        <w:r w:rsidRPr="008620EF">
          <w:rPr>
            <w:rStyle w:val="Hyperlink"/>
            <w:lang w:val="pt-BR"/>
          </w:rPr>
          <w:t>CERD/C/SRB/CO/2-5</w:t>
        </w:r>
      </w:hyperlink>
      <w:r w:rsidRPr="000E26E1">
        <w:rPr>
          <w:lang w:val="pt-BR"/>
        </w:rPr>
        <w:t xml:space="preserve">, paras. </w:t>
      </w:r>
      <w:r w:rsidRPr="00CD0EFD">
        <w:rPr>
          <w:lang w:val="en-US"/>
        </w:rPr>
        <w:t>14</w:t>
      </w:r>
      <w:r>
        <w:rPr>
          <w:lang w:val="en-US"/>
        </w:rPr>
        <w:t>,</w:t>
      </w:r>
      <w:r w:rsidRPr="00CD0EFD">
        <w:rPr>
          <w:lang w:val="en-US"/>
        </w:rPr>
        <w:t xml:space="preserve"> </w:t>
      </w:r>
      <w:r>
        <w:rPr>
          <w:lang w:val="en-US"/>
        </w:rPr>
        <w:t xml:space="preserve">16 </w:t>
      </w:r>
      <w:r w:rsidRPr="00CD0EFD">
        <w:rPr>
          <w:lang w:val="en-US"/>
        </w:rPr>
        <w:t>and 1</w:t>
      </w:r>
      <w:r>
        <w:rPr>
          <w:lang w:val="en-US"/>
        </w:rPr>
        <w:t>7</w:t>
      </w:r>
      <w:r w:rsidRPr="00CD0EFD">
        <w:rPr>
          <w:lang w:val="en-US"/>
        </w:rPr>
        <w:t xml:space="preserve">; and </w:t>
      </w:r>
      <w:hyperlink r:id="rId10" w:history="1">
        <w:r w:rsidRPr="008620EF">
          <w:rPr>
            <w:rStyle w:val="Hyperlink"/>
            <w:lang w:val="en-US"/>
          </w:rPr>
          <w:t>CERD/C/SRB/6-9</w:t>
        </w:r>
      </w:hyperlink>
      <w:r w:rsidRPr="00CD0EFD">
        <w:rPr>
          <w:lang w:val="en-US"/>
        </w:rPr>
        <w:t xml:space="preserve">, paras. </w:t>
      </w:r>
      <w:r w:rsidRPr="00302803">
        <w:rPr>
          <w:lang w:val="en-US"/>
        </w:rPr>
        <w:t xml:space="preserve">59–62, 92, 97–100, </w:t>
      </w:r>
      <w:r w:rsidR="00314E25">
        <w:rPr>
          <w:lang w:val="en-US"/>
        </w:rPr>
        <w:br/>
      </w:r>
      <w:r w:rsidRPr="00302803">
        <w:rPr>
          <w:lang w:val="en-US"/>
        </w:rPr>
        <w:t>113–117 and 166.</w:t>
      </w:r>
    </w:p>
  </w:footnote>
  <w:footnote w:id="8">
    <w:p w14:paraId="2892D813" w14:textId="11659C7F" w:rsidR="001311B5" w:rsidRPr="000E26E1" w:rsidRDefault="001311B5" w:rsidP="001311B5">
      <w:pPr>
        <w:pStyle w:val="FootnoteText"/>
        <w:rPr>
          <w:lang w:val="pt-BR"/>
        </w:rPr>
      </w:pPr>
      <w:r>
        <w:rPr>
          <w:lang w:val="en-US"/>
        </w:rPr>
        <w:tab/>
      </w:r>
      <w:r>
        <w:rPr>
          <w:rStyle w:val="FootnoteReference"/>
        </w:rPr>
        <w:footnoteRef/>
      </w:r>
      <w:r w:rsidRPr="00424CF9">
        <w:rPr>
          <w:lang w:val="pt-BR"/>
        </w:rPr>
        <w:t xml:space="preserve"> </w:t>
      </w:r>
      <w:r w:rsidRPr="00424CF9">
        <w:rPr>
          <w:lang w:val="pt-BR"/>
        </w:rPr>
        <w:tab/>
      </w:r>
      <w:hyperlink r:id="rId11" w:history="1">
        <w:r w:rsidRPr="008620EF">
          <w:rPr>
            <w:rStyle w:val="Hyperlink"/>
            <w:lang w:val="pt-BR"/>
          </w:rPr>
          <w:t>CERD/C/SRB/CO/2-5</w:t>
        </w:r>
      </w:hyperlink>
      <w:r w:rsidRPr="00424CF9">
        <w:rPr>
          <w:lang w:val="pt-BR"/>
        </w:rPr>
        <w:t xml:space="preserve">, para. </w:t>
      </w:r>
      <w:r w:rsidRPr="000E26E1">
        <w:rPr>
          <w:lang w:val="pt-BR"/>
        </w:rPr>
        <w:t>12</w:t>
      </w:r>
      <w:r>
        <w:rPr>
          <w:lang w:val="pt-BR"/>
        </w:rPr>
        <w:t>;</w:t>
      </w:r>
      <w:r w:rsidRPr="000E26E1">
        <w:rPr>
          <w:lang w:val="pt-BR"/>
        </w:rPr>
        <w:t xml:space="preserve"> </w:t>
      </w:r>
      <w:proofErr w:type="spellStart"/>
      <w:r w:rsidRPr="000E26E1">
        <w:rPr>
          <w:lang w:val="pt-BR"/>
        </w:rPr>
        <w:t>and</w:t>
      </w:r>
      <w:proofErr w:type="spellEnd"/>
      <w:r w:rsidRPr="000E26E1">
        <w:rPr>
          <w:lang w:val="pt-BR"/>
        </w:rPr>
        <w:t xml:space="preserve"> </w:t>
      </w:r>
      <w:hyperlink r:id="rId12" w:history="1">
        <w:r w:rsidRPr="008620EF">
          <w:rPr>
            <w:rStyle w:val="Hyperlink"/>
            <w:lang w:val="pt-BR"/>
          </w:rPr>
          <w:t>CERD/C/SRB/6-9</w:t>
        </w:r>
      </w:hyperlink>
      <w:r>
        <w:rPr>
          <w:lang w:val="pt-BR"/>
        </w:rPr>
        <w:t>,</w:t>
      </w:r>
      <w:r w:rsidRPr="000E26E1">
        <w:rPr>
          <w:lang w:val="pt-BR"/>
        </w:rPr>
        <w:t xml:space="preserve"> paras. 63–71.</w:t>
      </w:r>
    </w:p>
  </w:footnote>
  <w:footnote w:id="9">
    <w:p w14:paraId="24781610" w14:textId="07B12973" w:rsidR="001311B5" w:rsidRPr="000E26E1" w:rsidRDefault="001311B5" w:rsidP="001311B5">
      <w:pPr>
        <w:pStyle w:val="FootnoteText"/>
        <w:rPr>
          <w:lang w:val="pt-BR"/>
        </w:rPr>
      </w:pPr>
      <w:r w:rsidRPr="000E26E1">
        <w:rPr>
          <w:lang w:val="pt-BR"/>
        </w:rPr>
        <w:tab/>
      </w:r>
      <w:r>
        <w:rPr>
          <w:rStyle w:val="FootnoteReference"/>
        </w:rPr>
        <w:footnoteRef/>
      </w:r>
      <w:r w:rsidRPr="000E26E1">
        <w:rPr>
          <w:lang w:val="pt-BR"/>
        </w:rPr>
        <w:t xml:space="preserve"> </w:t>
      </w:r>
      <w:r w:rsidRPr="000E26E1">
        <w:rPr>
          <w:lang w:val="pt-BR"/>
        </w:rPr>
        <w:tab/>
      </w:r>
      <w:hyperlink r:id="rId13" w:history="1">
        <w:r w:rsidRPr="008620EF">
          <w:rPr>
            <w:rStyle w:val="Hyperlink"/>
            <w:lang w:val="pt-BR"/>
          </w:rPr>
          <w:t>CERD/C/SRB/CO/2-5</w:t>
        </w:r>
      </w:hyperlink>
      <w:r w:rsidRPr="000E26E1">
        <w:rPr>
          <w:lang w:val="pt-BR"/>
        </w:rPr>
        <w:t>, para. 25</w:t>
      </w:r>
      <w:r>
        <w:rPr>
          <w:lang w:val="pt-BR"/>
        </w:rPr>
        <w:t>;</w:t>
      </w:r>
      <w:r w:rsidRPr="000E26E1">
        <w:rPr>
          <w:lang w:val="pt-BR"/>
        </w:rPr>
        <w:t xml:space="preserve"> </w:t>
      </w:r>
      <w:proofErr w:type="spellStart"/>
      <w:r w:rsidRPr="000E26E1">
        <w:rPr>
          <w:lang w:val="pt-BR"/>
        </w:rPr>
        <w:t>and</w:t>
      </w:r>
      <w:proofErr w:type="spellEnd"/>
      <w:r w:rsidRPr="000E26E1">
        <w:rPr>
          <w:lang w:val="pt-BR"/>
        </w:rPr>
        <w:t xml:space="preserve"> </w:t>
      </w:r>
      <w:bookmarkStart w:id="0" w:name="_Hlk220666765"/>
      <w:r w:rsidR="00534AB1" w:rsidRPr="008620EF">
        <w:rPr>
          <w:color w:val="0000FF"/>
          <w:lang w:val="pt-BR"/>
        </w:rPr>
        <w:fldChar w:fldCharType="begin"/>
      </w:r>
      <w:r w:rsidR="008620EF" w:rsidRPr="008620EF">
        <w:rPr>
          <w:color w:val="0000FF"/>
          <w:lang w:val="pt-BR"/>
        </w:rPr>
        <w:instrText>HYPERLINK "https://docs.un.org/en/CERD/C/SRB/6-9"</w:instrText>
      </w:r>
      <w:r w:rsidR="008620EF" w:rsidRPr="008620EF">
        <w:rPr>
          <w:color w:val="0000FF"/>
          <w:lang w:val="pt-BR"/>
        </w:rPr>
      </w:r>
      <w:r w:rsidR="00534AB1" w:rsidRPr="008620EF">
        <w:rPr>
          <w:color w:val="0000FF"/>
          <w:lang w:val="pt-BR"/>
        </w:rPr>
        <w:fldChar w:fldCharType="separate"/>
      </w:r>
      <w:r w:rsidRPr="008620EF">
        <w:rPr>
          <w:rStyle w:val="Hyperlink"/>
          <w:lang w:val="pt-BR"/>
        </w:rPr>
        <w:t>CERD/C/SRB/6-9</w:t>
      </w:r>
      <w:r w:rsidR="00534AB1" w:rsidRPr="008620EF">
        <w:rPr>
          <w:color w:val="0000FF"/>
          <w:lang w:val="pt-BR"/>
        </w:rPr>
        <w:fldChar w:fldCharType="end"/>
      </w:r>
      <w:r>
        <w:rPr>
          <w:lang w:val="pt-BR"/>
        </w:rPr>
        <w:t>,</w:t>
      </w:r>
      <w:r w:rsidRPr="000E26E1">
        <w:rPr>
          <w:lang w:val="pt-BR"/>
        </w:rPr>
        <w:t xml:space="preserve"> paras. 127–132.</w:t>
      </w:r>
      <w:bookmarkEnd w:id="0"/>
    </w:p>
  </w:footnote>
  <w:footnote w:id="10">
    <w:p w14:paraId="2DF33064" w14:textId="377AFD50" w:rsidR="001311B5" w:rsidRPr="000E26E1" w:rsidRDefault="001311B5" w:rsidP="001311B5">
      <w:pPr>
        <w:pStyle w:val="FootnoteText"/>
        <w:rPr>
          <w:lang w:val="pt-BR"/>
        </w:rPr>
      </w:pPr>
      <w:r w:rsidRPr="000E26E1">
        <w:rPr>
          <w:lang w:val="pt-BR"/>
        </w:rPr>
        <w:tab/>
      </w:r>
      <w:r>
        <w:rPr>
          <w:rStyle w:val="FootnoteReference"/>
        </w:rPr>
        <w:footnoteRef/>
      </w:r>
      <w:r w:rsidRPr="000E26E1">
        <w:rPr>
          <w:lang w:val="pt-BR"/>
        </w:rPr>
        <w:t xml:space="preserve"> </w:t>
      </w:r>
      <w:r w:rsidRPr="000E26E1">
        <w:rPr>
          <w:lang w:val="pt-BR"/>
        </w:rPr>
        <w:tab/>
      </w:r>
      <w:hyperlink r:id="rId14" w:history="1">
        <w:r w:rsidRPr="008620EF">
          <w:rPr>
            <w:rStyle w:val="Hyperlink"/>
            <w:lang w:val="pt-BR"/>
          </w:rPr>
          <w:t>CERD/C/SRB/6-9</w:t>
        </w:r>
      </w:hyperlink>
      <w:r>
        <w:rPr>
          <w:lang w:val="pt-BR"/>
        </w:rPr>
        <w:t>,</w:t>
      </w:r>
      <w:r w:rsidRPr="000E26E1">
        <w:rPr>
          <w:lang w:val="pt-BR"/>
        </w:rPr>
        <w:t xml:space="preserve"> paras. 118–125, 135–172 </w:t>
      </w:r>
      <w:proofErr w:type="spellStart"/>
      <w:r w:rsidRPr="000E26E1">
        <w:rPr>
          <w:lang w:val="pt-BR"/>
        </w:rPr>
        <w:t>and</w:t>
      </w:r>
      <w:proofErr w:type="spellEnd"/>
      <w:r w:rsidRPr="000E26E1">
        <w:rPr>
          <w:lang w:val="pt-BR"/>
        </w:rPr>
        <w:t xml:space="preserve"> 203–228.</w:t>
      </w:r>
    </w:p>
  </w:footnote>
  <w:footnote w:id="11">
    <w:p w14:paraId="6594383B" w14:textId="77777777" w:rsidR="001311B5" w:rsidRPr="00554A24" w:rsidRDefault="001311B5" w:rsidP="001311B5">
      <w:pPr>
        <w:pStyle w:val="FootnoteText"/>
        <w:rPr>
          <w:lang w:val="es-ES"/>
        </w:rPr>
      </w:pPr>
      <w:r w:rsidRPr="000E26E1">
        <w:rPr>
          <w:lang w:val="pt-BR"/>
        </w:rPr>
        <w:tab/>
      </w:r>
      <w:r>
        <w:rPr>
          <w:rStyle w:val="FootnoteReference"/>
        </w:rPr>
        <w:footnoteRef/>
      </w:r>
      <w:r w:rsidRPr="00554A24">
        <w:rPr>
          <w:lang w:val="es-ES"/>
        </w:rPr>
        <w:t xml:space="preserve"> </w:t>
      </w:r>
      <w:r w:rsidRPr="00554A24">
        <w:rPr>
          <w:lang w:val="es-ES"/>
        </w:rPr>
        <w:tab/>
        <w:t>Ibid., paras. 141–145.</w:t>
      </w:r>
    </w:p>
  </w:footnote>
  <w:footnote w:id="12">
    <w:p w14:paraId="023E095A" w14:textId="77777777" w:rsidR="001311B5" w:rsidRPr="001311B5" w:rsidRDefault="001311B5" w:rsidP="001311B5">
      <w:pPr>
        <w:pStyle w:val="FootnoteText"/>
      </w:pPr>
      <w:r w:rsidRPr="00554A24">
        <w:rPr>
          <w:lang w:val="es-ES"/>
        </w:rPr>
        <w:tab/>
      </w:r>
      <w:r>
        <w:rPr>
          <w:rStyle w:val="FootnoteReference"/>
        </w:rPr>
        <w:footnoteRef/>
      </w:r>
      <w:r w:rsidRPr="00554A24">
        <w:rPr>
          <w:lang w:val="es-ES"/>
        </w:rPr>
        <w:t xml:space="preserve"> </w:t>
      </w:r>
      <w:r w:rsidRPr="00554A24">
        <w:rPr>
          <w:lang w:val="es-ES"/>
        </w:rPr>
        <w:tab/>
        <w:t xml:space="preserve">Ibid., paras. </w:t>
      </w:r>
      <w:r w:rsidRPr="001311B5">
        <w:t>30–36.</w:t>
      </w:r>
    </w:p>
  </w:footnote>
  <w:footnote w:id="13">
    <w:p w14:paraId="20F973F9" w14:textId="082C38E2" w:rsidR="001311B5" w:rsidRPr="00302803" w:rsidRDefault="001311B5" w:rsidP="001311B5">
      <w:pPr>
        <w:pStyle w:val="FootnoteText"/>
        <w:rPr>
          <w:lang w:val="en-US"/>
        </w:rPr>
      </w:pPr>
      <w:r w:rsidRPr="001311B5">
        <w:tab/>
      </w:r>
      <w:r>
        <w:rPr>
          <w:rStyle w:val="FootnoteReference"/>
        </w:rPr>
        <w:footnoteRef/>
      </w:r>
      <w:r w:rsidRPr="00554A24">
        <w:rPr>
          <w:lang w:val="pt-BR"/>
        </w:rPr>
        <w:t xml:space="preserve"> </w:t>
      </w:r>
      <w:r w:rsidRPr="00554A24">
        <w:rPr>
          <w:lang w:val="pt-BR"/>
        </w:rPr>
        <w:tab/>
      </w:r>
      <w:hyperlink r:id="rId15" w:history="1">
        <w:r w:rsidRPr="008620EF">
          <w:rPr>
            <w:rStyle w:val="Hyperlink"/>
            <w:lang w:val="pt-BR"/>
          </w:rPr>
          <w:t>CERD/C/SRB/CO/2-5</w:t>
        </w:r>
      </w:hyperlink>
      <w:r w:rsidRPr="00554A24">
        <w:rPr>
          <w:lang w:val="pt-BR"/>
        </w:rPr>
        <w:t xml:space="preserve">, paras. </w:t>
      </w:r>
      <w:r w:rsidRPr="00554A24">
        <w:rPr>
          <w:lang w:val="en-US"/>
        </w:rPr>
        <w:t xml:space="preserve">21 and 25; and </w:t>
      </w:r>
      <w:hyperlink r:id="rId16" w:history="1">
        <w:r w:rsidRPr="008620EF">
          <w:rPr>
            <w:rStyle w:val="Hyperlink"/>
            <w:lang w:val="en-US"/>
          </w:rPr>
          <w:t>CERD/C/SRB/6-9</w:t>
        </w:r>
      </w:hyperlink>
      <w:r w:rsidRPr="00554A24">
        <w:rPr>
          <w:lang w:val="en-US"/>
        </w:rPr>
        <w:t xml:space="preserve">, paras. </w:t>
      </w:r>
      <w:r w:rsidRPr="00302803">
        <w:rPr>
          <w:lang w:val="en-US"/>
        </w:rPr>
        <w:t>72–80 and 203–225.</w:t>
      </w:r>
    </w:p>
  </w:footnote>
  <w:footnote w:id="14">
    <w:p w14:paraId="1CE2ECBB" w14:textId="02F5F0AD" w:rsidR="001311B5" w:rsidRPr="00B274C6" w:rsidRDefault="001311B5" w:rsidP="001311B5">
      <w:pPr>
        <w:pStyle w:val="FootnoteText"/>
        <w:rPr>
          <w:lang w:val="en-US"/>
        </w:rPr>
      </w:pPr>
      <w:r>
        <w:tab/>
      </w:r>
      <w:r>
        <w:rPr>
          <w:rStyle w:val="FootnoteReference"/>
        </w:rPr>
        <w:footnoteRef/>
      </w:r>
      <w:r>
        <w:t xml:space="preserve"> </w:t>
      </w:r>
      <w:r>
        <w:tab/>
      </w:r>
      <w:hyperlink r:id="rId17" w:history="1">
        <w:r w:rsidRPr="008620EF">
          <w:rPr>
            <w:rStyle w:val="Hyperlink"/>
            <w:lang w:val="en-US"/>
          </w:rPr>
          <w:t>CERD/C/SRB/CO/2-5</w:t>
        </w:r>
      </w:hyperlink>
      <w:r w:rsidRPr="00B274C6">
        <w:rPr>
          <w:lang w:val="en-US"/>
        </w:rPr>
        <w:t xml:space="preserve">, para. 21; and </w:t>
      </w:r>
      <w:hyperlink r:id="rId18" w:history="1">
        <w:r w:rsidRPr="008620EF">
          <w:rPr>
            <w:rStyle w:val="Hyperlink"/>
            <w:lang w:val="en-US"/>
          </w:rPr>
          <w:t>CERD/C/SRB/6-9</w:t>
        </w:r>
      </w:hyperlink>
      <w:r>
        <w:t>,</w:t>
      </w:r>
      <w:r w:rsidRPr="00B274C6">
        <w:rPr>
          <w:lang w:val="en-US"/>
        </w:rPr>
        <w:t xml:space="preserve"> paras. </w:t>
      </w:r>
      <w:r w:rsidRPr="00204C31">
        <w:rPr>
          <w:lang w:val="en-US"/>
        </w:rPr>
        <w:t>203–2</w:t>
      </w:r>
      <w:r>
        <w:rPr>
          <w:lang w:val="en-US"/>
        </w:rPr>
        <w:t>10</w:t>
      </w:r>
      <w:r w:rsidRPr="00204C31">
        <w:rPr>
          <w:lang w:val="en-US"/>
        </w:rPr>
        <w:t>.</w:t>
      </w:r>
    </w:p>
  </w:footnote>
  <w:footnote w:id="15">
    <w:p w14:paraId="48A0812C" w14:textId="60609AB1" w:rsidR="001311B5" w:rsidRPr="00B2443F" w:rsidRDefault="001311B5" w:rsidP="001311B5">
      <w:pPr>
        <w:pStyle w:val="FootnoteText"/>
        <w:rPr>
          <w:lang w:val="en-US"/>
        </w:rPr>
      </w:pPr>
      <w:r>
        <w:rPr>
          <w:lang w:val="en-US"/>
        </w:rPr>
        <w:tab/>
      </w:r>
      <w:r>
        <w:rPr>
          <w:rStyle w:val="FootnoteReference"/>
        </w:rPr>
        <w:footnoteRef/>
      </w:r>
      <w:r w:rsidRPr="00B52768">
        <w:rPr>
          <w:lang w:val="en-US"/>
        </w:rPr>
        <w:t xml:space="preserve"> </w:t>
      </w:r>
      <w:r>
        <w:rPr>
          <w:lang w:val="en-US"/>
        </w:rPr>
        <w:tab/>
      </w:r>
      <w:hyperlink r:id="rId19" w:history="1">
        <w:r w:rsidRPr="008620EF">
          <w:rPr>
            <w:rStyle w:val="Hyperlink"/>
            <w:lang w:val="en-US"/>
          </w:rPr>
          <w:t>CERD/C/SRB/CO/2-5</w:t>
        </w:r>
      </w:hyperlink>
      <w:r w:rsidRPr="00B52768">
        <w:rPr>
          <w:lang w:val="en-US"/>
        </w:rPr>
        <w:t xml:space="preserve">, para. </w:t>
      </w:r>
      <w:r w:rsidRPr="00B2443F">
        <w:rPr>
          <w:lang w:val="en-US"/>
        </w:rPr>
        <w:t>14</w:t>
      </w:r>
      <w:r>
        <w:rPr>
          <w:lang w:val="en-US"/>
        </w:rPr>
        <w:t>;</w:t>
      </w:r>
      <w:r w:rsidRPr="00B2443F">
        <w:rPr>
          <w:lang w:val="en-US"/>
        </w:rPr>
        <w:t xml:space="preserve"> and </w:t>
      </w:r>
      <w:hyperlink r:id="rId20" w:history="1">
        <w:r w:rsidRPr="008620EF">
          <w:rPr>
            <w:rStyle w:val="Hyperlink"/>
            <w:lang w:val="en-US"/>
          </w:rPr>
          <w:t>CERD/C/SRB/6-9</w:t>
        </w:r>
      </w:hyperlink>
      <w:r>
        <w:rPr>
          <w:lang w:val="en-US"/>
        </w:rPr>
        <w:t>,</w:t>
      </w:r>
      <w:r w:rsidRPr="00B2443F">
        <w:rPr>
          <w:lang w:val="en-US"/>
        </w:rPr>
        <w:t xml:space="preserve"> paras. 89 and </w:t>
      </w:r>
      <w:r>
        <w:rPr>
          <w:lang w:val="en-US"/>
        </w:rPr>
        <w:t>122</w:t>
      </w:r>
      <w:r w:rsidRPr="00CD0EFD">
        <w:rPr>
          <w:lang w:val="en-US"/>
        </w:rPr>
        <w:t>–</w:t>
      </w:r>
      <w:r>
        <w:rPr>
          <w:lang w:val="en-US"/>
        </w:rPr>
        <w:t>126.</w:t>
      </w:r>
    </w:p>
  </w:footnote>
  <w:footnote w:id="16">
    <w:p w14:paraId="50885A83" w14:textId="16707D04" w:rsidR="001311B5" w:rsidRPr="00326200" w:rsidRDefault="001311B5" w:rsidP="001311B5">
      <w:pPr>
        <w:pStyle w:val="FootnoteText"/>
        <w:rPr>
          <w:lang w:val="en-US"/>
        </w:rPr>
      </w:pPr>
      <w:r>
        <w:tab/>
      </w:r>
      <w:r>
        <w:rPr>
          <w:rStyle w:val="FootnoteReference"/>
        </w:rPr>
        <w:footnoteRef/>
      </w:r>
      <w:r>
        <w:t xml:space="preserve"> </w:t>
      </w:r>
      <w:r>
        <w:tab/>
      </w:r>
      <w:hyperlink r:id="rId21" w:history="1">
        <w:r w:rsidRPr="008620EF">
          <w:rPr>
            <w:rStyle w:val="Hyperlink"/>
            <w:lang w:val="en-US"/>
          </w:rPr>
          <w:t>CERD/C/SRB/6-9</w:t>
        </w:r>
      </w:hyperlink>
      <w:r>
        <w:rPr>
          <w:lang w:val="en-US"/>
        </w:rPr>
        <w:t>,</w:t>
      </w:r>
      <w:r w:rsidRPr="00B2443F">
        <w:rPr>
          <w:lang w:val="en-US"/>
        </w:rPr>
        <w:t xml:space="preserve"> paras. </w:t>
      </w:r>
      <w:r>
        <w:rPr>
          <w:lang w:val="en-US"/>
        </w:rPr>
        <w:t xml:space="preserve">27–45, </w:t>
      </w:r>
      <w:r w:rsidRPr="00B2443F">
        <w:rPr>
          <w:lang w:val="en-US"/>
        </w:rPr>
        <w:t xml:space="preserve">89 </w:t>
      </w:r>
      <w:r>
        <w:rPr>
          <w:lang w:val="en-US"/>
        </w:rPr>
        <w:t>and 173</w:t>
      </w:r>
      <w:r w:rsidRPr="00CD0EFD">
        <w:rPr>
          <w:lang w:val="en-US"/>
        </w:rPr>
        <w:t>–</w:t>
      </w:r>
      <w:r>
        <w:rPr>
          <w:lang w:val="en-US"/>
        </w:rPr>
        <w:t>178.</w:t>
      </w:r>
    </w:p>
  </w:footnote>
  <w:footnote w:id="17">
    <w:p w14:paraId="1A053227" w14:textId="3CE8161E" w:rsidR="001311B5" w:rsidRPr="000E0091" w:rsidRDefault="001311B5" w:rsidP="001311B5">
      <w:pPr>
        <w:pStyle w:val="FootnoteText"/>
        <w:rPr>
          <w:lang w:val="en-US"/>
        </w:rPr>
      </w:pPr>
      <w:r>
        <w:tab/>
      </w:r>
      <w:r>
        <w:rPr>
          <w:rStyle w:val="FootnoteReference"/>
        </w:rPr>
        <w:footnoteRef/>
      </w:r>
      <w:r w:rsidRPr="00424CF9">
        <w:rPr>
          <w:lang w:val="pt-BR"/>
        </w:rPr>
        <w:t xml:space="preserve"> </w:t>
      </w:r>
      <w:r w:rsidRPr="00424CF9">
        <w:rPr>
          <w:lang w:val="pt-BR"/>
        </w:rPr>
        <w:tab/>
      </w:r>
      <w:hyperlink r:id="rId22" w:history="1">
        <w:r w:rsidRPr="008620EF">
          <w:rPr>
            <w:rStyle w:val="Hyperlink"/>
            <w:lang w:val="pt-BR"/>
          </w:rPr>
          <w:t>CERD/C/SRB/CO/2-5</w:t>
        </w:r>
      </w:hyperlink>
      <w:r w:rsidRPr="00424CF9">
        <w:rPr>
          <w:lang w:val="pt-BR"/>
        </w:rPr>
        <w:t xml:space="preserve">, para. </w:t>
      </w:r>
      <w:r w:rsidRPr="00B274C6">
        <w:rPr>
          <w:lang w:val="en-US"/>
        </w:rPr>
        <w:t>2</w:t>
      </w:r>
      <w:r>
        <w:rPr>
          <w:lang w:val="en-US"/>
        </w:rPr>
        <w:t>7</w:t>
      </w:r>
      <w:r w:rsidRPr="00B274C6">
        <w:rPr>
          <w:lang w:val="en-US"/>
        </w:rPr>
        <w:t xml:space="preserve">; and </w:t>
      </w:r>
      <w:hyperlink r:id="rId23" w:history="1">
        <w:r w:rsidRPr="008620EF">
          <w:rPr>
            <w:rStyle w:val="Hyperlink"/>
            <w:lang w:val="en-US"/>
          </w:rPr>
          <w:t>CERD/C/SRB/6-9</w:t>
        </w:r>
      </w:hyperlink>
      <w:r>
        <w:t>,</w:t>
      </w:r>
      <w:r w:rsidRPr="00B274C6">
        <w:rPr>
          <w:lang w:val="en-US"/>
        </w:rPr>
        <w:t xml:space="preserve"> paras. </w:t>
      </w:r>
      <w:r>
        <w:rPr>
          <w:lang w:val="en-US"/>
        </w:rPr>
        <w:t>7</w:t>
      </w:r>
      <w:r w:rsidRPr="00204C31">
        <w:rPr>
          <w:lang w:val="en-US"/>
        </w:rPr>
        <w:t>–</w:t>
      </w:r>
      <w:r>
        <w:rPr>
          <w:lang w:val="en-US"/>
        </w:rPr>
        <w:t>51 and 234–252</w:t>
      </w:r>
      <w:r w:rsidRPr="00204C31">
        <w:rPr>
          <w:lang w:val="en-US"/>
        </w:rPr>
        <w:t>.</w:t>
      </w:r>
    </w:p>
  </w:footnote>
  <w:footnote w:id="18">
    <w:p w14:paraId="5461BE7C" w14:textId="3DB572CB" w:rsidR="001311B5" w:rsidRPr="00830E62" w:rsidRDefault="001311B5" w:rsidP="001311B5">
      <w:pPr>
        <w:pStyle w:val="FootnoteText"/>
        <w:rPr>
          <w:lang w:val="en-US"/>
        </w:rPr>
      </w:pPr>
      <w:r>
        <w:tab/>
      </w:r>
      <w:r>
        <w:rPr>
          <w:rStyle w:val="FootnoteReference"/>
        </w:rPr>
        <w:footnoteRef/>
      </w:r>
      <w:r>
        <w:t xml:space="preserve"> </w:t>
      </w:r>
      <w:r>
        <w:tab/>
      </w:r>
      <w:hyperlink r:id="rId24" w:history="1">
        <w:r w:rsidRPr="008620EF">
          <w:rPr>
            <w:rStyle w:val="Hyperlink"/>
            <w:lang w:val="en-US"/>
          </w:rPr>
          <w:t>CERD/C/SRB/6-9</w:t>
        </w:r>
      </w:hyperlink>
      <w:r>
        <w:t>,</w:t>
      </w:r>
      <w:r w:rsidRPr="00B274C6">
        <w:rPr>
          <w:lang w:val="en-US"/>
        </w:rPr>
        <w:t xml:space="preserve"> paras. </w:t>
      </w:r>
      <w:r>
        <w:rPr>
          <w:lang w:val="en-US"/>
        </w:rPr>
        <w:t>246–252</w:t>
      </w:r>
      <w:r w:rsidRPr="00204C31">
        <w:rPr>
          <w:lang w:val="en-US"/>
        </w:rPr>
        <w:t>.</w:t>
      </w:r>
    </w:p>
  </w:footnote>
  <w:footnote w:id="19">
    <w:p w14:paraId="44D57D5A" w14:textId="630BE2C5" w:rsidR="001311B5" w:rsidRPr="001311B5" w:rsidRDefault="001311B5" w:rsidP="001311B5">
      <w:pPr>
        <w:pStyle w:val="FootnoteText"/>
        <w:rPr>
          <w:lang w:val="fr-CH"/>
        </w:rPr>
      </w:pPr>
      <w:r>
        <w:rPr>
          <w:lang w:val="en-US"/>
        </w:rPr>
        <w:tab/>
      </w:r>
      <w:r>
        <w:rPr>
          <w:rStyle w:val="FootnoteReference"/>
        </w:rPr>
        <w:footnoteRef/>
      </w:r>
      <w:r w:rsidRPr="00554A24">
        <w:rPr>
          <w:lang w:val="pt-BR"/>
        </w:rPr>
        <w:t xml:space="preserve"> </w:t>
      </w:r>
      <w:r w:rsidRPr="00554A24">
        <w:rPr>
          <w:lang w:val="pt-BR"/>
        </w:rPr>
        <w:tab/>
      </w:r>
      <w:hyperlink r:id="rId25" w:history="1">
        <w:r w:rsidRPr="008620EF">
          <w:rPr>
            <w:rStyle w:val="Hyperlink"/>
            <w:lang w:val="pt-BR"/>
          </w:rPr>
          <w:t>CERD/C/SRB/CO/2-5</w:t>
        </w:r>
      </w:hyperlink>
      <w:r w:rsidRPr="00554A24">
        <w:rPr>
          <w:lang w:val="pt-BR"/>
        </w:rPr>
        <w:t xml:space="preserve">, para. </w:t>
      </w:r>
      <w:r w:rsidRPr="00534AB1">
        <w:t xml:space="preserve">19; and </w:t>
      </w:r>
      <w:hyperlink r:id="rId26" w:history="1">
        <w:r w:rsidRPr="008620EF">
          <w:rPr>
            <w:rStyle w:val="Hyperlink"/>
          </w:rPr>
          <w:t>CERD/C/SRB/6-9</w:t>
        </w:r>
      </w:hyperlink>
      <w:r w:rsidRPr="00534AB1">
        <w:t xml:space="preserve">, paras. </w:t>
      </w:r>
      <w:r w:rsidRPr="001311B5">
        <w:rPr>
          <w:lang w:val="fr-CH"/>
        </w:rPr>
        <w:t>190–195.</w:t>
      </w:r>
    </w:p>
  </w:footnote>
  <w:footnote w:id="20">
    <w:p w14:paraId="4D36CB86" w14:textId="2C01DA8F" w:rsidR="001311B5" w:rsidRPr="00554A24" w:rsidRDefault="001311B5" w:rsidP="001311B5">
      <w:pPr>
        <w:pStyle w:val="FootnoteText"/>
        <w:rPr>
          <w:lang w:val="es-ES"/>
        </w:rPr>
      </w:pPr>
      <w:r w:rsidRPr="001311B5">
        <w:rPr>
          <w:lang w:val="fr-CH"/>
        </w:rPr>
        <w:tab/>
      </w:r>
      <w:r>
        <w:rPr>
          <w:rStyle w:val="FootnoteReference"/>
        </w:rPr>
        <w:footnoteRef/>
      </w:r>
      <w:r w:rsidRPr="00534AB1">
        <w:rPr>
          <w:lang w:val="es-ES"/>
        </w:rPr>
        <w:t xml:space="preserve"> </w:t>
      </w:r>
      <w:r w:rsidRPr="00534AB1">
        <w:rPr>
          <w:lang w:val="es-ES"/>
        </w:rPr>
        <w:tab/>
      </w:r>
      <w:hyperlink r:id="rId27" w:history="1">
        <w:r w:rsidRPr="008620EF">
          <w:rPr>
            <w:rStyle w:val="Hyperlink"/>
            <w:lang w:val="es-ES"/>
          </w:rPr>
          <w:t>CERD/C/SRB/6-9</w:t>
        </w:r>
      </w:hyperlink>
      <w:r w:rsidRPr="00534AB1">
        <w:rPr>
          <w:lang w:val="es-ES"/>
        </w:rPr>
        <w:t xml:space="preserve">, paras. </w:t>
      </w:r>
      <w:r w:rsidRPr="00554A24">
        <w:rPr>
          <w:lang w:val="es-ES"/>
        </w:rPr>
        <w:t>146–156.</w:t>
      </w:r>
    </w:p>
  </w:footnote>
  <w:footnote w:id="21">
    <w:p w14:paraId="4A2AA7C0" w14:textId="77777777" w:rsidR="001311B5" w:rsidRPr="00554A24" w:rsidRDefault="001311B5" w:rsidP="001311B5">
      <w:pPr>
        <w:pStyle w:val="FootnoteText"/>
        <w:rPr>
          <w:lang w:val="es-ES"/>
        </w:rPr>
      </w:pPr>
      <w:r w:rsidRPr="00554A24">
        <w:rPr>
          <w:lang w:val="es-ES"/>
        </w:rPr>
        <w:tab/>
      </w:r>
      <w:r>
        <w:rPr>
          <w:rStyle w:val="FootnoteReference"/>
        </w:rPr>
        <w:footnoteRef/>
      </w:r>
      <w:r w:rsidRPr="00554A24">
        <w:rPr>
          <w:lang w:val="es-ES"/>
        </w:rPr>
        <w:t xml:space="preserve"> </w:t>
      </w:r>
      <w:r w:rsidRPr="00554A24">
        <w:rPr>
          <w:lang w:val="es-ES"/>
        </w:rPr>
        <w:tab/>
        <w:t>Ibid., paras. 196–233.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544D3" w14:textId="79123E6F" w:rsidR="00607541" w:rsidRDefault="00607541" w:rsidP="00607541">
    <w:pPr>
      <w:pStyle w:val="Header"/>
    </w:pPr>
    <w:r>
      <w:t>CERD/C/SRB/Q/6-9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A2DD6" w14:textId="1EB43BB0" w:rsidR="00607541" w:rsidRDefault="00607541" w:rsidP="00607541">
    <w:pPr>
      <w:pStyle w:val="Header"/>
      <w:jc w:val="right"/>
    </w:pPr>
    <w:r>
      <w:t>CERD/C/SRB/Q/6-9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17101061">
    <w:abstractNumId w:val="3"/>
  </w:num>
  <w:num w:numId="2" w16cid:durableId="608660104">
    <w:abstractNumId w:val="2"/>
  </w:num>
  <w:num w:numId="3" w16cid:durableId="253629949">
    <w:abstractNumId w:val="0"/>
  </w:num>
  <w:num w:numId="4" w16cid:durableId="1820076250">
    <w:abstractNumId w:val="4"/>
  </w:num>
  <w:num w:numId="5" w16cid:durableId="1556621660">
    <w:abstractNumId w:val="5"/>
  </w:num>
  <w:num w:numId="6" w16cid:durableId="942998942">
    <w:abstractNumId w:val="6"/>
  </w:num>
  <w:num w:numId="7" w16cid:durableId="18519882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activeWritingStyle w:appName="MSWord" w:lang="en-GB" w:vendorID="64" w:dllVersion="6" w:nlCheck="1" w:checkStyle="0"/>
  <w:activeWritingStyle w:appName="MSWord" w:lang="en-GB" w:vendorID="64" w:dllVersion="0" w:nlCheck="1" w:checkStyle="0"/>
  <w:activeWritingStyle w:appName="MSWord" w:lang="pt-BR" w:vendorID="64" w:dllVersion="0" w:nlCheck="1" w:checkStyle="0"/>
  <w:activeWritingStyle w:appName="MSWord" w:lang="es-ES" w:vendorID="64" w:dllVersion="0" w:nlCheck="1" w:checkStyle="0"/>
  <w:activeWritingStyle w:appName="MSWord" w:lang="en-US" w:vendorID="64" w:dllVersion="0" w:nlCheck="1" w:checkStyle="0"/>
  <w:activeWritingStyle w:appName="MSWord" w:lang="fr-CH"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E66"/>
    <w:rsid w:val="00002CD0"/>
    <w:rsid w:val="00021C97"/>
    <w:rsid w:val="00046E92"/>
    <w:rsid w:val="00080034"/>
    <w:rsid w:val="001311B5"/>
    <w:rsid w:val="00142F44"/>
    <w:rsid w:val="001C3218"/>
    <w:rsid w:val="00247E2C"/>
    <w:rsid w:val="002D6C53"/>
    <w:rsid w:val="002F5595"/>
    <w:rsid w:val="00307688"/>
    <w:rsid w:val="00314E25"/>
    <w:rsid w:val="00334F6A"/>
    <w:rsid w:val="00342AC8"/>
    <w:rsid w:val="003A444F"/>
    <w:rsid w:val="003B4550"/>
    <w:rsid w:val="004541E5"/>
    <w:rsid w:val="00461253"/>
    <w:rsid w:val="005042C2"/>
    <w:rsid w:val="00507E66"/>
    <w:rsid w:val="00534AB1"/>
    <w:rsid w:val="00555BE9"/>
    <w:rsid w:val="00557F19"/>
    <w:rsid w:val="005F2E0B"/>
    <w:rsid w:val="00607541"/>
    <w:rsid w:val="00623690"/>
    <w:rsid w:val="0064263C"/>
    <w:rsid w:val="00671529"/>
    <w:rsid w:val="00696409"/>
    <w:rsid w:val="006C55BC"/>
    <w:rsid w:val="007233F9"/>
    <w:rsid w:val="007268F9"/>
    <w:rsid w:val="00735147"/>
    <w:rsid w:val="007623DC"/>
    <w:rsid w:val="007C52B0"/>
    <w:rsid w:val="007E67BD"/>
    <w:rsid w:val="007F2A9C"/>
    <w:rsid w:val="008620EF"/>
    <w:rsid w:val="00883988"/>
    <w:rsid w:val="008E0F96"/>
    <w:rsid w:val="00913CD0"/>
    <w:rsid w:val="009411B4"/>
    <w:rsid w:val="009C547B"/>
    <w:rsid w:val="009D0139"/>
    <w:rsid w:val="009F5CDC"/>
    <w:rsid w:val="00A0297D"/>
    <w:rsid w:val="00A775CF"/>
    <w:rsid w:val="00A8196B"/>
    <w:rsid w:val="00B06045"/>
    <w:rsid w:val="00B65189"/>
    <w:rsid w:val="00B82518"/>
    <w:rsid w:val="00B846A8"/>
    <w:rsid w:val="00C01462"/>
    <w:rsid w:val="00C35A27"/>
    <w:rsid w:val="00CB1FB9"/>
    <w:rsid w:val="00D70FE1"/>
    <w:rsid w:val="00DA7116"/>
    <w:rsid w:val="00DE532E"/>
    <w:rsid w:val="00E02C2B"/>
    <w:rsid w:val="00EA4D77"/>
    <w:rsid w:val="00ED6C48"/>
    <w:rsid w:val="00F65F5D"/>
    <w:rsid w:val="00F86A3A"/>
    <w:rsid w:val="00FF03A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1CA5CC"/>
  <w15:docId w15:val="{0106CC24-6F91-4EA6-817B-DBBC672FF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7F2A9C"/>
    <w:rPr>
      <w:color w:val="0000FF"/>
      <w:u w:val="none"/>
    </w:rPr>
  </w:style>
  <w:style w:type="character" w:styleId="FollowedHyperlink">
    <w:name w:val="FollowedHyperlink"/>
    <w:basedOn w:val="DefaultParagraphFont"/>
    <w:uiPriority w:val="99"/>
    <w:semiHidden/>
    <w:unhideWhenUsed/>
    <w:rsid w:val="00534AB1"/>
    <w:rPr>
      <w:color w:val="0000FF"/>
      <w:u w:val="single"/>
    </w:rPr>
  </w:style>
  <w:style w:type="character" w:styleId="UnresolvedMention">
    <w:name w:val="Unresolved Mention"/>
    <w:basedOn w:val="DefaultParagraphFont"/>
    <w:uiPriority w:val="99"/>
    <w:semiHidden/>
    <w:unhideWhenUsed/>
    <w:rsid w:val="00534A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ERD/C/SRB/6-9" TargetMode="External"/><Relationship Id="rId13" Type="http://schemas.openxmlformats.org/officeDocument/2006/relationships/hyperlink" Target="https://docs.un.org/en/CERD/C/SRB/CO/2-5" TargetMode="External"/><Relationship Id="rId18" Type="http://schemas.openxmlformats.org/officeDocument/2006/relationships/hyperlink" Target="https://docs.un.org/en/CERD/C/SRB/6-9" TargetMode="External"/><Relationship Id="rId26" Type="http://schemas.openxmlformats.org/officeDocument/2006/relationships/hyperlink" Target="https://docs.un.org/en/CERD/C/SRB/6-9" TargetMode="External"/><Relationship Id="rId3" Type="http://schemas.openxmlformats.org/officeDocument/2006/relationships/hyperlink" Target="https://docs.un.org/en/CERD/C/SRB/CO/2-5" TargetMode="External"/><Relationship Id="rId21" Type="http://schemas.openxmlformats.org/officeDocument/2006/relationships/hyperlink" Target="https://docs.un.org/en/CERD/C/SRB/6-9" TargetMode="External"/><Relationship Id="rId7" Type="http://schemas.openxmlformats.org/officeDocument/2006/relationships/hyperlink" Target="https://docs.un.org/en/CERD/C/SRB/6-9" TargetMode="External"/><Relationship Id="rId12" Type="http://schemas.openxmlformats.org/officeDocument/2006/relationships/hyperlink" Target="https://docs.un.org/en/CERD/C/SRB/6-9" TargetMode="External"/><Relationship Id="rId17" Type="http://schemas.openxmlformats.org/officeDocument/2006/relationships/hyperlink" Target="https://docs.un.org/en/CERD/C/SRB/CO/2-5" TargetMode="External"/><Relationship Id="rId25" Type="http://schemas.openxmlformats.org/officeDocument/2006/relationships/hyperlink" Target="https://docs.un.org/en/CERD/C/SRB/CO/2-5" TargetMode="External"/><Relationship Id="rId2" Type="http://schemas.openxmlformats.org/officeDocument/2006/relationships/hyperlink" Target="https://docs.un.org/en/CERD/C/SRB/6-9" TargetMode="External"/><Relationship Id="rId16" Type="http://schemas.openxmlformats.org/officeDocument/2006/relationships/hyperlink" Target="https://docs.un.org/en/CERD/C/SRB/6-9" TargetMode="External"/><Relationship Id="rId20" Type="http://schemas.openxmlformats.org/officeDocument/2006/relationships/hyperlink" Target="https://docs.un.org/en/CERD/C/SRB/6-9" TargetMode="External"/><Relationship Id="rId1" Type="http://schemas.openxmlformats.org/officeDocument/2006/relationships/hyperlink" Target="https://docs.un.org/en/A/65/18" TargetMode="External"/><Relationship Id="rId6" Type="http://schemas.openxmlformats.org/officeDocument/2006/relationships/hyperlink" Target="https://docs.un.org/en/CERD/C/SRB/CO/2-5" TargetMode="External"/><Relationship Id="rId11" Type="http://schemas.openxmlformats.org/officeDocument/2006/relationships/hyperlink" Target="https://docs.un.org/en/CERD/C/SRB/CO/2-5" TargetMode="External"/><Relationship Id="rId24" Type="http://schemas.openxmlformats.org/officeDocument/2006/relationships/hyperlink" Target="https://docs.un.org/en/CERD/C/SRB/6-9" TargetMode="External"/><Relationship Id="rId5" Type="http://schemas.openxmlformats.org/officeDocument/2006/relationships/hyperlink" Target="https://docs.un.org/en/CERD/C/SRB/6-9" TargetMode="External"/><Relationship Id="rId15" Type="http://schemas.openxmlformats.org/officeDocument/2006/relationships/hyperlink" Target="https://docs.un.org/en/CERD/C/SRB/CO/2-5" TargetMode="External"/><Relationship Id="rId23" Type="http://schemas.openxmlformats.org/officeDocument/2006/relationships/hyperlink" Target="https://docs.un.org/en/CERD/C/SRB/6-9" TargetMode="External"/><Relationship Id="rId10" Type="http://schemas.openxmlformats.org/officeDocument/2006/relationships/hyperlink" Target="https://docs.un.org/en/CERD/C/SRB/6-9" TargetMode="External"/><Relationship Id="rId19" Type="http://schemas.openxmlformats.org/officeDocument/2006/relationships/hyperlink" Target="https://docs.un.org/en/CERD/C/SRB/CO/2-5" TargetMode="External"/><Relationship Id="rId4" Type="http://schemas.openxmlformats.org/officeDocument/2006/relationships/hyperlink" Target="https://docs.un.org/en/CERD/C/SRB/6-9" TargetMode="External"/><Relationship Id="rId9" Type="http://schemas.openxmlformats.org/officeDocument/2006/relationships/hyperlink" Target="https://docs.un.org/en/CERD/C/SRB/CO/2-5" TargetMode="External"/><Relationship Id="rId14" Type="http://schemas.openxmlformats.org/officeDocument/2006/relationships/hyperlink" Target="https://docs.un.org/en/CERD/C/SRB/6-9" TargetMode="External"/><Relationship Id="rId22" Type="http://schemas.openxmlformats.org/officeDocument/2006/relationships/hyperlink" Target="https://docs.un.org/en/CERD/C/SRB/CO/2-5" TargetMode="External"/><Relationship Id="rId27" Type="http://schemas.openxmlformats.org/officeDocument/2006/relationships/hyperlink" Target="https://docs.un.org/en/CERD/C/SRB/6-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tmaytan\United%20Nations\UNOG_DCM-LGS-MTS-EDPU%20-%20PDocs\MACROS\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7" ma:contentTypeDescription="Create a new document." ma:contentTypeScope="" ma:versionID="69a625083ea8f59e0c3cd2b6bbe98aad">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f1b2e8d5be3742d5c3f467b0c8ba15f3"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976A01-3E4B-4FF8-ABFA-2B50364ED4C2}">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2.xml><?xml version="1.0" encoding="utf-8"?>
<ds:datastoreItem xmlns:ds="http://schemas.openxmlformats.org/officeDocument/2006/customXml" ds:itemID="{7637A8BF-D967-4FEC-923A-3CD3BE94A2D8}">
  <ds:schemaRefs>
    <ds:schemaRef ds:uri="http://schemas.microsoft.com/sharepoint/v3/contenttype/forms"/>
  </ds:schemaRefs>
</ds:datastoreItem>
</file>

<file path=customXml/itemProps3.xml><?xml version="1.0" encoding="utf-8"?>
<ds:datastoreItem xmlns:ds="http://schemas.openxmlformats.org/officeDocument/2006/customXml" ds:itemID="{16557746-68BE-498D-B1C8-E27657CCA60F}"/>
</file>

<file path=customXml/itemProps4.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0</TotalTime>
  <Pages>3</Pages>
  <Words>975</Words>
  <Characters>5693</Characters>
  <Application>Microsoft Office Word</Application>
  <DocSecurity>0</DocSecurity>
  <Lines>102</Lines>
  <Paragraphs>39</Paragraphs>
  <ScaleCrop>false</ScaleCrop>
  <Company>DCM</Company>
  <LinksUpToDate>false</LinksUpToDate>
  <CharactersWithSpaces>6652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CERD/C/SRB/Q/6-9</dc:title>
  <dc:subject>2601931</dc:subject>
  <dc:creator>cg</dc:creator>
  <cp:keywords/>
  <dc:description/>
  <cp:lastModifiedBy>Maria Rosario Corazon Gatmaytan</cp:lastModifiedBy>
  <cp:revision>2</cp:revision>
  <dcterms:created xsi:type="dcterms:W3CDTF">2026-02-26T07:48:00Z</dcterms:created>
  <dcterms:modified xsi:type="dcterms:W3CDTF">2026-02-26T07:48:00Z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2852b3b9736696a2d6c638d4666ab3e41f4bcbfb9c95ebefdf23666b780b6ec4</vt:lpwstr>
  </property>
  <property fmtid="{D5CDD505-2E9C-101B-9397-08002B2CF9AE}" pid="3" name="ContentTypeId">
    <vt:lpwstr>0x010100734BCCF75FF83A44BFF3683CDB9015E4</vt:lpwstr>
  </property>
  <property fmtid="{D5CDD505-2E9C-101B-9397-08002B2CF9AE}" pid="4" name="MediaServiceImageTags">
    <vt:lpwstr/>
  </property>
</Properties>
</file>