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C02" w:rsidRDefault="00640C02" w:rsidP="00640C02">
      <w:pPr>
        <w:spacing w:line="60" w:lineRule="exact"/>
        <w:rPr>
          <w:sz w:val="6"/>
        </w:rPr>
        <w:sectPr w:rsidR="00640C02" w:rsidSect="00640C0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40C02" w:rsidRDefault="00640C02" w:rsidP="00640C02">
      <w:pPr>
        <w:spacing w:line="60" w:lineRule="exact"/>
        <w:rPr>
          <w:sz w:val="6"/>
        </w:rPr>
      </w:pPr>
    </w:p>
    <w:p w:rsidR="009A617A" w:rsidRDefault="009A617A" w:rsidP="003B6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9A617A" w:rsidRDefault="009A617A" w:rsidP="003B6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会前工作组</w:t>
      </w:r>
    </w:p>
    <w:p w:rsidR="009A617A" w:rsidRPr="003B6234" w:rsidRDefault="009A617A" w:rsidP="003B6234">
      <w:pPr>
        <w:pStyle w:val="SingleTxt"/>
        <w:spacing w:after="60"/>
        <w:ind w:left="0"/>
        <w:rPr>
          <w:rFonts w:ascii="SimHei" w:eastAsia="SimHei" w:hint="eastAsia"/>
          <w:color w:val="FF0000"/>
        </w:rPr>
      </w:pPr>
      <w:r w:rsidRPr="003B6234">
        <w:rPr>
          <w:rFonts w:ascii="SimHei" w:eastAsia="SimHei" w:hint="eastAsia"/>
          <w:color w:val="FF0000"/>
        </w:rPr>
        <w:t>第四十二届会议</w:t>
      </w:r>
    </w:p>
    <w:p w:rsidR="009A617A" w:rsidRDefault="009A617A" w:rsidP="003B6234">
      <w:pPr>
        <w:pStyle w:val="SingleTxt"/>
        <w:spacing w:after="60"/>
        <w:ind w:left="0"/>
        <w:rPr>
          <w:rFonts w:hint="eastAsia"/>
        </w:rPr>
      </w:pPr>
      <w:r>
        <w:rPr>
          <w:rFonts w:hint="eastAsia"/>
        </w:rPr>
        <w:t>2008年10月20日至11月7日</w:t>
      </w:r>
    </w:p>
    <w:p w:rsidR="003B6234" w:rsidRPr="003B6234" w:rsidRDefault="003B6234" w:rsidP="003B6234">
      <w:pPr>
        <w:pStyle w:val="HM"/>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B6234" w:rsidRPr="003B6234" w:rsidRDefault="003B6234" w:rsidP="003B6234">
      <w:pPr>
        <w:pStyle w:val="HM"/>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B6234" w:rsidRPr="003B6234" w:rsidRDefault="003B6234" w:rsidP="003B6234">
      <w:pPr>
        <w:pStyle w:val="HM"/>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9A617A" w:rsidRDefault="003B6234" w:rsidP="003B6234">
      <w:pPr>
        <w:pStyle w:val="HM"/>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9A617A">
        <w:rPr>
          <w:rFonts w:hint="eastAsia"/>
        </w:rPr>
        <w:t>与审议定期报告有关的议题和问题清单</w:t>
      </w:r>
    </w:p>
    <w:p w:rsidR="003B6234" w:rsidRPr="003B6234" w:rsidRDefault="003B6234" w:rsidP="003B6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B6234" w:rsidRPr="003B6234" w:rsidRDefault="003B6234" w:rsidP="003B6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B6234" w:rsidRPr="003B6234" w:rsidRDefault="003B6234" w:rsidP="003B6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9A617A" w:rsidRPr="003B6234" w:rsidRDefault="003B6234" w:rsidP="003B62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vertAlign w:val="superscript"/>
        </w:rPr>
      </w:pPr>
      <w:r>
        <w:rPr>
          <w:rFonts w:hint="eastAsia"/>
        </w:rPr>
        <w:tab/>
      </w:r>
      <w:r>
        <w:rPr>
          <w:rFonts w:hint="eastAsia"/>
        </w:rPr>
        <w:tab/>
      </w:r>
      <w:r w:rsidR="009A617A">
        <w:rPr>
          <w:rFonts w:hint="eastAsia"/>
        </w:rPr>
        <w:t>斯洛文尼亚</w:t>
      </w:r>
      <w:r w:rsidR="009A617A" w:rsidRPr="003B6234">
        <w:rPr>
          <w:rFonts w:hint="eastAsia"/>
          <w:vertAlign w:val="superscript"/>
        </w:rPr>
        <w:t>*</w:t>
      </w:r>
    </w:p>
    <w:p w:rsidR="003B6234" w:rsidRPr="003B6234" w:rsidRDefault="003B6234" w:rsidP="003B6234">
      <w:pPr>
        <w:pStyle w:val="SingleTxt"/>
        <w:spacing w:after="0" w:line="120" w:lineRule="exact"/>
        <w:rPr>
          <w:rFonts w:hint="eastAsia"/>
          <w:sz w:val="10"/>
        </w:rPr>
      </w:pPr>
    </w:p>
    <w:p w:rsidR="003B6234" w:rsidRPr="003B6234" w:rsidRDefault="003B6234" w:rsidP="003B6234">
      <w:pPr>
        <w:framePr w:w="9792" w:h="432" w:hSpace="180" w:wrap="around" w:hAnchor="page" w:x="1210" w:yAlign="bottom"/>
        <w:spacing w:line="100" w:lineRule="exact"/>
        <w:rPr>
          <w:sz w:val="10"/>
        </w:rPr>
      </w:pPr>
    </w:p>
    <w:p w:rsidR="003B6234" w:rsidRPr="003B6234" w:rsidRDefault="003B6234" w:rsidP="003B6234">
      <w:pPr>
        <w:framePr w:w="9792" w:h="432" w:hSpace="180" w:wrap="around" w:hAnchor="page" w:x="1210" w:yAlign="bottom"/>
        <w:spacing w:line="60" w:lineRule="exact"/>
        <w:rPr>
          <w:sz w:val="6"/>
        </w:rPr>
      </w:pPr>
      <w:r w:rsidRPr="003B6234">
        <w:rPr>
          <w:noProof/>
          <w:sz w:val="6"/>
        </w:rPr>
        <w:pict>
          <v:line id="_x0000_s1026" style="position:absolute;left:0;text-align:left;z-index:1;mso-position-horizontal-relative:page" from="108pt,-1pt" to="180pt,-1pt" strokeweight=".25pt">
            <w10:wrap anchorx="page"/>
          </v:line>
        </w:pict>
      </w:r>
    </w:p>
    <w:p w:rsidR="003B6234" w:rsidRPr="003B6234" w:rsidRDefault="003B6234" w:rsidP="003B6234">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3B6234">
        <w:rPr>
          <w:sz w:val="18"/>
          <w:vertAlign w:val="superscript"/>
        </w:rPr>
        <w:t>*</w:t>
      </w:r>
      <w:r>
        <w:rPr>
          <w:sz w:val="18"/>
        </w:rPr>
        <w:tab/>
      </w:r>
      <w:r w:rsidRPr="003B6234">
        <w:rPr>
          <w:rFonts w:hint="eastAsia"/>
          <w:sz w:val="18"/>
        </w:rPr>
        <w:t>本报告未经正式编辑。</w:t>
      </w:r>
    </w:p>
    <w:p w:rsidR="00A237BD" w:rsidRPr="00A237BD" w:rsidRDefault="00A237BD" w:rsidP="00A237BD">
      <w:pPr>
        <w:pStyle w:val="SingleTxt"/>
        <w:spacing w:after="0" w:line="120" w:lineRule="exact"/>
        <w:rPr>
          <w:rFonts w:hint="eastAsia"/>
          <w:sz w:val="10"/>
        </w:rPr>
      </w:pPr>
    </w:p>
    <w:p w:rsidR="009A617A" w:rsidRDefault="00953B00" w:rsidP="009A617A">
      <w:pPr>
        <w:pStyle w:val="SingleTxt"/>
        <w:rPr>
          <w:rFonts w:hint="eastAsia"/>
        </w:rPr>
      </w:pPr>
      <w:r>
        <w:tab/>
      </w:r>
      <w:r w:rsidR="009A617A">
        <w:rPr>
          <w:rFonts w:hint="eastAsia"/>
        </w:rPr>
        <w:t>会前工作组审议了斯洛文尼亚第四次定期报告</w:t>
      </w:r>
      <w:r w:rsidR="00A237BD">
        <w:rPr>
          <w:rFonts w:hint="eastAsia"/>
        </w:rPr>
        <w:t>（</w:t>
      </w:r>
      <w:r w:rsidR="009A617A">
        <w:rPr>
          <w:rFonts w:hint="eastAsia"/>
        </w:rPr>
        <w:t>CEDAW/C/SVN/4</w:t>
      </w:r>
      <w:r w:rsidR="00542FE3">
        <w:rPr>
          <w:rFonts w:hint="eastAsia"/>
        </w:rPr>
        <w:t>）</w:t>
      </w:r>
      <w:r w:rsidR="009A617A">
        <w:rPr>
          <w:rFonts w:hint="eastAsia"/>
        </w:rPr>
        <w:t>。</w:t>
      </w:r>
    </w:p>
    <w:p w:rsidR="009A617A" w:rsidRDefault="003B6234" w:rsidP="003B6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9A617A">
        <w:rPr>
          <w:rFonts w:hint="eastAsia"/>
        </w:rPr>
        <w:t>宪法、立法和体制框架</w:t>
      </w:r>
    </w:p>
    <w:p w:rsidR="003B6234" w:rsidRPr="003B6234" w:rsidRDefault="003B6234" w:rsidP="003B6234">
      <w:pPr>
        <w:pStyle w:val="SingleTxt"/>
        <w:spacing w:after="0" w:line="120" w:lineRule="exact"/>
        <w:rPr>
          <w:rFonts w:hint="eastAsia"/>
          <w:sz w:val="10"/>
        </w:rPr>
      </w:pPr>
    </w:p>
    <w:p w:rsidR="009A617A" w:rsidRDefault="009A617A" w:rsidP="009A617A">
      <w:pPr>
        <w:pStyle w:val="SingleTxt"/>
        <w:rPr>
          <w:rFonts w:hint="eastAsia"/>
        </w:rPr>
      </w:pPr>
      <w:r>
        <w:rPr>
          <w:rFonts w:hint="eastAsia"/>
        </w:rPr>
        <w:t>1.</w:t>
      </w:r>
      <w:r>
        <w:rPr>
          <w:rFonts w:hint="eastAsia"/>
        </w:rPr>
        <w:tab/>
        <w:t>请提供资料，说明已采取哪些措施来广泛传播斯洛文尼亚2004年9月23日批准的《公约》及其《任择议定书》和委员会的一般性建议，特别是向司法和法律专业人员传播。还请提供资料，说明国家法庭审理的案件援引《公约》的情况。</w:t>
      </w:r>
    </w:p>
    <w:p w:rsidR="009A617A" w:rsidRDefault="009A617A" w:rsidP="009A617A">
      <w:pPr>
        <w:pStyle w:val="SingleTxt"/>
        <w:rPr>
          <w:rFonts w:hint="eastAsia"/>
        </w:rPr>
      </w:pPr>
      <w:r>
        <w:rPr>
          <w:rFonts w:hint="eastAsia"/>
        </w:rPr>
        <w:t>2.</w:t>
      </w:r>
      <w:r>
        <w:rPr>
          <w:rFonts w:hint="eastAsia"/>
        </w:rPr>
        <w:tab/>
        <w:t>请提供资料，说明在接受关于委员会开会时间的第20条第一款修正案方面的进展。</w:t>
      </w:r>
    </w:p>
    <w:p w:rsidR="009A617A" w:rsidRDefault="009A617A" w:rsidP="009A617A">
      <w:pPr>
        <w:pStyle w:val="SingleTxt"/>
        <w:rPr>
          <w:rFonts w:hint="eastAsia"/>
        </w:rPr>
      </w:pPr>
      <w:r>
        <w:rPr>
          <w:rFonts w:hint="eastAsia"/>
        </w:rPr>
        <w:t>3.</w:t>
      </w:r>
      <w:r>
        <w:rPr>
          <w:rFonts w:hint="eastAsia"/>
        </w:rPr>
        <w:tab/>
        <w:t>请提供资料，说明在实现缔约国的两性平等政策各项目标方面取得的进展。其中应说明2004年通过的《平等待遇原则法》的执行情况、根据《国家男女平等机会方案》（2005-2013年）起草的定期计划的执行情况、该政策的监测体制以及该政策对促进两性平等的影响（第11、17、18段）。</w:t>
      </w:r>
    </w:p>
    <w:p w:rsidR="009A617A" w:rsidRDefault="009A617A" w:rsidP="009A617A">
      <w:pPr>
        <w:pStyle w:val="SingleTxt"/>
        <w:rPr>
          <w:rFonts w:hint="eastAsia"/>
        </w:rPr>
      </w:pPr>
      <w:r>
        <w:rPr>
          <w:rFonts w:hint="eastAsia"/>
        </w:rPr>
        <w:t>4.</w:t>
      </w:r>
      <w:r>
        <w:rPr>
          <w:rFonts w:hint="eastAsia"/>
        </w:rPr>
        <w:tab/>
        <w:t>报告提到负责受理歧视指控案件的平等原则辩护律师已于2005年1月开始工作。斯洛文尼亚还有一个两性平等特别辩护律师，他是平等机会办公室的公务员。还请提供资料，说明这两个机构在职能上的差别（第12和13段）。还请提供进一步资料，说明受到歧视的妇女向这些机构提出投诉的次数、这些案件的结果以及随后的遵守情况。</w:t>
      </w:r>
    </w:p>
    <w:p w:rsidR="009A617A" w:rsidRDefault="009A617A" w:rsidP="009A617A">
      <w:pPr>
        <w:pStyle w:val="SingleTxt"/>
        <w:rPr>
          <w:rFonts w:hint="eastAsia"/>
        </w:rPr>
      </w:pPr>
      <w:r>
        <w:rPr>
          <w:rFonts w:hint="eastAsia"/>
        </w:rPr>
        <w:t>5.</w:t>
      </w:r>
      <w:r>
        <w:rPr>
          <w:rFonts w:hint="eastAsia"/>
        </w:rPr>
        <w:tab/>
        <w:t>报告指出，《男女平等机会法》为按照《公约》第4条第1款的规定采用暂行特别措施提供了法律依据（第22段）。请提供资料，说明根据该法已采取或打算采取哪些暂行特别措施来加强实现法律上和事实上的两性平等以及这些措施的影响。</w:t>
      </w:r>
    </w:p>
    <w:p w:rsidR="009A617A" w:rsidRDefault="003B6234" w:rsidP="003B6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9A617A">
        <w:rPr>
          <w:rFonts w:hint="eastAsia"/>
        </w:rPr>
        <w:t>政治参与和决策</w:t>
      </w:r>
    </w:p>
    <w:p w:rsidR="003B6234" w:rsidRPr="003B6234" w:rsidRDefault="003B6234" w:rsidP="003B6234">
      <w:pPr>
        <w:pStyle w:val="SingleTxt"/>
        <w:spacing w:after="0" w:line="120" w:lineRule="exact"/>
        <w:rPr>
          <w:rFonts w:hint="eastAsia"/>
          <w:sz w:val="10"/>
        </w:rPr>
      </w:pPr>
    </w:p>
    <w:p w:rsidR="009A617A" w:rsidRDefault="009A617A" w:rsidP="009A617A">
      <w:pPr>
        <w:pStyle w:val="SingleTxt"/>
        <w:rPr>
          <w:rFonts w:hint="eastAsia"/>
        </w:rPr>
      </w:pPr>
      <w:r>
        <w:rPr>
          <w:rFonts w:hint="eastAsia"/>
        </w:rPr>
        <w:t>6.</w:t>
      </w:r>
      <w:r>
        <w:rPr>
          <w:rFonts w:hint="eastAsia"/>
        </w:rPr>
        <w:tab/>
        <w:t>报告指出，目前正在起草一项立法草案修正《国民议会选举法》，计划在2006年通过。请提供资料、说明该立法草案是否已通过，以及它将规定或已规定哪些促进男女竞选机会平等措施。还请提供资料，说明新的《修正地方选举法法案》（2005年）对在2006年举行的地方选举中妇女代表加入市议会的影响（第7段）。</w:t>
      </w:r>
    </w:p>
    <w:p w:rsidR="009A617A" w:rsidRDefault="009A617A" w:rsidP="009A617A">
      <w:pPr>
        <w:pStyle w:val="SingleTxt"/>
        <w:rPr>
          <w:rFonts w:hint="eastAsia"/>
        </w:rPr>
      </w:pPr>
      <w:r>
        <w:rPr>
          <w:rFonts w:hint="eastAsia"/>
        </w:rPr>
        <w:t>7.</w:t>
      </w:r>
      <w:r>
        <w:rPr>
          <w:rFonts w:hint="eastAsia"/>
        </w:rPr>
        <w:tab/>
        <w:t>请详述《实施男女代表比例均衡原则标准管理法令》对工作机构组成以及任命和提名政府代表的作用。还请提供资料，说明可不适用代表平衡原则的例外情况。报告称，例外条款的使用导致在某种程度上保留了以男性或女性为主的工作领域划分（第16和79段）。</w:t>
      </w:r>
    </w:p>
    <w:p w:rsidR="009A617A" w:rsidRDefault="009A617A" w:rsidP="009A617A">
      <w:pPr>
        <w:pStyle w:val="SingleTxt"/>
        <w:rPr>
          <w:rFonts w:hint="eastAsia"/>
        </w:rPr>
      </w:pPr>
      <w:r>
        <w:rPr>
          <w:rFonts w:hint="eastAsia"/>
        </w:rPr>
        <w:t>8.</w:t>
      </w:r>
      <w:r>
        <w:rPr>
          <w:rFonts w:hint="eastAsia"/>
        </w:rPr>
        <w:tab/>
        <w:t>根据委员会以往结论性意见的要求，请提供资料，说明老年妇女，特别是农村老年妇女的情况，以及少数民族妇女，特别是罗姆族妇女的情况，包括就业、社会保障、教育和健康方面，并说明在这方面采取的措施。</w:t>
      </w:r>
      <w:r w:rsidR="003B6234">
        <w:rPr>
          <w:rStyle w:val="FootnoteReference"/>
        </w:rPr>
        <w:footnoteReference w:id="1"/>
      </w:r>
      <w:r w:rsidR="00A237BD">
        <w:t xml:space="preserve"> </w:t>
      </w:r>
      <w:r>
        <w:rPr>
          <w:rFonts w:hint="eastAsia"/>
        </w:rPr>
        <w:t>还请详述报告第95段所述的“罗姆族妇女可以胜任”区域项目的执行情况，及其对罗姆族妇女参与公共生活和政治生活的影响。</w:t>
      </w:r>
    </w:p>
    <w:p w:rsidR="009A617A" w:rsidRDefault="003B6234" w:rsidP="003B6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9A617A">
        <w:rPr>
          <w:rFonts w:hint="eastAsia"/>
        </w:rPr>
        <w:t>暴力侵害妇女行为</w:t>
      </w:r>
    </w:p>
    <w:p w:rsidR="003B6234" w:rsidRPr="003B6234" w:rsidRDefault="003B6234" w:rsidP="003B6234">
      <w:pPr>
        <w:pStyle w:val="SingleTxt"/>
        <w:spacing w:after="0" w:line="120" w:lineRule="exact"/>
        <w:rPr>
          <w:rFonts w:hint="eastAsia"/>
          <w:sz w:val="10"/>
        </w:rPr>
      </w:pPr>
    </w:p>
    <w:p w:rsidR="009A617A" w:rsidRDefault="009A617A" w:rsidP="009A617A">
      <w:pPr>
        <w:pStyle w:val="SingleTxt"/>
        <w:rPr>
          <w:rFonts w:hint="eastAsia"/>
        </w:rPr>
      </w:pPr>
      <w:r>
        <w:rPr>
          <w:rFonts w:hint="eastAsia"/>
        </w:rPr>
        <w:t>9.</w:t>
      </w:r>
      <w:r>
        <w:rPr>
          <w:rFonts w:hint="eastAsia"/>
        </w:rPr>
        <w:tab/>
        <w:t>报告说，2005年12月，政府通过了新的《危害公共秩序和治安罪法案》提议草案，其中单独界定了与家庭暴力有关的犯罪，并给予更严厉的惩罚（第44段）。请说明该法是否已经生效，并提供更多资料，说明其中与家庭暴力相关的规定、依该法提起的刑事诉讼及其结果。</w:t>
      </w:r>
    </w:p>
    <w:p w:rsidR="009A617A" w:rsidRDefault="009A617A" w:rsidP="009A617A">
      <w:pPr>
        <w:pStyle w:val="SingleTxt"/>
        <w:rPr>
          <w:rFonts w:hint="eastAsia"/>
        </w:rPr>
      </w:pPr>
      <w:r>
        <w:rPr>
          <w:rFonts w:hint="eastAsia"/>
        </w:rPr>
        <w:t>10.</w:t>
      </w:r>
      <w:r>
        <w:rPr>
          <w:rFonts w:hint="eastAsia"/>
        </w:rPr>
        <w:tab/>
        <w:t>在以往的结论性意见中，委员会呼吁缔约国通过关于家庭暴力的立法，并确保依法从速从严起诉和惩罚暴力侵害妇女犯罪人。</w:t>
      </w:r>
      <w:r w:rsidR="003B6234">
        <w:rPr>
          <w:rStyle w:val="FootnoteReference"/>
        </w:rPr>
        <w:footnoteReference w:id="2"/>
      </w:r>
      <w:r w:rsidR="00A237BD">
        <w:t xml:space="preserve"> </w:t>
      </w:r>
      <w:r>
        <w:rPr>
          <w:rFonts w:hint="eastAsia"/>
        </w:rPr>
        <w:t>报告提到“实质性刑法中的先进准则”研究项目，其成果将成为决定斯洛文尼亚《刑法典》是否应当把家庭暴力界定为一项具体刑事犯罪的依据（第45段）。请提供资料，说明该项目的现状和成果，并澄清是否有任何计划来修正《刑法典》。</w:t>
      </w:r>
    </w:p>
    <w:p w:rsidR="009A617A" w:rsidRDefault="009A617A" w:rsidP="009A617A">
      <w:pPr>
        <w:pStyle w:val="SingleTxt"/>
        <w:rPr>
          <w:rFonts w:hint="eastAsia"/>
        </w:rPr>
      </w:pPr>
      <w:r>
        <w:rPr>
          <w:rFonts w:hint="eastAsia"/>
        </w:rPr>
        <w:t>11.</w:t>
      </w:r>
      <w:r>
        <w:rPr>
          <w:rFonts w:hint="eastAsia"/>
        </w:rPr>
        <w:tab/>
        <w:t>请说明通过《防止家庭暴力法》的时间表，并提供资料，说明该法确定的家庭暴力定义以及其中的保护妇女规定，包括保护令和其他措施。还请提供资料，说明打算采取哪些措施来执行该法，以建立一个全面的系统打击家庭中和社会上的暴力侵害妇女行为。</w:t>
      </w:r>
    </w:p>
    <w:p w:rsidR="009A617A" w:rsidRDefault="009A617A" w:rsidP="009A617A">
      <w:pPr>
        <w:pStyle w:val="SingleTxt"/>
        <w:rPr>
          <w:rFonts w:hint="eastAsia"/>
        </w:rPr>
      </w:pPr>
      <w:r>
        <w:rPr>
          <w:rFonts w:hint="eastAsia"/>
        </w:rPr>
        <w:t>12.</w:t>
      </w:r>
      <w:r>
        <w:rPr>
          <w:rFonts w:hint="eastAsia"/>
        </w:rPr>
        <w:tab/>
        <w:t>报告说，在2001年至2004年期间，在危害公共法律和秩序的犯罪活动受害者中，妇女所占比例略有下降。报告还说，同期，家庭暴力罪案件数目大幅上升，从在危害公共法律和秩序罪案件总数中占</w:t>
      </w:r>
      <w:r w:rsidR="00A237BD">
        <w:rPr>
          <w:rFonts w:hint="eastAsia"/>
        </w:rPr>
        <w:t>15.5％</w:t>
      </w:r>
      <w:r>
        <w:rPr>
          <w:rFonts w:hint="eastAsia"/>
        </w:rPr>
        <w:t>增加到占26.7</w:t>
      </w:r>
      <w:r w:rsidR="00A237BD">
        <w:rPr>
          <w:rFonts w:hint="eastAsia"/>
        </w:rPr>
        <w:t>％</w:t>
      </w:r>
      <w:r>
        <w:rPr>
          <w:rFonts w:hint="eastAsia"/>
        </w:rPr>
        <w:t>，其中大多数属于家庭暴力案件（第49段）。由于所提供的数据没有按性别分列，请提供数据，说明与男子相比，妇女为家庭暴力受害者的百分比。请提供进一步资料，说明根据报告第46段提及的警察中期行动计划（2003-2007年）采取的保护妇女暴力受害者的措施及其影响。</w:t>
      </w:r>
    </w:p>
    <w:p w:rsidR="009A617A" w:rsidRDefault="009A617A" w:rsidP="009A617A">
      <w:pPr>
        <w:pStyle w:val="SingleTxt"/>
        <w:rPr>
          <w:rFonts w:hint="eastAsia"/>
        </w:rPr>
      </w:pPr>
      <w:r>
        <w:rPr>
          <w:rFonts w:hint="eastAsia"/>
        </w:rPr>
        <w:t>13.</w:t>
      </w:r>
      <w:r>
        <w:rPr>
          <w:rFonts w:hint="eastAsia"/>
        </w:rPr>
        <w:tab/>
        <w:t>请提供资料，说明报告第45段提及的有系统收集暴力侵害妇女行为数据的机制的设立情况。还请提供统计数据，说明过去四年中被丈夫、亲密伴侣或前夫杀害的妇女人数。</w:t>
      </w:r>
    </w:p>
    <w:p w:rsidR="009A617A" w:rsidRDefault="009A617A" w:rsidP="009A617A">
      <w:pPr>
        <w:pStyle w:val="SingleTxt"/>
        <w:rPr>
          <w:rFonts w:hint="eastAsia"/>
        </w:rPr>
      </w:pPr>
      <w:r>
        <w:rPr>
          <w:rFonts w:hint="eastAsia"/>
        </w:rPr>
        <w:t>14.</w:t>
      </w:r>
      <w:r>
        <w:rPr>
          <w:rFonts w:hint="eastAsia"/>
        </w:rPr>
        <w:tab/>
        <w:t>请提供进一步资料，说明非营利性住房出租系统，包括妇女和儿童家庭暴力受害者受益于这种选择的人数（第47段）。请提供资料，说明已采取或打算采取哪些措施来执行委员会以往结论性意见中的建议，为妇女暴力受害者提供数目足够的便于利用的收容所。</w:t>
      </w:r>
      <w:r w:rsidR="003B6234">
        <w:rPr>
          <w:rStyle w:val="FootnoteReference"/>
        </w:rPr>
        <w:footnoteReference w:id="3"/>
      </w:r>
    </w:p>
    <w:p w:rsidR="009A617A" w:rsidRDefault="009A617A" w:rsidP="009A617A">
      <w:pPr>
        <w:pStyle w:val="SingleTxt"/>
        <w:rPr>
          <w:rFonts w:hint="eastAsia"/>
        </w:rPr>
      </w:pPr>
      <w:r>
        <w:rPr>
          <w:rFonts w:hint="eastAsia"/>
        </w:rPr>
        <w:t>15.</w:t>
      </w:r>
      <w:r>
        <w:rPr>
          <w:rFonts w:hint="eastAsia"/>
        </w:rPr>
        <w:tab/>
        <w:t>请</w:t>
      </w:r>
      <w:r w:rsidRPr="003B6234">
        <w:rPr>
          <w:rFonts w:hint="eastAsia"/>
          <w:spacing w:val="2"/>
        </w:rPr>
        <w:t>提供资料，说明是否有任何措施，像委员会以往结论性意见所建议的那样，</w:t>
      </w:r>
      <w:r w:rsidR="003B6234" w:rsidRPr="003B6234">
        <w:rPr>
          <w:rStyle w:val="FootnoteReference"/>
          <w:spacing w:val="2"/>
        </w:rPr>
        <w:footnoteReference w:id="4"/>
      </w:r>
      <w:r w:rsidR="00683E09">
        <w:rPr>
          <w:spacing w:val="2"/>
        </w:rPr>
        <w:t xml:space="preserve"> </w:t>
      </w:r>
      <w:r w:rsidRPr="003B6234">
        <w:rPr>
          <w:rFonts w:hint="eastAsia"/>
          <w:spacing w:val="2"/>
        </w:rPr>
        <w:t>通过已实施或打</w:t>
      </w:r>
      <w:r>
        <w:rPr>
          <w:rFonts w:hint="eastAsia"/>
        </w:rPr>
        <w:t>算实施的媒体和公众教育方案，使暴力侵害妇女行为成为在社会和道德上不可接受的行为。</w:t>
      </w:r>
    </w:p>
    <w:p w:rsidR="009A617A" w:rsidRDefault="00A237BD" w:rsidP="00A23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9A617A">
        <w:rPr>
          <w:rFonts w:hint="eastAsia"/>
        </w:rPr>
        <w:t>贩卖和剥削卖淫</w:t>
      </w:r>
    </w:p>
    <w:p w:rsidR="00A237BD" w:rsidRPr="00A237BD" w:rsidRDefault="00A237BD" w:rsidP="00A237BD">
      <w:pPr>
        <w:pStyle w:val="SingleTxt"/>
        <w:spacing w:after="0" w:line="120" w:lineRule="exact"/>
        <w:rPr>
          <w:rFonts w:hint="eastAsia"/>
          <w:sz w:val="10"/>
        </w:rPr>
      </w:pPr>
    </w:p>
    <w:p w:rsidR="009A617A" w:rsidRDefault="009A617A" w:rsidP="009A617A">
      <w:pPr>
        <w:pStyle w:val="SingleTxt"/>
        <w:rPr>
          <w:rFonts w:hint="eastAsia"/>
        </w:rPr>
      </w:pPr>
      <w:r>
        <w:rPr>
          <w:rFonts w:hint="eastAsia"/>
        </w:rPr>
        <w:t>16.</w:t>
      </w:r>
      <w:r>
        <w:rPr>
          <w:rFonts w:hint="eastAsia"/>
        </w:rPr>
        <w:tab/>
        <w:t>报告第65段提到，《刑法典》新增第185条界定了虐待卖淫者刑事罪。请提供该条文本（英文）。还请提供进一步资料，说明根据新增条款提起的刑事诉讼、诉讼结果和判刑。</w:t>
      </w:r>
    </w:p>
    <w:p w:rsidR="009A617A" w:rsidRDefault="009A617A" w:rsidP="009A617A">
      <w:pPr>
        <w:pStyle w:val="SingleTxt"/>
        <w:rPr>
          <w:rFonts w:hint="eastAsia"/>
        </w:rPr>
      </w:pPr>
      <w:r>
        <w:rPr>
          <w:rFonts w:hint="eastAsia"/>
        </w:rPr>
        <w:t>17.</w:t>
      </w:r>
      <w:r>
        <w:rPr>
          <w:rFonts w:hint="eastAsia"/>
        </w:rPr>
        <w:tab/>
        <w:t>报告第66段提到，《刑法典》新增第387(a)条界定了贩卖人口刑事罪。请提供该条文本（英文）。请纳入进一步资料，说明妇女和女孩贩卖受害者的估计人数、根据该条款提起的刑事诉讼次数、诉讼结果和判刑。</w:t>
      </w:r>
    </w:p>
    <w:p w:rsidR="009A617A" w:rsidRDefault="009A617A" w:rsidP="009A617A">
      <w:pPr>
        <w:pStyle w:val="SingleTxt"/>
        <w:rPr>
          <w:rFonts w:hint="eastAsia"/>
        </w:rPr>
      </w:pPr>
      <w:r>
        <w:rPr>
          <w:rFonts w:hint="eastAsia"/>
        </w:rPr>
        <w:t>18.</w:t>
      </w:r>
      <w:r>
        <w:rPr>
          <w:rFonts w:hint="eastAsia"/>
        </w:rPr>
        <w:tab/>
        <w:t>请详述根据报告第72段所述“斯洛文尼亚共和国向贩卖人口受害者提供帮助领域合作协定”采取保护受害者措施的情况。特别提供资料，说明这些措施对妇女和女孩贩卖受害者的影响、根据该协定签发的临时居住证的数量以及向妇女贩卖受害者签发这种居住证的条件。</w:t>
      </w:r>
    </w:p>
    <w:p w:rsidR="009A617A" w:rsidRDefault="009A617A" w:rsidP="009A617A">
      <w:pPr>
        <w:pStyle w:val="SingleTxt"/>
        <w:rPr>
          <w:rFonts w:hint="eastAsia"/>
        </w:rPr>
      </w:pPr>
      <w:r>
        <w:rPr>
          <w:rFonts w:hint="eastAsia"/>
        </w:rPr>
        <w:t>19.</w:t>
      </w:r>
      <w:r>
        <w:rPr>
          <w:rFonts w:hint="eastAsia"/>
        </w:rPr>
        <w:tab/>
        <w:t>.请提供资料，说明根据委员会以往结论性意见，</w:t>
      </w:r>
      <w:r w:rsidR="003B6234">
        <w:rPr>
          <w:rStyle w:val="FootnoteReference"/>
        </w:rPr>
        <w:footnoteReference w:id="5"/>
      </w:r>
      <w:r w:rsidR="00A237BD">
        <w:t xml:space="preserve"> </w:t>
      </w:r>
      <w:r>
        <w:rPr>
          <w:rFonts w:hint="eastAsia"/>
        </w:rPr>
        <w:t>为加强国际、区域和双边合作打击贩卖已采取或打算采取的措施。请提供资料，说明为处理潜在受害者通过贵国过境已采取或打算采取的措施</w:t>
      </w:r>
      <w:r w:rsidR="00A237BD">
        <w:rPr>
          <w:rFonts w:hint="eastAsia"/>
        </w:rPr>
        <w:t>（</w:t>
      </w:r>
      <w:r>
        <w:rPr>
          <w:rFonts w:hint="eastAsia"/>
        </w:rPr>
        <w:t>第74段</w:t>
      </w:r>
      <w:r w:rsidR="00A237BD">
        <w:rPr>
          <w:rFonts w:hint="eastAsia"/>
        </w:rPr>
        <w:t>）</w:t>
      </w:r>
      <w:r>
        <w:rPr>
          <w:rFonts w:hint="eastAsia"/>
        </w:rPr>
        <w:t>。</w:t>
      </w:r>
    </w:p>
    <w:p w:rsidR="009A617A" w:rsidRDefault="00A237BD" w:rsidP="00A23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9A617A">
        <w:rPr>
          <w:rFonts w:hint="eastAsia"/>
        </w:rPr>
        <w:t>性别角色和定型观念</w:t>
      </w:r>
    </w:p>
    <w:p w:rsidR="00A237BD" w:rsidRPr="00A237BD" w:rsidRDefault="00A237BD" w:rsidP="00A237BD">
      <w:pPr>
        <w:pStyle w:val="SingleTxt"/>
        <w:spacing w:after="0" w:line="120" w:lineRule="exact"/>
        <w:rPr>
          <w:rFonts w:hint="eastAsia"/>
          <w:sz w:val="10"/>
        </w:rPr>
      </w:pPr>
    </w:p>
    <w:p w:rsidR="009A617A" w:rsidRDefault="009A617A" w:rsidP="009A617A">
      <w:pPr>
        <w:pStyle w:val="SingleTxt"/>
        <w:rPr>
          <w:rFonts w:hint="eastAsia"/>
        </w:rPr>
      </w:pPr>
      <w:r>
        <w:rPr>
          <w:rFonts w:hint="eastAsia"/>
        </w:rPr>
        <w:t>20.</w:t>
      </w:r>
      <w:r>
        <w:rPr>
          <w:rFonts w:hint="eastAsia"/>
        </w:rPr>
        <w:tab/>
        <w:t>请提供更多资料，说明2005年开始的“男子与养育子女”项目框架内的提高认识运动。运动旨在推动父亲参与子女生活并克服社会上现有的性别定型观念。还请指出是否对运动的影响进行过任何评价，以及是否采取了消除传统家庭性别角色定型观念的其他措施。</w:t>
      </w:r>
    </w:p>
    <w:p w:rsidR="009A617A" w:rsidRDefault="00683E09" w:rsidP="00683E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9A617A">
        <w:rPr>
          <w:rFonts w:hint="eastAsia"/>
        </w:rPr>
        <w:t>就业和兼顾工作与家庭生活</w:t>
      </w:r>
    </w:p>
    <w:p w:rsidR="00683E09" w:rsidRPr="00683E09" w:rsidRDefault="00683E09" w:rsidP="00683E09">
      <w:pPr>
        <w:pStyle w:val="SingleTxt"/>
        <w:spacing w:after="0" w:line="120" w:lineRule="exact"/>
        <w:rPr>
          <w:rFonts w:hint="eastAsia"/>
          <w:sz w:val="10"/>
        </w:rPr>
      </w:pPr>
    </w:p>
    <w:p w:rsidR="009A617A" w:rsidRDefault="009A617A" w:rsidP="009A617A">
      <w:pPr>
        <w:pStyle w:val="SingleTxt"/>
        <w:rPr>
          <w:rFonts w:hint="eastAsia"/>
        </w:rPr>
      </w:pPr>
      <w:r>
        <w:rPr>
          <w:rFonts w:hint="eastAsia"/>
        </w:rPr>
        <w:t>21.</w:t>
      </w:r>
      <w:r>
        <w:rPr>
          <w:rFonts w:hint="eastAsia"/>
        </w:rPr>
        <w:tab/>
        <w:t>报告说，2004年，几名据称为性骚扰受害者的妇女与劳动监察员联系，咨询其意见，但不肯报案，因为被指控的骚扰者是其上司（第63段）。请提供资料，说明是否已采取或打算采取任何措施，在事实上提高妇女举报工作场所性骚扰以及对行为人提起法院或其他诉讼的可能性。还请提供资料，说明第61段提到的关于对性骚扰一般态度的举措的影响。</w:t>
      </w:r>
    </w:p>
    <w:p w:rsidR="009A617A" w:rsidRDefault="009A617A" w:rsidP="009A617A">
      <w:pPr>
        <w:pStyle w:val="SingleTxt"/>
        <w:rPr>
          <w:rFonts w:hint="eastAsia"/>
        </w:rPr>
      </w:pPr>
      <w:r>
        <w:rPr>
          <w:rFonts w:hint="eastAsia"/>
        </w:rPr>
        <w:t>22.</w:t>
      </w:r>
      <w:r>
        <w:rPr>
          <w:rFonts w:hint="eastAsia"/>
        </w:rPr>
        <w:tab/>
        <w:t>统计数据显示，两个特定妇女群体的失业率有所提高：受过高等教育的女青年和45岁以上的妇女。请说明是否有任何政府就业政策来回应这两个群体的需求。</w:t>
      </w:r>
    </w:p>
    <w:p w:rsidR="009A617A" w:rsidRDefault="009A617A" w:rsidP="009A617A">
      <w:pPr>
        <w:pStyle w:val="SingleTxt"/>
        <w:rPr>
          <w:rFonts w:hint="eastAsia"/>
        </w:rPr>
      </w:pPr>
      <w:r>
        <w:rPr>
          <w:rFonts w:hint="eastAsia"/>
        </w:rPr>
        <w:t>23.</w:t>
      </w:r>
      <w:r>
        <w:rPr>
          <w:rFonts w:hint="eastAsia"/>
        </w:rPr>
        <w:tab/>
        <w:t>报告提到为改善妇女在劳动市场的状况采用的若干方案（第138</w:t>
      </w:r>
      <w:r w:rsidR="00A237BD">
        <w:t>-</w:t>
      </w:r>
      <w:r>
        <w:rPr>
          <w:rFonts w:hint="eastAsia"/>
        </w:rPr>
        <w:t>142段）。请提供进一步资料，说明根据这些方案已采取或打算采取的措施及其对男女纵向和横向就业隔离和工资差距的可能影响。</w:t>
      </w:r>
    </w:p>
    <w:p w:rsidR="009A617A" w:rsidRDefault="009A617A" w:rsidP="009A617A">
      <w:pPr>
        <w:pStyle w:val="SingleTxt"/>
        <w:rPr>
          <w:rFonts w:hint="eastAsia"/>
        </w:rPr>
      </w:pPr>
      <w:r>
        <w:rPr>
          <w:rFonts w:hint="eastAsia"/>
        </w:rPr>
        <w:t>健康</w:t>
      </w:r>
    </w:p>
    <w:p w:rsidR="009A617A" w:rsidRDefault="009A617A" w:rsidP="009A617A">
      <w:pPr>
        <w:pStyle w:val="SingleTxt"/>
        <w:rPr>
          <w:rFonts w:hint="eastAsia"/>
        </w:rPr>
      </w:pPr>
      <w:r>
        <w:rPr>
          <w:rFonts w:hint="eastAsia"/>
        </w:rPr>
        <w:t>24.</w:t>
      </w:r>
      <w:r>
        <w:rPr>
          <w:rFonts w:hint="eastAsia"/>
        </w:rPr>
        <w:tab/>
        <w:t>请提供资料，说明已采取或打算采取哪些措施来查明和处理罗姆女孩健康状况差的原因，执行儿童权利委员会结论性意见中的建议</w:t>
      </w:r>
      <w:r w:rsidR="00A237BD">
        <w:rPr>
          <w:rFonts w:hint="eastAsia"/>
        </w:rPr>
        <w:t>（</w:t>
      </w:r>
      <w:r>
        <w:rPr>
          <w:rFonts w:hint="eastAsia"/>
        </w:rPr>
        <w:t>CRC/C/15/Add.230,第45段)，并说明这些措施可能已经对罗姆女孩健康产生的影响。</w:t>
      </w:r>
    </w:p>
    <w:p w:rsidR="009A617A" w:rsidRDefault="009A617A" w:rsidP="009A617A">
      <w:pPr>
        <w:pStyle w:val="SingleTxt"/>
        <w:rPr>
          <w:rFonts w:hint="eastAsia"/>
        </w:rPr>
      </w:pPr>
      <w:r>
        <w:rPr>
          <w:rFonts w:hint="eastAsia"/>
        </w:rPr>
        <w:t>25.</w:t>
      </w:r>
      <w:r>
        <w:rPr>
          <w:rFonts w:hint="eastAsia"/>
        </w:rPr>
        <w:tab/>
        <w:t>在以往的结论性意见中，委员会建议，缔约国采取紧急措施，降低产妇死亡率。</w:t>
      </w:r>
      <w:r w:rsidR="003B6234">
        <w:rPr>
          <w:rStyle w:val="FootnoteReference"/>
        </w:rPr>
        <w:footnoteReference w:id="6"/>
      </w:r>
      <w:r w:rsidR="00683E09">
        <w:t xml:space="preserve"> </w:t>
      </w:r>
      <w:r>
        <w:rPr>
          <w:rFonts w:hint="eastAsia"/>
        </w:rPr>
        <w:t>报告说，为讨论产妇死亡案件设立了一个工作组，目前正在编写一份关于产妇死亡率的报告，其中将包括关于在生殖健康领域应采取的健康措施的建议（第144段）。请提供资料，说明该报告现状，如果已经定稿，请说明其中所载措施和建议及其对产妇死亡率的影响。</w:t>
      </w:r>
    </w:p>
    <w:p w:rsidR="009A617A" w:rsidRDefault="009A617A" w:rsidP="009A617A">
      <w:pPr>
        <w:pStyle w:val="SingleTxt"/>
        <w:rPr>
          <w:rFonts w:hint="eastAsia"/>
        </w:rPr>
      </w:pPr>
      <w:r>
        <w:rPr>
          <w:rFonts w:hint="eastAsia"/>
        </w:rPr>
        <w:t>26.</w:t>
      </w:r>
      <w:r>
        <w:rPr>
          <w:rFonts w:hint="eastAsia"/>
        </w:rPr>
        <w:tab/>
        <w:t>请提供资料，说明是否有任何法律禁止主要针对妇女和女孩的欺骗性烟草广告，例如将烟草说成是“淡味”。请提供资料，说明使用任何烟草产品的男女比例以及目前吸香烟的男女比例。</w:t>
      </w:r>
    </w:p>
    <w:p w:rsidR="009A617A" w:rsidRDefault="00A237BD" w:rsidP="00A23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9A617A">
        <w:rPr>
          <w:rFonts w:hint="eastAsia"/>
        </w:rPr>
        <w:t>特殊妇女和女孩群体状况</w:t>
      </w:r>
    </w:p>
    <w:p w:rsidR="00A237BD" w:rsidRPr="00A237BD" w:rsidRDefault="00A237BD" w:rsidP="00A237BD">
      <w:pPr>
        <w:pStyle w:val="SingleTxt"/>
        <w:spacing w:after="0" w:line="120" w:lineRule="exact"/>
        <w:rPr>
          <w:rFonts w:hint="eastAsia"/>
          <w:sz w:val="10"/>
        </w:rPr>
      </w:pPr>
    </w:p>
    <w:p w:rsidR="009A617A" w:rsidRDefault="009A617A" w:rsidP="009A617A">
      <w:pPr>
        <w:pStyle w:val="SingleTxt"/>
        <w:rPr>
          <w:rFonts w:hint="eastAsia"/>
        </w:rPr>
      </w:pPr>
      <w:r>
        <w:rPr>
          <w:rFonts w:hint="eastAsia"/>
        </w:rPr>
        <w:t>27.</w:t>
      </w:r>
      <w:r>
        <w:rPr>
          <w:rFonts w:hint="eastAsia"/>
        </w:rPr>
        <w:tab/>
        <w:t>报告（第34段）提到卢布尔雅那大学社会工作系教职员工2003年举办的一次会议，提醒人们注意残疾妇女在日常生活中遇到的障碍、偏见和歧视。请详述会议讨论的问题、由于会议而采取的行动或开始的方案及其影响。还请提供资料，说明已采取或打算采取哪些措施来处理残疾女孩入学率低的问题，并执行儿童权利委员会的方面的建议</w:t>
      </w:r>
      <w:r w:rsidR="00A237BD">
        <w:rPr>
          <w:rFonts w:hint="eastAsia"/>
        </w:rPr>
        <w:t>（</w:t>
      </w:r>
      <w:r>
        <w:rPr>
          <w:rFonts w:hint="eastAsia"/>
        </w:rPr>
        <w:t>CRC/C/15/Add.230,第43段)。</w:t>
      </w:r>
    </w:p>
    <w:p w:rsidR="009A617A" w:rsidRDefault="009A617A" w:rsidP="009A617A">
      <w:pPr>
        <w:pStyle w:val="SingleTxt"/>
        <w:rPr>
          <w:rFonts w:hint="eastAsia"/>
        </w:rPr>
      </w:pPr>
      <w:r>
        <w:rPr>
          <w:rFonts w:hint="eastAsia"/>
        </w:rPr>
        <w:t>28.</w:t>
      </w:r>
      <w:r>
        <w:rPr>
          <w:rFonts w:hint="eastAsia"/>
        </w:rPr>
        <w:tab/>
        <w:t>报告说，在2004年10月的决定中，斯洛文尼亚共和国决定罗姆人的生活条件及教育和就业应得到特别注意和国家资源的支持（第176段）。请提供资料，说明根据这项决定已采取或打算采取的措施和其他措施，如协助市政府规划罗姆人定居点所需最低限度公共基础设施的实施方案（2005年），以改善罗姆妇女的状况，并说明这些措施的影响。</w:t>
      </w:r>
    </w:p>
    <w:p w:rsidR="009A617A" w:rsidRDefault="00A237BD" w:rsidP="00A237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9A617A">
        <w:rPr>
          <w:rFonts w:hint="eastAsia"/>
        </w:rPr>
        <w:t>婚姻和家庭生活</w:t>
      </w:r>
    </w:p>
    <w:p w:rsidR="00A237BD" w:rsidRPr="00A237BD" w:rsidRDefault="00A237BD" w:rsidP="00A237BD">
      <w:pPr>
        <w:pStyle w:val="SingleTxt"/>
        <w:spacing w:after="0" w:line="120" w:lineRule="exact"/>
        <w:rPr>
          <w:rFonts w:hint="eastAsia"/>
          <w:sz w:val="10"/>
        </w:rPr>
      </w:pPr>
    </w:p>
    <w:p w:rsidR="009A617A" w:rsidRDefault="009A617A" w:rsidP="009A617A">
      <w:pPr>
        <w:pStyle w:val="SingleTxt"/>
      </w:pPr>
      <w:r>
        <w:rPr>
          <w:rFonts w:hint="eastAsia"/>
        </w:rPr>
        <w:t>29.</w:t>
      </w:r>
      <w:r>
        <w:rPr>
          <w:rFonts w:hint="eastAsia"/>
        </w:rPr>
        <w:tab/>
        <w:t>请提供资料，说明目前关于解除关系经济后果方面的性别差距的研究和结论。请提供资料，说明解除关系时分配哪类财产，特别指出法律是否承认无形财产（如退休金、离职金和保险金）也属于解除关系时须分配的家庭财产。还请说明法律是否规定未来收入能力和人力资本的分配，或在解除关系分配财产时以任何方式考虑到收入能力增强或人力资本增多的情况（即通过一次性付款反映配偶在这类资产中的估计份额，或容许对配偶进行补偿性付款）。</w:t>
      </w:r>
    </w:p>
    <w:p w:rsidR="00A237BD" w:rsidRPr="00A237BD" w:rsidRDefault="00A237BD" w:rsidP="00A237BD">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A237BD" w:rsidRPr="00A237BD" w:rsidSect="00640C0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7:54:00Z" w:initials="Start">
    <w:p w:rsidR="00953B00" w:rsidRDefault="00953B0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NO&gt;&gt;N0826330C&lt;&lt;ODS JOB NO&gt;&gt;</w:t>
      </w:r>
    </w:p>
    <w:p w:rsidR="00953B00" w:rsidRDefault="00953B00">
      <w:pPr>
        <w:pStyle w:val="CommentText"/>
      </w:pPr>
      <w:r>
        <w:t>&lt;&lt;ODS DOC SYMBOL1&gt;&gt;CEDAW/C/SVN/Q/4&lt;&lt;ODS DOC SYMBOL1&gt;&gt;</w:t>
      </w:r>
    </w:p>
    <w:p w:rsidR="00953B00" w:rsidRDefault="00953B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EAB" w:rsidRDefault="00C56EAB">
      <w:r>
        <w:separator/>
      </w:r>
    </w:p>
  </w:endnote>
  <w:endnote w:type="continuationSeparator" w:id="0">
    <w:p w:rsidR="00C56EAB" w:rsidRDefault="00C56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3B00" w:rsidTr="00640C02">
      <w:tblPrEx>
        <w:tblCellMar>
          <w:top w:w="0" w:type="dxa"/>
          <w:bottom w:w="0" w:type="dxa"/>
        </w:tblCellMar>
      </w:tblPrEx>
      <w:tc>
        <w:tcPr>
          <w:tcW w:w="5033" w:type="dxa"/>
          <w:shd w:val="clear" w:color="auto" w:fill="auto"/>
        </w:tcPr>
        <w:p w:rsidR="00953B00" w:rsidRPr="00640C02" w:rsidRDefault="00953B00" w:rsidP="00640C02">
          <w:pPr>
            <w:pStyle w:val="Footer"/>
            <w:jc w:val="right"/>
            <w:rPr>
              <w:b w:val="0"/>
              <w:w w:val="103"/>
              <w:sz w:val="14"/>
            </w:rPr>
          </w:pPr>
          <w:r>
            <w:rPr>
              <w:b w:val="0"/>
              <w:w w:val="103"/>
              <w:sz w:val="14"/>
            </w:rPr>
            <w:t>08-26330 (C</w:t>
          </w:r>
          <w:r>
            <w:rPr>
              <w:b w:val="0"/>
              <w:w w:val="103"/>
              <w:sz w:val="14"/>
            </w:rPr>
            <w:t>）</w:t>
          </w:r>
        </w:p>
      </w:tc>
      <w:tc>
        <w:tcPr>
          <w:tcW w:w="5033" w:type="dxa"/>
          <w:shd w:val="clear" w:color="auto" w:fill="auto"/>
        </w:tcPr>
        <w:p w:rsidR="00953B00" w:rsidRPr="00640C02" w:rsidRDefault="00953B00" w:rsidP="00640C02">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BA6D54">
            <w:rPr>
              <w:w w:val="103"/>
              <w:sz w:val="17"/>
            </w:rPr>
            <w:t>4</w:t>
          </w:r>
          <w:r>
            <w:rPr>
              <w:w w:val="103"/>
              <w:sz w:val="17"/>
            </w:rPr>
            <w:fldChar w:fldCharType="end"/>
          </w:r>
        </w:p>
      </w:tc>
    </w:tr>
  </w:tbl>
  <w:p w:rsidR="00953B00" w:rsidRPr="00640C02" w:rsidRDefault="00953B00" w:rsidP="00640C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3B00" w:rsidTr="00640C02">
      <w:tblPrEx>
        <w:tblCellMar>
          <w:top w:w="0" w:type="dxa"/>
          <w:bottom w:w="0" w:type="dxa"/>
        </w:tblCellMar>
      </w:tblPrEx>
      <w:tc>
        <w:tcPr>
          <w:tcW w:w="5033" w:type="dxa"/>
          <w:shd w:val="clear" w:color="auto" w:fill="auto"/>
        </w:tcPr>
        <w:p w:rsidR="00953B00" w:rsidRPr="00640C02" w:rsidRDefault="00953B00" w:rsidP="00640C02">
          <w:pPr>
            <w:pStyle w:val="Footer"/>
            <w:jc w:val="right"/>
          </w:pPr>
          <w:r>
            <w:fldChar w:fldCharType="begin"/>
          </w:r>
          <w:r>
            <w:instrText xml:space="preserve"> PAGE  \* MERGEFORMAT </w:instrText>
          </w:r>
          <w:r>
            <w:fldChar w:fldCharType="separate"/>
          </w:r>
          <w:r w:rsidR="00BA6D54">
            <w:t>5</w:t>
          </w:r>
          <w:r>
            <w:fldChar w:fldCharType="end"/>
          </w:r>
        </w:p>
      </w:tc>
      <w:tc>
        <w:tcPr>
          <w:tcW w:w="5033" w:type="dxa"/>
          <w:shd w:val="clear" w:color="auto" w:fill="auto"/>
        </w:tcPr>
        <w:p w:rsidR="00953B00" w:rsidRPr="00640C02" w:rsidRDefault="00953B00" w:rsidP="00640C02">
          <w:pPr>
            <w:pStyle w:val="Footer"/>
            <w:jc w:val="left"/>
            <w:rPr>
              <w:b w:val="0"/>
              <w:w w:val="103"/>
              <w:sz w:val="14"/>
            </w:rPr>
          </w:pPr>
          <w:r>
            <w:rPr>
              <w:b w:val="0"/>
              <w:w w:val="103"/>
              <w:sz w:val="14"/>
            </w:rPr>
            <w:t>08-26330 (C)</w:t>
          </w:r>
        </w:p>
      </w:tc>
    </w:tr>
  </w:tbl>
  <w:p w:rsidR="00953B00" w:rsidRPr="00640C02" w:rsidRDefault="00953B00" w:rsidP="00640C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00" w:rsidRDefault="00953B00" w:rsidP="00640C0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08-26330 (C)</w:t>
    </w:r>
    <w:r>
      <w:rPr>
        <w:b w:val="0"/>
        <w:sz w:val="21"/>
      </w:rPr>
      <w:fldChar w:fldCharType="end"/>
    </w:r>
    <w:r>
      <w:rPr>
        <w:b w:val="0"/>
        <w:sz w:val="21"/>
      </w:rPr>
      <w:t xml:space="preserve">    270308    270308</w:t>
    </w:r>
  </w:p>
  <w:p w:rsidR="00953B00" w:rsidRPr="00640C02" w:rsidRDefault="00953B00" w:rsidP="00640C02">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*0826330*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EAB" w:rsidRPr="003B6234" w:rsidRDefault="00C56EAB" w:rsidP="003B6234">
      <w:pPr>
        <w:pStyle w:val="Footer"/>
        <w:spacing w:after="80"/>
        <w:ind w:left="792"/>
        <w:rPr>
          <w:sz w:val="16"/>
        </w:rPr>
      </w:pPr>
      <w:r w:rsidRPr="003B6234">
        <w:rPr>
          <w:sz w:val="16"/>
        </w:rPr>
        <w:t>__________________</w:t>
      </w:r>
    </w:p>
  </w:footnote>
  <w:footnote w:type="continuationSeparator" w:id="0">
    <w:p w:rsidR="00C56EAB" w:rsidRPr="003B6234" w:rsidRDefault="00C56EAB" w:rsidP="003B6234">
      <w:pPr>
        <w:pStyle w:val="Footer"/>
        <w:spacing w:after="80"/>
        <w:ind w:left="792"/>
        <w:rPr>
          <w:sz w:val="16"/>
        </w:rPr>
      </w:pPr>
      <w:r w:rsidRPr="003B6234">
        <w:rPr>
          <w:sz w:val="16"/>
        </w:rPr>
        <w:t>__________________</w:t>
      </w:r>
    </w:p>
  </w:footnote>
  <w:footnote w:id="1">
    <w:p w:rsidR="00953B00" w:rsidRPr="003B6234" w:rsidRDefault="00953B00" w:rsidP="003B62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B6234">
        <w:rPr>
          <w:rFonts w:hint="eastAsia"/>
        </w:rPr>
        <w:t>见《大会正式记录，第五十八届会议，补编第38号》，（A/58/38），第223段。</w:t>
      </w:r>
    </w:p>
  </w:footnote>
  <w:footnote w:id="2">
    <w:p w:rsidR="00953B00" w:rsidRPr="003B6234" w:rsidRDefault="00953B00" w:rsidP="003B62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B6234">
        <w:rPr>
          <w:rFonts w:hint="eastAsia"/>
        </w:rPr>
        <w:t>同上，第207段。</w:t>
      </w:r>
    </w:p>
  </w:footnote>
  <w:footnote w:id="3">
    <w:p w:rsidR="00953B00" w:rsidRDefault="00953B00" w:rsidP="003B62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w:t>
      </w:r>
    </w:p>
  </w:footnote>
  <w:footnote w:id="4">
    <w:p w:rsidR="00953B00" w:rsidRDefault="00953B00" w:rsidP="003B62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w:t>
      </w:r>
    </w:p>
  </w:footnote>
  <w:footnote w:id="5">
    <w:p w:rsidR="00953B00" w:rsidRDefault="00953B00" w:rsidP="003B62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w:t>
      </w:r>
    </w:p>
  </w:footnote>
  <w:footnote w:id="6">
    <w:p w:rsidR="00953B00" w:rsidRDefault="00953B00" w:rsidP="003B62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同上，第215段。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53B00" w:rsidTr="00640C02">
      <w:tblPrEx>
        <w:tblCellMar>
          <w:top w:w="0" w:type="dxa"/>
          <w:bottom w:w="0" w:type="dxa"/>
        </w:tblCellMar>
      </w:tblPrEx>
      <w:trPr>
        <w:trHeight w:hRule="exact" w:val="864"/>
      </w:trPr>
      <w:tc>
        <w:tcPr>
          <w:tcW w:w="4838" w:type="dxa"/>
          <w:shd w:val="clear" w:color="auto" w:fill="auto"/>
          <w:vAlign w:val="bottom"/>
        </w:tcPr>
        <w:p w:rsidR="00953B00" w:rsidRPr="00640C02" w:rsidRDefault="00953B00" w:rsidP="00640C0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CEDAW/C/SVN/Q/4</w:t>
          </w:r>
          <w:r>
            <w:rPr>
              <w:b/>
              <w:sz w:val="17"/>
            </w:rPr>
            <w:fldChar w:fldCharType="end"/>
          </w:r>
        </w:p>
      </w:tc>
      <w:tc>
        <w:tcPr>
          <w:tcW w:w="5033" w:type="dxa"/>
          <w:shd w:val="clear" w:color="auto" w:fill="auto"/>
          <w:vAlign w:val="bottom"/>
        </w:tcPr>
        <w:p w:rsidR="00953B00" w:rsidRDefault="00953B00" w:rsidP="00640C02">
          <w:pPr>
            <w:pStyle w:val="Header"/>
          </w:pPr>
        </w:p>
      </w:tc>
    </w:tr>
  </w:tbl>
  <w:p w:rsidR="00953B00" w:rsidRPr="00640C02" w:rsidRDefault="00953B00" w:rsidP="00640C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53B00" w:rsidTr="00640C02">
      <w:tblPrEx>
        <w:tblCellMar>
          <w:top w:w="0" w:type="dxa"/>
          <w:bottom w:w="0" w:type="dxa"/>
        </w:tblCellMar>
      </w:tblPrEx>
      <w:trPr>
        <w:trHeight w:hRule="exact" w:val="864"/>
      </w:trPr>
      <w:tc>
        <w:tcPr>
          <w:tcW w:w="4838" w:type="dxa"/>
          <w:shd w:val="clear" w:color="auto" w:fill="auto"/>
          <w:vAlign w:val="bottom"/>
        </w:tcPr>
        <w:p w:rsidR="00953B00" w:rsidRDefault="00953B00" w:rsidP="00640C02">
          <w:pPr>
            <w:pStyle w:val="Header"/>
          </w:pPr>
        </w:p>
      </w:tc>
      <w:tc>
        <w:tcPr>
          <w:tcW w:w="5033" w:type="dxa"/>
          <w:shd w:val="clear" w:color="auto" w:fill="auto"/>
          <w:vAlign w:val="bottom"/>
        </w:tcPr>
        <w:p w:rsidR="00953B00" w:rsidRPr="00640C02" w:rsidRDefault="00953B00" w:rsidP="00640C0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CEDAW/C/SVN/Q/4</w:t>
          </w:r>
          <w:r>
            <w:rPr>
              <w:b/>
              <w:sz w:val="17"/>
            </w:rPr>
            <w:fldChar w:fldCharType="end"/>
          </w:r>
        </w:p>
      </w:tc>
    </w:tr>
  </w:tbl>
  <w:p w:rsidR="00953B00" w:rsidRPr="00640C02" w:rsidRDefault="00953B00" w:rsidP="00640C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53B00" w:rsidTr="00640C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3B00" w:rsidRDefault="00953B00" w:rsidP="00640C02">
          <w:pPr>
            <w:pStyle w:val="Header"/>
            <w:spacing w:after="120"/>
          </w:pPr>
        </w:p>
      </w:tc>
      <w:tc>
        <w:tcPr>
          <w:tcW w:w="1872" w:type="dxa"/>
          <w:tcBorders>
            <w:bottom w:val="single" w:sz="4" w:space="0" w:color="auto"/>
          </w:tcBorders>
          <w:shd w:val="clear" w:color="auto" w:fill="auto"/>
          <w:vAlign w:val="bottom"/>
        </w:tcPr>
        <w:p w:rsidR="00953B00" w:rsidRPr="00640C02" w:rsidRDefault="00953B00" w:rsidP="00640C0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53B00" w:rsidRDefault="00953B00" w:rsidP="00640C02">
          <w:pPr>
            <w:pStyle w:val="Header"/>
            <w:spacing w:after="120"/>
          </w:pPr>
        </w:p>
      </w:tc>
      <w:tc>
        <w:tcPr>
          <w:tcW w:w="6523" w:type="dxa"/>
          <w:gridSpan w:val="3"/>
          <w:tcBorders>
            <w:bottom w:val="single" w:sz="4" w:space="0" w:color="auto"/>
          </w:tcBorders>
          <w:shd w:val="clear" w:color="auto" w:fill="auto"/>
          <w:vAlign w:val="bottom"/>
        </w:tcPr>
        <w:p w:rsidR="00953B00" w:rsidRPr="00640C02" w:rsidRDefault="00953B00" w:rsidP="00640C02">
          <w:pPr>
            <w:spacing w:after="80" w:line="240" w:lineRule="auto"/>
            <w:jc w:val="right"/>
            <w:rPr>
              <w:rFonts w:ascii="Times New Roman"/>
              <w:position w:val="-4"/>
            </w:rPr>
          </w:pPr>
          <w:r>
            <w:rPr>
              <w:rFonts w:ascii="Times New Roman"/>
              <w:position w:val="-4"/>
              <w:sz w:val="40"/>
            </w:rPr>
            <w:t>CEDAW</w:t>
          </w:r>
          <w:r>
            <w:rPr>
              <w:rFonts w:ascii="Times New Roman"/>
              <w:position w:val="-4"/>
            </w:rPr>
            <w:t>/C/SVN/Q/4</w:t>
          </w:r>
        </w:p>
      </w:tc>
    </w:tr>
    <w:tr w:rsidR="00953B00" w:rsidRPr="00640C02" w:rsidTr="00640C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3B00" w:rsidRDefault="00953B00" w:rsidP="00640C0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53B00" w:rsidRPr="00640C02" w:rsidRDefault="00953B00" w:rsidP="00640C02">
          <w:pPr>
            <w:pStyle w:val="Header"/>
            <w:spacing w:before="109"/>
            <w:ind w:left="-72"/>
          </w:pPr>
        </w:p>
      </w:tc>
      <w:tc>
        <w:tcPr>
          <w:tcW w:w="5227" w:type="dxa"/>
          <w:gridSpan w:val="3"/>
          <w:tcBorders>
            <w:top w:val="single" w:sz="4" w:space="0" w:color="auto"/>
            <w:bottom w:val="single" w:sz="12" w:space="0" w:color="auto"/>
          </w:tcBorders>
          <w:shd w:val="clear" w:color="auto" w:fill="auto"/>
        </w:tcPr>
        <w:p w:rsidR="00953B00" w:rsidRPr="00640C02" w:rsidRDefault="00953B00" w:rsidP="00640C0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53B00" w:rsidRPr="00640C02" w:rsidRDefault="00953B00" w:rsidP="00640C02">
          <w:pPr>
            <w:pStyle w:val="Header"/>
            <w:spacing w:before="109"/>
          </w:pPr>
        </w:p>
      </w:tc>
      <w:tc>
        <w:tcPr>
          <w:tcW w:w="3180" w:type="dxa"/>
          <w:gridSpan w:val="2"/>
          <w:tcBorders>
            <w:top w:val="single" w:sz="4" w:space="0" w:color="auto"/>
            <w:bottom w:val="single" w:sz="12" w:space="0" w:color="auto"/>
          </w:tcBorders>
          <w:shd w:val="clear" w:color="auto" w:fill="auto"/>
        </w:tcPr>
        <w:p w:rsidR="00953B00" w:rsidRDefault="00953B00" w:rsidP="00640C02">
          <w:pPr>
            <w:spacing w:before="240" w:line="240" w:lineRule="exact"/>
            <w:rPr>
              <w:rFonts w:ascii="Times New Roman"/>
            </w:rPr>
          </w:pPr>
          <w:r>
            <w:rPr>
              <w:rFonts w:ascii="Times New Roman"/>
            </w:rPr>
            <w:t>Distr.: General</w:t>
          </w:r>
        </w:p>
        <w:p w:rsidR="00953B00" w:rsidRDefault="00953B00" w:rsidP="00640C02">
          <w:pPr>
            <w:spacing w:line="240" w:lineRule="exact"/>
            <w:rPr>
              <w:rFonts w:ascii="Times New Roman"/>
            </w:rPr>
          </w:pPr>
          <w:r>
            <w:rPr>
              <w:rFonts w:ascii="Times New Roman"/>
            </w:rPr>
            <w:t>6 March 2008</w:t>
          </w:r>
        </w:p>
        <w:p w:rsidR="00953B00" w:rsidRDefault="00953B00" w:rsidP="00640C02">
          <w:pPr>
            <w:spacing w:line="240" w:lineRule="exact"/>
            <w:rPr>
              <w:rFonts w:ascii="Times New Roman"/>
            </w:rPr>
          </w:pPr>
          <w:r>
            <w:rPr>
              <w:rFonts w:ascii="Times New Roman"/>
            </w:rPr>
            <w:t>Chinese</w:t>
          </w:r>
        </w:p>
        <w:p w:rsidR="00953B00" w:rsidRPr="00640C02" w:rsidRDefault="00953B00" w:rsidP="00640C02">
          <w:pPr>
            <w:spacing w:line="240" w:lineRule="exact"/>
            <w:rPr>
              <w:rFonts w:ascii="Times New Roman"/>
            </w:rPr>
          </w:pPr>
          <w:r>
            <w:rPr>
              <w:rFonts w:ascii="Times New Roman"/>
            </w:rPr>
            <w:t>Original: English</w:t>
          </w:r>
        </w:p>
      </w:tc>
    </w:tr>
  </w:tbl>
  <w:p w:rsidR="00953B00" w:rsidRPr="00640C02" w:rsidRDefault="00953B00" w:rsidP="00640C0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30*"/>
    <w:docVar w:name="CreationDt" w:val="27/03/2008 17:28:54"/>
    <w:docVar w:name="DocCategory" w:val="Doc"/>
    <w:docVar w:name="DocType" w:val="Final"/>
    <w:docVar w:name="FooterJN" w:val="08-26330"/>
    <w:docVar w:name="jobn" w:val="08-26330 (C)"/>
    <w:docVar w:name="jobnDT" w:val="08-26330 (C)   270308"/>
    <w:docVar w:name="jobnDTDT" w:val="08-26330 (C)   270308   270308"/>
    <w:docVar w:name="JobNo" w:val="0826330C"/>
    <w:docVar w:name="OandT" w:val="YANGHUA"/>
    <w:docVar w:name="sss1" w:val="CEDAW/C/SVN/Q/4"/>
    <w:docVar w:name="sss2" w:val="-"/>
    <w:docVar w:name="Symbol1" w:val="CEDAW/C/SVN/Q/4"/>
    <w:docVar w:name="Symbol2" w:val="-"/>
  </w:docVars>
  <w:rsids>
    <w:rsidRoot w:val="0028455D"/>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8455D"/>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B6234"/>
    <w:rsid w:val="003C7182"/>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42FE3"/>
    <w:rsid w:val="005541E4"/>
    <w:rsid w:val="0058302A"/>
    <w:rsid w:val="005B7338"/>
    <w:rsid w:val="005C02AB"/>
    <w:rsid w:val="005D0F04"/>
    <w:rsid w:val="005F12F0"/>
    <w:rsid w:val="005F3273"/>
    <w:rsid w:val="005F34A3"/>
    <w:rsid w:val="00610CF2"/>
    <w:rsid w:val="006328DE"/>
    <w:rsid w:val="00640C02"/>
    <w:rsid w:val="006479F1"/>
    <w:rsid w:val="00650BEE"/>
    <w:rsid w:val="006520FA"/>
    <w:rsid w:val="0065377D"/>
    <w:rsid w:val="00657DDC"/>
    <w:rsid w:val="00666F57"/>
    <w:rsid w:val="006740A7"/>
    <w:rsid w:val="00683E09"/>
    <w:rsid w:val="00691524"/>
    <w:rsid w:val="006A654B"/>
    <w:rsid w:val="006E2924"/>
    <w:rsid w:val="006E7A26"/>
    <w:rsid w:val="006F2B3D"/>
    <w:rsid w:val="006F6089"/>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53B00"/>
    <w:rsid w:val="0096193C"/>
    <w:rsid w:val="009769E1"/>
    <w:rsid w:val="00977E0D"/>
    <w:rsid w:val="00986C04"/>
    <w:rsid w:val="009A2F76"/>
    <w:rsid w:val="009A617A"/>
    <w:rsid w:val="009D2AC2"/>
    <w:rsid w:val="009E1774"/>
    <w:rsid w:val="009E2668"/>
    <w:rsid w:val="009E40A3"/>
    <w:rsid w:val="009E5C8C"/>
    <w:rsid w:val="009F10B1"/>
    <w:rsid w:val="009F47E3"/>
    <w:rsid w:val="009F6938"/>
    <w:rsid w:val="00A0537D"/>
    <w:rsid w:val="00A069AD"/>
    <w:rsid w:val="00A17A85"/>
    <w:rsid w:val="00A20856"/>
    <w:rsid w:val="00A237BD"/>
    <w:rsid w:val="00A24399"/>
    <w:rsid w:val="00A24CA5"/>
    <w:rsid w:val="00A33D6D"/>
    <w:rsid w:val="00A37345"/>
    <w:rsid w:val="00A5206D"/>
    <w:rsid w:val="00A72A45"/>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A6D54"/>
    <w:rsid w:val="00BB23A4"/>
    <w:rsid w:val="00BC2276"/>
    <w:rsid w:val="00BD2150"/>
    <w:rsid w:val="00BE1CC3"/>
    <w:rsid w:val="00BE365A"/>
    <w:rsid w:val="00BE47C4"/>
    <w:rsid w:val="00C052A2"/>
    <w:rsid w:val="00C06A4A"/>
    <w:rsid w:val="00C07098"/>
    <w:rsid w:val="00C1391A"/>
    <w:rsid w:val="00C14CE6"/>
    <w:rsid w:val="00C15218"/>
    <w:rsid w:val="00C2725D"/>
    <w:rsid w:val="00C42033"/>
    <w:rsid w:val="00C464DD"/>
    <w:rsid w:val="00C56EAB"/>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D2A6D"/>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SingleTxt"/>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character" w:styleId="Hyperlink">
    <w:name w:val="Hyperlink"/>
    <w:rsid w:val="009A61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587</Words>
  <Characters>3351</Characters>
  <Application>Microsoft Office Word</Application>
  <DocSecurity>4</DocSecurity>
  <Lines>27</Lines>
  <Paragraphs>7</Paragraphs>
  <ScaleCrop>false</ScaleCrop>
  <Company>United Nations</Company>
  <LinksUpToDate>false</LinksUpToDate>
  <CharactersWithSpaces>3931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Yang, Hua</dc:creator>
  <cp:keywords/>
  <dc:description/>
  <cp:lastModifiedBy>Yang, Hua</cp:lastModifiedBy>
  <cp:revision>16</cp:revision>
  <cp:lastPrinted>2008-03-27T19:43:00Z</cp:lastPrinted>
  <dcterms:created xsi:type="dcterms:W3CDTF">2008-03-27T16:27:00Z</dcterms:created>
  <dcterms:modified xsi:type="dcterms:W3CDTF">2008-03-27T19:51:00Z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0826330</vt:lpwstr>
  </property>
  <property fmtid="{D5CDD505-2E9C-101B-9397-08002B2CF9AE}" pid="3" name="Symbol1">
    <vt:lpwstr>CEDAW/C/SVN/Q/4</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