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CDCF498" w14:textId="77777777" w:rsidTr="00D21089">
        <w:trPr>
          <w:trHeight w:val="851"/>
        </w:trPr>
        <w:tc>
          <w:tcPr>
            <w:tcW w:w="1259" w:type="dxa"/>
            <w:tcBorders>
              <w:top w:val="nil"/>
              <w:left w:val="nil"/>
              <w:bottom w:val="single" w:sz="4" w:space="0" w:color="auto"/>
              <w:right w:val="nil"/>
            </w:tcBorders>
          </w:tcPr>
          <w:p w14:paraId="7A2DC87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970B7C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4481868" w14:textId="77777777" w:rsidR="006F0959" w:rsidRDefault="00DB62C2" w:rsidP="00DB62C2">
            <w:pPr>
              <w:suppressAutoHyphens w:val="0"/>
              <w:spacing w:after="20"/>
              <w:jc w:val="right"/>
            </w:pPr>
            <w:r w:rsidRPr="00DB62C2">
              <w:rPr>
                <w:sz w:val="40"/>
              </w:rPr>
              <w:t>CRC</w:t>
            </w:r>
            <w:r>
              <w:t>/C/85/D/49/2018</w:t>
            </w:r>
          </w:p>
        </w:tc>
      </w:tr>
      <w:tr w:rsidR="006F0959" w14:paraId="511E5DC3" w14:textId="77777777" w:rsidTr="00D21089">
        <w:trPr>
          <w:trHeight w:val="2835"/>
        </w:trPr>
        <w:tc>
          <w:tcPr>
            <w:tcW w:w="1259" w:type="dxa"/>
            <w:tcBorders>
              <w:top w:val="single" w:sz="4" w:space="0" w:color="auto"/>
              <w:left w:val="nil"/>
              <w:bottom w:val="single" w:sz="12" w:space="0" w:color="auto"/>
              <w:right w:val="nil"/>
            </w:tcBorders>
          </w:tcPr>
          <w:p w14:paraId="23A04882" w14:textId="77777777" w:rsidR="006F0959" w:rsidRDefault="006F0959" w:rsidP="00D21089">
            <w:pPr>
              <w:spacing w:before="120"/>
              <w:jc w:val="center"/>
            </w:pPr>
            <w:r>
              <w:rPr>
                <w:noProof/>
                <w:lang w:eastAsia="en-GB"/>
              </w:rPr>
              <w:drawing>
                <wp:inline distT="0" distB="0" distL="0" distR="0" wp14:anchorId="782D1B2C" wp14:editId="7578549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70A5C2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0176F477" w14:textId="77777777" w:rsidR="00DB62C2" w:rsidRPr="00DA03DE" w:rsidRDefault="00DB62C2" w:rsidP="00DB62C2">
            <w:pPr>
              <w:spacing w:before="240"/>
            </w:pPr>
            <w:r w:rsidRPr="00DA03DE">
              <w:t>Distr.: General</w:t>
            </w:r>
          </w:p>
          <w:p w14:paraId="4B8D175A" w14:textId="77777777" w:rsidR="00DB62C2" w:rsidRPr="00DA03DE" w:rsidRDefault="00DB62C2" w:rsidP="00DB62C2">
            <w:pPr>
              <w:suppressAutoHyphens w:val="0"/>
            </w:pPr>
            <w:r w:rsidRPr="00DA03DE">
              <w:t xml:space="preserve">9 </w:t>
            </w:r>
            <w:r>
              <w:t>November</w:t>
            </w:r>
            <w:r w:rsidRPr="00DA03DE">
              <w:t xml:space="preserve"> 2020</w:t>
            </w:r>
          </w:p>
          <w:p w14:paraId="7EC5B248" w14:textId="77777777" w:rsidR="00DB62C2" w:rsidRPr="00DA03DE" w:rsidRDefault="00DB62C2" w:rsidP="00DB62C2">
            <w:pPr>
              <w:suppressAutoHyphens w:val="0"/>
            </w:pPr>
          </w:p>
          <w:p w14:paraId="0155709E" w14:textId="77777777" w:rsidR="00DB62C2" w:rsidRPr="00DA03DE" w:rsidRDefault="00DB62C2" w:rsidP="00DB62C2">
            <w:pPr>
              <w:suppressAutoHyphens w:val="0"/>
            </w:pPr>
            <w:r w:rsidRPr="00DA03DE">
              <w:t>Original: English</w:t>
            </w:r>
          </w:p>
          <w:p w14:paraId="4D04EDA9" w14:textId="5E5F1A0B" w:rsidR="00DB62C2" w:rsidRDefault="00DB62C2" w:rsidP="00DB62C2">
            <w:pPr>
              <w:suppressAutoHyphens w:val="0"/>
            </w:pPr>
          </w:p>
        </w:tc>
      </w:tr>
    </w:tbl>
    <w:p w14:paraId="7A18AA2D" w14:textId="77777777" w:rsidR="00DB62C2" w:rsidRPr="00424EB7" w:rsidRDefault="00DB62C2" w:rsidP="00DB62C2">
      <w:pPr>
        <w:spacing w:before="120"/>
        <w:rPr>
          <w:rFonts w:eastAsiaTheme="minorEastAsia"/>
          <w:b/>
          <w:bCs/>
          <w:sz w:val="24"/>
          <w:szCs w:val="24"/>
          <w:lang w:eastAsia="zh-CN"/>
        </w:rPr>
      </w:pPr>
      <w:r w:rsidRPr="00424EB7">
        <w:rPr>
          <w:rFonts w:eastAsiaTheme="minorEastAsia"/>
          <w:b/>
          <w:bCs/>
          <w:sz w:val="24"/>
          <w:szCs w:val="24"/>
          <w:lang w:eastAsia="zh-CN"/>
        </w:rPr>
        <w:t>Committee on the Rights of the Child</w:t>
      </w:r>
    </w:p>
    <w:p w14:paraId="1F4574A4" w14:textId="58879C5E" w:rsidR="00DB62C2" w:rsidRPr="00424EB7" w:rsidRDefault="00DB62C2" w:rsidP="00DB62C2">
      <w:pPr>
        <w:pStyle w:val="HChG"/>
      </w:pPr>
      <w:r w:rsidRPr="00424EB7">
        <w:tab/>
      </w:r>
      <w:r w:rsidRPr="00424EB7">
        <w:tab/>
      </w:r>
      <w:r w:rsidRPr="00B75CC9">
        <w:rPr>
          <w:szCs w:val="28"/>
        </w:rPr>
        <w:t xml:space="preserve">Decision adopted by </w:t>
      </w:r>
      <w:r w:rsidRPr="00B75CC9">
        <w:rPr>
          <w:bCs/>
          <w:szCs w:val="28"/>
        </w:rPr>
        <w:t>the Committee under the Optional Protocol to the Convention on the</w:t>
      </w:r>
      <w:r>
        <w:rPr>
          <w:bCs/>
          <w:szCs w:val="28"/>
        </w:rPr>
        <w:t xml:space="preserve"> </w:t>
      </w:r>
      <w:r w:rsidRPr="00B75CC9">
        <w:rPr>
          <w:bCs/>
          <w:szCs w:val="28"/>
        </w:rPr>
        <w:t xml:space="preserve">Rights of the Child </w:t>
      </w:r>
      <w:r w:rsidR="00B00D73">
        <w:rPr>
          <w:bCs/>
          <w:szCs w:val="28"/>
        </w:rPr>
        <w:br/>
      </w:r>
      <w:r w:rsidRPr="00B75CC9">
        <w:rPr>
          <w:bCs/>
          <w:szCs w:val="28"/>
        </w:rPr>
        <w:t>on a communications procedure</w:t>
      </w:r>
      <w:r>
        <w:rPr>
          <w:bCs/>
          <w:szCs w:val="28"/>
        </w:rPr>
        <w:t>,</w:t>
      </w:r>
      <w:r w:rsidRPr="00B75CC9">
        <w:rPr>
          <w:bCs/>
          <w:szCs w:val="28"/>
        </w:rPr>
        <w:t xml:space="preserve"> </w:t>
      </w:r>
      <w:r>
        <w:rPr>
          <w:bCs/>
          <w:szCs w:val="28"/>
        </w:rPr>
        <w:t>concerning</w:t>
      </w:r>
      <w:r w:rsidRPr="00B75CC9">
        <w:rPr>
          <w:bCs/>
          <w:szCs w:val="28"/>
        </w:rPr>
        <w:t xml:space="preserve"> </w:t>
      </w:r>
      <w:r w:rsidR="00B00D73">
        <w:rPr>
          <w:bCs/>
          <w:szCs w:val="28"/>
        </w:rPr>
        <w:br/>
      </w:r>
      <w:r>
        <w:t>c</w:t>
      </w:r>
      <w:r w:rsidRPr="00424EB7">
        <w:t>ommunication</w:t>
      </w:r>
      <w:r w:rsidR="00B00D73">
        <w:t xml:space="preserve"> </w:t>
      </w:r>
      <w:r w:rsidRPr="00424EB7">
        <w:t xml:space="preserve">No. </w:t>
      </w:r>
      <w:r>
        <w:t>49</w:t>
      </w:r>
      <w:r w:rsidRPr="00424EB7">
        <w:t>/201</w:t>
      </w:r>
      <w:r>
        <w:t>8</w:t>
      </w:r>
      <w:r w:rsidRPr="00E61649">
        <w:rPr>
          <w:rStyle w:val="FootnoteReference"/>
          <w:b w:val="0"/>
          <w:sz w:val="20"/>
          <w:vertAlign w:val="baseline"/>
        </w:rPr>
        <w:footnoteReference w:customMarkFollows="1" w:id="2"/>
        <w:t>*</w:t>
      </w:r>
      <w:r w:rsidRPr="00E82128">
        <w:rPr>
          <w:b w:val="0"/>
          <w:position w:val="6"/>
          <w:sz w:val="18"/>
        </w:rPr>
        <w:t>,</w:t>
      </w:r>
      <w:r w:rsidRPr="00E82128">
        <w:rPr>
          <w:b w:val="0"/>
          <w:sz w:val="18"/>
        </w:rPr>
        <w:t xml:space="preserve"> </w:t>
      </w:r>
      <w:bookmarkStart w:id="0" w:name="_GoBack"/>
      <w:bookmarkEnd w:id="0"/>
      <w:r w:rsidRPr="00C813E2">
        <w:rPr>
          <w:rStyle w:val="FootnoteReference"/>
          <w:b w:val="0"/>
          <w:bCs/>
          <w:sz w:val="20"/>
          <w:vertAlign w:val="baseline"/>
        </w:rPr>
        <w:footnoteReference w:customMarkFollows="1" w:id="3"/>
        <w:t>**</w:t>
      </w:r>
    </w:p>
    <w:p w14:paraId="46986775" w14:textId="77777777" w:rsidR="00DB62C2" w:rsidRPr="00424EB7" w:rsidRDefault="00DB62C2" w:rsidP="00DB62C2">
      <w:pPr>
        <w:pStyle w:val="SingleTxtG"/>
        <w:tabs>
          <w:tab w:val="left" w:pos="4536"/>
        </w:tabs>
        <w:ind w:left="4536" w:hanging="3402"/>
        <w:jc w:val="left"/>
      </w:pPr>
      <w:r>
        <w:rPr>
          <w:i/>
          <w:iCs/>
        </w:rPr>
        <w:t>Communication s</w:t>
      </w:r>
      <w:r w:rsidRPr="008A20B1">
        <w:rPr>
          <w:i/>
          <w:iCs/>
        </w:rPr>
        <w:t>ubmitted by:</w:t>
      </w:r>
      <w:r>
        <w:tab/>
        <w:t>L.I. (represented by counsel, N.</w:t>
      </w:r>
      <w:r w:rsidRPr="00E85E8D">
        <w:t>E. Hansen)</w:t>
      </w:r>
    </w:p>
    <w:p w14:paraId="5FC5CFF7" w14:textId="77777777" w:rsidR="00DB62C2" w:rsidRPr="00424EB7" w:rsidRDefault="00DB62C2" w:rsidP="00DB62C2">
      <w:pPr>
        <w:pStyle w:val="SingleTxtG"/>
        <w:tabs>
          <w:tab w:val="left" w:pos="4536"/>
        </w:tabs>
        <w:ind w:left="4536" w:hanging="3402"/>
        <w:jc w:val="left"/>
      </w:pPr>
      <w:r w:rsidRPr="008A20B1">
        <w:rPr>
          <w:i/>
          <w:iCs/>
        </w:rPr>
        <w:t xml:space="preserve">Alleged </w:t>
      </w:r>
      <w:r>
        <w:rPr>
          <w:i/>
          <w:iCs/>
        </w:rPr>
        <w:t>victim</w:t>
      </w:r>
      <w:r w:rsidRPr="008A20B1">
        <w:rPr>
          <w:i/>
          <w:iCs/>
        </w:rPr>
        <w:t>:</w:t>
      </w:r>
      <w:r w:rsidRPr="00424EB7">
        <w:tab/>
      </w:r>
      <w:r>
        <w:t>B.I</w:t>
      </w:r>
      <w:r w:rsidRPr="00E85E8D">
        <w:t>.</w:t>
      </w:r>
    </w:p>
    <w:p w14:paraId="42C8161D" w14:textId="24DA8A10" w:rsidR="00DB62C2" w:rsidRPr="00424EB7" w:rsidRDefault="00DB62C2" w:rsidP="00DB62C2">
      <w:pPr>
        <w:pStyle w:val="SingleTxtG"/>
        <w:tabs>
          <w:tab w:val="left" w:pos="4536"/>
        </w:tabs>
        <w:ind w:left="4536" w:hanging="3402"/>
        <w:jc w:val="left"/>
      </w:pPr>
      <w:r w:rsidRPr="008A20B1">
        <w:rPr>
          <w:i/>
          <w:iCs/>
        </w:rPr>
        <w:t>State party:</w:t>
      </w:r>
      <w:r w:rsidRPr="00424EB7">
        <w:tab/>
      </w:r>
      <w:r>
        <w:tab/>
        <w:t>Denmark</w:t>
      </w:r>
    </w:p>
    <w:p w14:paraId="11053925" w14:textId="77777777" w:rsidR="00DB62C2" w:rsidRPr="00424EB7" w:rsidRDefault="00DB62C2" w:rsidP="00DB62C2">
      <w:pPr>
        <w:pStyle w:val="SingleTxtG"/>
        <w:tabs>
          <w:tab w:val="left" w:pos="4536"/>
        </w:tabs>
        <w:ind w:left="4536" w:hanging="3402"/>
        <w:jc w:val="left"/>
      </w:pPr>
      <w:r w:rsidRPr="008876B7">
        <w:rPr>
          <w:i/>
          <w:iCs/>
        </w:rPr>
        <w:t>Date of communication:</w:t>
      </w:r>
      <w:r w:rsidRPr="008876B7">
        <w:tab/>
        <w:t>17 July 2018</w:t>
      </w:r>
    </w:p>
    <w:p w14:paraId="106DF56B" w14:textId="77777777" w:rsidR="00DB62C2" w:rsidRPr="00424EB7" w:rsidRDefault="00DB62C2" w:rsidP="00DB62C2">
      <w:pPr>
        <w:pStyle w:val="SingleTxtG"/>
        <w:tabs>
          <w:tab w:val="left" w:pos="4536"/>
        </w:tabs>
        <w:ind w:left="4536" w:hanging="3402"/>
        <w:jc w:val="left"/>
      </w:pPr>
      <w:r w:rsidRPr="00B9580B">
        <w:rPr>
          <w:i/>
          <w:iCs/>
        </w:rPr>
        <w:t>Date of adoption of decision:</w:t>
      </w:r>
      <w:r w:rsidRPr="00B9580B">
        <w:tab/>
      </w:r>
      <w:r>
        <w:t>28</w:t>
      </w:r>
      <w:r w:rsidRPr="00B9580B">
        <w:t xml:space="preserve"> September 2020</w:t>
      </w:r>
    </w:p>
    <w:p w14:paraId="656CCD74" w14:textId="77777777" w:rsidR="00DB62C2" w:rsidRPr="00424EB7" w:rsidRDefault="00DB62C2" w:rsidP="00DB62C2">
      <w:pPr>
        <w:pStyle w:val="SingleTxtG"/>
        <w:tabs>
          <w:tab w:val="left" w:pos="4536"/>
          <w:tab w:val="left" w:pos="8222"/>
        </w:tabs>
        <w:ind w:left="4536" w:hanging="3402"/>
        <w:jc w:val="left"/>
      </w:pPr>
      <w:r w:rsidRPr="008A20B1">
        <w:rPr>
          <w:i/>
          <w:iCs/>
        </w:rPr>
        <w:t>Subject matter:</w:t>
      </w:r>
      <w:r w:rsidRPr="00424EB7">
        <w:tab/>
      </w:r>
      <w:r>
        <w:t xml:space="preserve">Deportation of a mother and her daughter </w:t>
      </w:r>
      <w:r w:rsidRPr="00424EB7">
        <w:t xml:space="preserve">to </w:t>
      </w:r>
      <w:r>
        <w:t>North Macedonia, where the child would allegedly be at risk of honour killing</w:t>
      </w:r>
    </w:p>
    <w:p w14:paraId="1A12D534" w14:textId="77777777" w:rsidR="00DB62C2" w:rsidRDefault="00DB62C2" w:rsidP="00DB62C2">
      <w:pPr>
        <w:pStyle w:val="SingleTxtG"/>
        <w:ind w:left="4536" w:hanging="3402"/>
        <w:jc w:val="left"/>
      </w:pPr>
      <w:r w:rsidRPr="008A20B1">
        <w:rPr>
          <w:i/>
          <w:iCs/>
        </w:rPr>
        <w:t>Procedural issues:</w:t>
      </w:r>
      <w:r w:rsidRPr="00424EB7">
        <w:tab/>
      </w:r>
      <w:r w:rsidRPr="009F2B6B">
        <w:t>Exhaustion of domestic remedies; substantiation of claims</w:t>
      </w:r>
    </w:p>
    <w:p w14:paraId="5F89DB3E" w14:textId="77777777" w:rsidR="00DB62C2" w:rsidRPr="00424EB7" w:rsidRDefault="00DB62C2" w:rsidP="00DB62C2">
      <w:pPr>
        <w:pStyle w:val="SingleTxtG"/>
        <w:ind w:left="4536" w:hanging="3402"/>
        <w:jc w:val="left"/>
      </w:pPr>
      <w:r>
        <w:rPr>
          <w:i/>
          <w:iCs/>
        </w:rPr>
        <w:t>Substantive</w:t>
      </w:r>
      <w:r w:rsidRPr="008A20B1">
        <w:rPr>
          <w:i/>
          <w:iCs/>
        </w:rPr>
        <w:t xml:space="preserve"> issues:</w:t>
      </w:r>
      <w:r w:rsidRPr="00424EB7">
        <w:tab/>
      </w:r>
      <w:r>
        <w:t xml:space="preserve">Best interests of the child; non-refoulement; </w:t>
      </w:r>
      <w:r w:rsidRPr="000A2484">
        <w:t>right to life</w:t>
      </w:r>
      <w:r>
        <w:t>; right to acquire a nationality; right to preserve identity; non-discrimination</w:t>
      </w:r>
    </w:p>
    <w:p w14:paraId="46ACD1EF" w14:textId="77777777" w:rsidR="00DB62C2" w:rsidRPr="00424EB7" w:rsidRDefault="00DB62C2" w:rsidP="00DB62C2">
      <w:pPr>
        <w:pStyle w:val="SingleTxtG"/>
        <w:tabs>
          <w:tab w:val="left" w:pos="4536"/>
        </w:tabs>
        <w:ind w:left="4536" w:hanging="3402"/>
        <w:jc w:val="left"/>
      </w:pPr>
      <w:r w:rsidRPr="008A20B1">
        <w:rPr>
          <w:i/>
          <w:iCs/>
        </w:rPr>
        <w:t>Articles of the Convention:</w:t>
      </w:r>
      <w:r>
        <w:tab/>
        <w:t xml:space="preserve">2, 3, </w:t>
      </w:r>
      <w:r w:rsidRPr="00424EB7">
        <w:t>6</w:t>
      </w:r>
      <w:r>
        <w:t>, 7 and</w:t>
      </w:r>
      <w:r w:rsidRPr="00424EB7">
        <w:t xml:space="preserve"> 8</w:t>
      </w:r>
    </w:p>
    <w:p w14:paraId="6EFE93B1" w14:textId="77777777" w:rsidR="00DB62C2" w:rsidRPr="00424EB7" w:rsidRDefault="00DB62C2" w:rsidP="00DB62C2">
      <w:pPr>
        <w:pStyle w:val="SingleTxtG"/>
        <w:tabs>
          <w:tab w:val="left" w:pos="4536"/>
        </w:tabs>
        <w:spacing w:after="240"/>
        <w:ind w:left="4536" w:hanging="3402"/>
        <w:jc w:val="left"/>
      </w:pPr>
      <w:r w:rsidRPr="008A20B1">
        <w:rPr>
          <w:i/>
          <w:iCs/>
        </w:rPr>
        <w:t>Article of the Optional Protocol:</w:t>
      </w:r>
      <w:r>
        <w:tab/>
        <w:t>7 (e) and (f)</w:t>
      </w:r>
    </w:p>
    <w:p w14:paraId="3774CD49" w14:textId="3C994B42" w:rsidR="00DB62C2" w:rsidRPr="0043754B" w:rsidRDefault="00DB62C2" w:rsidP="00DB62C2">
      <w:pPr>
        <w:pStyle w:val="SingleTxtG"/>
      </w:pPr>
      <w:r w:rsidRPr="00424EB7">
        <w:t>1.1</w:t>
      </w:r>
      <w:r w:rsidRPr="00424EB7">
        <w:tab/>
      </w:r>
      <w:r w:rsidRPr="0050303C">
        <w:t xml:space="preserve">The author of the communication is </w:t>
      </w:r>
      <w:r>
        <w:t>L</w:t>
      </w:r>
      <w:r w:rsidRPr="0050303C">
        <w:t>.I., a national</w:t>
      </w:r>
      <w:r>
        <w:t xml:space="preserve"> of North Macedonia</w:t>
      </w:r>
      <w:r w:rsidRPr="0050303C">
        <w:t xml:space="preserve"> born in </w:t>
      </w:r>
      <w:r>
        <w:t>1989</w:t>
      </w:r>
      <w:r w:rsidRPr="0050303C">
        <w:t xml:space="preserve">. </w:t>
      </w:r>
      <w:r>
        <w:t>She</w:t>
      </w:r>
      <w:r w:rsidRPr="0050303C">
        <w:t xml:space="preserve"> submit</w:t>
      </w:r>
      <w:r>
        <w:t>s</w:t>
      </w:r>
      <w:r w:rsidRPr="0050303C">
        <w:t xml:space="preserve"> </w:t>
      </w:r>
      <w:r>
        <w:t>the</w:t>
      </w:r>
      <w:r w:rsidRPr="0050303C">
        <w:t xml:space="preserve"> communication on behalf of her daughter, B.I., born on 15 February 2015. </w:t>
      </w:r>
      <w:r>
        <w:t>The author</w:t>
      </w:r>
      <w:r w:rsidRPr="0050303C">
        <w:t xml:space="preserve"> claims that by deporting her daughter to </w:t>
      </w:r>
      <w:r>
        <w:t xml:space="preserve">North </w:t>
      </w:r>
      <w:r w:rsidRPr="0050303C">
        <w:t xml:space="preserve">Macedonia, the State party </w:t>
      </w:r>
      <w:r>
        <w:t>concerned would violate her daughter</w:t>
      </w:r>
      <w:r w:rsidR="0017595A">
        <w:t>’</w:t>
      </w:r>
      <w:r>
        <w:t xml:space="preserve">s rights under articles 2, 3, 6, 7 and 8 </w:t>
      </w:r>
      <w:r w:rsidRPr="0043754B">
        <w:t xml:space="preserve">of the Convention. The author is represented by counsel. The Optional Protocol </w:t>
      </w:r>
      <w:r>
        <w:t xml:space="preserve">on a communications procedure </w:t>
      </w:r>
      <w:r w:rsidRPr="0043754B">
        <w:t xml:space="preserve">entered into force for Denmark on </w:t>
      </w:r>
      <w:bookmarkStart w:id="1" w:name="_Hlk3653069"/>
      <w:bookmarkEnd w:id="1"/>
      <w:r w:rsidRPr="0043754B">
        <w:t>7 January 2016.</w:t>
      </w:r>
    </w:p>
    <w:p w14:paraId="16F43739" w14:textId="07D8D3DE" w:rsidR="00DB62C2" w:rsidRPr="00233D3C" w:rsidRDefault="00DB62C2" w:rsidP="00DB62C2">
      <w:pPr>
        <w:pStyle w:val="SingleTxtG"/>
      </w:pPr>
      <w:r w:rsidRPr="004D769C">
        <w:t>1.2</w:t>
      </w:r>
      <w:r w:rsidRPr="004D769C">
        <w:tab/>
        <w:t xml:space="preserve">On 20 July 2018, the Committee, acting through its </w:t>
      </w:r>
      <w:r>
        <w:t>w</w:t>
      </w:r>
      <w:r w:rsidRPr="004D769C">
        <w:t xml:space="preserve">orking </w:t>
      </w:r>
      <w:r>
        <w:t>g</w:t>
      </w:r>
      <w:r w:rsidRPr="004D769C">
        <w:t xml:space="preserve">roup on </w:t>
      </w:r>
      <w:r>
        <w:t>c</w:t>
      </w:r>
      <w:r w:rsidRPr="00233D3C">
        <w:t>ommunications, denied the author</w:t>
      </w:r>
      <w:r w:rsidR="0017595A">
        <w:t>’</w:t>
      </w:r>
      <w:r w:rsidRPr="00233D3C">
        <w:t xml:space="preserve">s request for interim measures, pursuant to article 6 of the Optional Protocol and rule 7 of its </w:t>
      </w:r>
      <w:r>
        <w:t>r</w:t>
      </w:r>
      <w:r w:rsidRPr="00233D3C">
        <w:t xml:space="preserve">ules of </w:t>
      </w:r>
      <w:r>
        <w:t>p</w:t>
      </w:r>
      <w:r w:rsidRPr="00233D3C">
        <w:t xml:space="preserve">rocedure under the Optional Protocol. The interim measures in question would have entailed suspension of the deportation of the author </w:t>
      </w:r>
      <w:r w:rsidRPr="00233D3C">
        <w:lastRenderedPageBreak/>
        <w:t>and her daughter to North Macedonia while the case was under consideration by the Committee.</w:t>
      </w:r>
    </w:p>
    <w:p w14:paraId="31F7470C" w14:textId="77777777" w:rsidR="00DB62C2" w:rsidRPr="00233D3C" w:rsidRDefault="00DB62C2" w:rsidP="00DB62C2">
      <w:pPr>
        <w:pStyle w:val="H23G"/>
      </w:pPr>
      <w:r w:rsidRPr="00233D3C">
        <w:tab/>
      </w:r>
      <w:r w:rsidRPr="00233D3C">
        <w:tab/>
      </w:r>
      <w:r>
        <w:t>F</w:t>
      </w:r>
      <w:r w:rsidRPr="00233D3C">
        <w:t xml:space="preserve">acts as submitted by the </w:t>
      </w:r>
      <w:r>
        <w:t>author</w:t>
      </w:r>
      <w:r w:rsidRPr="00233D3C">
        <w:t xml:space="preserve"> </w:t>
      </w:r>
    </w:p>
    <w:p w14:paraId="766D59D1" w14:textId="77777777" w:rsidR="00DB62C2" w:rsidRPr="00233D3C" w:rsidRDefault="00DB62C2" w:rsidP="00DB62C2">
      <w:pPr>
        <w:pStyle w:val="SingleTxtG"/>
      </w:pPr>
      <w:r w:rsidRPr="00233D3C">
        <w:t>2.1</w:t>
      </w:r>
      <w:r w:rsidRPr="00233D3C">
        <w:tab/>
        <w:t>The author, at the time pregnant with her first child, entered Denmark on 4 February 2015 as part of a family reunification programme</w:t>
      </w:r>
      <w:r w:rsidRPr="00233D3C">
        <w:rPr>
          <w:rStyle w:val="FootnoteReference"/>
        </w:rPr>
        <w:footnoteReference w:id="4"/>
      </w:r>
      <w:r w:rsidRPr="00233D3C">
        <w:t xml:space="preserve"> to reunite with her Macedonian husband residing in Denmark. On 15 February 2015, the author gave birth to a baby girl, B.I. The author submits that on 28 February 2015, her husband attempted to kill their daughter by placing a pillow over her face. The author contends that the motive behind the attempted killing was that the father was dissatisfied with the sex of their child. </w:t>
      </w:r>
    </w:p>
    <w:p w14:paraId="5C1BAB8C" w14:textId="467264C5" w:rsidR="00DB62C2" w:rsidRPr="00233D3C" w:rsidRDefault="00DB62C2" w:rsidP="00DB62C2">
      <w:pPr>
        <w:pStyle w:val="SingleTxtG"/>
      </w:pPr>
      <w:r w:rsidRPr="00233D3C">
        <w:t>2.2</w:t>
      </w:r>
      <w:r w:rsidRPr="00233D3C">
        <w:tab/>
        <w:t>The author reported the incident to the police and moved with her child into a women</w:t>
      </w:r>
      <w:r w:rsidR="0017595A">
        <w:t>’</w:t>
      </w:r>
      <w:r w:rsidRPr="00233D3C">
        <w:t xml:space="preserve">s shelter. The </w:t>
      </w:r>
      <w:r w:rsidRPr="00614224">
        <w:t>High Court of Eastern Denmark</w:t>
      </w:r>
      <w:r w:rsidRPr="00233D3C">
        <w:t xml:space="preserve"> subsequently sentenced </w:t>
      </w:r>
      <w:r>
        <w:t xml:space="preserve">the father of </w:t>
      </w:r>
      <w:r w:rsidRPr="00233D3C">
        <w:t>B.I. to five years of forced psychiatric treatment. The Danish authorities granted the author a temporary visa so that she could testify in the proceedings against her husband. The visa expired on 7 May 2015.</w:t>
      </w:r>
      <w:r w:rsidRPr="00233D3C">
        <w:rPr>
          <w:rStyle w:val="FootnoteReference"/>
        </w:rPr>
        <w:footnoteReference w:id="5"/>
      </w:r>
      <w:r w:rsidRPr="00233D3C">
        <w:t xml:space="preserve"> </w:t>
      </w:r>
    </w:p>
    <w:p w14:paraId="2C91072E" w14:textId="231A1023" w:rsidR="00DB62C2" w:rsidRPr="00233D3C" w:rsidRDefault="00DB62C2" w:rsidP="00DB62C2">
      <w:pPr>
        <w:pStyle w:val="SingleTxtG"/>
      </w:pPr>
      <w:r w:rsidRPr="00233D3C">
        <w:t>2.3</w:t>
      </w:r>
      <w:r w:rsidRPr="00233D3C">
        <w:tab/>
        <w:t>On 2 October 2015, the author applied for asylum for herself and B.I</w:t>
      </w:r>
      <w:r w:rsidR="00054216">
        <w:t>.</w:t>
      </w:r>
      <w:r w:rsidRPr="00233D3C">
        <w:t>, alleging</w:t>
      </w:r>
      <w:r>
        <w:t>,</w:t>
      </w:r>
      <w:r w:rsidRPr="00233D3C">
        <w:t xml:space="preserve"> inter alia</w:t>
      </w:r>
      <w:r>
        <w:t>,</w:t>
      </w:r>
      <w:r w:rsidRPr="00233D3C">
        <w:t xml:space="preserve"> that she was afraid that her father</w:t>
      </w:r>
      <w:r>
        <w:t>-</w:t>
      </w:r>
      <w:r w:rsidRPr="00233D3C">
        <w:t>in</w:t>
      </w:r>
      <w:r>
        <w:t>-</w:t>
      </w:r>
      <w:r w:rsidRPr="00233D3C">
        <w:t>law would kill her and her daughter if they were forced to return to the author</w:t>
      </w:r>
      <w:r w:rsidR="0017595A">
        <w:t>’</w:t>
      </w:r>
      <w:r w:rsidRPr="00233D3C">
        <w:t>s home country. She submitted that the problems with her father</w:t>
      </w:r>
      <w:r>
        <w:t>-</w:t>
      </w:r>
      <w:r w:rsidRPr="00233D3C">
        <w:t>in</w:t>
      </w:r>
      <w:r>
        <w:t>-</w:t>
      </w:r>
      <w:r w:rsidRPr="00233D3C">
        <w:t xml:space="preserve">law had </w:t>
      </w:r>
      <w:r>
        <w:t>begun</w:t>
      </w:r>
      <w:r w:rsidRPr="00233D3C">
        <w:t xml:space="preserve"> after her husband had had brain surgery on 18 December 2012</w:t>
      </w:r>
      <w:r>
        <w:t>,</w:t>
      </w:r>
      <w:r w:rsidRPr="00233D3C">
        <w:t xml:space="preserve"> after which his personality </w:t>
      </w:r>
      <w:r>
        <w:t xml:space="preserve">had </w:t>
      </w:r>
      <w:r w:rsidRPr="00233D3C">
        <w:t>changed. The author further stated that her father</w:t>
      </w:r>
      <w:r>
        <w:t>-</w:t>
      </w:r>
      <w:r w:rsidRPr="00233D3C">
        <w:t>in</w:t>
      </w:r>
      <w:r>
        <w:t>-</w:t>
      </w:r>
      <w:r w:rsidRPr="00233D3C">
        <w:t>law had threatened to kill her and B.I. if she hurt his son</w:t>
      </w:r>
      <w:r>
        <w:t>,</w:t>
      </w:r>
      <w:r w:rsidRPr="00233D3C">
        <w:t xml:space="preserve"> on at least </w:t>
      </w:r>
      <w:r>
        <w:t>three or four</w:t>
      </w:r>
      <w:r w:rsidRPr="00233D3C">
        <w:t xml:space="preserve"> occasions.</w:t>
      </w:r>
    </w:p>
    <w:p w14:paraId="52CD4A13" w14:textId="025EC56A" w:rsidR="00DB62C2" w:rsidRPr="00233D3C" w:rsidRDefault="00DB62C2" w:rsidP="00DB62C2">
      <w:pPr>
        <w:pStyle w:val="SingleTxtG"/>
      </w:pPr>
      <w:r w:rsidRPr="00233D3C">
        <w:t>2.4</w:t>
      </w:r>
      <w:r w:rsidRPr="00233D3C">
        <w:tab/>
        <w:t xml:space="preserve">On 9 October 2015, the Danish Immigration Service rejected her asylum application, having deemed it to be </w:t>
      </w:r>
      <w:r w:rsidR="0017595A">
        <w:t>“</w:t>
      </w:r>
      <w:r w:rsidRPr="00233D3C">
        <w:t>manifestly unfounded</w:t>
      </w:r>
      <w:r w:rsidR="0017595A">
        <w:t>”</w:t>
      </w:r>
      <w:r w:rsidRPr="00233D3C">
        <w:t xml:space="preserve"> under section 53b of the Aliens Act. The reasons for the rejection were</w:t>
      </w:r>
      <w:r>
        <w:t>,</w:t>
      </w:r>
      <w:r w:rsidRPr="00233D3C">
        <w:t xml:space="preserve"> inter alia</w:t>
      </w:r>
      <w:r>
        <w:t>,</w:t>
      </w:r>
      <w:r w:rsidRPr="00233D3C">
        <w:t xml:space="preserve"> that the motives behind the application were not considered to justify asylum status pursuant to </w:t>
      </w:r>
      <w:r>
        <w:t>s</w:t>
      </w:r>
      <w:r w:rsidRPr="00233D3C">
        <w:t xml:space="preserve">ection 7 of the Aliens Act. The Immigration Service </w:t>
      </w:r>
      <w:r>
        <w:t>noted</w:t>
      </w:r>
      <w:r w:rsidRPr="00233D3C">
        <w:t xml:space="preserve"> that</w:t>
      </w:r>
      <w:r>
        <w:t>,</w:t>
      </w:r>
      <w:r w:rsidRPr="00233D3C">
        <w:t xml:space="preserve"> if the author and B.I. were returned to North Macedonia, </w:t>
      </w:r>
      <w:r>
        <w:t>the author</w:t>
      </w:r>
      <w:r w:rsidRPr="00233D3C">
        <w:t xml:space="preserve"> should seek the authorities</w:t>
      </w:r>
      <w:r w:rsidR="0017595A">
        <w:t>’</w:t>
      </w:r>
      <w:r w:rsidRPr="00233D3C">
        <w:t xml:space="preserve"> protection </w:t>
      </w:r>
      <w:r>
        <w:t>if her</w:t>
      </w:r>
      <w:r w:rsidRPr="00233D3C">
        <w:t xml:space="preserve"> father</w:t>
      </w:r>
      <w:r>
        <w:t>-</w:t>
      </w:r>
      <w:r w:rsidRPr="00233D3C">
        <w:t>in</w:t>
      </w:r>
      <w:r>
        <w:t>-</w:t>
      </w:r>
      <w:r w:rsidRPr="00233D3C">
        <w:t>law subjected her or her daughter to physical assaults or threats. The Immigration Service further noted that the author had not reported her father</w:t>
      </w:r>
      <w:r>
        <w:t>-</w:t>
      </w:r>
      <w:r w:rsidRPr="00233D3C">
        <w:t>in</w:t>
      </w:r>
      <w:r>
        <w:t>-</w:t>
      </w:r>
      <w:r w:rsidRPr="00233D3C">
        <w:t>law</w:t>
      </w:r>
      <w:r w:rsidR="0017595A">
        <w:t>’</w:t>
      </w:r>
      <w:r w:rsidRPr="00233D3C">
        <w:t xml:space="preserve">s threats to the local police, </w:t>
      </w:r>
      <w:r>
        <w:t>and nor</w:t>
      </w:r>
      <w:r w:rsidRPr="00233D3C">
        <w:t xml:space="preserve"> had she show</w:t>
      </w:r>
      <w:r>
        <w:t>n</w:t>
      </w:r>
      <w:r w:rsidRPr="00233D3C">
        <w:t xml:space="preserve"> why the police in North Macedonia would lack the will and the capability to protect her against her father</w:t>
      </w:r>
      <w:r>
        <w:t>-</w:t>
      </w:r>
      <w:r w:rsidRPr="00233D3C">
        <w:t>in</w:t>
      </w:r>
      <w:r>
        <w:t>-</w:t>
      </w:r>
      <w:r w:rsidRPr="00233D3C">
        <w:t>law.</w:t>
      </w:r>
    </w:p>
    <w:p w14:paraId="289F96FE" w14:textId="0DED86FF" w:rsidR="00DB62C2" w:rsidRDefault="00DB62C2" w:rsidP="00DB62C2">
      <w:pPr>
        <w:pStyle w:val="SingleTxtG"/>
      </w:pPr>
      <w:r w:rsidRPr="00233D3C">
        <w:t>2.5</w:t>
      </w:r>
      <w:r w:rsidRPr="00233D3C">
        <w:tab/>
        <w:t xml:space="preserve">As a consequence of the processing of the claim </w:t>
      </w:r>
      <w:r>
        <w:t>through</w:t>
      </w:r>
      <w:r w:rsidRPr="00233D3C">
        <w:t xml:space="preserve"> the </w:t>
      </w:r>
      <w:r w:rsidR="0017595A">
        <w:t>“</w:t>
      </w:r>
      <w:r w:rsidRPr="00233D3C">
        <w:t>manifestly unfounded</w:t>
      </w:r>
      <w:r w:rsidR="0017595A">
        <w:t>”</w:t>
      </w:r>
      <w:r w:rsidRPr="00233D3C">
        <w:t xml:space="preserve"> urgent procedure, the author and B.I. were not given the right to appeal the decision to the </w:t>
      </w:r>
      <w:r>
        <w:t xml:space="preserve">Danish </w:t>
      </w:r>
      <w:r w:rsidRPr="00233D3C">
        <w:t>Refugee Appeal</w:t>
      </w:r>
      <w:r>
        <w:t>s</w:t>
      </w:r>
      <w:r w:rsidRPr="00233D3C">
        <w:t xml:space="preserve"> Board, which the author contends is </w:t>
      </w:r>
      <w:r>
        <w:t xml:space="preserve">in </w:t>
      </w:r>
      <w:r w:rsidRPr="00233D3C">
        <w:t>itself discriminatory</w:t>
      </w:r>
      <w:r>
        <w:t>. The author submits that the Danish Immigration Service, in making its decision, which also included a rejection of B.I.</w:t>
      </w:r>
      <w:r w:rsidR="0017595A">
        <w:t>’</w:t>
      </w:r>
      <w:r>
        <w:t>s claim for asylum, did not make an individual assessment of the risk that B.I. would face if she were forced to return to North Macedonia. The author further submits that the decision was focused only on the threat posed by B.I.</w:t>
      </w:r>
      <w:r w:rsidR="0017595A">
        <w:t>’</w:t>
      </w:r>
      <w:r>
        <w:t>s father, while disregarding the threat posed by other family members in North Macedonia, in particular the author</w:t>
      </w:r>
      <w:r w:rsidR="0017595A">
        <w:t>’</w:t>
      </w:r>
      <w:r>
        <w:t xml:space="preserve">s father-in-law, who the author submits may attempt to kill B.I. as a revenge for the author having reported her husband to the police. </w:t>
      </w:r>
    </w:p>
    <w:p w14:paraId="0D704AD2" w14:textId="77777777" w:rsidR="00DB62C2" w:rsidRPr="00233D3C" w:rsidRDefault="00DB62C2" w:rsidP="00DB62C2">
      <w:pPr>
        <w:pStyle w:val="SingleTxtG"/>
      </w:pPr>
      <w:r>
        <w:t>2.6</w:t>
      </w:r>
      <w:r>
        <w:tab/>
        <w:t xml:space="preserve">Following the rejection of the asylum application, the author and B.I. applied for residence on humanitarian grounds. </w:t>
      </w:r>
      <w:r w:rsidRPr="00617F3D">
        <w:t xml:space="preserve">The Immigration Appeals Board </w:t>
      </w:r>
      <w:r>
        <w:t xml:space="preserve">rejected the application on </w:t>
      </w:r>
      <w:r w:rsidRPr="00617F3D">
        <w:t>6 November</w:t>
      </w:r>
      <w:r>
        <w:t xml:space="preserve"> </w:t>
      </w:r>
      <w:r w:rsidRPr="00617F3D">
        <w:t>2018</w:t>
      </w:r>
      <w:r>
        <w:t xml:space="preserve">, stating, inter alia, that neither the author nor B.I. had </w:t>
      </w:r>
      <w:r w:rsidRPr="00617F3D">
        <w:t xml:space="preserve">formed independent ties with Denmark </w:t>
      </w:r>
      <w:r w:rsidRPr="00233D3C">
        <w:t>so strong that they justified the granting of residence.</w:t>
      </w:r>
    </w:p>
    <w:p w14:paraId="27F304C6" w14:textId="51038548" w:rsidR="00DB62C2" w:rsidRDefault="00DB62C2" w:rsidP="00DB62C2">
      <w:pPr>
        <w:pStyle w:val="SingleTxtG"/>
      </w:pPr>
      <w:r w:rsidRPr="00233D3C">
        <w:t>2.7</w:t>
      </w:r>
      <w:r w:rsidRPr="00233D3C">
        <w:tab/>
        <w:t>The author also submits that B.I</w:t>
      </w:r>
      <w:r>
        <w:t>.</w:t>
      </w:r>
      <w:r w:rsidRPr="00233D3C">
        <w:t xml:space="preserve"> suffers from brain damage and her development </w:t>
      </w:r>
      <w:r>
        <w:t>lags</w:t>
      </w:r>
      <w:r w:rsidRPr="00233D3C">
        <w:t xml:space="preserve"> behind </w:t>
      </w:r>
      <w:r>
        <w:t xml:space="preserve">that of </w:t>
      </w:r>
      <w:r w:rsidRPr="00233D3C">
        <w:t xml:space="preserve">other children of the same age. This circumstance has been documented in an educational psychology assessment drafted by the Danish Red Cross and submitted to the Immigration Appeals Board. The report </w:t>
      </w:r>
      <w:r w:rsidRPr="00DA03DE">
        <w:t>prompted the Immigration Appeals Board to reopen proceedings to assess the author</w:t>
      </w:r>
      <w:r w:rsidR="0017595A">
        <w:t>’</w:t>
      </w:r>
      <w:r w:rsidRPr="00DA03DE">
        <w:t xml:space="preserve">s residence </w:t>
      </w:r>
      <w:r w:rsidRPr="00E82128">
        <w:rPr>
          <w:color w:val="000000" w:themeColor="text1"/>
        </w:rPr>
        <w:t xml:space="preserve">request on humanitarian </w:t>
      </w:r>
      <w:r w:rsidRPr="0004449D">
        <w:t>grounds</w:t>
      </w:r>
      <w:r w:rsidRPr="00233D3C">
        <w:t xml:space="preserve">. The report, </w:t>
      </w:r>
      <w:r w:rsidRPr="00233D3C">
        <w:lastRenderedPageBreak/>
        <w:t>which concluded that the motor competencies, language competencies and social competencies of B.I. did not correspond to her age, stated that a psychologist had diagnosed B.I. with F84.0 infantile autism. In the letter attached to the report sent to the Immigration Appeals Board on 10 July 2018, the author further submitted that it was not certain whether the disorder had developed due to</w:t>
      </w:r>
      <w:r>
        <w:t xml:space="preserve"> B.I.</w:t>
      </w:r>
      <w:r w:rsidR="0017595A">
        <w:t>’</w:t>
      </w:r>
      <w:r>
        <w:t>s father</w:t>
      </w:r>
      <w:r w:rsidR="0017595A">
        <w:t>’</w:t>
      </w:r>
      <w:r>
        <w:t>s assault on her. In a decision dated 12 February 2019, the Immigration Appeals Board upheld its decision of 6 November 2018.</w:t>
      </w:r>
    </w:p>
    <w:p w14:paraId="310AF965" w14:textId="63350039" w:rsidR="00DB62C2" w:rsidRPr="00A017F6" w:rsidRDefault="00DB62C2" w:rsidP="00DB62C2">
      <w:pPr>
        <w:pStyle w:val="SingleTxtG"/>
      </w:pPr>
      <w:r>
        <w:t>2.8</w:t>
      </w:r>
      <w:r>
        <w:tab/>
        <w:t>The author further submits that on 6 July 2018 she requested the Danish Immigration Service to reopen her and B.I.</w:t>
      </w:r>
      <w:r w:rsidR="0017595A">
        <w:t>’</w:t>
      </w:r>
      <w:r>
        <w:t>s asylum case since she had received new information that the Danish police had been contacted by her father-in-law regarding the date and time for the deportation. A police report dated 4 July 2018 confirmed the incident. On 10 July 2018, the Immigration Service rejected the request to reopen the asylum case as it did not consider that there was any significant new information.</w:t>
      </w:r>
    </w:p>
    <w:p w14:paraId="0D0E6CE3" w14:textId="77777777" w:rsidR="00DB62C2" w:rsidRPr="00424EB7" w:rsidRDefault="00DB62C2" w:rsidP="00DB62C2">
      <w:pPr>
        <w:pStyle w:val="H23G"/>
      </w:pPr>
      <w:r w:rsidRPr="00424EB7">
        <w:tab/>
      </w:r>
      <w:r w:rsidRPr="00424EB7">
        <w:tab/>
      </w:r>
      <w:r w:rsidRPr="00EE5284">
        <w:t>Complaint</w:t>
      </w:r>
    </w:p>
    <w:p w14:paraId="7D740818" w14:textId="2769FD5B" w:rsidR="00DB62C2" w:rsidRDefault="00DB62C2" w:rsidP="00DB62C2">
      <w:pPr>
        <w:pStyle w:val="SingleTxtG"/>
      </w:pPr>
      <w:r w:rsidRPr="00383430">
        <w:t>3.1</w:t>
      </w:r>
      <w:r w:rsidRPr="00383430">
        <w:tab/>
      </w:r>
      <w:r w:rsidRPr="00F00001">
        <w:t xml:space="preserve">The author claims that the State party would violate </w:t>
      </w:r>
      <w:r>
        <w:t>B.I.</w:t>
      </w:r>
      <w:r w:rsidR="0017595A">
        <w:t>’</w:t>
      </w:r>
      <w:r>
        <w:t>s</w:t>
      </w:r>
      <w:r w:rsidRPr="00F00001">
        <w:t xml:space="preserve"> rights under articles 2, 3, 6, 7 and 8 of the Convention if </w:t>
      </w:r>
      <w:r>
        <w:t xml:space="preserve">she were </w:t>
      </w:r>
      <w:r w:rsidRPr="00F00001">
        <w:t xml:space="preserve">removed to </w:t>
      </w:r>
      <w:r>
        <w:t>North Macedonia</w:t>
      </w:r>
      <w:r w:rsidRPr="00F00001">
        <w:t xml:space="preserve">. </w:t>
      </w:r>
    </w:p>
    <w:p w14:paraId="6767736F" w14:textId="3BB55BFA" w:rsidR="00DB62C2" w:rsidRDefault="00DB62C2" w:rsidP="00DB62C2">
      <w:pPr>
        <w:pStyle w:val="SingleTxtG"/>
      </w:pPr>
      <w:r>
        <w:t>3.2</w:t>
      </w:r>
      <w:r>
        <w:tab/>
        <w:t>The author submits that a</w:t>
      </w:r>
      <w:r w:rsidRPr="00F00001">
        <w:t xml:space="preserve"> return </w:t>
      </w:r>
      <w:r>
        <w:t xml:space="preserve">to North Macedonia </w:t>
      </w:r>
      <w:r w:rsidRPr="00F00001">
        <w:t xml:space="preserve">would constitute a serious risk to </w:t>
      </w:r>
      <w:r>
        <w:t>B.I.</w:t>
      </w:r>
      <w:r w:rsidR="0017595A">
        <w:t>’</w:t>
      </w:r>
      <w:r>
        <w:t>s</w:t>
      </w:r>
      <w:r w:rsidRPr="00F00001">
        <w:t xml:space="preserve"> </w:t>
      </w:r>
      <w:r>
        <w:t xml:space="preserve">life, survival and development and would not be in her best interests. It </w:t>
      </w:r>
      <w:r w:rsidRPr="00F00001">
        <w:t>would thus constitute an infringement of article</w:t>
      </w:r>
      <w:r>
        <w:t>s 3 and</w:t>
      </w:r>
      <w:r w:rsidRPr="00F00001">
        <w:t xml:space="preserve"> 6</w:t>
      </w:r>
      <w:r>
        <w:t xml:space="preserve"> of the Convention</w:t>
      </w:r>
      <w:r w:rsidRPr="00F00001">
        <w:t xml:space="preserve">. </w:t>
      </w:r>
      <w:r>
        <w:t>The author fears that her former father-in-law may try to kill B.I. as revenge for the author having reported B.I.</w:t>
      </w:r>
      <w:r w:rsidR="0017595A">
        <w:t>’</w:t>
      </w:r>
      <w:r>
        <w:t>s father to the police for attempted murder of B.I. She has also stated that the Danish authorities have failed to make an individual assessment of B.I.</w:t>
      </w:r>
      <w:r w:rsidR="0017595A">
        <w:t>’</w:t>
      </w:r>
      <w:r>
        <w:t>s asylum and residence claims.</w:t>
      </w:r>
    </w:p>
    <w:p w14:paraId="06C446C3" w14:textId="1B8DCE59" w:rsidR="00DB62C2" w:rsidRDefault="00DB62C2" w:rsidP="00DB62C2">
      <w:pPr>
        <w:pStyle w:val="SingleTxtG"/>
      </w:pPr>
      <w:r>
        <w:t>3.3</w:t>
      </w:r>
      <w:r>
        <w:tab/>
        <w:t>The author further submits that since B.I.</w:t>
      </w:r>
      <w:r w:rsidR="0017595A">
        <w:t>’</w:t>
      </w:r>
      <w:r>
        <w:t>s birth was never registered in North Macedonia, she will not have access to the social protection or medical treatment that she needs, in violation of articles 7 and 8 of the Convention.</w:t>
      </w:r>
      <w:r w:rsidRPr="003D29B8">
        <w:t xml:space="preserve"> </w:t>
      </w:r>
      <w:r>
        <w:t xml:space="preserve">The author submits that due to the brain damage that B.I. suffered when her father tried to kill her, she is in need of special care and hospital treatment, which she may not receive in North Macedonia. </w:t>
      </w:r>
    </w:p>
    <w:p w14:paraId="32DB6DB9" w14:textId="77777777" w:rsidR="00DB62C2" w:rsidRDefault="00DB62C2" w:rsidP="00DB62C2">
      <w:pPr>
        <w:pStyle w:val="SingleTxtG"/>
      </w:pPr>
      <w:r>
        <w:t>3.4</w:t>
      </w:r>
      <w:r>
        <w:tab/>
        <w:t>Finally, the author claims that article 2 of the Convention would be violated if B.I. were sent back to North Macedonia, as the lack of access to appeal to another administrative body or the courts constitutes discrimination.</w:t>
      </w:r>
    </w:p>
    <w:p w14:paraId="270D259B" w14:textId="58496F14" w:rsidR="00DB62C2" w:rsidRDefault="00DB62C2" w:rsidP="00DB62C2">
      <w:pPr>
        <w:pStyle w:val="SingleTxtG"/>
        <w:rPr>
          <w:sz w:val="23"/>
          <w:szCs w:val="23"/>
        </w:rPr>
      </w:pPr>
      <w:r>
        <w:t>3.5</w:t>
      </w:r>
      <w:r>
        <w:tab/>
        <w:t xml:space="preserve">The author submits that due to the absence of a right to appeal in the </w:t>
      </w:r>
      <w:r w:rsidR="0017595A">
        <w:t>“</w:t>
      </w:r>
      <w:r>
        <w:t>manifestly unfounded</w:t>
      </w:r>
      <w:r w:rsidR="0017595A">
        <w:t>”</w:t>
      </w:r>
      <w:r>
        <w:t xml:space="preserve"> urgent procedure, the decision of the Danish Immigration Service is final, and she has thus exhausted all available domestic remedies.</w:t>
      </w:r>
    </w:p>
    <w:p w14:paraId="3E686527" w14:textId="5AE765E1" w:rsidR="00DB62C2" w:rsidRPr="00424EB7" w:rsidRDefault="00DB62C2" w:rsidP="00DB62C2">
      <w:pPr>
        <w:pStyle w:val="H23G"/>
      </w:pPr>
      <w:r w:rsidRPr="00424EB7">
        <w:tab/>
      </w:r>
      <w:r w:rsidRPr="00424EB7">
        <w:tab/>
        <w:t>State party</w:t>
      </w:r>
      <w:r w:rsidR="0017595A">
        <w:t>’</w:t>
      </w:r>
      <w:r w:rsidRPr="00424EB7">
        <w:t>s observations on admissibility</w:t>
      </w:r>
      <w:r>
        <w:t xml:space="preserve"> and the merits</w:t>
      </w:r>
    </w:p>
    <w:p w14:paraId="45FD6BB3" w14:textId="6E9EFF89" w:rsidR="00DB62C2" w:rsidRDefault="00DB62C2" w:rsidP="00DB62C2">
      <w:pPr>
        <w:pStyle w:val="SingleTxtG"/>
      </w:pPr>
      <w:r w:rsidRPr="00174418">
        <w:t>4.1</w:t>
      </w:r>
      <w:r w:rsidRPr="00174418">
        <w:tab/>
        <w:t>In its observations of 4 March 2019, the State party submits that the communication is inadmissible for failure to exhaust domestic remedies</w:t>
      </w:r>
      <w:r>
        <w:t>, in line with a</w:t>
      </w:r>
      <w:r w:rsidRPr="00174418">
        <w:t>rticle 7 (e) of the Optional Protocol</w:t>
      </w:r>
      <w:r>
        <w:t xml:space="preserve">. </w:t>
      </w:r>
      <w:r w:rsidRPr="00174418">
        <w:t xml:space="preserve">The </w:t>
      </w:r>
      <w:r>
        <w:t>State party</w:t>
      </w:r>
      <w:r w:rsidRPr="00174418">
        <w:t xml:space="preserve"> </w:t>
      </w:r>
      <w:r>
        <w:t>contends</w:t>
      </w:r>
      <w:r w:rsidRPr="00174418">
        <w:t xml:space="preserve"> that the author has not brought either the decision of the </w:t>
      </w:r>
      <w:r>
        <w:t xml:space="preserve">Danish </w:t>
      </w:r>
      <w:r w:rsidRPr="00174418">
        <w:t xml:space="preserve">Immigration Service of 9 October 2015 or </w:t>
      </w:r>
      <w:r>
        <w:t xml:space="preserve">the decision of </w:t>
      </w:r>
      <w:r w:rsidRPr="00174418">
        <w:t xml:space="preserve">the Immigration Appeals Board of 12 February 2019 before </w:t>
      </w:r>
      <w:r>
        <w:t>domestic</w:t>
      </w:r>
      <w:r w:rsidRPr="00174418">
        <w:t xml:space="preserve"> courts.</w:t>
      </w:r>
      <w:r>
        <w:t xml:space="preserve"> T</w:t>
      </w:r>
      <w:r w:rsidRPr="00D8544E">
        <w:t xml:space="preserve">he </w:t>
      </w:r>
      <w:r>
        <w:t>State party</w:t>
      </w:r>
      <w:r w:rsidRPr="00D8544E">
        <w:t xml:space="preserve"> </w:t>
      </w:r>
      <w:r>
        <w:t>submits</w:t>
      </w:r>
      <w:r w:rsidRPr="00D8544E">
        <w:t xml:space="preserve"> that even </w:t>
      </w:r>
      <w:r>
        <w:t>if</w:t>
      </w:r>
      <w:r w:rsidRPr="00D8544E">
        <w:t xml:space="preserve"> the Immigration Service has</w:t>
      </w:r>
      <w:r>
        <w:t xml:space="preserve"> </w:t>
      </w:r>
      <w:r w:rsidRPr="00D8544E">
        <w:t xml:space="preserve">examined the case </w:t>
      </w:r>
      <w:r>
        <w:t>under</w:t>
      </w:r>
      <w:r w:rsidRPr="00D8544E">
        <w:t xml:space="preserve"> the </w:t>
      </w:r>
      <w:r w:rsidR="0017595A">
        <w:t>“</w:t>
      </w:r>
      <w:r w:rsidRPr="00D8544E">
        <w:t>manifestly unfounded</w:t>
      </w:r>
      <w:r w:rsidR="0017595A">
        <w:t>”</w:t>
      </w:r>
      <w:r w:rsidRPr="00D8544E">
        <w:t xml:space="preserve"> procedure</w:t>
      </w:r>
      <w:r>
        <w:t xml:space="preserve">, </w:t>
      </w:r>
      <w:r w:rsidRPr="00D8544E">
        <w:t xml:space="preserve">the decision can </w:t>
      </w:r>
      <w:r>
        <w:t xml:space="preserve">still </w:t>
      </w:r>
      <w:r w:rsidRPr="00D8544E">
        <w:t>be brought before the courts</w:t>
      </w:r>
      <w:r>
        <w:t>,</w:t>
      </w:r>
      <w:r w:rsidRPr="00D8544E">
        <w:t xml:space="preserve"> in accordance with the general rule </w:t>
      </w:r>
      <w:r>
        <w:t>of the right to judicial review found in s</w:t>
      </w:r>
      <w:r w:rsidRPr="00D8544E">
        <w:t>ectio</w:t>
      </w:r>
      <w:r>
        <w:t>n 63 of the Constitution of Denmark</w:t>
      </w:r>
      <w:r w:rsidRPr="00D8544E">
        <w:t>.</w:t>
      </w:r>
      <w:r>
        <w:t xml:space="preserve"> The author has therefore not exhausted a</w:t>
      </w:r>
      <w:r w:rsidRPr="00D8544E">
        <w:t>ll a</w:t>
      </w:r>
      <w:r>
        <w:t>vailable domestic remedies</w:t>
      </w:r>
      <w:r w:rsidRPr="00D8544E">
        <w:t>.</w:t>
      </w:r>
      <w:r>
        <w:t xml:space="preserve"> </w:t>
      </w:r>
    </w:p>
    <w:p w14:paraId="26198666" w14:textId="77777777" w:rsidR="00DB62C2" w:rsidRDefault="00DB62C2" w:rsidP="00DB62C2">
      <w:pPr>
        <w:pStyle w:val="SingleTxtG"/>
      </w:pPr>
      <w:r>
        <w:t>4.2</w:t>
      </w:r>
      <w:r>
        <w:tab/>
        <w:t>The State party also submits that</w:t>
      </w:r>
      <w:r w:rsidRPr="00174418">
        <w:t xml:space="preserve"> the </w:t>
      </w:r>
      <w:r>
        <w:t>author has</w:t>
      </w:r>
      <w:r w:rsidRPr="00174418">
        <w:t xml:space="preserve"> failed </w:t>
      </w:r>
      <w:r w:rsidRPr="003C0BEC">
        <w:t xml:space="preserve">to establish </w:t>
      </w:r>
      <w:r w:rsidRPr="00E82128">
        <w:t xml:space="preserve">a prima facie </w:t>
      </w:r>
      <w:r w:rsidRPr="003C0BEC">
        <w:t>case</w:t>
      </w:r>
      <w:r w:rsidRPr="00174418">
        <w:t xml:space="preserve"> for the purpose of admissibility of </w:t>
      </w:r>
      <w:r>
        <w:t xml:space="preserve">the </w:t>
      </w:r>
      <w:r w:rsidRPr="00174418">
        <w:t>communication under the C</w:t>
      </w:r>
      <w:r>
        <w:t>onvention, that is in accordance with a</w:t>
      </w:r>
      <w:r w:rsidRPr="00174418">
        <w:t>rticle 7 (f) of the Optional Protocol</w:t>
      </w:r>
      <w:r>
        <w:t xml:space="preserve">. </w:t>
      </w:r>
    </w:p>
    <w:p w14:paraId="3C45BEC3" w14:textId="2186BF07" w:rsidR="00DB62C2" w:rsidRPr="00822FE7" w:rsidRDefault="00DB62C2" w:rsidP="00DB62C2">
      <w:pPr>
        <w:pStyle w:val="SingleTxtG"/>
        <w:rPr>
          <w:bCs/>
        </w:rPr>
      </w:pPr>
      <w:r w:rsidRPr="00822FE7">
        <w:t>4</w:t>
      </w:r>
      <w:r w:rsidRPr="00822FE7">
        <w:rPr>
          <w:bCs/>
        </w:rPr>
        <w:t>.3</w:t>
      </w:r>
      <w:r w:rsidRPr="00822FE7">
        <w:rPr>
          <w:bCs/>
        </w:rPr>
        <w:tab/>
        <w:t xml:space="preserve">As to the merits of the case, the State party submits that the author has not sufficiently established that it would constitute a violation of articles 3, 6, 7 or 8 of the Convention to remove B.I. to North Macedonia, or that the lack of administrative appeal </w:t>
      </w:r>
      <w:r>
        <w:rPr>
          <w:bCs/>
        </w:rPr>
        <w:t>constitutes</w:t>
      </w:r>
      <w:r w:rsidRPr="00822FE7">
        <w:rPr>
          <w:bCs/>
        </w:rPr>
        <w:t xml:space="preserve"> discrimination in violation of article 2 of the Convention.</w:t>
      </w:r>
      <w:bookmarkStart w:id="2" w:name="_Hlk529819300"/>
    </w:p>
    <w:p w14:paraId="5AB41229" w14:textId="77777777" w:rsidR="00DB62C2" w:rsidRDefault="00DB62C2" w:rsidP="00DB62C2">
      <w:pPr>
        <w:pStyle w:val="SingleTxtG"/>
      </w:pPr>
      <w:r>
        <w:t>4.4</w:t>
      </w:r>
      <w:r>
        <w:tab/>
      </w:r>
      <w:r w:rsidRPr="0057044D">
        <w:t xml:space="preserve">The State party recalls that the Committee has held that it generally falls within the jurisdiction of the national courts to examine the facts and evidence of a case, unless such </w:t>
      </w:r>
      <w:r w:rsidRPr="0057044D">
        <w:lastRenderedPageBreak/>
        <w:t>examination is clearly arbitrary or amounts to a denial of justice.</w:t>
      </w:r>
      <w:r w:rsidRPr="00242881">
        <w:rPr>
          <w:rStyle w:val="FootnoteReference"/>
        </w:rPr>
        <w:footnoteReference w:id="6"/>
      </w:r>
      <w:r w:rsidRPr="00242881">
        <w:t xml:space="preserve"> </w:t>
      </w:r>
      <w:r>
        <w:t>T</w:t>
      </w:r>
      <w:r w:rsidRPr="00791748">
        <w:t>he State party submits that the author has failed to identify any irregularity in the decision-making process or any risk factors that the Danish authorities have failed to take properly into account. The State party</w:t>
      </w:r>
      <w:r>
        <w:t xml:space="preserve"> notes in this connection that both the asylum</w:t>
      </w:r>
      <w:r w:rsidRPr="00D772DB">
        <w:t xml:space="preserve"> and</w:t>
      </w:r>
      <w:r>
        <w:t xml:space="preserve"> the residence </w:t>
      </w:r>
      <w:r w:rsidRPr="00D772DB">
        <w:t>application</w:t>
      </w:r>
      <w:r>
        <w:t>s</w:t>
      </w:r>
      <w:r w:rsidRPr="00D772DB">
        <w:t xml:space="preserve"> were given thorough consideration by the </w:t>
      </w:r>
      <w:r>
        <w:t xml:space="preserve">Danish </w:t>
      </w:r>
      <w:r w:rsidRPr="00D772DB">
        <w:t>Immigration Service and the</w:t>
      </w:r>
      <w:r>
        <w:t xml:space="preserve"> </w:t>
      </w:r>
      <w:r w:rsidRPr="00D772DB">
        <w:t>Immigration Appeals Board</w:t>
      </w:r>
      <w:r>
        <w:t>.</w:t>
      </w:r>
    </w:p>
    <w:p w14:paraId="49298822" w14:textId="2080E0D2" w:rsidR="00DB62C2" w:rsidRPr="00791748" w:rsidRDefault="00DB62C2" w:rsidP="00DB62C2">
      <w:pPr>
        <w:pStyle w:val="SingleTxtG"/>
      </w:pPr>
      <w:r>
        <w:t>4.5</w:t>
      </w:r>
      <w:r>
        <w:tab/>
        <w:t>With regard to the author</w:t>
      </w:r>
      <w:r w:rsidR="0017595A">
        <w:t>’</w:t>
      </w:r>
      <w:r>
        <w:t>s claim that the State party has failed to properly assess B.I.</w:t>
      </w:r>
      <w:r w:rsidR="0017595A">
        <w:t>’</w:t>
      </w:r>
      <w:r>
        <w:t xml:space="preserve">s individual reasons for asylum, in particular the risk of being subjected to </w:t>
      </w:r>
      <w:r w:rsidR="0017595A">
        <w:t>“</w:t>
      </w:r>
      <w:r>
        <w:t>honour killing</w:t>
      </w:r>
      <w:r w:rsidR="0017595A">
        <w:t>”</w:t>
      </w:r>
      <w:r>
        <w:t xml:space="preserve"> (femicide), the State party contends that</w:t>
      </w:r>
      <w:r w:rsidRPr="00791748">
        <w:t xml:space="preserve"> </w:t>
      </w:r>
      <w:r>
        <w:t>B.I.</w:t>
      </w:r>
      <w:r w:rsidR="0017595A">
        <w:t>’</w:t>
      </w:r>
      <w:r>
        <w:t xml:space="preserve">s </w:t>
      </w:r>
      <w:r w:rsidRPr="00791748">
        <w:t xml:space="preserve">young age </w:t>
      </w:r>
      <w:r>
        <w:t>–</w:t>
      </w:r>
      <w:r w:rsidRPr="00791748">
        <w:t xml:space="preserve"> </w:t>
      </w:r>
      <w:r>
        <w:t>less than</w:t>
      </w:r>
      <w:r w:rsidRPr="00791748">
        <w:t xml:space="preserve"> 1 year old </w:t>
      </w:r>
      <w:r>
        <w:t>–</w:t>
      </w:r>
      <w:r w:rsidRPr="00791748">
        <w:t xml:space="preserve"> at the time </w:t>
      </w:r>
      <w:r>
        <w:t>that</w:t>
      </w:r>
      <w:r w:rsidRPr="00791748">
        <w:t xml:space="preserve"> the risk assessment was first </w:t>
      </w:r>
      <w:r>
        <w:t>conducted, justified the assessment being interconnected with that of the mother</w:t>
      </w:r>
      <w:r w:rsidRPr="00791748">
        <w:t>.</w:t>
      </w:r>
      <w:r w:rsidRPr="00791748">
        <w:rPr>
          <w:rStyle w:val="FootnoteReference"/>
        </w:rPr>
        <w:footnoteReference w:id="7"/>
      </w:r>
      <w:r>
        <w:t xml:space="preserve"> The State party therefore contends that</w:t>
      </w:r>
      <w:r w:rsidRPr="00FC0949">
        <w:t xml:space="preserve"> there is no basis for setting aside the assessment</w:t>
      </w:r>
      <w:r>
        <w:t xml:space="preserve"> </w:t>
      </w:r>
      <w:r w:rsidRPr="00FC0949">
        <w:t>made by the domestic authorities of the facts and evidence of the case</w:t>
      </w:r>
      <w:r>
        <w:t>.</w:t>
      </w:r>
    </w:p>
    <w:p w14:paraId="59586701" w14:textId="77777777" w:rsidR="00DB62C2" w:rsidRDefault="00DB62C2" w:rsidP="00DB62C2">
      <w:pPr>
        <w:pStyle w:val="SingleTxtG"/>
      </w:pPr>
      <w:r>
        <w:t>4.6</w:t>
      </w:r>
      <w:r>
        <w:tab/>
      </w:r>
      <w:r w:rsidRPr="00C13B2A">
        <w:t>With regard to the alleged violation of article</w:t>
      </w:r>
      <w:r>
        <w:t xml:space="preserve"> 6 of the Convention, </w:t>
      </w:r>
      <w:r w:rsidRPr="00C13B2A">
        <w:t>the State party notes</w:t>
      </w:r>
      <w:r>
        <w:t xml:space="preserve"> that</w:t>
      </w:r>
      <w:r w:rsidRPr="00A155D2">
        <w:rPr>
          <w:rFonts w:ascii="TimesNewRomanPSMT" w:hAnsi="TimesNewRomanPSMT" w:cs="TimesNewRomanPSMT"/>
          <w:sz w:val="24"/>
          <w:szCs w:val="24"/>
        </w:rPr>
        <w:t xml:space="preserve"> </w:t>
      </w:r>
      <w:r w:rsidRPr="00A155D2">
        <w:t xml:space="preserve">the author relies </w:t>
      </w:r>
      <w:r>
        <w:t>up</w:t>
      </w:r>
      <w:r w:rsidRPr="00A155D2">
        <w:t>on a potential violation of</w:t>
      </w:r>
      <w:r>
        <w:t xml:space="preserve"> the Convention </w:t>
      </w:r>
      <w:r w:rsidRPr="00A155D2">
        <w:t xml:space="preserve">due to circumstances that the author risks suffering if returned. The </w:t>
      </w:r>
      <w:r>
        <w:t xml:space="preserve">State party reiterates </w:t>
      </w:r>
      <w:r w:rsidRPr="00A155D2">
        <w:t xml:space="preserve">that this issue </w:t>
      </w:r>
      <w:r>
        <w:t>has already been invoked and properly</w:t>
      </w:r>
      <w:r w:rsidRPr="00A155D2">
        <w:t xml:space="preserve"> assessed in connection with the asylum proceedings before the</w:t>
      </w:r>
      <w:r>
        <w:t xml:space="preserve"> Danish </w:t>
      </w:r>
      <w:r w:rsidRPr="00A155D2">
        <w:t>Immigration Service.</w:t>
      </w:r>
    </w:p>
    <w:p w14:paraId="2F74655C" w14:textId="77777777" w:rsidR="00DB62C2" w:rsidRDefault="00DB62C2" w:rsidP="00DB62C2">
      <w:pPr>
        <w:pStyle w:val="SingleTxtG"/>
      </w:pPr>
      <w:r>
        <w:t>4.7</w:t>
      </w:r>
      <w:r w:rsidRPr="00FC0949">
        <w:tab/>
        <w:t xml:space="preserve">The State party notes in this </w:t>
      </w:r>
      <w:r>
        <w:t xml:space="preserve">connection </w:t>
      </w:r>
      <w:r w:rsidRPr="00FC0949">
        <w:t xml:space="preserve">that </w:t>
      </w:r>
      <w:r>
        <w:t>the Committee, in its g</w:t>
      </w:r>
      <w:r w:rsidRPr="00FC0949">
        <w:t>eneral comment No. 6</w:t>
      </w:r>
      <w:r>
        <w:t xml:space="preserve"> </w:t>
      </w:r>
      <w:r w:rsidRPr="00041C86">
        <w:rPr>
          <w:rFonts w:eastAsia="Malgun Gothic"/>
          <w:bCs/>
        </w:rPr>
        <w:t>(2005)</w:t>
      </w:r>
      <w:r>
        <w:t>, recommends that S</w:t>
      </w:r>
      <w:r w:rsidRPr="00FC0949">
        <w:t>tates refrain from returning a child to a country where there are substantial grounds for believing that he or she would be subjected to a real risk of irreparable harm, such as those contemplated under articles 6 and 37 of the Convention.</w:t>
      </w:r>
      <w:r>
        <w:t xml:space="preserve"> Against this background, t</w:t>
      </w:r>
      <w:r w:rsidRPr="00B151DE">
        <w:t xml:space="preserve">he </w:t>
      </w:r>
      <w:r>
        <w:t>State party</w:t>
      </w:r>
      <w:r w:rsidRPr="00B151DE">
        <w:t xml:space="preserve"> </w:t>
      </w:r>
      <w:r>
        <w:t xml:space="preserve">concludes that a violation only occurs if a child is removed and exposed to a real risk of irreparable harm. </w:t>
      </w:r>
      <w:r w:rsidRPr="00D6546A">
        <w:t xml:space="preserve">The </w:t>
      </w:r>
      <w:r>
        <w:t>State party</w:t>
      </w:r>
      <w:r w:rsidRPr="00D6546A">
        <w:t xml:space="preserve"> submits that the author has not provided any new and specific information</w:t>
      </w:r>
      <w:r>
        <w:t xml:space="preserve">, </w:t>
      </w:r>
      <w:r w:rsidRPr="00D6546A">
        <w:t>different from that already provided and thoroughly assessed</w:t>
      </w:r>
      <w:r>
        <w:t xml:space="preserve">, to substantiate her claim in this regard. </w:t>
      </w:r>
    </w:p>
    <w:p w14:paraId="1F6145A7" w14:textId="04EC2B8A" w:rsidR="00DB62C2" w:rsidRPr="00D6546A" w:rsidRDefault="00DB62C2" w:rsidP="00DB62C2">
      <w:pPr>
        <w:pStyle w:val="SingleTxtG"/>
      </w:pPr>
      <w:r>
        <w:t>4.8</w:t>
      </w:r>
      <w:r w:rsidRPr="00D6546A">
        <w:tab/>
        <w:t>With regard to the right of the child to have his or her best interest</w:t>
      </w:r>
      <w:r>
        <w:t>s</w:t>
      </w:r>
      <w:r w:rsidRPr="00D6546A">
        <w:t xml:space="preserve"> taken as a primary consideration</w:t>
      </w:r>
      <w:r>
        <w:t>, under</w:t>
      </w:r>
      <w:r w:rsidRPr="00D6546A">
        <w:t xml:space="preserve"> article 3 of the Convention, the State party contends that</w:t>
      </w:r>
      <w:r>
        <w:t>, g</w:t>
      </w:r>
      <w:r w:rsidRPr="00D6546A">
        <w:t>iven B.I.</w:t>
      </w:r>
      <w:r w:rsidR="0017595A">
        <w:t>’</w:t>
      </w:r>
      <w:r w:rsidRPr="00D6546A">
        <w:t>s young age when her case was first assessed, her grounds for asylum were interconnected with her mother</w:t>
      </w:r>
      <w:r w:rsidR="0017595A">
        <w:t>’</w:t>
      </w:r>
      <w:r w:rsidRPr="00D6546A">
        <w:t>s and B.I.</w:t>
      </w:r>
      <w:r w:rsidR="0017595A">
        <w:t>’</w:t>
      </w:r>
      <w:r w:rsidRPr="00D6546A">
        <w:t>s asylum claim was therefore assessed together with her mother</w:t>
      </w:r>
      <w:r w:rsidR="0017595A">
        <w:t>’</w:t>
      </w:r>
      <w:r w:rsidRPr="00D6546A">
        <w:t xml:space="preserve">s. The State party </w:t>
      </w:r>
      <w:r>
        <w:t xml:space="preserve">contends that the absence of an explicit reference </w:t>
      </w:r>
      <w:r w:rsidRPr="00D6546A">
        <w:t xml:space="preserve">to the Convention in </w:t>
      </w:r>
      <w:r>
        <w:t>the</w:t>
      </w:r>
      <w:r w:rsidRPr="00D6546A">
        <w:t xml:space="preserve"> decision does not imply that </w:t>
      </w:r>
      <w:r>
        <w:t xml:space="preserve">the Danish Immigration Service </w:t>
      </w:r>
      <w:r w:rsidRPr="00D6546A">
        <w:t xml:space="preserve">did not </w:t>
      </w:r>
      <w:r w:rsidRPr="0052234A">
        <w:t>take the Convention into account</w:t>
      </w:r>
      <w:r w:rsidRPr="00D6546A">
        <w:t>.</w:t>
      </w:r>
    </w:p>
    <w:p w14:paraId="71B9D93A" w14:textId="6D0FDBA8" w:rsidR="00DB62C2" w:rsidRPr="005C1052" w:rsidRDefault="00DB62C2" w:rsidP="00DB62C2">
      <w:pPr>
        <w:pStyle w:val="SingleTxtG"/>
        <w:spacing w:line="240" w:lineRule="auto"/>
      </w:pPr>
      <w:r>
        <w:t>4.9</w:t>
      </w:r>
      <w:r w:rsidRPr="005C1052">
        <w:tab/>
        <w:t>The State party further submits that the same best interest</w:t>
      </w:r>
      <w:r>
        <w:t>s</w:t>
      </w:r>
      <w:r w:rsidRPr="005C1052">
        <w:t xml:space="preserve"> assessment was included in the decision to reject the author</w:t>
      </w:r>
      <w:r w:rsidR="0017595A">
        <w:t>’</w:t>
      </w:r>
      <w:r w:rsidRPr="005C1052">
        <w:t>s and B.I.</w:t>
      </w:r>
      <w:r w:rsidR="0017595A">
        <w:t>’</w:t>
      </w:r>
      <w:r w:rsidRPr="005C1052">
        <w:t>s application for residence under section 9c</w:t>
      </w:r>
      <w:r>
        <w:t xml:space="preserve"> </w:t>
      </w:r>
      <w:r w:rsidRPr="005C1052">
        <w:t xml:space="preserve">(1) of the Aliens Act on 12 February 2019. In the decision, the Immigration Appeals Board referred to its own jurisprudence regarding children forming independent ties with Denmark and the best interests of the child. </w:t>
      </w:r>
      <w:r>
        <w:t>However, in this case, t</w:t>
      </w:r>
      <w:r w:rsidRPr="005C1052">
        <w:t xml:space="preserve">he Immigration Appeals Board did not consider that B.I. had formed </w:t>
      </w:r>
      <w:r>
        <w:t>such strong ties</w:t>
      </w:r>
      <w:r w:rsidRPr="005C1052">
        <w:t xml:space="preserve"> with Danish society </w:t>
      </w:r>
      <w:r>
        <w:t>as to</w:t>
      </w:r>
      <w:r w:rsidRPr="005C1052">
        <w:t xml:space="preserve"> independently </w:t>
      </w:r>
      <w:r>
        <w:t>justify</w:t>
      </w:r>
      <w:r w:rsidRPr="005C1052">
        <w:t xml:space="preserve"> the grant</w:t>
      </w:r>
      <w:r>
        <w:t>ing</w:t>
      </w:r>
      <w:r w:rsidRPr="005C1052">
        <w:t xml:space="preserve"> of residence in Denmark under section 9c</w:t>
      </w:r>
      <w:r>
        <w:t xml:space="preserve"> </w:t>
      </w:r>
      <w:r w:rsidRPr="005C1052">
        <w:t>(1) of the Aliens Act out of regard for her best interests</w:t>
      </w:r>
      <w:r>
        <w:t>.</w:t>
      </w:r>
    </w:p>
    <w:p w14:paraId="01CF83CE" w14:textId="77777777" w:rsidR="00DB62C2" w:rsidRPr="005C1052" w:rsidRDefault="00DB62C2" w:rsidP="00DB62C2">
      <w:pPr>
        <w:pStyle w:val="SingleTxtG"/>
        <w:spacing w:line="240" w:lineRule="auto"/>
      </w:pPr>
      <w:r>
        <w:t>4.10</w:t>
      </w:r>
      <w:r w:rsidRPr="005C1052">
        <w:tab/>
        <w:t xml:space="preserve">Finally, the State party </w:t>
      </w:r>
      <w:r>
        <w:t>contends</w:t>
      </w:r>
      <w:r w:rsidRPr="005C1052">
        <w:t xml:space="preserve"> that article 3 of the Convention does not establish an obligation on State</w:t>
      </w:r>
      <w:r>
        <w:t>s</w:t>
      </w:r>
      <w:r w:rsidRPr="005C1052">
        <w:t xml:space="preserve"> parties </w:t>
      </w:r>
      <w:r>
        <w:t xml:space="preserve">other </w:t>
      </w:r>
      <w:r w:rsidRPr="005C1052">
        <w:t xml:space="preserve">than </w:t>
      </w:r>
      <w:r>
        <w:t>the country of nationality of the child</w:t>
      </w:r>
      <w:r w:rsidRPr="005C1052">
        <w:t xml:space="preserve">. Accordingly, a State party in which </w:t>
      </w:r>
      <w:r>
        <w:t>a</w:t>
      </w:r>
      <w:r w:rsidRPr="005C1052">
        <w:t xml:space="preserve"> child has held temporary residence is not under an obligation to ensure the continued stay and home conditions of that child</w:t>
      </w:r>
      <w:r>
        <w:t>, and</w:t>
      </w:r>
      <w:r w:rsidRPr="005C1052">
        <w:t xml:space="preserve"> nor can an independent immigration right of the child, based on a desire to enjoy better living conditions, be deduced from that article. </w:t>
      </w:r>
    </w:p>
    <w:p w14:paraId="11002186" w14:textId="6C963926" w:rsidR="00DB62C2" w:rsidRPr="001835E9" w:rsidRDefault="00DB62C2" w:rsidP="00DB62C2">
      <w:pPr>
        <w:pStyle w:val="SingleTxtG"/>
      </w:pPr>
      <w:r>
        <w:t>4.11</w:t>
      </w:r>
      <w:r w:rsidRPr="001835E9">
        <w:tab/>
        <w:t xml:space="preserve">The State party notes that during the examination of the case before the Immigration </w:t>
      </w:r>
      <w:r>
        <w:t xml:space="preserve">Appeals Board, B.I. </w:t>
      </w:r>
      <w:r w:rsidRPr="001835E9">
        <w:t>was diagnosed with infantile autism. The State party submits, however, that this fact does not entail a</w:t>
      </w:r>
      <w:r>
        <w:t xml:space="preserve"> positive </w:t>
      </w:r>
      <w:r w:rsidRPr="001835E9">
        <w:t xml:space="preserve">obligation </w:t>
      </w:r>
      <w:r>
        <w:t xml:space="preserve">on Denmark </w:t>
      </w:r>
      <w:r w:rsidRPr="0052234A">
        <w:t>to secure continuous conditions for the child</w:t>
      </w:r>
      <w:r w:rsidR="0017595A">
        <w:t>’</w:t>
      </w:r>
      <w:r w:rsidRPr="0052234A">
        <w:t>s development</w:t>
      </w:r>
      <w:r w:rsidRPr="001835E9">
        <w:t xml:space="preserve">. </w:t>
      </w:r>
      <w:r>
        <w:t xml:space="preserve">In the view of the State party, the </w:t>
      </w:r>
      <w:r w:rsidRPr="001835E9">
        <w:t xml:space="preserve">author </w:t>
      </w:r>
      <w:r>
        <w:t>failed to invoke</w:t>
      </w:r>
      <w:r w:rsidRPr="001835E9">
        <w:t xml:space="preserve"> any </w:t>
      </w:r>
      <w:r w:rsidRPr="001835E9">
        <w:lastRenderedPageBreak/>
        <w:t xml:space="preserve">grounds </w:t>
      </w:r>
      <w:r>
        <w:t>to</w:t>
      </w:r>
      <w:r w:rsidRPr="001835E9">
        <w:t xml:space="preserve"> give </w:t>
      </w:r>
      <w:r>
        <w:t xml:space="preserve">reason to believe that B.I. </w:t>
      </w:r>
      <w:r w:rsidRPr="001835E9">
        <w:t xml:space="preserve">would be exposed to a serious, rapid and irreversible decline in her state of health upon return to North Macedonia. </w:t>
      </w:r>
      <w:r>
        <w:t>In this connection, t</w:t>
      </w:r>
      <w:r w:rsidRPr="001835E9">
        <w:t xml:space="preserve">he State party </w:t>
      </w:r>
      <w:r>
        <w:t xml:space="preserve">also </w:t>
      </w:r>
      <w:r w:rsidRPr="001835E9">
        <w:t>notes that the Immigration Appeals Board, in its decision of 12 February 2019, emphasi</w:t>
      </w:r>
      <w:r>
        <w:t>z</w:t>
      </w:r>
      <w:r w:rsidRPr="001835E9">
        <w:t xml:space="preserve">ed that </w:t>
      </w:r>
      <w:r>
        <w:t>infantile autism was no</w:t>
      </w:r>
      <w:r w:rsidRPr="001835E9">
        <w:t>t a life</w:t>
      </w:r>
      <w:r>
        <w:t>-</w:t>
      </w:r>
      <w:r w:rsidRPr="001835E9">
        <w:t xml:space="preserve">threatening illness and that it would not be disproportionate or incompatible with </w:t>
      </w:r>
      <w:r>
        <w:t>the</w:t>
      </w:r>
      <w:r w:rsidRPr="001835E9">
        <w:t xml:space="preserve"> international obligations</w:t>
      </w:r>
      <w:r>
        <w:t xml:space="preserve"> of Denmark </w:t>
      </w:r>
      <w:r w:rsidRPr="001835E9">
        <w:t>to reject the author</w:t>
      </w:r>
      <w:r w:rsidR="0017595A">
        <w:t>’</w:t>
      </w:r>
      <w:r w:rsidRPr="001835E9">
        <w:t>s application for residence.</w:t>
      </w:r>
    </w:p>
    <w:p w14:paraId="4D12C130" w14:textId="66997CED" w:rsidR="00DB62C2" w:rsidRDefault="00DB62C2" w:rsidP="00DB62C2">
      <w:pPr>
        <w:pStyle w:val="SingleTxtG"/>
      </w:pPr>
      <w:r>
        <w:t>4.12</w:t>
      </w:r>
      <w:r w:rsidRPr="00672B22">
        <w:tab/>
      </w:r>
      <w:r>
        <w:t xml:space="preserve">The State party notes </w:t>
      </w:r>
      <w:r w:rsidRPr="00214FFB">
        <w:t>that</w:t>
      </w:r>
      <w:r>
        <w:t>,</w:t>
      </w:r>
      <w:r w:rsidRPr="00214FFB">
        <w:t xml:space="preserve"> according to </w:t>
      </w:r>
      <w:r>
        <w:t xml:space="preserve">its </w:t>
      </w:r>
      <w:r w:rsidRPr="00214FFB">
        <w:t xml:space="preserve">information, citizenship </w:t>
      </w:r>
      <w:r>
        <w:t>i</w:t>
      </w:r>
      <w:r w:rsidRPr="00214FFB">
        <w:t>n</w:t>
      </w:r>
      <w:r>
        <w:t xml:space="preserve"> </w:t>
      </w:r>
      <w:r w:rsidRPr="00214FFB">
        <w:t>North Macedonia may be acquired by origin (</w:t>
      </w:r>
      <w:r>
        <w:t>a</w:t>
      </w:r>
      <w:r w:rsidRPr="00214FFB">
        <w:t>rt</w:t>
      </w:r>
      <w:r>
        <w:t>.</w:t>
      </w:r>
      <w:r w:rsidRPr="00214FFB">
        <w:t xml:space="preserve"> 3 of </w:t>
      </w:r>
      <w:r>
        <w:t xml:space="preserve">the </w:t>
      </w:r>
      <w:r w:rsidRPr="00214FFB">
        <w:t>Act on Citizenship)</w:t>
      </w:r>
      <w:r>
        <w:t>,</w:t>
      </w:r>
      <w:r w:rsidRPr="00214FFB">
        <w:t xml:space="preserve"> and that both of the author</w:t>
      </w:r>
      <w:r w:rsidR="0017595A">
        <w:t>’</w:t>
      </w:r>
      <w:r w:rsidRPr="00214FFB">
        <w:t>s parents at the</w:t>
      </w:r>
      <w:r>
        <w:t xml:space="preserve"> </w:t>
      </w:r>
      <w:r w:rsidRPr="00214FFB">
        <w:t xml:space="preserve">time of </w:t>
      </w:r>
      <w:r>
        <w:t xml:space="preserve">her </w:t>
      </w:r>
      <w:r w:rsidRPr="00214FFB">
        <w:t>birth were nationals of North Macedonia. The</w:t>
      </w:r>
      <w:r>
        <w:t xml:space="preserve"> State party therefore submits that the</w:t>
      </w:r>
      <w:r w:rsidRPr="00214FFB">
        <w:t xml:space="preserve"> au</w:t>
      </w:r>
      <w:r>
        <w:t xml:space="preserve">thor has not substantiated her claim that </w:t>
      </w:r>
      <w:r w:rsidRPr="00214FFB">
        <w:t xml:space="preserve">the return of the author with her </w:t>
      </w:r>
      <w:r>
        <w:t>daughter</w:t>
      </w:r>
      <w:r w:rsidRPr="00E629F2">
        <w:t>, both Macedonian nationals, would</w:t>
      </w:r>
      <w:r w:rsidRPr="00214FFB">
        <w:t xml:space="preserve"> in any</w:t>
      </w:r>
      <w:r>
        <w:t xml:space="preserve"> </w:t>
      </w:r>
      <w:r w:rsidRPr="00214FFB">
        <w:t xml:space="preserve">way risk violating </w:t>
      </w:r>
      <w:r>
        <w:t>a</w:t>
      </w:r>
      <w:r w:rsidRPr="00214FFB">
        <w:t>rticle</w:t>
      </w:r>
      <w:r>
        <w:t>s</w:t>
      </w:r>
      <w:r w:rsidRPr="00214FFB">
        <w:t xml:space="preserve"> 7 or 8 of the </w:t>
      </w:r>
      <w:r>
        <w:t>Convention</w:t>
      </w:r>
      <w:r w:rsidRPr="00214FFB">
        <w:t>, regardless of the fact that the author was</w:t>
      </w:r>
      <w:r>
        <w:t xml:space="preserve"> </w:t>
      </w:r>
      <w:r w:rsidRPr="00214FFB">
        <w:t>born in Denmark.</w:t>
      </w:r>
    </w:p>
    <w:p w14:paraId="638A1F0F" w14:textId="7C5905E1" w:rsidR="00DB62C2" w:rsidRPr="00214FFB" w:rsidRDefault="00DB62C2" w:rsidP="00DB62C2">
      <w:pPr>
        <w:pStyle w:val="SingleTxtG"/>
      </w:pPr>
      <w:r>
        <w:t>4.13</w:t>
      </w:r>
      <w:r>
        <w:tab/>
        <w:t>Finally, the State party rejects the author</w:t>
      </w:r>
      <w:r w:rsidR="0017595A">
        <w:t>’</w:t>
      </w:r>
      <w:r>
        <w:t xml:space="preserve">s claim that </w:t>
      </w:r>
      <w:r w:rsidRPr="00724943">
        <w:t>the lack of access to appeal of the decision of the</w:t>
      </w:r>
      <w:r>
        <w:t xml:space="preserve"> Danish </w:t>
      </w:r>
      <w:r w:rsidRPr="00724943">
        <w:t xml:space="preserve">Immigration Service constitutes </w:t>
      </w:r>
      <w:r>
        <w:t>discrimination in violation of a</w:t>
      </w:r>
      <w:r w:rsidRPr="00724943">
        <w:t>rticle 2 of the C</w:t>
      </w:r>
      <w:r>
        <w:t xml:space="preserve">onvention, and refers to </w:t>
      </w:r>
      <w:r w:rsidRPr="00724943">
        <w:t>the Committee</w:t>
      </w:r>
      <w:r w:rsidR="0017595A">
        <w:t>’</w:t>
      </w:r>
      <w:r w:rsidRPr="00724943">
        <w:t xml:space="preserve">s </w:t>
      </w:r>
      <w:r>
        <w:t>V</w:t>
      </w:r>
      <w:r w:rsidRPr="00724943">
        <w:t>iews in</w:t>
      </w:r>
      <w:r>
        <w:t xml:space="preserve"> </w:t>
      </w:r>
      <w:r w:rsidRPr="00724943">
        <w:rPr>
          <w:i/>
          <w:iCs/>
        </w:rPr>
        <w:t xml:space="preserve">K.Y.M. v. Denmark </w:t>
      </w:r>
      <w:r w:rsidRPr="00724943">
        <w:t>(</w:t>
      </w:r>
      <w:r w:rsidRPr="00CC01D8">
        <w:t>CRC/C/77/D/3/2016</w:t>
      </w:r>
      <w:r w:rsidRPr="00724943">
        <w:t>, para. 10.3</w:t>
      </w:r>
      <w:r>
        <w:t>)</w:t>
      </w:r>
      <w:r w:rsidRPr="00724943">
        <w:t xml:space="preserve"> and </w:t>
      </w:r>
      <w:r>
        <w:t xml:space="preserve">to </w:t>
      </w:r>
      <w:r w:rsidRPr="00724943">
        <w:t xml:space="preserve">the </w:t>
      </w:r>
      <w:r>
        <w:t>V</w:t>
      </w:r>
      <w:r w:rsidRPr="00724943">
        <w:t>iews of the</w:t>
      </w:r>
      <w:r>
        <w:t xml:space="preserve"> </w:t>
      </w:r>
      <w:r w:rsidRPr="00724943">
        <w:t xml:space="preserve">Human Rights Committee in </w:t>
      </w:r>
      <w:r w:rsidRPr="00724943">
        <w:rPr>
          <w:i/>
          <w:iCs/>
        </w:rPr>
        <w:t xml:space="preserve">E.P. and F.P. v. Denmark </w:t>
      </w:r>
      <w:r w:rsidRPr="00724943">
        <w:t>(</w:t>
      </w:r>
      <w:r w:rsidRPr="00CC01D8">
        <w:t>CCPR/C/115/D/2344/2014</w:t>
      </w:r>
      <w:r w:rsidRPr="00724943">
        <w:t>, p</w:t>
      </w:r>
      <w:r>
        <w:t xml:space="preserve">ara. 8.5 ff.). The State party contends that the </w:t>
      </w:r>
      <w:r w:rsidRPr="00724943">
        <w:t>author</w:t>
      </w:r>
      <w:r w:rsidR="0017595A">
        <w:t>’</w:t>
      </w:r>
      <w:r w:rsidRPr="00724943">
        <w:t>s submission is made in a very general manner,</w:t>
      </w:r>
      <w:r>
        <w:t xml:space="preserve"> </w:t>
      </w:r>
      <w:r w:rsidRPr="00724943">
        <w:t>without establishing the existence of a link between the author</w:t>
      </w:r>
      <w:r w:rsidR="0017595A">
        <w:t>’</w:t>
      </w:r>
      <w:r>
        <w:t>s</w:t>
      </w:r>
      <w:r w:rsidRPr="00724943">
        <w:t xml:space="preserve"> or </w:t>
      </w:r>
      <w:r>
        <w:t>B.I.</w:t>
      </w:r>
      <w:r w:rsidR="0017595A">
        <w:t>’</w:t>
      </w:r>
      <w:r w:rsidRPr="00724943">
        <w:t>s origin or</w:t>
      </w:r>
      <w:r>
        <w:t xml:space="preserve"> </w:t>
      </w:r>
      <w:r w:rsidRPr="00724943">
        <w:t>other status and the alleged absence of appeal proceedings against the decision of the Immigration</w:t>
      </w:r>
      <w:r>
        <w:t xml:space="preserve"> </w:t>
      </w:r>
      <w:r w:rsidRPr="00724943">
        <w:t xml:space="preserve">Service. </w:t>
      </w:r>
    </w:p>
    <w:bookmarkEnd w:id="2"/>
    <w:p w14:paraId="44D66D5F" w14:textId="77777777" w:rsidR="00DB62C2" w:rsidRPr="00424EB7" w:rsidRDefault="00DB62C2" w:rsidP="00DB62C2">
      <w:pPr>
        <w:pStyle w:val="H23G"/>
      </w:pPr>
      <w:r>
        <w:tab/>
      </w:r>
      <w:r>
        <w:tab/>
      </w:r>
      <w:r w:rsidRPr="00424EB7">
        <w:tab/>
        <w:t>Issues and proceedings before the Committee</w:t>
      </w:r>
    </w:p>
    <w:p w14:paraId="712EB711" w14:textId="77777777" w:rsidR="00DB62C2" w:rsidRPr="004D0550" w:rsidRDefault="00DB62C2" w:rsidP="00DB62C2">
      <w:pPr>
        <w:pStyle w:val="H4G"/>
      </w:pPr>
      <w:r w:rsidRPr="00424EB7">
        <w:tab/>
      </w:r>
      <w:r w:rsidRPr="00424EB7">
        <w:tab/>
      </w:r>
      <w:r w:rsidRPr="00D92979">
        <w:t>Consideration of admissibility</w:t>
      </w:r>
    </w:p>
    <w:p w14:paraId="2831F40C" w14:textId="77777777" w:rsidR="00DB62C2" w:rsidRPr="00424EB7" w:rsidRDefault="00DB62C2" w:rsidP="00DB62C2">
      <w:pPr>
        <w:pStyle w:val="SingleTxtG"/>
      </w:pPr>
      <w:r>
        <w:t>5.</w:t>
      </w:r>
      <w:r w:rsidRPr="00CE7A4C">
        <w:t>1</w:t>
      </w:r>
      <w:r w:rsidRPr="00CE7A4C">
        <w:tab/>
        <w:t>Before considering any claim contained in a communication, the Committee must decide, in accordance with rule 20 of its rules of procedure under the Optional Protocol, whether the communication is admissible</w:t>
      </w:r>
      <w:r>
        <w:t xml:space="preserve"> under the Optional Protocol</w:t>
      </w:r>
      <w:r w:rsidRPr="00CE7A4C">
        <w:t>.</w:t>
      </w:r>
      <w:r w:rsidRPr="00424EB7">
        <w:t xml:space="preserve"> </w:t>
      </w:r>
    </w:p>
    <w:p w14:paraId="1F6C475A" w14:textId="11C976EE" w:rsidR="00DB62C2" w:rsidRPr="00672B22" w:rsidRDefault="00DB62C2" w:rsidP="00DB62C2">
      <w:pPr>
        <w:pStyle w:val="SingleTxtG"/>
      </w:pPr>
      <w:r>
        <w:t>5</w:t>
      </w:r>
      <w:r w:rsidRPr="00424EB7">
        <w:t>.2</w:t>
      </w:r>
      <w:r w:rsidRPr="00424EB7">
        <w:tab/>
      </w:r>
      <w:r w:rsidRPr="00D92979">
        <w:t>The Committee notes the State party</w:t>
      </w:r>
      <w:r w:rsidR="0017595A">
        <w:t>’</w:t>
      </w:r>
      <w:r w:rsidRPr="00D92979">
        <w:t xml:space="preserve">s arguments that the communication is inadmissible under article 7 (e) of the Optional Protocol, as the author </w:t>
      </w:r>
      <w:r>
        <w:t>has</w:t>
      </w:r>
      <w:r w:rsidRPr="00D92979">
        <w:t xml:space="preserve"> not requested a judicial review of the decisions of the </w:t>
      </w:r>
      <w:r>
        <w:t xml:space="preserve">Danish </w:t>
      </w:r>
      <w:r w:rsidRPr="00D92979">
        <w:t>Immigration Service nor</w:t>
      </w:r>
      <w:r>
        <w:t xml:space="preserve"> of</w:t>
      </w:r>
      <w:r w:rsidRPr="00D92979">
        <w:t xml:space="preserve"> the decision of the Immigration Appeals Board. </w:t>
      </w:r>
      <w:r>
        <w:t>However, t</w:t>
      </w:r>
      <w:r w:rsidRPr="00D92979">
        <w:t>he Committee notes the author</w:t>
      </w:r>
      <w:r w:rsidR="0017595A">
        <w:t>’</w:t>
      </w:r>
      <w:r>
        <w:t>s</w:t>
      </w:r>
      <w:r w:rsidRPr="00D92979">
        <w:t xml:space="preserve"> arguments that a request for judicial review would not have suspended </w:t>
      </w:r>
      <w:r>
        <w:t>her and her daughter</w:t>
      </w:r>
      <w:r w:rsidR="0017595A">
        <w:t>’</w:t>
      </w:r>
      <w:r>
        <w:t>s</w:t>
      </w:r>
      <w:r w:rsidRPr="00D92979">
        <w:t xml:space="preserve"> deportation. The Committee considers that, in the context of </w:t>
      </w:r>
      <w:r w:rsidRPr="004459C2">
        <w:t>the imminent expulsion of the author and her daughter</w:t>
      </w:r>
      <w:r>
        <w:t xml:space="preserve"> </w:t>
      </w:r>
      <w:r w:rsidRPr="00D92979">
        <w:t>to North Macedonia, any remedies that do not suspend the execution of the existing deportation order against them cannot be considered effective.</w:t>
      </w:r>
      <w:r w:rsidRPr="00D92979">
        <w:rPr>
          <w:rStyle w:val="FootnoteReference"/>
        </w:rPr>
        <w:footnoteReference w:id="8"/>
      </w:r>
      <w:r w:rsidRPr="00D92979">
        <w:t xml:space="preserve"> Therefore, the Committee considers that the communication is </w:t>
      </w:r>
      <w:r w:rsidRPr="00672B22">
        <w:t xml:space="preserve">admissible under article 7 (e) of the Optional Protocol. </w:t>
      </w:r>
    </w:p>
    <w:p w14:paraId="17FA1D1E" w14:textId="05B9A3DD" w:rsidR="00DB62C2" w:rsidRPr="005C2B04" w:rsidRDefault="00DB62C2" w:rsidP="00DB62C2">
      <w:pPr>
        <w:pStyle w:val="SingleTxtG"/>
        <w:rPr>
          <w:highlight w:val="lightGray"/>
        </w:rPr>
      </w:pPr>
      <w:r>
        <w:t>5.3</w:t>
      </w:r>
      <w:r w:rsidRPr="00672B22">
        <w:tab/>
        <w:t xml:space="preserve">The Committee </w:t>
      </w:r>
      <w:r>
        <w:t>notes</w:t>
      </w:r>
      <w:r w:rsidRPr="00672B22">
        <w:t xml:space="preserve"> the </w:t>
      </w:r>
      <w:r>
        <w:t>author</w:t>
      </w:r>
      <w:r w:rsidR="0017595A">
        <w:t>’</w:t>
      </w:r>
      <w:r>
        <w:t>s</w:t>
      </w:r>
      <w:r w:rsidRPr="00672B22">
        <w:t xml:space="preserve"> argument that B.I.</w:t>
      </w:r>
      <w:r w:rsidR="0017595A">
        <w:t>’</w:t>
      </w:r>
      <w:r w:rsidRPr="00672B22">
        <w:t>s deportation is not in her best interests and would constitute a violation of articles 3</w:t>
      </w:r>
      <w:r>
        <w:t xml:space="preserve"> and 6</w:t>
      </w:r>
      <w:r w:rsidRPr="00672B22">
        <w:t xml:space="preserve"> of the Convention.</w:t>
      </w:r>
      <w:r>
        <w:t xml:space="preserve"> </w:t>
      </w:r>
      <w:r w:rsidRPr="00672B22">
        <w:t>The Committee recalls that assessment of the existence of a risk of serious violations of the Convention in the receiving State should be conducted in a child</w:t>
      </w:r>
      <w:r>
        <w:t>-</w:t>
      </w:r>
      <w:r w:rsidRPr="00672B22">
        <w:t xml:space="preserve"> and gender-sensitive manner,</w:t>
      </w:r>
      <w:r w:rsidRPr="00672B22">
        <w:rPr>
          <w:rStyle w:val="FootnoteReference"/>
        </w:rPr>
        <w:footnoteReference w:id="9"/>
      </w:r>
      <w:r w:rsidRPr="00672B22">
        <w:t xml:space="preserve"> that the best interests of the child should be a primary consideration in decisions concerning the return of a child, and that such decisions should ensure that the child, upon return, will be safe and provided with proper care and enjoyment of rights.</w:t>
      </w:r>
      <w:r w:rsidRPr="00672B22">
        <w:rPr>
          <w:rStyle w:val="FootnoteReference"/>
        </w:rPr>
        <w:footnoteReference w:id="10"/>
      </w:r>
      <w:r w:rsidRPr="00786B95">
        <w:t xml:space="preserve"> The best interests of the child should be ensured explicitly through individual procedures, as an integral part of any administrative or judicial decision concerning the return of a child.</w:t>
      </w:r>
      <w:r w:rsidRPr="00786B95">
        <w:rPr>
          <w:rStyle w:val="FootnoteReference"/>
        </w:rPr>
        <w:footnoteReference w:id="11"/>
      </w:r>
    </w:p>
    <w:p w14:paraId="713BBE12" w14:textId="77777777" w:rsidR="00DB62C2" w:rsidRDefault="00DB62C2" w:rsidP="00DB62C2">
      <w:pPr>
        <w:pStyle w:val="SingleTxtG"/>
      </w:pPr>
      <w:r>
        <w:t>5</w:t>
      </w:r>
      <w:r w:rsidRPr="00786B95">
        <w:t>.</w:t>
      </w:r>
      <w:r>
        <w:t>4</w:t>
      </w:r>
      <w:r w:rsidRPr="00786B95">
        <w:tab/>
        <w:t xml:space="preserve">The Committee considers that it is generally for the organs of States parties to review and evaluate facts and evidence in order to determine whether a risk of a serious violation of </w:t>
      </w:r>
      <w:r w:rsidRPr="00786B95">
        <w:lastRenderedPageBreak/>
        <w:t>the Convention exists upon return, unless it is found that such evaluation was clearly arbitrary or amounted to a denial of justice.</w:t>
      </w:r>
      <w:r w:rsidRPr="00786B95">
        <w:rPr>
          <w:rStyle w:val="FootnoteReference"/>
        </w:rPr>
        <w:footnoteReference w:id="12"/>
      </w:r>
    </w:p>
    <w:p w14:paraId="1BF79EE5" w14:textId="140CE86A" w:rsidR="00DB62C2" w:rsidRPr="00D17110" w:rsidRDefault="00DB62C2" w:rsidP="00DB62C2">
      <w:pPr>
        <w:pStyle w:val="SingleTxtG"/>
      </w:pPr>
      <w:r>
        <w:t>5.5</w:t>
      </w:r>
      <w:r w:rsidRPr="0017282F">
        <w:tab/>
        <w:t>In the present case, the Committee observes that</w:t>
      </w:r>
      <w:r w:rsidRPr="00865303">
        <w:t xml:space="preserve"> </w:t>
      </w:r>
      <w:r w:rsidRPr="0017282F">
        <w:t>the Danish Immigration Service, in its decision dated 9 October 2015, thoroughly examined the author</w:t>
      </w:r>
      <w:r w:rsidR="0017595A">
        <w:t>’</w:t>
      </w:r>
      <w:r w:rsidRPr="0017282F">
        <w:t xml:space="preserve">s claims based on the information regarding the risk </w:t>
      </w:r>
      <w:r>
        <w:t>for</w:t>
      </w:r>
      <w:r w:rsidRPr="0017282F">
        <w:t xml:space="preserve"> irreparable harm that B.I. might be exposed to if returned to North Macedonia. </w:t>
      </w:r>
      <w:r>
        <w:t>It also notes the State party</w:t>
      </w:r>
      <w:r w:rsidR="0017595A">
        <w:t>’</w:t>
      </w:r>
      <w:r>
        <w:t>s argument that in view of B.I.</w:t>
      </w:r>
      <w:r w:rsidR="0017595A">
        <w:t>’</w:t>
      </w:r>
      <w:r>
        <w:t>s young age at the time of the proceedings she was unable to make any statements during the interview with the Immigration Service. The author therefore provided any relevant information on B.I.</w:t>
      </w:r>
      <w:r w:rsidR="0017595A">
        <w:t>’</w:t>
      </w:r>
      <w:r>
        <w:t>s behalf</w:t>
      </w:r>
      <w:r w:rsidRPr="00D17110">
        <w:t xml:space="preserve">. </w:t>
      </w:r>
    </w:p>
    <w:p w14:paraId="05976F77" w14:textId="0EACEEC7" w:rsidR="00DB62C2" w:rsidRPr="0084183C" w:rsidRDefault="00DB62C2" w:rsidP="00DB62C2">
      <w:pPr>
        <w:pStyle w:val="SingleTxtG"/>
      </w:pPr>
      <w:r>
        <w:t>5.6</w:t>
      </w:r>
      <w:r w:rsidRPr="00D17110">
        <w:tab/>
        <w:t>The Committee considers that, although the author disagrees with the decisions taken by the national authorities, she has not demonstrated that the examination of the facts and evidence by these authorities was clearly arbitrary or amounted to a denial of justice. Consequently, the Committee considers that th</w:t>
      </w:r>
      <w:r>
        <w:t>e author</w:t>
      </w:r>
      <w:r w:rsidR="0017595A">
        <w:t>’</w:t>
      </w:r>
      <w:r>
        <w:t xml:space="preserve">s claims under articles 3 and 6 of the Convention have </w:t>
      </w:r>
      <w:r w:rsidRPr="00D17110">
        <w:t xml:space="preserve">not been sufficiently substantiated and declares </w:t>
      </w:r>
      <w:r>
        <w:t>them</w:t>
      </w:r>
      <w:r w:rsidRPr="00D17110">
        <w:t xml:space="preserve"> inadmissible under article 7 (f) of the Optional Protocol.</w:t>
      </w:r>
    </w:p>
    <w:p w14:paraId="1D9BEB85" w14:textId="5F98B0EB" w:rsidR="00DB62C2" w:rsidRDefault="00DB62C2" w:rsidP="00DB62C2">
      <w:pPr>
        <w:pStyle w:val="SingleTxtG"/>
      </w:pPr>
      <w:r>
        <w:t>5.7</w:t>
      </w:r>
      <w:r w:rsidRPr="0084183C">
        <w:tab/>
        <w:t>With regard to the author</w:t>
      </w:r>
      <w:r w:rsidR="0017595A">
        <w:t>’</w:t>
      </w:r>
      <w:r w:rsidRPr="0084183C">
        <w:t xml:space="preserve">s claims under articles 7 and </w:t>
      </w:r>
      <w:r>
        <w:t xml:space="preserve">8 </w:t>
      </w:r>
      <w:r w:rsidRPr="0084183C">
        <w:t xml:space="preserve">of the Convention, the Committee </w:t>
      </w:r>
      <w:r>
        <w:t>notes the State party</w:t>
      </w:r>
      <w:r w:rsidR="0017595A">
        <w:t>’</w:t>
      </w:r>
      <w:r>
        <w:t xml:space="preserve">s uncontested argument that, as a daughter of two </w:t>
      </w:r>
      <w:r w:rsidRPr="00E629F2">
        <w:t>Macedonian citizens, B.I. will be entitled to acquire citizenship of North Macedonia. In</w:t>
      </w:r>
      <w:r>
        <w:t xml:space="preserve"> the absence of any other information in the file, the Committee </w:t>
      </w:r>
      <w:r w:rsidRPr="0084183C">
        <w:t xml:space="preserve">considers that </w:t>
      </w:r>
      <w:r>
        <w:t>the author</w:t>
      </w:r>
      <w:r w:rsidRPr="0084183C">
        <w:t xml:space="preserve"> has not sufficiently substantiated her claim that B.I.</w:t>
      </w:r>
      <w:r w:rsidR="0017595A">
        <w:t>’</w:t>
      </w:r>
      <w:r w:rsidRPr="0084183C">
        <w:t>s rights under these provisions would be violated as a result of her removal from Denmark. The Committee therefore finds that these claims are manifestly unfounded and also declares them inadmissible under article 7 (f) of the Optional Protocol.</w:t>
      </w:r>
    </w:p>
    <w:p w14:paraId="01A70524" w14:textId="0B9A056E" w:rsidR="00DB62C2" w:rsidRPr="009F2B6B" w:rsidRDefault="00DB62C2" w:rsidP="00DB62C2">
      <w:pPr>
        <w:pStyle w:val="SingleTxtG"/>
      </w:pPr>
      <w:r>
        <w:t>5.8</w:t>
      </w:r>
      <w:r>
        <w:tab/>
      </w:r>
      <w:r w:rsidRPr="009F2B6B">
        <w:t>The Com</w:t>
      </w:r>
      <w:r>
        <w:t>mittee notes the author</w:t>
      </w:r>
      <w:r w:rsidR="0017595A">
        <w:t>’</w:t>
      </w:r>
      <w:r>
        <w:t>s</w:t>
      </w:r>
      <w:r w:rsidRPr="009F2B6B">
        <w:t xml:space="preserve"> claim based on article 2 of the Convention that </w:t>
      </w:r>
      <w:r>
        <w:t>her daughter</w:t>
      </w:r>
      <w:r w:rsidRPr="009F2B6B">
        <w:t xml:space="preserve"> was discriminated against because </w:t>
      </w:r>
      <w:r>
        <w:t>her</w:t>
      </w:r>
      <w:r w:rsidRPr="009F2B6B">
        <w:t xml:space="preserve"> case was only handled by the </w:t>
      </w:r>
      <w:r>
        <w:t>Danish Immigration Service,</w:t>
      </w:r>
      <w:r w:rsidRPr="009F2B6B">
        <w:t xml:space="preserve"> without any access to an appeal. The Committee observes, however, that the author</w:t>
      </w:r>
      <w:r w:rsidR="0017595A">
        <w:t>’</w:t>
      </w:r>
      <w:r w:rsidRPr="009F2B6B">
        <w:t xml:space="preserve">s claim is general in nature and does not demonstrate that the lack of an appeal against the </w:t>
      </w:r>
      <w:r>
        <w:t>Immigration Service</w:t>
      </w:r>
      <w:r w:rsidRPr="009F2B6B">
        <w:t xml:space="preserve"> decision of </w:t>
      </w:r>
      <w:r w:rsidRPr="009650B5">
        <w:t xml:space="preserve">9 October 2015 </w:t>
      </w:r>
      <w:r w:rsidRPr="009F2B6B">
        <w:t>would be based on the author</w:t>
      </w:r>
      <w:r w:rsidR="0017595A">
        <w:t>’</w:t>
      </w:r>
      <w:r w:rsidRPr="009F2B6B">
        <w:t xml:space="preserve">s or </w:t>
      </w:r>
      <w:r>
        <w:t>her daughter</w:t>
      </w:r>
      <w:r w:rsidR="0017595A">
        <w:t>’</w:t>
      </w:r>
      <w:r>
        <w:t>s</w:t>
      </w:r>
      <w:r w:rsidRPr="009F2B6B">
        <w:t xml:space="preserve"> origin or any other discriminatory grounds. Therefore, the Committee considers that this claim is manifestly ill-founded and inadmissible under article 7 (f) of the Optional Protocol.</w:t>
      </w:r>
    </w:p>
    <w:p w14:paraId="7F7CF5EA" w14:textId="77777777" w:rsidR="00DB62C2" w:rsidRPr="00C93A6C" w:rsidRDefault="00DB62C2" w:rsidP="00DB62C2">
      <w:pPr>
        <w:pStyle w:val="SingleTxtG"/>
      </w:pPr>
      <w:r>
        <w:t>6.</w:t>
      </w:r>
      <w:r w:rsidRPr="00C93A6C">
        <w:tab/>
        <w:t xml:space="preserve">The Committee </w:t>
      </w:r>
      <w:r>
        <w:t>therefore</w:t>
      </w:r>
      <w:r w:rsidRPr="00C93A6C">
        <w:t xml:space="preserve"> decides:</w:t>
      </w:r>
    </w:p>
    <w:p w14:paraId="77F308EB" w14:textId="77777777" w:rsidR="00DB62C2" w:rsidRPr="00C93A6C" w:rsidRDefault="00DB62C2" w:rsidP="00935215">
      <w:pPr>
        <w:pStyle w:val="SingleTxtG"/>
      </w:pPr>
      <w:r>
        <w:tab/>
      </w:r>
      <w:r w:rsidRPr="007132E7">
        <w:t>(a)</w:t>
      </w:r>
      <w:r w:rsidRPr="007132E7">
        <w:tab/>
        <w:t>That the communication is inadmissible under article 7 (</w:t>
      </w:r>
      <w:r>
        <w:t>f</w:t>
      </w:r>
      <w:r w:rsidRPr="007132E7">
        <w:t>) of the Optional Protocol;</w:t>
      </w:r>
    </w:p>
    <w:p w14:paraId="41AA0EF1" w14:textId="495B4004" w:rsidR="00DB62C2" w:rsidRPr="00935215" w:rsidRDefault="00935215" w:rsidP="00935215">
      <w:pPr>
        <w:pStyle w:val="SingleTxtG"/>
      </w:pPr>
      <w:r>
        <w:tab/>
      </w:r>
      <w:r w:rsidR="00DB62C2" w:rsidRPr="00C93A6C">
        <w:t>(b)</w:t>
      </w:r>
      <w:r w:rsidR="00DB62C2" w:rsidRPr="00C93A6C">
        <w:tab/>
        <w:t xml:space="preserve">That </w:t>
      </w:r>
      <w:r w:rsidR="00DB62C2">
        <w:t>the present</w:t>
      </w:r>
      <w:r w:rsidR="00DB62C2" w:rsidRPr="00C93A6C">
        <w:t xml:space="preserve"> decision shall be transmitted to the author of the communication and, for information, to the State party.</w:t>
      </w:r>
    </w:p>
    <w:p w14:paraId="0419F134" w14:textId="77777777" w:rsidR="00935215" w:rsidRPr="00913E3C" w:rsidRDefault="00935215" w:rsidP="000C17D9">
      <w:pPr>
        <w:spacing w:before="240"/>
        <w:jc w:val="center"/>
        <w:rPr>
          <w:u w:val="single"/>
          <w:lang w:val="en-US"/>
        </w:rPr>
      </w:pPr>
      <w:r w:rsidRPr="00913E3C">
        <w:rPr>
          <w:u w:val="single"/>
          <w:lang w:val="en-US"/>
        </w:rPr>
        <w:tab/>
      </w:r>
      <w:r w:rsidRPr="00913E3C">
        <w:rPr>
          <w:u w:val="single"/>
          <w:lang w:val="en-US"/>
        </w:rPr>
        <w:tab/>
      </w:r>
      <w:r w:rsidRPr="00913E3C">
        <w:rPr>
          <w:u w:val="single"/>
          <w:lang w:val="en-US"/>
        </w:rPr>
        <w:tab/>
      </w:r>
    </w:p>
    <w:sectPr w:rsidR="00935215" w:rsidRPr="00913E3C"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59B79" w14:textId="77777777" w:rsidR="000A56A3" w:rsidRPr="00C60504" w:rsidRDefault="000A56A3" w:rsidP="00C60504">
      <w:pPr>
        <w:pStyle w:val="Footer"/>
      </w:pPr>
    </w:p>
  </w:endnote>
  <w:endnote w:type="continuationSeparator" w:id="0">
    <w:p w14:paraId="4367D7F2" w14:textId="77777777" w:rsidR="000A56A3" w:rsidRPr="00C60504" w:rsidRDefault="000A56A3" w:rsidP="00C60504">
      <w:pPr>
        <w:pStyle w:val="Footer"/>
      </w:pPr>
    </w:p>
  </w:endnote>
  <w:endnote w:type="continuationNotice" w:id="1">
    <w:p w14:paraId="42A99748" w14:textId="77777777" w:rsidR="000A56A3" w:rsidRDefault="000A56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PMincho"/>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E9B82" w14:textId="0B72B375" w:rsidR="00DB62C2" w:rsidRDefault="00DB62C2" w:rsidP="00DB62C2">
    <w:pPr>
      <w:pStyle w:val="Footer"/>
      <w:tabs>
        <w:tab w:val="right" w:pos="9638"/>
      </w:tabs>
    </w:pPr>
    <w:r w:rsidRPr="00DB62C2">
      <w:rPr>
        <w:b/>
        <w:bCs/>
        <w:sz w:val="18"/>
      </w:rPr>
      <w:fldChar w:fldCharType="begin"/>
    </w:r>
    <w:r w:rsidRPr="00DB62C2">
      <w:rPr>
        <w:b/>
        <w:bCs/>
        <w:sz w:val="18"/>
      </w:rPr>
      <w:instrText xml:space="preserve"> PAGE  \* MERGEFORMAT </w:instrText>
    </w:r>
    <w:r w:rsidRPr="00DB62C2">
      <w:rPr>
        <w:b/>
        <w:bCs/>
        <w:sz w:val="18"/>
      </w:rPr>
      <w:fldChar w:fldCharType="separate"/>
    </w:r>
    <w:r w:rsidR="00D37CA4">
      <w:rPr>
        <w:b/>
        <w:bCs/>
        <w:noProof/>
        <w:sz w:val="18"/>
      </w:rPr>
      <w:t>6</w:t>
    </w:r>
    <w:r w:rsidRPr="00DB62C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20DE6" w14:textId="23E59953" w:rsidR="00DB62C2" w:rsidRDefault="00DB62C2" w:rsidP="00DB62C2">
    <w:pPr>
      <w:pStyle w:val="Footer"/>
      <w:tabs>
        <w:tab w:val="right" w:pos="9638"/>
      </w:tabs>
    </w:pPr>
    <w:r>
      <w:tab/>
    </w:r>
    <w:r w:rsidRPr="00DB62C2">
      <w:rPr>
        <w:b/>
        <w:bCs/>
        <w:sz w:val="18"/>
      </w:rPr>
      <w:fldChar w:fldCharType="begin"/>
    </w:r>
    <w:r w:rsidRPr="00DB62C2">
      <w:rPr>
        <w:b/>
        <w:bCs/>
        <w:sz w:val="18"/>
      </w:rPr>
      <w:instrText xml:space="preserve"> PAGE  \* MERGEFORMAT </w:instrText>
    </w:r>
    <w:r w:rsidRPr="00DB62C2">
      <w:rPr>
        <w:b/>
        <w:bCs/>
        <w:sz w:val="18"/>
      </w:rPr>
      <w:fldChar w:fldCharType="separate"/>
    </w:r>
    <w:r w:rsidR="00D37CA4">
      <w:rPr>
        <w:b/>
        <w:bCs/>
        <w:noProof/>
        <w:sz w:val="18"/>
      </w:rPr>
      <w:t>5</w:t>
    </w:r>
    <w:r w:rsidRPr="00DB62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84643" w14:textId="167A89C4" w:rsidR="00C82874" w:rsidRDefault="00C82874" w:rsidP="00C82874">
    <w:pPr>
      <w:pStyle w:val="Footer"/>
    </w:pPr>
    <w:r>
      <w:rPr>
        <w:noProof/>
      </w:rPr>
      <w:drawing>
        <wp:anchor distT="0" distB="0" distL="114300" distR="114300" simplePos="0" relativeHeight="251659264" behindDoc="1" locked="1" layoutInCell="1" allowOverlap="1" wp14:anchorId="326A9419" wp14:editId="3DC0549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03D44E" w14:textId="27FAEFED" w:rsidR="00C82874" w:rsidRDefault="00C82874" w:rsidP="00C82874">
    <w:pPr>
      <w:pStyle w:val="Footer"/>
      <w:ind w:right="1134"/>
      <w:rPr>
        <w:sz w:val="20"/>
      </w:rPr>
    </w:pPr>
    <w:r>
      <w:rPr>
        <w:sz w:val="20"/>
      </w:rPr>
      <w:t>GE.20-14831(E)</w:t>
    </w:r>
  </w:p>
  <w:p w14:paraId="60D31390" w14:textId="142B7CD5" w:rsidR="00C82874" w:rsidRPr="00C82874" w:rsidRDefault="00C82874" w:rsidP="00C82874">
    <w:pPr>
      <w:pStyle w:val="Footer"/>
      <w:ind w:right="1134"/>
      <w:rPr>
        <w:rFonts w:ascii="C39T30Lfz" w:hAnsi="C39T30Lfz"/>
        <w:sz w:val="56"/>
      </w:rPr>
    </w:pPr>
    <w:r>
      <w:rPr>
        <w:rFonts w:ascii="C39T30Lfz" w:hAnsi="C39T30Lfz" w:hint="eastAsia"/>
        <w:sz w:val="56"/>
      </w:rPr>
      <w:t>*2014831*</w:t>
    </w:r>
    <w:r>
      <w:rPr>
        <w:rFonts w:ascii="C39T30Lfz" w:hAnsi="C39T30Lfz"/>
        <w:noProof/>
        <w:sz w:val="56"/>
      </w:rPr>
      <w:drawing>
        <wp:anchor distT="0" distB="0" distL="114300" distR="114300" simplePos="0" relativeHeight="251660288" behindDoc="0" locked="0" layoutInCell="1" allowOverlap="1" wp14:anchorId="6F5A0FDD" wp14:editId="0FA22B9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55014" w14:textId="77777777" w:rsidR="000A56A3" w:rsidRPr="00C60504" w:rsidRDefault="000A56A3" w:rsidP="00C60504">
      <w:pPr>
        <w:tabs>
          <w:tab w:val="right" w:pos="2155"/>
        </w:tabs>
        <w:spacing w:after="80" w:line="240" w:lineRule="auto"/>
        <w:ind w:left="680"/>
      </w:pPr>
      <w:r>
        <w:rPr>
          <w:u w:val="single"/>
        </w:rPr>
        <w:tab/>
      </w:r>
    </w:p>
  </w:footnote>
  <w:footnote w:type="continuationSeparator" w:id="0">
    <w:p w14:paraId="0B503C35" w14:textId="77777777" w:rsidR="000A56A3" w:rsidRPr="00C60504" w:rsidRDefault="000A56A3" w:rsidP="00C60504">
      <w:pPr>
        <w:tabs>
          <w:tab w:val="right" w:pos="2155"/>
        </w:tabs>
        <w:spacing w:after="80" w:line="240" w:lineRule="auto"/>
        <w:ind w:left="680"/>
      </w:pPr>
      <w:r>
        <w:rPr>
          <w:u w:val="single"/>
        </w:rPr>
        <w:tab/>
      </w:r>
    </w:p>
  </w:footnote>
  <w:footnote w:type="continuationNotice" w:id="1">
    <w:p w14:paraId="62C1B952" w14:textId="77777777" w:rsidR="000A56A3" w:rsidRDefault="000A56A3">
      <w:pPr>
        <w:spacing w:line="240" w:lineRule="auto"/>
      </w:pPr>
    </w:p>
  </w:footnote>
  <w:footnote w:id="2">
    <w:p w14:paraId="4A56EA6F" w14:textId="77777777" w:rsidR="00DB62C2" w:rsidRPr="00464E88" w:rsidRDefault="00DB62C2" w:rsidP="00DB62C2">
      <w:pPr>
        <w:pStyle w:val="FootnoteText"/>
      </w:pPr>
      <w:r>
        <w:rPr>
          <w:rStyle w:val="FootnoteReference"/>
        </w:rPr>
        <w:tab/>
      </w:r>
      <w:r w:rsidRPr="00464E88">
        <w:rPr>
          <w:rStyle w:val="FootnoteReference"/>
          <w:sz w:val="20"/>
          <w:vertAlign w:val="baseline"/>
        </w:rPr>
        <w:t>*</w:t>
      </w:r>
      <w:r w:rsidRPr="00464E88">
        <w:rPr>
          <w:rStyle w:val="FootnoteReference"/>
          <w:sz w:val="20"/>
          <w:vertAlign w:val="baseline"/>
        </w:rPr>
        <w:tab/>
      </w:r>
      <w:r w:rsidRPr="00464E88">
        <w:rPr>
          <w:rFonts w:eastAsia="MS Mincho"/>
        </w:rPr>
        <w:t>Adopted by the Committee at its eighty-fifth session (14 September 2020–1 October 2020).</w:t>
      </w:r>
    </w:p>
  </w:footnote>
  <w:footnote w:id="3">
    <w:p w14:paraId="036C8E5A" w14:textId="77777777" w:rsidR="00DB62C2" w:rsidRPr="00A72618" w:rsidRDefault="00DB62C2" w:rsidP="00DB62C2">
      <w:pPr>
        <w:pStyle w:val="FootnoteText"/>
      </w:pPr>
      <w:r w:rsidRPr="00464E88">
        <w:rPr>
          <w:rStyle w:val="FootnoteReference"/>
        </w:rPr>
        <w:tab/>
      </w:r>
      <w:r w:rsidRPr="00464E88">
        <w:rPr>
          <w:rStyle w:val="FootnoteReference"/>
          <w:sz w:val="20"/>
          <w:vertAlign w:val="baseline"/>
        </w:rPr>
        <w:t>**</w:t>
      </w:r>
      <w:r w:rsidRPr="00464E88">
        <w:rPr>
          <w:rStyle w:val="FootnoteReference"/>
          <w:sz w:val="20"/>
          <w:vertAlign w:val="baseline"/>
        </w:rPr>
        <w:tab/>
      </w:r>
      <w:r w:rsidRPr="00E82128">
        <w:rPr>
          <w:rFonts w:eastAsia="MS Mincho"/>
          <w:szCs w:val="18"/>
          <w:lang w:eastAsia="en-US"/>
        </w:rPr>
        <w:t xml:space="preserve">The following members of the Committee participated in the examination of the communication: </w:t>
      </w:r>
      <w:r w:rsidRPr="00E82128">
        <w:rPr>
          <w:szCs w:val="18"/>
        </w:rPr>
        <w:t>Suzanne</w:t>
      </w:r>
      <w:r w:rsidRPr="00464E88">
        <w:t xml:space="preserve"> Aho Assouma, Hynd Ayoubi Idrissi, Bragi Gudbrandsson, Olga A. Khazova, Gehad Madi, Philip Jaffé, Benyam Dawit Mezmur, Otani Mikiko, Luis Ernesto Pedernera Reyna, José Ángel Rodríguez Reyes, Ann Marie Skelton, Velina Todorova and Renate Winter.</w:t>
      </w:r>
    </w:p>
  </w:footnote>
  <w:footnote w:id="4">
    <w:p w14:paraId="769DC6FE" w14:textId="77777777" w:rsidR="00DB62C2" w:rsidRPr="00263FD0" w:rsidRDefault="00DB62C2" w:rsidP="00DB62C2">
      <w:pPr>
        <w:pStyle w:val="FootnoteText"/>
      </w:pPr>
      <w:r>
        <w:tab/>
      </w:r>
      <w:r w:rsidRPr="00263FD0">
        <w:rPr>
          <w:rStyle w:val="FootnoteReference"/>
        </w:rPr>
        <w:footnoteRef/>
      </w:r>
      <w:r>
        <w:tab/>
      </w:r>
      <w:r w:rsidRPr="00263FD0">
        <w:t xml:space="preserve">The State party notes in its submission dated 4 March 2019 </w:t>
      </w:r>
      <w:r>
        <w:t xml:space="preserve">(para. 4.1.1) </w:t>
      </w:r>
      <w:r w:rsidRPr="00263FD0">
        <w:t xml:space="preserve">that it was a </w:t>
      </w:r>
      <w:r>
        <w:t>visa-waiver entry.</w:t>
      </w:r>
    </w:p>
  </w:footnote>
  <w:footnote w:id="5">
    <w:p w14:paraId="1DE7F63C" w14:textId="77777777" w:rsidR="00DB62C2" w:rsidRPr="00263FD0" w:rsidRDefault="00DB62C2" w:rsidP="00DB62C2">
      <w:pPr>
        <w:pStyle w:val="FootnoteText"/>
      </w:pPr>
      <w:r>
        <w:tab/>
      </w:r>
      <w:r w:rsidRPr="00263FD0">
        <w:rPr>
          <w:rStyle w:val="FootnoteReference"/>
        </w:rPr>
        <w:footnoteRef/>
      </w:r>
      <w:r>
        <w:tab/>
      </w:r>
      <w:r w:rsidRPr="00263FD0">
        <w:t xml:space="preserve">It appears from the </w:t>
      </w:r>
      <w:r w:rsidRPr="0052234A">
        <w:t>documents in the case file, inter alia</w:t>
      </w:r>
      <w:r w:rsidRPr="00263FD0">
        <w:t xml:space="preserve"> the Danish Immigration Service decision of 9 October 2015,</w:t>
      </w:r>
      <w:r>
        <w:t xml:space="preserve"> </w:t>
      </w:r>
      <w:r w:rsidRPr="00263FD0">
        <w:t>that on 14 July 2015 the author applied for asylum in Sweden, wh</w:t>
      </w:r>
      <w:r>
        <w:t>ich</w:t>
      </w:r>
      <w:r w:rsidRPr="00263FD0">
        <w:t xml:space="preserve"> requested the Danish authorities to take</w:t>
      </w:r>
      <w:r>
        <w:t xml:space="preserve"> </w:t>
      </w:r>
      <w:r w:rsidRPr="00263FD0">
        <w:t>her back as a consequence of her Danish visa. On 7 September 2015 the Danish authorities accepted to take her back,</w:t>
      </w:r>
      <w:r>
        <w:t xml:space="preserve"> </w:t>
      </w:r>
      <w:r w:rsidRPr="00263FD0">
        <w:t>and on 2 October 2015 she returned to Denmark.</w:t>
      </w:r>
    </w:p>
  </w:footnote>
  <w:footnote w:id="6">
    <w:p w14:paraId="66DE2E4A" w14:textId="77777777" w:rsidR="00DB62C2" w:rsidRPr="00263FD0" w:rsidRDefault="00DB62C2" w:rsidP="00DB62C2">
      <w:pPr>
        <w:pStyle w:val="FootnoteText"/>
      </w:pPr>
      <w:r w:rsidRPr="00263FD0">
        <w:tab/>
      </w:r>
      <w:r w:rsidRPr="0052234A">
        <w:rPr>
          <w:rStyle w:val="FootnoteReference"/>
        </w:rPr>
        <w:footnoteRef/>
      </w:r>
      <w:r w:rsidRPr="0052234A">
        <w:tab/>
      </w:r>
      <w:r w:rsidRPr="0052234A">
        <w:tab/>
        <w:t xml:space="preserve">The State party cites, inter alia, </w:t>
      </w:r>
      <w:r>
        <w:rPr>
          <w:i/>
          <w:iCs/>
        </w:rPr>
        <w:t>A</w:t>
      </w:r>
      <w:r w:rsidRPr="00E82128">
        <w:rPr>
          <w:i/>
          <w:iCs/>
        </w:rPr>
        <w:t>.A.A. v. Spain</w:t>
      </w:r>
      <w:r w:rsidRPr="0052234A">
        <w:t xml:space="preserve"> (</w:t>
      </w:r>
      <w:r w:rsidRPr="00E82128">
        <w:t>CRC/C/73/D/2/2015</w:t>
      </w:r>
      <w:r w:rsidRPr="0052234A">
        <w:t>); and European</w:t>
      </w:r>
      <w:r>
        <w:t xml:space="preserve"> Court of Human Rights, </w:t>
      </w:r>
      <w:r w:rsidRPr="00E82128">
        <w:rPr>
          <w:i/>
          <w:iCs/>
        </w:rPr>
        <w:t>X v. Sweden</w:t>
      </w:r>
      <w:r w:rsidRPr="00263FD0">
        <w:t xml:space="preserve"> (application No. 36417/16)</w:t>
      </w:r>
      <w:r>
        <w:t xml:space="preserve">, </w:t>
      </w:r>
      <w:r w:rsidRPr="00263FD0">
        <w:t xml:space="preserve">judgment </w:t>
      </w:r>
      <w:r>
        <w:t>of</w:t>
      </w:r>
      <w:r w:rsidRPr="00263FD0">
        <w:t xml:space="preserve"> 9 January 2018</w:t>
      </w:r>
      <w:r>
        <w:t>,</w:t>
      </w:r>
      <w:r w:rsidRPr="00643C3C">
        <w:t xml:space="preserve"> </w:t>
      </w:r>
      <w:r w:rsidRPr="00263FD0">
        <w:t>para. 47</w:t>
      </w:r>
      <w:r>
        <w:t>.</w:t>
      </w:r>
    </w:p>
  </w:footnote>
  <w:footnote w:id="7">
    <w:p w14:paraId="74A2CC8F" w14:textId="570E51D3" w:rsidR="00DB62C2" w:rsidRPr="00263FD0" w:rsidRDefault="00DB62C2" w:rsidP="00DB62C2">
      <w:pPr>
        <w:pStyle w:val="FootnoteText"/>
      </w:pPr>
      <w:r w:rsidRPr="00263FD0">
        <w:tab/>
      </w:r>
      <w:r w:rsidRPr="00263FD0">
        <w:rPr>
          <w:rStyle w:val="FootnoteReference"/>
        </w:rPr>
        <w:footnoteRef/>
      </w:r>
      <w:r>
        <w:tab/>
      </w:r>
      <w:r w:rsidRPr="00263FD0">
        <w:t xml:space="preserve">In this respect, the </w:t>
      </w:r>
      <w:r>
        <w:t>State party</w:t>
      </w:r>
      <w:r w:rsidRPr="00263FD0">
        <w:t xml:space="preserve"> refers to the Committee</w:t>
      </w:r>
      <w:r w:rsidR="0017595A">
        <w:t>’</w:t>
      </w:r>
      <w:r w:rsidRPr="00263FD0">
        <w:t xml:space="preserve">s </w:t>
      </w:r>
      <w:r>
        <w:t>V</w:t>
      </w:r>
      <w:r w:rsidRPr="00263FD0">
        <w:t xml:space="preserve">iews in </w:t>
      </w:r>
      <w:r w:rsidRPr="00E82128">
        <w:rPr>
          <w:i/>
          <w:iCs/>
        </w:rPr>
        <w:t>A.Y. v. Denmark</w:t>
      </w:r>
      <w:r w:rsidRPr="00263FD0">
        <w:t xml:space="preserve"> (</w:t>
      </w:r>
      <w:r w:rsidRPr="0063266C">
        <w:t>CRC/C/78/D/7/2016</w:t>
      </w:r>
      <w:r w:rsidRPr="00263FD0">
        <w:t>), para. 8.12</w:t>
      </w:r>
      <w:r>
        <w:t>;</w:t>
      </w:r>
      <w:r w:rsidRPr="00263FD0">
        <w:t xml:space="preserve"> and European Court of Human </w:t>
      </w:r>
      <w:r w:rsidRPr="0052234A">
        <w:t xml:space="preserve">Rights, </w:t>
      </w:r>
      <w:r w:rsidRPr="00E82128">
        <w:rPr>
          <w:i/>
          <w:iCs/>
        </w:rPr>
        <w:t>R.C. v. Sweden</w:t>
      </w:r>
      <w:r w:rsidRPr="0052234A">
        <w:t xml:space="preserve"> (application No. 41827/07), judgment of 9 March 2010, para. 47.</w:t>
      </w:r>
    </w:p>
  </w:footnote>
  <w:footnote w:id="8">
    <w:p w14:paraId="248E7792" w14:textId="6E8C6B2B" w:rsidR="00DB62C2" w:rsidRPr="009748B1" w:rsidRDefault="00DB62C2" w:rsidP="00DB62C2">
      <w:pPr>
        <w:pStyle w:val="FootnoteText"/>
      </w:pPr>
      <w:r>
        <w:tab/>
      </w:r>
      <w:r>
        <w:rPr>
          <w:rStyle w:val="FootnoteReference"/>
        </w:rPr>
        <w:footnoteRef/>
      </w:r>
      <w:r>
        <w:tab/>
        <w:t>In this regard, see the Committee</w:t>
      </w:r>
      <w:r w:rsidR="0017595A">
        <w:t>’</w:t>
      </w:r>
      <w:r>
        <w:t xml:space="preserve">s Views in </w:t>
      </w:r>
      <w:r w:rsidRPr="00E82128">
        <w:rPr>
          <w:i/>
          <w:iCs/>
        </w:rPr>
        <w:t>N.B.F. v. Spain</w:t>
      </w:r>
      <w:r>
        <w:t xml:space="preserve"> (CRC/C/79/D/11/2017), para. 11.3.</w:t>
      </w:r>
    </w:p>
  </w:footnote>
  <w:footnote w:id="9">
    <w:p w14:paraId="088DEBFE" w14:textId="77777777" w:rsidR="00DB62C2" w:rsidRPr="007034CF" w:rsidRDefault="00DB62C2" w:rsidP="00DB62C2">
      <w:pPr>
        <w:pStyle w:val="FootnoteText"/>
      </w:pPr>
      <w:r>
        <w:tab/>
      </w:r>
      <w:r>
        <w:rPr>
          <w:rStyle w:val="FootnoteReference"/>
        </w:rPr>
        <w:footnoteRef/>
      </w:r>
      <w:r>
        <w:tab/>
        <w:t>Committee on the Rights of the Child, g</w:t>
      </w:r>
      <w:r w:rsidRPr="007034CF">
        <w:t xml:space="preserve">eneral </w:t>
      </w:r>
      <w:r>
        <w:t>c</w:t>
      </w:r>
      <w:r w:rsidRPr="007034CF">
        <w:t>omment No. 6</w:t>
      </w:r>
      <w:r>
        <w:t xml:space="preserve"> </w:t>
      </w:r>
      <w:r w:rsidRPr="00041C86">
        <w:rPr>
          <w:rFonts w:eastAsia="Malgun Gothic"/>
          <w:bCs/>
        </w:rPr>
        <w:t>(2005)</w:t>
      </w:r>
      <w:r w:rsidRPr="007034CF">
        <w:t>, para. 27.</w:t>
      </w:r>
    </w:p>
  </w:footnote>
  <w:footnote w:id="10">
    <w:p w14:paraId="47A31B7B" w14:textId="6503EADA" w:rsidR="00DB62C2" w:rsidRPr="003F73CF" w:rsidRDefault="00DB62C2" w:rsidP="00DB62C2">
      <w:pPr>
        <w:pStyle w:val="FootnoteText"/>
        <w:jc w:val="both"/>
      </w:pPr>
      <w:r>
        <w:tab/>
      </w:r>
      <w:r>
        <w:rPr>
          <w:rStyle w:val="FootnoteReference"/>
        </w:rPr>
        <w:footnoteRef/>
      </w:r>
      <w:r>
        <w:tab/>
      </w:r>
      <w:r>
        <w:rPr>
          <w:bCs/>
        </w:rPr>
        <w:t xml:space="preserve">Joint </w:t>
      </w:r>
      <w:r w:rsidRPr="00B64CF3">
        <w:rPr>
          <w:bCs/>
        </w:rPr>
        <w:t xml:space="preserve">general comment No. 3 (2017) </w:t>
      </w:r>
      <w:r>
        <w:rPr>
          <w:bCs/>
        </w:rPr>
        <w:t xml:space="preserve">of the Committee on the Protection of the Rights of All Migrant Workers and Members of Their Families/No. 22 (2017) of the </w:t>
      </w:r>
      <w:r w:rsidRPr="00B64CF3">
        <w:rPr>
          <w:bCs/>
        </w:rPr>
        <w:t>Committee on the Rights of the Child</w:t>
      </w:r>
      <w:r>
        <w:t>, paras. 29 and 33.</w:t>
      </w:r>
    </w:p>
  </w:footnote>
  <w:footnote w:id="11">
    <w:p w14:paraId="57621DF7" w14:textId="77777777" w:rsidR="00DB62C2" w:rsidRPr="003F73CF" w:rsidRDefault="00DB62C2" w:rsidP="00DB62C2">
      <w:pPr>
        <w:pStyle w:val="FootnoteText"/>
      </w:pPr>
      <w:r>
        <w:tab/>
      </w:r>
      <w:r>
        <w:rPr>
          <w:rStyle w:val="FootnoteReference"/>
        </w:rPr>
        <w:footnoteRef/>
      </w:r>
      <w:r>
        <w:tab/>
      </w:r>
      <w:r w:rsidRPr="003F73CF">
        <w:t>Ibid</w:t>
      </w:r>
      <w:r>
        <w:t>.</w:t>
      </w:r>
      <w:r w:rsidRPr="003F73CF">
        <w:t>, para. 30.</w:t>
      </w:r>
    </w:p>
  </w:footnote>
  <w:footnote w:id="12">
    <w:p w14:paraId="6A24763A" w14:textId="77777777" w:rsidR="00DB62C2" w:rsidRPr="009748B1" w:rsidRDefault="00DB62C2" w:rsidP="00DB62C2">
      <w:pPr>
        <w:pStyle w:val="FootnoteText"/>
        <w:jc w:val="both"/>
      </w:pPr>
      <w:r>
        <w:tab/>
      </w:r>
      <w:r>
        <w:rPr>
          <w:rStyle w:val="FootnoteReference"/>
        </w:rPr>
        <w:footnoteRef/>
      </w:r>
      <w:r>
        <w:tab/>
      </w:r>
      <w:r w:rsidRPr="003F73CF">
        <w:rPr>
          <w:i/>
        </w:rPr>
        <w:t>U.A.I</w:t>
      </w:r>
      <w:r>
        <w:rPr>
          <w:i/>
        </w:rPr>
        <w:t>.</w:t>
      </w:r>
      <w:r w:rsidRPr="003F73CF">
        <w:rPr>
          <w:i/>
        </w:rPr>
        <w:t xml:space="preserve"> v</w:t>
      </w:r>
      <w:r>
        <w:rPr>
          <w:i/>
        </w:rPr>
        <w:t>.</w:t>
      </w:r>
      <w:r w:rsidRPr="003F73CF">
        <w:rPr>
          <w:i/>
        </w:rPr>
        <w:t xml:space="preserve"> Spain</w:t>
      </w:r>
      <w:r>
        <w:t xml:space="preserve"> (CRC/C/73/D/2/2015), para. 4.2;</w:t>
      </w:r>
      <w:r w:rsidRPr="00332401">
        <w:t xml:space="preserve"> </w:t>
      </w:r>
      <w:r>
        <w:t xml:space="preserve">and </w:t>
      </w:r>
      <w:r w:rsidRPr="000C03AA">
        <w:rPr>
          <w:i/>
        </w:rPr>
        <w:t>Z.Y</w:t>
      </w:r>
      <w:r>
        <w:rPr>
          <w:i/>
        </w:rPr>
        <w:t>.</w:t>
      </w:r>
      <w:r w:rsidRPr="000C03AA">
        <w:rPr>
          <w:i/>
        </w:rPr>
        <w:t xml:space="preserve"> and J.Y.</w:t>
      </w:r>
      <w:r>
        <w:rPr>
          <w:i/>
        </w:rPr>
        <w:t xml:space="preserve"> v. Denmark </w:t>
      </w:r>
      <w:r w:rsidRPr="000C03AA">
        <w:t>(</w:t>
      </w:r>
      <w:r>
        <w:t>CRC/C/78/D/7/2016</w:t>
      </w:r>
      <w:r w:rsidRPr="000C03AA">
        <w:t>)</w:t>
      </w:r>
      <w:r>
        <w:t>, para. 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DB28A" w14:textId="77777777" w:rsidR="00DB62C2" w:rsidRDefault="00DB62C2" w:rsidP="00DB62C2">
    <w:pPr>
      <w:pStyle w:val="Header"/>
    </w:pPr>
    <w:r>
      <w:t>CRC/C/85/D/49/2018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4878F" w14:textId="77777777" w:rsidR="00DB62C2" w:rsidRDefault="00DB62C2" w:rsidP="00DB62C2">
    <w:pPr>
      <w:pStyle w:val="Header"/>
      <w:jc w:val="right"/>
    </w:pPr>
    <w:r>
      <w:t>CRC/C/85/D/49/2018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79E"/>
    <w:rsid w:val="00014068"/>
    <w:rsid w:val="00046E92"/>
    <w:rsid w:val="00054216"/>
    <w:rsid w:val="000634F3"/>
    <w:rsid w:val="000A1E0E"/>
    <w:rsid w:val="000A56A3"/>
    <w:rsid w:val="000C17D9"/>
    <w:rsid w:val="00120A0C"/>
    <w:rsid w:val="00156673"/>
    <w:rsid w:val="00160DC0"/>
    <w:rsid w:val="0017595A"/>
    <w:rsid w:val="00226ADD"/>
    <w:rsid w:val="00247E2C"/>
    <w:rsid w:val="00261FDF"/>
    <w:rsid w:val="002A09CA"/>
    <w:rsid w:val="002B341B"/>
    <w:rsid w:val="002D6C53"/>
    <w:rsid w:val="002F5595"/>
    <w:rsid w:val="00334F6A"/>
    <w:rsid w:val="00342AC8"/>
    <w:rsid w:val="003522C2"/>
    <w:rsid w:val="00384EE5"/>
    <w:rsid w:val="003B4550"/>
    <w:rsid w:val="003E0231"/>
    <w:rsid w:val="00461253"/>
    <w:rsid w:val="004629FE"/>
    <w:rsid w:val="00490F6A"/>
    <w:rsid w:val="005042C2"/>
    <w:rsid w:val="00574E25"/>
    <w:rsid w:val="00586BEE"/>
    <w:rsid w:val="0059268D"/>
    <w:rsid w:val="00606C20"/>
    <w:rsid w:val="00671529"/>
    <w:rsid w:val="006F0959"/>
    <w:rsid w:val="00704784"/>
    <w:rsid w:val="007268F9"/>
    <w:rsid w:val="007C52B0"/>
    <w:rsid w:val="00902B4E"/>
    <w:rsid w:val="00913E3C"/>
    <w:rsid w:val="00935215"/>
    <w:rsid w:val="009411B4"/>
    <w:rsid w:val="00943C13"/>
    <w:rsid w:val="009836A1"/>
    <w:rsid w:val="009D0139"/>
    <w:rsid w:val="009F5CDC"/>
    <w:rsid w:val="00A775CF"/>
    <w:rsid w:val="00A9548D"/>
    <w:rsid w:val="00B00D73"/>
    <w:rsid w:val="00B06045"/>
    <w:rsid w:val="00C073FD"/>
    <w:rsid w:val="00C35A27"/>
    <w:rsid w:val="00C60504"/>
    <w:rsid w:val="00C82874"/>
    <w:rsid w:val="00CD0365"/>
    <w:rsid w:val="00D21089"/>
    <w:rsid w:val="00D37CA4"/>
    <w:rsid w:val="00DB62C2"/>
    <w:rsid w:val="00E02C2B"/>
    <w:rsid w:val="00E812B6"/>
    <w:rsid w:val="00E96D00"/>
    <w:rsid w:val="00ED625E"/>
    <w:rsid w:val="00ED6C48"/>
    <w:rsid w:val="00F44DC8"/>
    <w:rsid w:val="00F65F5D"/>
    <w:rsid w:val="00F753E2"/>
    <w:rsid w:val="00F86A3A"/>
    <w:rsid w:val="00F93C73"/>
    <w:rsid w:val="00FC57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A8C8394"/>
  <w15:docId w15:val="{6C760869-A1AE-493E-8B78-8F4E7B10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5667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B62C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0634F3"/>
    <w:rPr>
      <w:sz w:val="16"/>
      <w:szCs w:val="16"/>
    </w:rPr>
  </w:style>
  <w:style w:type="paragraph" w:styleId="CommentText">
    <w:name w:val="annotation text"/>
    <w:basedOn w:val="Normal"/>
    <w:link w:val="CommentTextChar"/>
    <w:uiPriority w:val="99"/>
    <w:semiHidden/>
    <w:unhideWhenUsed/>
    <w:rsid w:val="000634F3"/>
    <w:pPr>
      <w:spacing w:line="240" w:lineRule="auto"/>
    </w:pPr>
  </w:style>
  <w:style w:type="character" w:customStyle="1" w:styleId="CommentTextChar">
    <w:name w:val="Comment Text Char"/>
    <w:basedOn w:val="DefaultParagraphFont"/>
    <w:link w:val="CommentText"/>
    <w:uiPriority w:val="99"/>
    <w:semiHidden/>
    <w:rsid w:val="000634F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634F3"/>
    <w:rPr>
      <w:b/>
      <w:bCs/>
    </w:rPr>
  </w:style>
  <w:style w:type="character" w:customStyle="1" w:styleId="CommentSubjectChar">
    <w:name w:val="Comment Subject Char"/>
    <w:basedOn w:val="CommentTextChar"/>
    <w:link w:val="CommentSubject"/>
    <w:uiPriority w:val="99"/>
    <w:semiHidden/>
    <w:rsid w:val="000634F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72A2D-4C06-475D-92E6-0176EC0773E7}">
  <ds:schemaRefs>
    <ds:schemaRef ds:uri="http://schemas.microsoft.com/sharepoint/v3/contenttype/forms"/>
  </ds:schemaRefs>
</ds:datastoreItem>
</file>

<file path=customXml/itemProps2.xml><?xml version="1.0" encoding="utf-8"?>
<ds:datastoreItem xmlns:ds="http://schemas.openxmlformats.org/officeDocument/2006/customXml" ds:itemID="{FF5EFEC3-EA2D-4FAB-82FA-12F92201C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97AEB9-3CD3-4A58-9E3D-36A0F4AE63B1}">
  <ds:schemaRefs>
    <ds:schemaRef ds:uri="http://schemas.microsoft.com/office/2006/metadata/properties"/>
    <ds:schemaRef ds:uri="b74d0cff-1a86-4c28-8fbe-ac645d255c1b"/>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f574a69-6113-48f8-8a10-50e06038c6cb"/>
    <ds:schemaRef ds:uri="http://purl.org/dc/elements/1.1/"/>
    <ds:schemaRef ds:uri="http://www.w3.org/XML/1998/namespace"/>
  </ds:schemaRefs>
</ds:datastoreItem>
</file>

<file path=customXml/itemProps4.xml><?xml version="1.0" encoding="utf-8"?>
<ds:datastoreItem xmlns:ds="http://schemas.openxmlformats.org/officeDocument/2006/customXml" ds:itemID="{B9BCA123-1143-495B-90B0-A34A81E1D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3413</Words>
  <Characters>17561</Characters>
  <Application>Microsoft Office Word</Application>
  <DocSecurity>0</DocSecurity>
  <Lines>272</Lines>
  <Paragraphs>62</Paragraphs>
  <ScaleCrop>false</ScaleCrop>
  <HeadingPairs>
    <vt:vector size="2" baseType="variant">
      <vt:variant>
        <vt:lpstr>Title</vt:lpstr>
      </vt:variant>
      <vt:variant>
        <vt:i4>1</vt:i4>
      </vt:variant>
    </vt:vector>
  </HeadingPairs>
  <TitlesOfParts>
    <vt:vector size="1" baseType="lpstr">
      <vt:lpstr>CRC/C/85/D/49/2018</vt:lpstr>
    </vt:vector>
  </TitlesOfParts>
  <Company>DCM</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CRC/C/85/D/49/2018</dc:title>
  <dc:subject>2014831</dc:subject>
  <dc:creator>cg</dc:creator>
  <cp:keywords/>
  <dc:description/>
  <cp:lastModifiedBy>Anni Vi TIROL</cp:lastModifiedBy>
  <cp:revision>2</cp:revision>
  <dcterms:created xsi:type="dcterms:W3CDTF">2020-11-09T09:04:00Z</dcterms:created>
  <dcterms:modified xsi:type="dcterms:W3CDTF">2020-11-09T09:04:00Z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