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42" w:rightFromText="142" w:vertAnchor="page" w:horzAnchor="page" w:tblpX="1134" w:tblpY="284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C62D50" w:rsidRPr="002B44FC" w14:paraId="5CD9CFE5" w14:textId="77777777">
        <w:trPr>
          <w:cantSplit/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  <w:vAlign w:val="bottom"/>
          </w:tcPr>
          <w:p w14:paraId="072574CC" w14:textId="77777777" w:rsidR="00C62D50" w:rsidRPr="002B44FC" w:rsidRDefault="00C62D50">
            <w:pPr>
              <w:spacing w:after="80"/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14:paraId="42FE6AC9" w14:textId="77777777" w:rsidR="00C62D50" w:rsidRPr="002B44FC" w:rsidRDefault="00664656">
            <w:pPr>
              <w:spacing w:after="80" w:line="300" w:lineRule="exact"/>
              <w:rPr>
                <w:b/>
                <w:sz w:val="24"/>
                <w:szCs w:val="24"/>
              </w:rPr>
            </w:pPr>
            <w:r w:rsidRPr="002B44FC">
              <w:rPr>
                <w:sz w:val="28"/>
                <w:szCs w:val="28"/>
              </w:rPr>
              <w:t>United Nations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14:paraId="35536F19" w14:textId="77777777" w:rsidR="00C62D50" w:rsidRPr="002B44FC" w:rsidRDefault="00664656">
            <w:pPr>
              <w:suppressAutoHyphens w:val="0"/>
              <w:spacing w:after="20"/>
              <w:jc w:val="right"/>
            </w:pPr>
            <w:r w:rsidRPr="002B44FC">
              <w:rPr>
                <w:sz w:val="40"/>
              </w:rPr>
              <w:t>CERD</w:t>
            </w:r>
            <w:r w:rsidRPr="002B44FC">
              <w:t>/</w:t>
            </w:r>
            <w:fldSimple w:instr=" DOCPROPERTY  sym1  \* MERGEFORMAT ">
              <w:r w:rsidRPr="002B44FC">
                <w:t>C/MNG/Q/23-24</w:t>
              </w:r>
            </w:fldSimple>
          </w:p>
        </w:tc>
      </w:tr>
      <w:tr w:rsidR="00C62D50" w:rsidRPr="002B44FC" w14:paraId="50B7C5FD" w14:textId="77777777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14:paraId="2B097EC7" w14:textId="77777777" w:rsidR="00C62D50" w:rsidRPr="002B44FC" w:rsidRDefault="00664656">
            <w:pPr>
              <w:spacing w:before="120"/>
              <w:jc w:val="center"/>
            </w:pPr>
            <w:r w:rsidRPr="002B44FC">
              <w:rPr>
                <w:noProof/>
                <w:lang w:eastAsia="zh-CN"/>
              </w:rPr>
              <w:drawing>
                <wp:inline distT="0" distB="0" distL="0" distR="0" wp14:anchorId="67FABC8D" wp14:editId="19206257">
                  <wp:extent cx="714375" cy="590550"/>
                  <wp:effectExtent l="0" t="0" r="9525" b="0"/>
                  <wp:docPr id="1" name="Imag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26515211" w14:textId="77777777" w:rsidR="00C62D50" w:rsidRPr="002B44FC" w:rsidRDefault="00664656">
            <w:pPr>
              <w:spacing w:before="120" w:line="380" w:lineRule="exact"/>
            </w:pPr>
            <w:r w:rsidRPr="002B44FC">
              <w:rPr>
                <w:b/>
                <w:sz w:val="34"/>
                <w:szCs w:val="40"/>
              </w:rPr>
              <w:t>International Convention on</w:t>
            </w:r>
            <w:r w:rsidRPr="002B44FC">
              <w:rPr>
                <w:b/>
                <w:sz w:val="34"/>
                <w:szCs w:val="40"/>
              </w:rPr>
              <w:br/>
              <w:t>the Elimination of All Forms</w:t>
            </w:r>
            <w:r w:rsidRPr="002B44FC">
              <w:rPr>
                <w:b/>
                <w:sz w:val="34"/>
                <w:szCs w:val="40"/>
              </w:rPr>
              <w:br/>
              <w:t>of Racial Discrimination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14:paraId="18C60B61" w14:textId="4186C743" w:rsidR="00C62D50" w:rsidRPr="002B44FC" w:rsidRDefault="00664656">
            <w:pPr>
              <w:suppressAutoHyphens w:val="0"/>
              <w:spacing w:before="240" w:line="240" w:lineRule="exact"/>
            </w:pPr>
            <w:r w:rsidRPr="002B44FC">
              <w:t>Distr.: General</w:t>
            </w:r>
          </w:p>
          <w:p w14:paraId="00AF3A5F" w14:textId="1AF322AE" w:rsidR="00C62D50" w:rsidRPr="002B44FC" w:rsidRDefault="002B44FC">
            <w:pPr>
              <w:suppressAutoHyphens w:val="0"/>
            </w:pPr>
            <w:r>
              <w:t>20</w:t>
            </w:r>
            <w:r w:rsidR="00712B96" w:rsidRPr="002B44FC">
              <w:t xml:space="preserve"> June</w:t>
            </w:r>
            <w:r w:rsidR="008E766F" w:rsidRPr="002B44FC">
              <w:t xml:space="preserve"> </w:t>
            </w:r>
            <w:r w:rsidR="00664656" w:rsidRPr="002B44FC">
              <w:t>2019</w:t>
            </w:r>
          </w:p>
          <w:p w14:paraId="29111F02" w14:textId="77777777" w:rsidR="00FD6A8D" w:rsidRPr="002B44FC" w:rsidRDefault="00FD6A8D">
            <w:pPr>
              <w:suppressAutoHyphens w:val="0"/>
            </w:pPr>
          </w:p>
          <w:p w14:paraId="5D5EEF7B" w14:textId="740B3619" w:rsidR="00C62D50" w:rsidRPr="002B44FC" w:rsidRDefault="00FD6A8D" w:rsidP="00C83290">
            <w:pPr>
              <w:suppressAutoHyphens w:val="0"/>
            </w:pPr>
            <w:r w:rsidRPr="002B44FC">
              <w:t>Original: English</w:t>
            </w:r>
          </w:p>
          <w:p w14:paraId="1E161887" w14:textId="3DCCC76B" w:rsidR="00C62D50" w:rsidRPr="002B44FC" w:rsidRDefault="00664656">
            <w:pPr>
              <w:suppressAutoHyphens w:val="0"/>
            </w:pPr>
            <w:r w:rsidRPr="002B44FC">
              <w:t>English, French and Spanish only</w:t>
            </w:r>
          </w:p>
        </w:tc>
      </w:tr>
    </w:tbl>
    <w:p w14:paraId="353357AC" w14:textId="77777777" w:rsidR="00C62D50" w:rsidRPr="002B44FC" w:rsidRDefault="00664656">
      <w:pPr>
        <w:spacing w:before="120"/>
        <w:rPr>
          <w:b/>
          <w:sz w:val="24"/>
          <w:szCs w:val="24"/>
        </w:rPr>
      </w:pPr>
      <w:r w:rsidRPr="002B44FC">
        <w:rPr>
          <w:b/>
          <w:sz w:val="24"/>
          <w:szCs w:val="24"/>
        </w:rPr>
        <w:t>Committee on the Elimination of Racial Discrimination</w:t>
      </w:r>
    </w:p>
    <w:p w14:paraId="0DB73662" w14:textId="77777777" w:rsidR="00C62D50" w:rsidRPr="002B44FC" w:rsidRDefault="00664656">
      <w:pPr>
        <w:rPr>
          <w:b/>
        </w:rPr>
      </w:pPr>
      <w:r w:rsidRPr="002B44FC">
        <w:rPr>
          <w:b/>
        </w:rPr>
        <w:fldChar w:fldCharType="begin"/>
      </w:r>
      <w:r w:rsidRPr="002B44FC">
        <w:rPr>
          <w:b/>
        </w:rPr>
        <w:instrText xml:space="preserve"> DOCPROPERTY  snum  \* MERGEFORMAT </w:instrText>
      </w:r>
      <w:r w:rsidRPr="002B44FC">
        <w:rPr>
          <w:b/>
        </w:rPr>
        <w:fldChar w:fldCharType="separate"/>
      </w:r>
      <w:r w:rsidRPr="002B44FC">
        <w:rPr>
          <w:b/>
        </w:rPr>
        <w:t>Ninety-ninth</w:t>
      </w:r>
      <w:r w:rsidRPr="002B44FC">
        <w:rPr>
          <w:b/>
        </w:rPr>
        <w:fldChar w:fldCharType="end"/>
      </w:r>
      <w:r w:rsidRPr="002B44FC">
        <w:rPr>
          <w:b/>
        </w:rPr>
        <w:t xml:space="preserve"> session</w:t>
      </w:r>
    </w:p>
    <w:p w14:paraId="48ADF95C" w14:textId="6117763A" w:rsidR="00C62D50" w:rsidRPr="002B44FC" w:rsidRDefault="003418AB">
      <w:fldSimple w:instr=" DOCPROPERTY  sdate  \* MERGEFORMAT ">
        <w:r w:rsidR="0044661E" w:rsidRPr="002B44FC">
          <w:t>5</w:t>
        </w:r>
        <w:r w:rsidR="002B44FC">
          <w:t>–</w:t>
        </w:r>
        <w:r w:rsidR="00664656" w:rsidRPr="002B44FC">
          <w:t>29 August 2019</w:t>
        </w:r>
      </w:fldSimple>
    </w:p>
    <w:p w14:paraId="55441B42" w14:textId="77777777" w:rsidR="00C62D50" w:rsidRPr="002B44FC" w:rsidRDefault="00664656">
      <w:r w:rsidRPr="002B44FC">
        <w:t>Item</w:t>
      </w:r>
      <w:r w:rsidR="00712B96" w:rsidRPr="002B44FC">
        <w:t xml:space="preserve"> 4 </w:t>
      </w:r>
      <w:r w:rsidRPr="002B44FC">
        <w:t>of the provisional agenda</w:t>
      </w:r>
    </w:p>
    <w:p w14:paraId="32329C1B" w14:textId="38731337" w:rsidR="00C62D50" w:rsidRPr="002B44FC" w:rsidRDefault="003C53D7">
      <w:pPr>
        <w:rPr>
          <w:b/>
          <w:bCs/>
        </w:rPr>
      </w:pPr>
      <w:bookmarkStart w:id="0" w:name="_GoBack"/>
      <w:r w:rsidRPr="002B44FC">
        <w:rPr>
          <w:b/>
          <w:bCs/>
        </w:rPr>
        <w:t>C</w:t>
      </w:r>
      <w:bookmarkEnd w:id="0"/>
      <w:r w:rsidRPr="002B44FC">
        <w:rPr>
          <w:b/>
          <w:bCs/>
        </w:rPr>
        <w:t>onsideration of reports, comments and information submitted by</w:t>
      </w:r>
      <w:r w:rsidR="00F50784" w:rsidRPr="002B44FC">
        <w:rPr>
          <w:b/>
          <w:bCs/>
        </w:rPr>
        <w:t xml:space="preserve"> </w:t>
      </w:r>
      <w:r w:rsidRPr="002B44FC">
        <w:rPr>
          <w:b/>
          <w:bCs/>
        </w:rPr>
        <w:br/>
        <w:t>States parties under article 9 of the Convention</w:t>
      </w:r>
    </w:p>
    <w:p w14:paraId="5A9B9505" w14:textId="5C1F7D97" w:rsidR="00C62D50" w:rsidRPr="002B44FC" w:rsidRDefault="00664656" w:rsidP="000145E9">
      <w:pPr>
        <w:pStyle w:val="HChG"/>
      </w:pPr>
      <w:r w:rsidRPr="002B44FC">
        <w:tab/>
      </w:r>
      <w:r w:rsidRPr="002B44FC">
        <w:tab/>
        <w:t xml:space="preserve">List of </w:t>
      </w:r>
      <w:r w:rsidR="002B44FC">
        <w:t xml:space="preserve">themes </w:t>
      </w:r>
      <w:r w:rsidRPr="002B44FC">
        <w:t xml:space="preserve">in relation to the </w:t>
      </w:r>
      <w:fldSimple w:instr=" DOCPROPERTY  prep  \* MERGEFORMAT ">
        <w:r w:rsidRPr="002B44FC">
          <w:t xml:space="preserve">combined twenty-third and twenty-fourth </w:t>
        </w:r>
        <w:r w:rsidR="002B44FC">
          <w:t xml:space="preserve">periodic </w:t>
        </w:r>
        <w:r w:rsidRPr="002B44FC">
          <w:t>reports of Mongolia</w:t>
        </w:r>
      </w:fldSimple>
    </w:p>
    <w:p w14:paraId="1DB0B929" w14:textId="77777777" w:rsidR="00C62D50" w:rsidRPr="002B44FC" w:rsidRDefault="00664656">
      <w:pPr>
        <w:pStyle w:val="H1G"/>
      </w:pPr>
      <w:r w:rsidRPr="002B44FC">
        <w:tab/>
      </w:r>
      <w:r w:rsidRPr="002B44FC">
        <w:tab/>
        <w:t>Note by the Country Rapporteur</w:t>
      </w:r>
    </w:p>
    <w:p w14:paraId="1FBC134B" w14:textId="7649BAD5" w:rsidR="00C62D50" w:rsidRPr="002B44FC" w:rsidRDefault="00AC40F3" w:rsidP="00AC40F3">
      <w:pPr>
        <w:pStyle w:val="SingleTxtG"/>
      </w:pPr>
      <w:r w:rsidRPr="002B44FC">
        <w:t>1.</w:t>
      </w:r>
      <w:r w:rsidRPr="002B44FC">
        <w:tab/>
      </w:r>
      <w:r w:rsidR="00664656" w:rsidRPr="002B44FC">
        <w:t>The Committee on the Elimination of Racial Discrimination decided at its seventy-sixth session (A/65/18, para. 85) that the Country Rapporteur would send to the State party concerned a short list of themes with a view to guiding and focusing the dialogue between the State party’s delegation and the Committee during the consideration of the State party’s report. The present document contains a list of such themes. It is not an exhaustive list; other issues may also be raised in the course of the dialogue. No written replies are required.</w:t>
      </w:r>
    </w:p>
    <w:p w14:paraId="0D3CDCF8" w14:textId="33ACBD8A" w:rsidR="00C62D50" w:rsidRPr="002B44FC" w:rsidRDefault="00664656">
      <w:pPr>
        <w:pStyle w:val="H23G"/>
      </w:pPr>
      <w:r w:rsidRPr="002B44FC">
        <w:tab/>
      </w:r>
      <w:r w:rsidRPr="002B44FC">
        <w:tab/>
        <w:t xml:space="preserve">The Convention in domestic law and the institutional and policy framework for its implementation (arts. </w:t>
      </w:r>
      <w:r w:rsidR="00712B96" w:rsidRPr="002B44FC">
        <w:t>1, 2, 4, 6</w:t>
      </w:r>
      <w:r w:rsidR="00712B96" w:rsidRPr="005B7DC5">
        <w:t xml:space="preserve"> </w:t>
      </w:r>
      <w:r w:rsidRPr="002B44FC">
        <w:t xml:space="preserve">and </w:t>
      </w:r>
      <w:r w:rsidR="00712B96" w:rsidRPr="002B44FC">
        <w:t>7</w:t>
      </w:r>
      <w:r w:rsidRPr="002B44FC">
        <w:t xml:space="preserve">) </w:t>
      </w:r>
    </w:p>
    <w:p w14:paraId="72F5DCD3" w14:textId="01DC2A27" w:rsidR="005E04DC" w:rsidRPr="002B44FC" w:rsidRDefault="00AC40F3" w:rsidP="00AC40F3">
      <w:pPr>
        <w:pStyle w:val="SingleTxtG"/>
      </w:pPr>
      <w:r w:rsidRPr="002B44FC">
        <w:t>2.</w:t>
      </w:r>
      <w:r w:rsidRPr="002B44FC">
        <w:tab/>
      </w:r>
      <w:r w:rsidR="00712B96" w:rsidRPr="002B44FC">
        <w:t xml:space="preserve">Update on the adoption of </w:t>
      </w:r>
      <w:r w:rsidR="007610A8" w:rsidRPr="002B44FC">
        <w:t xml:space="preserve">specific and </w:t>
      </w:r>
      <w:r w:rsidR="00712B96" w:rsidRPr="002B44FC">
        <w:t>compre</w:t>
      </w:r>
      <w:r w:rsidR="007610A8" w:rsidRPr="002B44FC">
        <w:t>hensive</w:t>
      </w:r>
      <w:r w:rsidR="00712B96" w:rsidRPr="002B44FC">
        <w:t xml:space="preserve"> legislation </w:t>
      </w:r>
      <w:r w:rsidR="000145E9">
        <w:t xml:space="preserve">that </w:t>
      </w:r>
      <w:r w:rsidR="00712B96" w:rsidRPr="002B44FC">
        <w:t>defines</w:t>
      </w:r>
      <w:r w:rsidR="003C53D7" w:rsidRPr="002B44FC">
        <w:t xml:space="preserve"> </w:t>
      </w:r>
      <w:r w:rsidR="007610A8" w:rsidRPr="002B44FC">
        <w:t xml:space="preserve">racial discrimination in </w:t>
      </w:r>
      <w:r w:rsidR="003C53D7" w:rsidRPr="002B44FC">
        <w:t>accordance</w:t>
      </w:r>
      <w:r w:rsidR="007610A8" w:rsidRPr="002B44FC">
        <w:t xml:space="preserve"> with </w:t>
      </w:r>
      <w:r w:rsidR="00576B87" w:rsidRPr="002B44FC">
        <w:t>article</w:t>
      </w:r>
      <w:r w:rsidR="002B44FC">
        <w:t xml:space="preserve"> </w:t>
      </w:r>
      <w:r w:rsidR="00712B96" w:rsidRPr="002B44FC">
        <w:t>1 of the Convention (CERD/C/</w:t>
      </w:r>
      <w:r w:rsidR="007610A8" w:rsidRPr="002B44FC">
        <w:t>MNG/CO/19-22, paras. 8</w:t>
      </w:r>
      <w:r w:rsidR="000145E9">
        <w:t>–</w:t>
      </w:r>
      <w:r w:rsidR="007610A8" w:rsidRPr="002B44FC">
        <w:t xml:space="preserve">9; CERD/C/MNG/23-24, para. 6). </w:t>
      </w:r>
    </w:p>
    <w:p w14:paraId="5D257679" w14:textId="0DE76A0D" w:rsidR="005E04DC" w:rsidRPr="002B44FC" w:rsidRDefault="00AC40F3" w:rsidP="00AC40F3">
      <w:pPr>
        <w:pStyle w:val="SingleTxtG"/>
        <w:rPr>
          <w:spacing w:val="-2"/>
        </w:rPr>
      </w:pPr>
      <w:r w:rsidRPr="002B44FC">
        <w:rPr>
          <w:spacing w:val="-2"/>
        </w:rPr>
        <w:t>3.</w:t>
      </w:r>
      <w:r w:rsidRPr="002B44FC">
        <w:rPr>
          <w:spacing w:val="-2"/>
        </w:rPr>
        <w:tab/>
      </w:r>
      <w:r w:rsidR="005E04DC" w:rsidRPr="002B44FC">
        <w:rPr>
          <w:spacing w:val="-2"/>
        </w:rPr>
        <w:t xml:space="preserve">Lack of full compliance of the Criminal Code with </w:t>
      </w:r>
      <w:r w:rsidR="000832A3">
        <w:rPr>
          <w:spacing w:val="-2"/>
        </w:rPr>
        <w:t xml:space="preserve">the </w:t>
      </w:r>
      <w:r w:rsidR="005E04DC" w:rsidRPr="002B44FC">
        <w:rPr>
          <w:spacing w:val="-2"/>
        </w:rPr>
        <w:t>provisions of article 4 of the Convention</w:t>
      </w:r>
      <w:r w:rsidR="000832A3">
        <w:rPr>
          <w:spacing w:val="-2"/>
        </w:rPr>
        <w:t>,</w:t>
      </w:r>
      <w:r w:rsidR="005E04DC" w:rsidRPr="002B44FC">
        <w:rPr>
          <w:spacing w:val="-2"/>
        </w:rPr>
        <w:t xml:space="preserve"> in particular those related to the </w:t>
      </w:r>
      <w:r w:rsidR="000832A3" w:rsidRPr="002B44FC">
        <w:rPr>
          <w:spacing w:val="-2"/>
        </w:rPr>
        <w:t>pr</w:t>
      </w:r>
      <w:r w:rsidR="000832A3">
        <w:rPr>
          <w:spacing w:val="-2"/>
        </w:rPr>
        <w:t>ohibi</w:t>
      </w:r>
      <w:r w:rsidR="000832A3" w:rsidRPr="002B44FC">
        <w:rPr>
          <w:spacing w:val="-2"/>
        </w:rPr>
        <w:t xml:space="preserve">tion </w:t>
      </w:r>
      <w:r w:rsidR="000832A3">
        <w:rPr>
          <w:spacing w:val="-2"/>
        </w:rPr>
        <w:t xml:space="preserve">of </w:t>
      </w:r>
      <w:r w:rsidR="005E04DC" w:rsidRPr="002B44FC">
        <w:rPr>
          <w:spacing w:val="-2"/>
        </w:rPr>
        <w:t>racist hate speech. Update on the process of dissolution of the Dayar Mongol</w:t>
      </w:r>
      <w:r w:rsidR="000832A3">
        <w:rPr>
          <w:spacing w:val="-2"/>
        </w:rPr>
        <w:t xml:space="preserve"> organization</w:t>
      </w:r>
      <w:r w:rsidR="005E04DC" w:rsidRPr="002B44FC">
        <w:rPr>
          <w:spacing w:val="-2"/>
        </w:rPr>
        <w:t xml:space="preserve">. Update on the revision of the Law on Non-Governmental Organizations and its compliance with </w:t>
      </w:r>
      <w:r w:rsidR="000832A3">
        <w:rPr>
          <w:spacing w:val="-2"/>
        </w:rPr>
        <w:t xml:space="preserve">the </w:t>
      </w:r>
      <w:r w:rsidR="005E04DC" w:rsidRPr="002B44FC">
        <w:rPr>
          <w:spacing w:val="-2"/>
        </w:rPr>
        <w:t xml:space="preserve">provisions of article 4 of the Convention (CERD/C/MNG/CO/19-22, paras. </w:t>
      </w:r>
      <w:r w:rsidR="00FD6A8D" w:rsidRPr="002B44FC">
        <w:rPr>
          <w:spacing w:val="-2"/>
        </w:rPr>
        <w:t>1</w:t>
      </w:r>
      <w:r w:rsidR="000832A3">
        <w:rPr>
          <w:spacing w:val="-2"/>
        </w:rPr>
        <w:t>4–</w:t>
      </w:r>
      <w:r w:rsidR="00FD6A8D" w:rsidRPr="002B44FC">
        <w:rPr>
          <w:spacing w:val="-2"/>
        </w:rPr>
        <w:t>1</w:t>
      </w:r>
      <w:r w:rsidR="000832A3">
        <w:rPr>
          <w:spacing w:val="-2"/>
        </w:rPr>
        <w:t>7</w:t>
      </w:r>
      <w:r w:rsidR="00FD6A8D" w:rsidRPr="002B44FC">
        <w:rPr>
          <w:spacing w:val="-2"/>
        </w:rPr>
        <w:t>; CERD/C/MNG/23-24, paras.</w:t>
      </w:r>
      <w:r w:rsidR="000832A3">
        <w:rPr>
          <w:spacing w:val="-2"/>
        </w:rPr>
        <w:t xml:space="preserve"> </w:t>
      </w:r>
      <w:r w:rsidR="005E04DC" w:rsidRPr="002B44FC">
        <w:rPr>
          <w:spacing w:val="-2"/>
        </w:rPr>
        <w:t>29</w:t>
      </w:r>
      <w:r w:rsidR="000832A3">
        <w:rPr>
          <w:spacing w:val="-2"/>
        </w:rPr>
        <w:t>–</w:t>
      </w:r>
      <w:r w:rsidR="005E04DC" w:rsidRPr="002B44FC">
        <w:rPr>
          <w:spacing w:val="-2"/>
        </w:rPr>
        <w:t xml:space="preserve">40). </w:t>
      </w:r>
    </w:p>
    <w:p w14:paraId="65699F6E" w14:textId="6F32E0CF" w:rsidR="005E04DC" w:rsidRPr="002B44FC" w:rsidRDefault="00AC40F3" w:rsidP="00AC40F3">
      <w:pPr>
        <w:pStyle w:val="SingleTxtG"/>
      </w:pPr>
      <w:r w:rsidRPr="002B44FC">
        <w:t>4.</w:t>
      </w:r>
      <w:r w:rsidRPr="002B44FC">
        <w:tab/>
      </w:r>
      <w:r w:rsidR="00D531A6">
        <w:t>C</w:t>
      </w:r>
      <w:r w:rsidR="005E04DC" w:rsidRPr="002B44FC">
        <w:t xml:space="preserve">ampaigns </w:t>
      </w:r>
      <w:r w:rsidR="00D531A6">
        <w:t xml:space="preserve">to raise the awareness of </w:t>
      </w:r>
      <w:r w:rsidR="005E04DC" w:rsidRPr="002B44FC">
        <w:t>the population, including minorities, migrants, refugees, asylum</w:t>
      </w:r>
      <w:r w:rsidR="0018493E">
        <w:t xml:space="preserve"> </w:t>
      </w:r>
      <w:r w:rsidR="005E04DC" w:rsidRPr="002B44FC">
        <w:t>seekers and stateless persons</w:t>
      </w:r>
      <w:r w:rsidR="00D531A6">
        <w:t xml:space="preserve">, of </w:t>
      </w:r>
      <w:r w:rsidR="00D531A6" w:rsidRPr="002B44FC">
        <w:t>the effective remedies available to victims of acts of racial discrimination</w:t>
      </w:r>
      <w:r w:rsidR="005E04DC" w:rsidRPr="002B44FC">
        <w:t xml:space="preserve">. Measures to facilitate the lodging of complaints for acts of racial discrimination. Number of complaints for acts of racial discrimination registered by </w:t>
      </w:r>
      <w:r w:rsidR="00B568B2" w:rsidRPr="002B44FC">
        <w:t>p</w:t>
      </w:r>
      <w:r w:rsidR="00F8097F" w:rsidRPr="002B44FC">
        <w:t>o</w:t>
      </w:r>
      <w:r w:rsidR="00B568B2" w:rsidRPr="002B44FC">
        <w:t>lice and national human rights institutions</w:t>
      </w:r>
      <w:r w:rsidR="005E04DC" w:rsidRPr="002B44FC">
        <w:t xml:space="preserve">, investigations carried out and convictions pronounced by domestic </w:t>
      </w:r>
      <w:r w:rsidR="00F8097F" w:rsidRPr="002B44FC">
        <w:t>courts</w:t>
      </w:r>
      <w:r w:rsidR="00D531A6">
        <w:t>,</w:t>
      </w:r>
      <w:r w:rsidR="00F8097F" w:rsidRPr="002B44FC">
        <w:t xml:space="preserve"> </w:t>
      </w:r>
      <w:r w:rsidR="005E04DC" w:rsidRPr="002B44FC">
        <w:t>and reparation provided to victims (CERD/C/MNG/CO/19-22, paras. 10</w:t>
      </w:r>
      <w:r w:rsidR="000832A3">
        <w:t>–</w:t>
      </w:r>
      <w:r w:rsidR="005E04DC" w:rsidRPr="002B44FC">
        <w:t>11; CERD/C/MNG/23-24, paras. 66</w:t>
      </w:r>
      <w:r w:rsidR="000832A3">
        <w:t>–</w:t>
      </w:r>
      <w:r w:rsidR="005E04DC" w:rsidRPr="002B44FC">
        <w:t>67).</w:t>
      </w:r>
      <w:r w:rsidR="008E766F" w:rsidRPr="002B44FC">
        <w:t xml:space="preserve"> </w:t>
      </w:r>
    </w:p>
    <w:p w14:paraId="20163C9E" w14:textId="354690EF" w:rsidR="007610A8" w:rsidRPr="002B44FC" w:rsidRDefault="00AC40F3" w:rsidP="00AC40F3">
      <w:pPr>
        <w:pStyle w:val="SingleTxtG"/>
      </w:pPr>
      <w:r w:rsidRPr="002B44FC">
        <w:t>5.</w:t>
      </w:r>
      <w:r w:rsidRPr="002B44FC">
        <w:tab/>
      </w:r>
      <w:r w:rsidR="00C11760" w:rsidRPr="002B44FC">
        <w:t>Budget provided to</w:t>
      </w:r>
      <w:r w:rsidR="007610A8" w:rsidRPr="002B44FC">
        <w:t xml:space="preserve"> the National Human Rights Commission for the years </w:t>
      </w:r>
      <w:r w:rsidR="00C11760" w:rsidRPr="002B44FC">
        <w:t>2018 and 2019</w:t>
      </w:r>
      <w:r w:rsidR="003C53D7" w:rsidRPr="002B44FC">
        <w:t xml:space="preserve"> and update</w:t>
      </w:r>
      <w:r w:rsidR="00120654" w:rsidRPr="002B44FC">
        <w:t xml:space="preserve"> on </w:t>
      </w:r>
      <w:r w:rsidR="003C53D7" w:rsidRPr="002B44FC">
        <w:t>human resources allocated to that Commission</w:t>
      </w:r>
      <w:r w:rsidR="00D531A6">
        <w:t xml:space="preserve"> </w:t>
      </w:r>
      <w:r w:rsidR="00C11760" w:rsidRPr="002B44FC">
        <w:t>(CERD/C/MNG/CO/19-22, paras. 12</w:t>
      </w:r>
      <w:r w:rsidR="00D531A6">
        <w:t>–</w:t>
      </w:r>
      <w:r w:rsidR="00C11760" w:rsidRPr="002B44FC">
        <w:t xml:space="preserve">13; CERD/C/MNG/23-24, para. 68). Activities carried </w:t>
      </w:r>
      <w:r w:rsidR="00D531A6">
        <w:t xml:space="preserve">out </w:t>
      </w:r>
      <w:r w:rsidR="00C11760" w:rsidRPr="002B44FC">
        <w:t>by the National Human Rights Commission</w:t>
      </w:r>
      <w:r w:rsidR="00120654" w:rsidRPr="002B44FC">
        <w:t xml:space="preserve"> on the prevention </w:t>
      </w:r>
      <w:r w:rsidR="00D531A6">
        <w:t xml:space="preserve">of </w:t>
      </w:r>
      <w:r w:rsidR="00120654" w:rsidRPr="002B44FC">
        <w:t>and protection ag</w:t>
      </w:r>
      <w:r w:rsidR="00F8097F" w:rsidRPr="002B44FC">
        <w:t>ainst</w:t>
      </w:r>
      <w:r w:rsidR="00120654" w:rsidRPr="002B44FC">
        <w:t xml:space="preserve"> racial di</w:t>
      </w:r>
      <w:r w:rsidR="008E766F" w:rsidRPr="002B44FC">
        <w:t>scrimination and their impact.</w:t>
      </w:r>
    </w:p>
    <w:p w14:paraId="42A1E2C8" w14:textId="35B9D5A9" w:rsidR="005E04DC" w:rsidRPr="002B44FC" w:rsidRDefault="00AC40F3" w:rsidP="00AC40F3">
      <w:pPr>
        <w:pStyle w:val="SingleTxtG"/>
      </w:pPr>
      <w:r w:rsidRPr="002B44FC">
        <w:lastRenderedPageBreak/>
        <w:t>6.</w:t>
      </w:r>
      <w:r w:rsidRPr="002B44FC">
        <w:tab/>
      </w:r>
      <w:r w:rsidR="005E04DC" w:rsidRPr="002B44FC">
        <w:t xml:space="preserve">Implementation of the National Anti-Corruption </w:t>
      </w:r>
      <w:r w:rsidR="008670AB">
        <w:t>P</w:t>
      </w:r>
      <w:r w:rsidR="005E04DC" w:rsidRPr="002B44FC">
        <w:t>rogram</w:t>
      </w:r>
      <w:r w:rsidR="00D531A6">
        <w:t>me</w:t>
      </w:r>
      <w:r w:rsidR="005E04DC" w:rsidRPr="002B44FC">
        <w:t xml:space="preserve"> and midterm results</w:t>
      </w:r>
      <w:r w:rsidR="00D531A6">
        <w:t>,</w:t>
      </w:r>
      <w:r w:rsidR="005E04DC" w:rsidRPr="002B44FC">
        <w:t xml:space="preserve"> including with regard to raising </w:t>
      </w:r>
      <w:r w:rsidR="008670AB">
        <w:t xml:space="preserve">the awareness </w:t>
      </w:r>
      <w:r w:rsidR="005E04DC" w:rsidRPr="002B44FC">
        <w:t xml:space="preserve">of victims of racial discrimination </w:t>
      </w:r>
      <w:r w:rsidR="008670AB">
        <w:t xml:space="preserve">of the remedies that are available to them </w:t>
      </w:r>
      <w:r w:rsidR="005E04DC" w:rsidRPr="002B44FC">
        <w:t>(CERD/C/MNG/CO/19-22, para</w:t>
      </w:r>
      <w:r w:rsidR="00D531A6">
        <w:t>s</w:t>
      </w:r>
      <w:r w:rsidR="005E04DC" w:rsidRPr="002B44FC">
        <w:t>.</w:t>
      </w:r>
      <w:r w:rsidR="000832A3">
        <w:t xml:space="preserve"> </w:t>
      </w:r>
      <w:r w:rsidR="005E04DC" w:rsidRPr="002B44FC">
        <w:t>10</w:t>
      </w:r>
      <w:r w:rsidR="00D531A6">
        <w:t>–</w:t>
      </w:r>
      <w:r w:rsidR="005E04DC" w:rsidRPr="002B44FC">
        <w:t>11; CERD/C/MNG/23-24, paras. 62</w:t>
      </w:r>
      <w:r w:rsidR="00D531A6">
        <w:t>–</w:t>
      </w:r>
      <w:r w:rsidR="005E04DC" w:rsidRPr="002B44FC">
        <w:t>65).</w:t>
      </w:r>
    </w:p>
    <w:p w14:paraId="5785E9CC" w14:textId="6AF0DF77" w:rsidR="00120654" w:rsidRPr="002B44FC" w:rsidRDefault="00AC40F3" w:rsidP="00AC40F3">
      <w:pPr>
        <w:pStyle w:val="SingleTxtG"/>
      </w:pPr>
      <w:r w:rsidRPr="002B44FC">
        <w:t>7.</w:t>
      </w:r>
      <w:r w:rsidRPr="002B44FC">
        <w:tab/>
      </w:r>
      <w:r w:rsidR="00120654" w:rsidRPr="002B44FC">
        <w:t xml:space="preserve">Implementation of the National </w:t>
      </w:r>
      <w:r w:rsidR="008670AB">
        <w:t>P</w:t>
      </w:r>
      <w:r w:rsidR="00120654" w:rsidRPr="002B44FC">
        <w:t>rogram</w:t>
      </w:r>
      <w:r w:rsidR="008670AB">
        <w:t>me</w:t>
      </w:r>
      <w:r w:rsidR="00120654" w:rsidRPr="002B44FC">
        <w:t xml:space="preserve"> on Improving Public Legal Education and mid-term outcomes (CERD/C/MNG/23-24, paras. 66</w:t>
      </w:r>
      <w:r w:rsidR="008670AB">
        <w:t>–</w:t>
      </w:r>
      <w:r w:rsidR="00120654" w:rsidRPr="002B44FC">
        <w:t>67).</w:t>
      </w:r>
    </w:p>
    <w:p w14:paraId="596F1B86" w14:textId="34CDFC0D" w:rsidR="00D40176" w:rsidRPr="002B44FC" w:rsidRDefault="00FD6A8D" w:rsidP="00FD6A8D">
      <w:pPr>
        <w:pStyle w:val="H23G"/>
      </w:pPr>
      <w:r w:rsidRPr="002B44FC">
        <w:tab/>
      </w:r>
      <w:r w:rsidRPr="002B44FC">
        <w:tab/>
      </w:r>
      <w:r w:rsidR="005440EA" w:rsidRPr="002B44FC">
        <w:t>Situation of ethnic minorities and i</w:t>
      </w:r>
      <w:r w:rsidR="00D40176" w:rsidRPr="002B44FC">
        <w:t>ndigenous peoples</w:t>
      </w:r>
      <w:r w:rsidR="00153C1D" w:rsidRPr="002B44FC">
        <w:t xml:space="preserve"> (arts. 2, 5</w:t>
      </w:r>
      <w:r w:rsidR="003E67F2">
        <w:t xml:space="preserve"> and</w:t>
      </w:r>
      <w:r w:rsidR="00153C1D" w:rsidRPr="002B44FC">
        <w:t xml:space="preserve"> 7)</w:t>
      </w:r>
    </w:p>
    <w:p w14:paraId="3F933219" w14:textId="5762234B" w:rsidR="00153C1D" w:rsidRPr="002B44FC" w:rsidRDefault="00AC40F3" w:rsidP="00AC40F3">
      <w:pPr>
        <w:pStyle w:val="SingleTxtG"/>
      </w:pPr>
      <w:r w:rsidRPr="002B44FC">
        <w:t>8.</w:t>
      </w:r>
      <w:r w:rsidRPr="002B44FC">
        <w:tab/>
      </w:r>
      <w:r w:rsidR="00120654" w:rsidRPr="002B44FC">
        <w:t xml:space="preserve">Measures to improve </w:t>
      </w:r>
      <w:r w:rsidR="003F0E66" w:rsidRPr="002B44FC">
        <w:t xml:space="preserve">access </w:t>
      </w:r>
      <w:r w:rsidR="008670AB">
        <w:t xml:space="preserve">for </w:t>
      </w:r>
      <w:r w:rsidR="003F0E66" w:rsidRPr="002B44FC">
        <w:t xml:space="preserve">ethnic minorities to employment, health </w:t>
      </w:r>
      <w:r w:rsidR="008670AB">
        <w:t xml:space="preserve">care </w:t>
      </w:r>
      <w:r w:rsidR="003F0E66" w:rsidRPr="002B44FC">
        <w:t>and housing</w:t>
      </w:r>
      <w:r w:rsidR="00704055" w:rsidRPr="002B44FC">
        <w:t xml:space="preserve">. Measures to reduce the </w:t>
      </w:r>
      <w:r w:rsidR="003F0E66" w:rsidRPr="002B44FC">
        <w:t>poverty</w:t>
      </w:r>
      <w:r w:rsidR="00704055" w:rsidRPr="002B44FC">
        <w:t xml:space="preserve"> level of </w:t>
      </w:r>
      <w:r w:rsidR="008670AB">
        <w:t xml:space="preserve">ethnic </w:t>
      </w:r>
      <w:r w:rsidR="00704055" w:rsidRPr="002B44FC">
        <w:t>minorities</w:t>
      </w:r>
      <w:r w:rsidR="008670AB">
        <w:t>,</w:t>
      </w:r>
      <w:r w:rsidR="003F0E66" w:rsidRPr="002B44FC">
        <w:t xml:space="preserve"> including minority women</w:t>
      </w:r>
      <w:r w:rsidR="00704055" w:rsidRPr="002B44FC">
        <w:t xml:space="preserve"> (CERD/C/MNG/CO/19-22, paras. 24</w:t>
      </w:r>
      <w:r w:rsidR="008670AB">
        <w:t>–</w:t>
      </w:r>
      <w:r w:rsidR="00704055" w:rsidRPr="002B44FC">
        <w:t>25</w:t>
      </w:r>
      <w:r w:rsidR="005440EA" w:rsidRPr="002B44FC">
        <w:t>)</w:t>
      </w:r>
      <w:r w:rsidR="008670AB">
        <w:t>.</w:t>
      </w:r>
      <w:r w:rsidR="00704055" w:rsidRPr="002B44FC">
        <w:t xml:space="preserve"> Further measures to improve the education of minority children in </w:t>
      </w:r>
      <w:r w:rsidR="00F07FF9">
        <w:t>minority</w:t>
      </w:r>
      <w:r w:rsidR="008670AB">
        <w:t xml:space="preserve"> </w:t>
      </w:r>
      <w:r w:rsidR="00704055" w:rsidRPr="002B44FC">
        <w:t>languages</w:t>
      </w:r>
      <w:r w:rsidR="008670AB">
        <w:t>,</w:t>
      </w:r>
      <w:r w:rsidR="00704055" w:rsidRPr="002B44FC">
        <w:t xml:space="preserve"> including by allocating more fundi</w:t>
      </w:r>
      <w:r w:rsidR="005440EA" w:rsidRPr="002B44FC">
        <w:t xml:space="preserve">ng to </w:t>
      </w:r>
      <w:r w:rsidR="00120654" w:rsidRPr="002B44FC">
        <w:t>“</w:t>
      </w:r>
      <w:r w:rsidR="005440EA" w:rsidRPr="002B44FC">
        <w:t>dual language</w:t>
      </w:r>
      <w:r w:rsidR="00F8097F" w:rsidRPr="002B44FC">
        <w:t>”</w:t>
      </w:r>
      <w:r w:rsidR="005440EA" w:rsidRPr="002B44FC">
        <w:t xml:space="preserve"> programme</w:t>
      </w:r>
      <w:r w:rsidR="00F8097F" w:rsidRPr="002B44FC">
        <w:t>s</w:t>
      </w:r>
      <w:r w:rsidR="005440EA" w:rsidRPr="002B44FC">
        <w:t xml:space="preserve"> (CERD/C/MNG/23-24, para. 79).</w:t>
      </w:r>
      <w:r w:rsidR="00704055" w:rsidRPr="002B44FC">
        <w:t xml:space="preserve"> </w:t>
      </w:r>
    </w:p>
    <w:p w14:paraId="4B1E4B16" w14:textId="5BC95F84" w:rsidR="005440EA" w:rsidRPr="002B44FC" w:rsidRDefault="00AC40F3" w:rsidP="00AC40F3">
      <w:pPr>
        <w:pStyle w:val="SingleTxtG"/>
      </w:pPr>
      <w:r w:rsidRPr="002B44FC">
        <w:t>9.</w:t>
      </w:r>
      <w:r w:rsidRPr="002B44FC">
        <w:tab/>
      </w:r>
      <w:r w:rsidR="00326709" w:rsidRPr="002B44FC">
        <w:t xml:space="preserve">Measures to </w:t>
      </w:r>
      <w:r w:rsidR="00AE5CAC" w:rsidRPr="002B44FC">
        <w:t xml:space="preserve">ensure </w:t>
      </w:r>
      <w:r w:rsidR="00326709" w:rsidRPr="002B44FC">
        <w:t xml:space="preserve">that </w:t>
      </w:r>
      <w:r w:rsidR="00AE5CAC" w:rsidRPr="002B44FC">
        <w:t xml:space="preserve">ethnic minorities, </w:t>
      </w:r>
      <w:r w:rsidR="00326709" w:rsidRPr="002B44FC">
        <w:t xml:space="preserve">in particular the Tsaatan </w:t>
      </w:r>
      <w:r w:rsidR="00F07FF9">
        <w:t xml:space="preserve">(Dukha) </w:t>
      </w:r>
      <w:r w:rsidR="00AE5CAC" w:rsidRPr="002B44FC">
        <w:t>minority</w:t>
      </w:r>
      <w:r w:rsidR="00F8097F" w:rsidRPr="002B44FC">
        <w:t>,</w:t>
      </w:r>
      <w:r w:rsidR="00AE5CAC" w:rsidRPr="002B44FC">
        <w:t xml:space="preserve"> </w:t>
      </w:r>
      <w:r w:rsidR="00326709" w:rsidRPr="002B44FC">
        <w:t xml:space="preserve">are fully and effectively consulted </w:t>
      </w:r>
      <w:r w:rsidR="00F07FF9">
        <w:t xml:space="preserve">on </w:t>
      </w:r>
      <w:r w:rsidR="00326709" w:rsidRPr="002B44FC">
        <w:t>all decisions affecting them, including mining projects (CERD/C/MNG/CO/19-22, paras.</w:t>
      </w:r>
      <w:r w:rsidR="00FD6A8D" w:rsidRPr="002B44FC">
        <w:t xml:space="preserve"> 26</w:t>
      </w:r>
      <w:r w:rsidR="00F07FF9">
        <w:t>–</w:t>
      </w:r>
      <w:r w:rsidR="00FD6A8D" w:rsidRPr="002B44FC">
        <w:t>27; CERD/C/MNG/23-24, para</w:t>
      </w:r>
      <w:r w:rsidR="003E67F2">
        <w:t>s</w:t>
      </w:r>
      <w:r w:rsidR="00FD6A8D" w:rsidRPr="002B44FC">
        <w:t>.</w:t>
      </w:r>
      <w:r w:rsidR="000832A3">
        <w:t xml:space="preserve"> </w:t>
      </w:r>
      <w:r w:rsidR="00326709" w:rsidRPr="002B44FC">
        <w:t>86</w:t>
      </w:r>
      <w:r w:rsidR="00F07FF9">
        <w:t>–</w:t>
      </w:r>
      <w:r w:rsidR="00326709" w:rsidRPr="002B44FC">
        <w:t>88).</w:t>
      </w:r>
    </w:p>
    <w:p w14:paraId="24E65793" w14:textId="78575196" w:rsidR="00C04799" w:rsidRPr="002B44FC" w:rsidRDefault="00FD6A8D" w:rsidP="00FD6A8D">
      <w:pPr>
        <w:pStyle w:val="H23G"/>
      </w:pPr>
      <w:r w:rsidRPr="002B44FC">
        <w:tab/>
      </w:r>
      <w:r w:rsidRPr="002B44FC">
        <w:tab/>
      </w:r>
      <w:r w:rsidR="00C04799" w:rsidRPr="002B44FC">
        <w:t>Situation of non-citizens</w:t>
      </w:r>
      <w:r w:rsidR="00E82B29" w:rsidRPr="002B44FC">
        <w:t xml:space="preserve"> including migrants, refugees, asylum</w:t>
      </w:r>
      <w:r w:rsidR="00241019">
        <w:t xml:space="preserve"> </w:t>
      </w:r>
      <w:r w:rsidR="00E82B29" w:rsidRPr="002B44FC">
        <w:t>seekers and stateless persons</w:t>
      </w:r>
      <w:r w:rsidR="00C04799" w:rsidRPr="002B44FC">
        <w:t xml:space="preserve"> (arts. 1, 2, 5 and 6)</w:t>
      </w:r>
    </w:p>
    <w:p w14:paraId="33BA7593" w14:textId="01740AA7" w:rsidR="00E82B29" w:rsidRPr="002B44FC" w:rsidRDefault="00AC40F3" w:rsidP="00AC40F3">
      <w:pPr>
        <w:pStyle w:val="SingleTxtG"/>
      </w:pPr>
      <w:r w:rsidRPr="002B44FC">
        <w:t>10.</w:t>
      </w:r>
      <w:r w:rsidRPr="002B44FC">
        <w:tab/>
      </w:r>
      <w:r w:rsidR="00E82B29" w:rsidRPr="002B44FC">
        <w:t>Disaggregated statistical data on the number of non-citizens, including migrants, refugees and asylum seekers</w:t>
      </w:r>
      <w:r w:rsidR="003E67F2">
        <w:t>,</w:t>
      </w:r>
      <w:r w:rsidR="00E82B29" w:rsidRPr="002B44FC">
        <w:t xml:space="preserve"> in the State party and information on how they are integrated into the society and </w:t>
      </w:r>
      <w:r w:rsidR="000E37C7" w:rsidRPr="002B44FC">
        <w:t xml:space="preserve">concretely </w:t>
      </w:r>
      <w:r w:rsidR="00E82B29" w:rsidRPr="002B44FC">
        <w:t>enjoy their economic, social and cultural rights under the Convention, without discrimination (CERD/C/MNG/CO/19-22, paras. 18</w:t>
      </w:r>
      <w:r w:rsidR="00241019">
        <w:t>–</w:t>
      </w:r>
      <w:r w:rsidR="00E82B29" w:rsidRPr="002B44FC">
        <w:t>19; CERD/C/MNG/23-24, paras.</w:t>
      </w:r>
      <w:r w:rsidR="000E37C7" w:rsidRPr="002B44FC">
        <w:t xml:space="preserve"> 44</w:t>
      </w:r>
      <w:r w:rsidR="00241019">
        <w:t>–</w:t>
      </w:r>
      <w:r w:rsidR="000E37C7" w:rsidRPr="002B44FC">
        <w:t>5</w:t>
      </w:r>
      <w:r w:rsidR="00241019">
        <w:t>1</w:t>
      </w:r>
      <w:r w:rsidR="00E82B29" w:rsidRPr="002B44FC">
        <w:t xml:space="preserve">). </w:t>
      </w:r>
      <w:r w:rsidR="000E37C7" w:rsidRPr="002B44FC">
        <w:t xml:space="preserve">Update on the number of refugee applications, those granted and </w:t>
      </w:r>
      <w:r w:rsidR="003E67F2">
        <w:t xml:space="preserve">those </w:t>
      </w:r>
      <w:r w:rsidR="000E37C7" w:rsidRPr="002B44FC">
        <w:t>rejected. Measures taken to adopt legislation o</w:t>
      </w:r>
      <w:r w:rsidR="005E04DC" w:rsidRPr="002B44FC">
        <w:t>n</w:t>
      </w:r>
      <w:r w:rsidR="000E37C7" w:rsidRPr="002B44FC">
        <w:t xml:space="preserve"> as</w:t>
      </w:r>
      <w:r w:rsidR="00241019">
        <w:t>y</w:t>
      </w:r>
      <w:r w:rsidR="000E37C7" w:rsidRPr="002B44FC">
        <w:t xml:space="preserve">lum and </w:t>
      </w:r>
      <w:r w:rsidR="00241019">
        <w:t xml:space="preserve">to </w:t>
      </w:r>
      <w:r w:rsidR="000E37C7" w:rsidRPr="002B44FC">
        <w:t xml:space="preserve">ensure that the asylum procedure is available to those who </w:t>
      </w:r>
      <w:r w:rsidR="003E67F2">
        <w:t xml:space="preserve">wish </w:t>
      </w:r>
      <w:r w:rsidR="000E37C7" w:rsidRPr="002B44FC">
        <w:t xml:space="preserve">to apply for asylum in the State party. </w:t>
      </w:r>
    </w:p>
    <w:p w14:paraId="32C10F49" w14:textId="400E58DE" w:rsidR="000E37C7" w:rsidRPr="002B44FC" w:rsidRDefault="00AC40F3" w:rsidP="00AC40F3">
      <w:pPr>
        <w:pStyle w:val="SingleTxtG"/>
      </w:pPr>
      <w:r w:rsidRPr="002B44FC">
        <w:t>11.</w:t>
      </w:r>
      <w:r w:rsidRPr="002B44FC">
        <w:tab/>
      </w:r>
      <w:r w:rsidR="00DA1474" w:rsidRPr="002B44FC">
        <w:rPr>
          <w:iCs/>
        </w:rPr>
        <w:t xml:space="preserve">Information on the extent of human trafficking in the State party. Information on the implementation of </w:t>
      </w:r>
      <w:r w:rsidR="003E67F2">
        <w:rPr>
          <w:iCs/>
        </w:rPr>
        <w:t xml:space="preserve">the </w:t>
      </w:r>
      <w:r w:rsidR="00241019">
        <w:rPr>
          <w:iCs/>
        </w:rPr>
        <w:t>l</w:t>
      </w:r>
      <w:r w:rsidR="00DA1474" w:rsidRPr="002B44FC">
        <w:rPr>
          <w:iCs/>
        </w:rPr>
        <w:t xml:space="preserve">aw </w:t>
      </w:r>
      <w:r w:rsidR="003E67F2">
        <w:rPr>
          <w:iCs/>
        </w:rPr>
        <w:t>regulating the employment of Mongolian citizens abroad and foreign citizens in Mongolia</w:t>
      </w:r>
      <w:r w:rsidR="00DA1474" w:rsidRPr="002B44FC">
        <w:rPr>
          <w:iCs/>
        </w:rPr>
        <w:t>. Details on measures to prevent and protect migrant workers against abuses and exploitation</w:t>
      </w:r>
      <w:r w:rsidR="00241019">
        <w:rPr>
          <w:iCs/>
        </w:rPr>
        <w:t>,</w:t>
      </w:r>
      <w:r w:rsidR="00DA1474" w:rsidRPr="002B44FC">
        <w:rPr>
          <w:iCs/>
        </w:rPr>
        <w:t xml:space="preserve"> including </w:t>
      </w:r>
      <w:r w:rsidR="00867A58" w:rsidRPr="002B44FC">
        <w:rPr>
          <w:iCs/>
        </w:rPr>
        <w:t>labour inspections</w:t>
      </w:r>
      <w:r w:rsidR="00DA1474" w:rsidRPr="002B44FC">
        <w:rPr>
          <w:iCs/>
        </w:rPr>
        <w:t>. Information on complaints, investigations, prosecutions, convictions, sanctions and redress and rehabilitation measures for victims</w:t>
      </w:r>
      <w:r w:rsidR="00241019">
        <w:rPr>
          <w:iCs/>
        </w:rPr>
        <w:t>,</w:t>
      </w:r>
      <w:r w:rsidR="00DA1474" w:rsidRPr="002B44FC">
        <w:rPr>
          <w:iCs/>
        </w:rPr>
        <w:t xml:space="preserve"> as well as measures to facilitate access by migrant workers </w:t>
      </w:r>
      <w:r w:rsidR="00C026E6" w:rsidRPr="002B44FC">
        <w:rPr>
          <w:iCs/>
        </w:rPr>
        <w:t>to legal remedies (</w:t>
      </w:r>
      <w:r w:rsidR="00834A7B" w:rsidRPr="002B44FC">
        <w:t>CERD/C/MNG/CO/19-22, paras. 22</w:t>
      </w:r>
      <w:r w:rsidR="00241019">
        <w:t>–</w:t>
      </w:r>
      <w:r w:rsidR="00834A7B" w:rsidRPr="002B44FC">
        <w:t>23; CERD/C/MNG/23-24, paras. 58</w:t>
      </w:r>
      <w:r w:rsidR="00241019">
        <w:t>–</w:t>
      </w:r>
      <w:r w:rsidR="00834A7B" w:rsidRPr="002B44FC">
        <w:t>60).</w:t>
      </w:r>
    </w:p>
    <w:p w14:paraId="38D53FBB" w14:textId="2A6418E8" w:rsidR="0011404E" w:rsidRDefault="00664656" w:rsidP="00664656">
      <w:pPr>
        <w:pStyle w:val="SingleTxtG"/>
        <w:jc w:val="center"/>
        <w:rPr>
          <w:u w:val="single"/>
        </w:rPr>
      </w:pPr>
      <w:r w:rsidRPr="002B44FC">
        <w:rPr>
          <w:u w:val="single"/>
        </w:rPr>
        <w:tab/>
      </w:r>
      <w:r w:rsidRPr="002B44FC">
        <w:rPr>
          <w:u w:val="single"/>
        </w:rPr>
        <w:tab/>
      </w:r>
      <w:r w:rsidRPr="002B44FC">
        <w:rPr>
          <w:u w:val="single"/>
        </w:rPr>
        <w:tab/>
      </w:r>
    </w:p>
    <w:sectPr w:rsidR="0011404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34FE73A" w14:textId="77777777" w:rsidR="00966A97" w:rsidRDefault="00966A97"/>
  </w:endnote>
  <w:endnote w:type="continuationSeparator" w:id="0">
    <w:p w14:paraId="571382CE" w14:textId="77777777" w:rsidR="00966A97" w:rsidRDefault="00966A97">
      <w:pPr>
        <w:pStyle w:val="Footer"/>
      </w:pPr>
    </w:p>
  </w:endnote>
  <w:endnote w:type="continuationNotice" w:id="1">
    <w:p w14:paraId="3A75AA97" w14:textId="77777777" w:rsidR="00966A97" w:rsidRDefault="00966A9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621454" w14:textId="3AAB18DF" w:rsidR="00C62D50" w:rsidRPr="0011404E" w:rsidRDefault="0011404E" w:rsidP="0011404E">
    <w:pPr>
      <w:pStyle w:val="Footer"/>
      <w:tabs>
        <w:tab w:val="right" w:pos="9638"/>
      </w:tabs>
    </w:pPr>
    <w:r>
      <w:tab/>
    </w:r>
    <w:r w:rsidRPr="0011404E">
      <w:rPr>
        <w:b/>
        <w:bCs/>
        <w:sz w:val="18"/>
      </w:rPr>
      <w:fldChar w:fldCharType="begin"/>
    </w:r>
    <w:r w:rsidRPr="0011404E">
      <w:rPr>
        <w:b/>
        <w:bCs/>
        <w:sz w:val="18"/>
      </w:rPr>
      <w:instrText xml:space="preserve"> PAGE  \* MERGEFORMAT </w:instrText>
    </w:r>
    <w:r w:rsidRPr="0011404E">
      <w:rPr>
        <w:b/>
        <w:bCs/>
        <w:sz w:val="18"/>
      </w:rPr>
      <w:fldChar w:fldCharType="separate"/>
    </w:r>
    <w:r w:rsidR="00AC40F3">
      <w:rPr>
        <w:b/>
        <w:bCs/>
        <w:noProof/>
        <w:sz w:val="18"/>
      </w:rPr>
      <w:t>2</w:t>
    </w:r>
    <w:r w:rsidRPr="0011404E">
      <w:rPr>
        <w:b/>
        <w:bCs/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9D83A19" w14:textId="14AA13F8" w:rsidR="00C62D50" w:rsidRPr="0011404E" w:rsidRDefault="0011404E" w:rsidP="0011404E">
    <w:pPr>
      <w:pStyle w:val="Footer"/>
      <w:tabs>
        <w:tab w:val="right" w:pos="9638"/>
      </w:tabs>
    </w:pPr>
    <w:r w:rsidRPr="0011404E">
      <w:rPr>
        <w:b/>
        <w:bCs/>
        <w:sz w:val="18"/>
      </w:rPr>
      <w:fldChar w:fldCharType="begin"/>
    </w:r>
    <w:r w:rsidRPr="0011404E">
      <w:rPr>
        <w:b/>
        <w:bCs/>
        <w:sz w:val="18"/>
      </w:rPr>
      <w:instrText xml:space="preserve"> PAGE  \* MERGEFORMAT </w:instrText>
    </w:r>
    <w:r w:rsidRPr="0011404E">
      <w:rPr>
        <w:b/>
        <w:bCs/>
        <w:sz w:val="18"/>
      </w:rPr>
      <w:fldChar w:fldCharType="separate"/>
    </w:r>
    <w:r w:rsidR="00066A07">
      <w:rPr>
        <w:b/>
        <w:bCs/>
        <w:noProof/>
        <w:sz w:val="18"/>
      </w:rPr>
      <w:t>3</w:t>
    </w:r>
    <w:r w:rsidRPr="0011404E">
      <w:rPr>
        <w:b/>
        <w:bCs/>
        <w:sz w:val="18"/>
      </w:rPr>
      <w:fldChar w:fldCharType="end"/>
    </w:r>
    <w:r>
      <w:tab/>
      <w:t>GE.19-09138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7D99507" w14:textId="1AD77AD4" w:rsidR="00AC40F3" w:rsidRDefault="00AC40F3" w:rsidP="00AC40F3">
    <w:pPr>
      <w:pStyle w:val="Footer"/>
    </w:pPr>
    <w:r>
      <w:rPr>
        <w:noProof/>
        <w:lang w:eastAsia="zh-CN"/>
      </w:rPr>
      <w:drawing>
        <wp:anchor distT="0" distB="0" distL="114300" distR="114300" simplePos="0" relativeHeight="251659264" behindDoc="1" locked="1" layoutInCell="1" allowOverlap="1" wp14:anchorId="188DCF52" wp14:editId="13572DA5">
          <wp:simplePos x="0" y="0"/>
          <wp:positionH relativeFrom="margin">
            <wp:posOffset>4320540</wp:posOffset>
          </wp:positionH>
          <wp:positionV relativeFrom="margin">
            <wp:posOffset>9145270</wp:posOffset>
          </wp:positionV>
          <wp:extent cx="932400" cy="230400"/>
          <wp:effectExtent l="0" t="0" r="1270" b="0"/>
          <wp:wrapTight wrapText="bothSides">
            <wp:wrapPolygon edited="0">
              <wp:start x="16332" y="0"/>
              <wp:lineTo x="0" y="8950"/>
              <wp:lineTo x="0" y="19691"/>
              <wp:lineTo x="10153" y="19691"/>
              <wp:lineTo x="20747" y="19691"/>
              <wp:lineTo x="21188" y="16110"/>
              <wp:lineTo x="21188" y="0"/>
              <wp:lineTo x="16332" y="0"/>
            </wp:wrapPolygon>
          </wp:wrapTight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2400" cy="230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78FD402" w14:textId="5436A906" w:rsidR="00AC40F3" w:rsidRDefault="00AC40F3" w:rsidP="00AC40F3">
    <w:pPr>
      <w:pStyle w:val="Footer"/>
      <w:ind w:right="1134"/>
      <w:rPr>
        <w:sz w:val="20"/>
      </w:rPr>
    </w:pPr>
    <w:r>
      <w:rPr>
        <w:sz w:val="20"/>
      </w:rPr>
      <w:t>GE.19-10242(E)</w:t>
    </w:r>
  </w:p>
  <w:p w14:paraId="4FFF240B" w14:textId="52209733" w:rsidR="00AC40F3" w:rsidRPr="00AC40F3" w:rsidRDefault="00AC40F3" w:rsidP="00AC40F3">
    <w:pPr>
      <w:pStyle w:val="Footer"/>
      <w:ind w:right="1134"/>
      <w:rPr>
        <w:rFonts w:ascii="C39T30Lfz" w:hAnsi="C39T30Lfz"/>
        <w:sz w:val="56"/>
      </w:rPr>
    </w:pPr>
    <w:r>
      <w:rPr>
        <w:rFonts w:ascii="C39T30Lfz" w:hAnsi="C39T30Lfz"/>
        <w:sz w:val="56"/>
      </w:rPr>
      <w:t></w:t>
    </w:r>
    <w:r>
      <w:rPr>
        <w:rFonts w:ascii="C39T30Lfz" w:hAnsi="C39T30Lfz"/>
        <w:sz w:val="56"/>
      </w:rPr>
      <w:t></w:t>
    </w:r>
    <w:r>
      <w:rPr>
        <w:rFonts w:ascii="C39T30Lfz" w:hAnsi="C39T30Lfz"/>
        <w:sz w:val="56"/>
      </w:rPr>
      <w:t></w:t>
    </w:r>
    <w:r>
      <w:rPr>
        <w:rFonts w:ascii="C39T30Lfz" w:hAnsi="C39T30Lfz"/>
        <w:sz w:val="56"/>
      </w:rPr>
      <w:t></w:t>
    </w:r>
    <w:r>
      <w:rPr>
        <w:rFonts w:ascii="C39T30Lfz" w:hAnsi="C39T30Lfz"/>
        <w:sz w:val="56"/>
      </w:rPr>
      <w:t></w:t>
    </w:r>
    <w:r>
      <w:rPr>
        <w:rFonts w:ascii="C39T30Lfz" w:hAnsi="C39T30Lfz"/>
        <w:sz w:val="56"/>
      </w:rPr>
      <w:t></w:t>
    </w:r>
    <w:r>
      <w:rPr>
        <w:rFonts w:ascii="C39T30Lfz" w:hAnsi="C39T30Lfz"/>
        <w:sz w:val="56"/>
      </w:rPr>
      <w:t></w:t>
    </w:r>
    <w:r>
      <w:rPr>
        <w:rFonts w:ascii="C39T30Lfz" w:hAnsi="C39T30Lfz"/>
        <w:sz w:val="56"/>
      </w:rPr>
      <w:t></w:t>
    </w:r>
    <w:r>
      <w:rPr>
        <w:rFonts w:ascii="C39T30Lfz" w:hAnsi="C39T30Lfz"/>
        <w:sz w:val="56"/>
      </w:rPr>
      <w:t></w:t>
    </w:r>
    <w:r>
      <w:rPr>
        <w:rFonts w:ascii="C39T30Lfz" w:hAnsi="C39T30Lfz"/>
        <w:noProof/>
        <w:sz w:val="56"/>
        <w:lang w:eastAsia="zh-CN"/>
      </w:rPr>
      <w:drawing>
        <wp:anchor distT="0" distB="0" distL="114300" distR="114300" simplePos="0" relativeHeight="251660288" behindDoc="0" locked="0" layoutInCell="1" allowOverlap="1" wp14:anchorId="7AA0F073" wp14:editId="0DF27E41">
          <wp:simplePos x="0" y="0"/>
          <wp:positionH relativeFrom="margin">
            <wp:posOffset>5478780</wp:posOffset>
          </wp:positionH>
          <wp:positionV relativeFrom="margin">
            <wp:posOffset>8794750</wp:posOffset>
          </wp:positionV>
          <wp:extent cx="561975" cy="561975"/>
          <wp:effectExtent l="0" t="0" r="9525" b="9525"/>
          <wp:wrapNone/>
          <wp:docPr id="2" name="Picture 1" descr="https://undocs.org/m2/QRCode.ashx?DS=CERD/C/MNG/Q/23-24&amp;Size=2 &amp;Lang=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ERD/C/MNG/Q/23-24&amp;Size=2 &amp;Lang=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F3F3CD1" w14:textId="77777777" w:rsidR="00966A97" w:rsidRDefault="00966A97">
      <w:pPr>
        <w:pStyle w:val="Footer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69C56FAF" w14:textId="77777777" w:rsidR="00966A97" w:rsidRDefault="00966A97">
      <w:pPr>
        <w:pStyle w:val="Footer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14:paraId="65BB9ACE" w14:textId="77777777" w:rsidR="00966A97" w:rsidRDefault="00966A97">
      <w:pPr>
        <w:rPr>
          <w:sz w:val="2"/>
          <w:szCs w:val="2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E84A15" w14:textId="61463A3B" w:rsidR="00C62D50" w:rsidRDefault="00A0372F">
    <w:pPr>
      <w:pStyle w:val="Header"/>
    </w:pPr>
    <w:r>
      <w:t>CERD/C/MNG/Q/23-24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C1A7DCC" w14:textId="50FF2790" w:rsidR="00C62D50" w:rsidRDefault="003418AB">
    <w:pPr>
      <w:pStyle w:val="Header"/>
      <w:jc w:val="right"/>
    </w:pPr>
    <w:fldSimple w:instr=" DOCPROPERTY  symh  \* MERGEFORMAT ">
      <w:r w:rsidR="00066A07">
        <w:t>CERD/C/MNG/Q/23-24</w:t>
      </w:r>
    </w:fldSimple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8AA1C12" w14:textId="77777777" w:rsidR="00C62D50" w:rsidRDefault="00C62D50">
    <w:pPr>
      <w:pStyle w:val="Header"/>
      <w:pBdr>
        <w:bottom w:val="none" w:sz="0" w:space="0" w:color="auto"/>
      </w:pBdr>
      <w:rPr>
        <w:b w:val="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834EEA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08445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D50032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44CBC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4A624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F9AED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A9AA68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E1AE6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45C69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B0402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0C49F8"/>
    <w:multiLevelType w:val="hybridMultilevel"/>
    <w:tmpl w:val="FFD08D26"/>
    <w:lvl w:ilvl="0" w:tplc="2FB47626">
      <w:start w:val="1"/>
      <w:numFmt w:val="decimal"/>
      <w:pStyle w:val="ParaNoG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0D954887"/>
    <w:multiLevelType w:val="hybridMultilevel"/>
    <w:tmpl w:val="2B362816"/>
    <w:lvl w:ilvl="0" w:tplc="F560206C">
      <w:start w:val="1"/>
      <w:numFmt w:val="decimal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E253887"/>
    <w:multiLevelType w:val="hybridMultilevel"/>
    <w:tmpl w:val="497EC7CC"/>
    <w:lvl w:ilvl="0" w:tplc="FAE4B376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07F5664"/>
    <w:multiLevelType w:val="hybridMultilevel"/>
    <w:tmpl w:val="05201C86"/>
    <w:lvl w:ilvl="0" w:tplc="0809000F">
      <w:start w:val="1"/>
      <w:numFmt w:val="decimal"/>
      <w:lvlText w:val="%1."/>
      <w:lvlJc w:val="left"/>
      <w:pPr>
        <w:ind w:left="185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4" w15:restartNumberingAfterBreak="0">
    <w:nsid w:val="24E05017"/>
    <w:multiLevelType w:val="hybridMultilevel"/>
    <w:tmpl w:val="B704C392"/>
    <w:lvl w:ilvl="0" w:tplc="68AAD7E2">
      <w:start w:val="1"/>
      <w:numFmt w:val="decimal"/>
      <w:lvlText w:val="%1."/>
      <w:lvlJc w:val="right"/>
      <w:pPr>
        <w:ind w:left="185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5" w15:restartNumberingAfterBreak="0">
    <w:nsid w:val="31A12325"/>
    <w:multiLevelType w:val="hybridMultilevel"/>
    <w:tmpl w:val="FF0E5B48"/>
    <w:lvl w:ilvl="0" w:tplc="6D5E22D8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CF4EB2"/>
    <w:multiLevelType w:val="hybridMultilevel"/>
    <w:tmpl w:val="CB6C816A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7" w15:restartNumberingAfterBreak="0">
    <w:nsid w:val="4CD42D18"/>
    <w:multiLevelType w:val="hybridMultilevel"/>
    <w:tmpl w:val="C2A60302"/>
    <w:lvl w:ilvl="0" w:tplc="814A8A58">
      <w:start w:val="1"/>
      <w:numFmt w:val="decimal"/>
      <w:lvlText w:val="%1."/>
      <w:lvlJc w:val="left"/>
      <w:pPr>
        <w:ind w:left="1689" w:hanging="555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8" w15:restartNumberingAfterBreak="0">
    <w:nsid w:val="562A5F26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9" w15:restartNumberingAfterBreak="0">
    <w:nsid w:val="5ED85D91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619F6210"/>
    <w:multiLevelType w:val="multilevel"/>
    <w:tmpl w:val="0809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 w15:restartNumberingAfterBreak="0">
    <w:nsid w:val="68AD07B2"/>
    <w:multiLevelType w:val="hybridMultilevel"/>
    <w:tmpl w:val="7FEE3222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abstractNum w:abstractNumId="22" w15:restartNumberingAfterBreak="0">
    <w:nsid w:val="78703ABA"/>
    <w:multiLevelType w:val="multilevel"/>
    <w:tmpl w:val="0809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21"/>
  </w:num>
  <w:num w:numId="2">
    <w:abstractNumId w:val="16"/>
  </w:num>
  <w:num w:numId="3">
    <w:abstractNumId w:val="11"/>
  </w:num>
  <w:num w:numId="4">
    <w:abstractNumId w:val="8"/>
  </w:num>
  <w:num w:numId="5">
    <w:abstractNumId w:val="3"/>
  </w:num>
  <w:num w:numId="6">
    <w:abstractNumId w:val="2"/>
  </w:num>
  <w:num w:numId="7">
    <w:abstractNumId w:val="1"/>
  </w:num>
  <w:num w:numId="8">
    <w:abstractNumId w:val="0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 w:numId="14">
    <w:abstractNumId w:val="15"/>
  </w:num>
  <w:num w:numId="15">
    <w:abstractNumId w:val="12"/>
  </w:num>
  <w:num w:numId="16">
    <w:abstractNumId w:val="10"/>
  </w:num>
  <w:num w:numId="17">
    <w:abstractNumId w:val="19"/>
  </w:num>
  <w:num w:numId="18">
    <w:abstractNumId w:val="20"/>
  </w:num>
  <w:num w:numId="19">
    <w:abstractNumId w:val="18"/>
  </w:num>
  <w:num w:numId="20">
    <w:abstractNumId w:val="22"/>
  </w:num>
  <w:num w:numId="21">
    <w:abstractNumId w:val="21"/>
  </w:num>
  <w:num w:numId="22">
    <w:abstractNumId w:val="16"/>
  </w:num>
  <w:num w:numId="23">
    <w:abstractNumId w:val="11"/>
  </w:num>
  <w:num w:numId="24">
    <w:abstractNumId w:val="14"/>
  </w:num>
  <w:num w:numId="25">
    <w:abstractNumId w:val="17"/>
  </w:num>
  <w:num w:numId="26">
    <w:abstractNumId w:val="13"/>
  </w:num>
  <w:num w:numId="27">
    <w:abstractNumId w:val="10"/>
  </w:num>
  <w:num w:numId="2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embedSystemFonts/>
  <w:defaultTabStop w:val="567"/>
  <w:hyphenationZone w:val="425"/>
  <w:evenAndOddHeaders/>
  <w:characterSpacingControl w:val="doNotCompress"/>
  <w:hdrShapeDefaults>
    <o:shapedefaults v:ext="edit" spidmax="8194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2D50"/>
    <w:rsid w:val="000145E9"/>
    <w:rsid w:val="00066A07"/>
    <w:rsid w:val="000832A3"/>
    <w:rsid w:val="000E37C7"/>
    <w:rsid w:val="0011404E"/>
    <w:rsid w:val="00120654"/>
    <w:rsid w:val="00146A03"/>
    <w:rsid w:val="00147850"/>
    <w:rsid w:val="00153C1D"/>
    <w:rsid w:val="0018493E"/>
    <w:rsid w:val="00192E40"/>
    <w:rsid w:val="00203CA1"/>
    <w:rsid w:val="00241019"/>
    <w:rsid w:val="00250E2B"/>
    <w:rsid w:val="00252713"/>
    <w:rsid w:val="00274A6B"/>
    <w:rsid w:val="002B44FC"/>
    <w:rsid w:val="00326709"/>
    <w:rsid w:val="003418AB"/>
    <w:rsid w:val="003B4762"/>
    <w:rsid w:val="003C53D7"/>
    <w:rsid w:val="003C71E0"/>
    <w:rsid w:val="003E67F2"/>
    <w:rsid w:val="003F0E66"/>
    <w:rsid w:val="00445BE4"/>
    <w:rsid w:val="0044661E"/>
    <w:rsid w:val="00471E8A"/>
    <w:rsid w:val="004B2C85"/>
    <w:rsid w:val="00542255"/>
    <w:rsid w:val="005440EA"/>
    <w:rsid w:val="00545E5A"/>
    <w:rsid w:val="00576B87"/>
    <w:rsid w:val="005B0AE6"/>
    <w:rsid w:val="005B7DC5"/>
    <w:rsid w:val="005D067D"/>
    <w:rsid w:val="005D5949"/>
    <w:rsid w:val="005E04DC"/>
    <w:rsid w:val="005F3E9D"/>
    <w:rsid w:val="0066293F"/>
    <w:rsid w:val="00664656"/>
    <w:rsid w:val="00704055"/>
    <w:rsid w:val="00712B96"/>
    <w:rsid w:val="00713B93"/>
    <w:rsid w:val="007610A8"/>
    <w:rsid w:val="00834A7B"/>
    <w:rsid w:val="008670AB"/>
    <w:rsid w:val="00867A58"/>
    <w:rsid w:val="008927CB"/>
    <w:rsid w:val="008E4914"/>
    <w:rsid w:val="008E766F"/>
    <w:rsid w:val="00941D71"/>
    <w:rsid w:val="00941F17"/>
    <w:rsid w:val="009454FE"/>
    <w:rsid w:val="009667B6"/>
    <w:rsid w:val="00966A97"/>
    <w:rsid w:val="00A0372F"/>
    <w:rsid w:val="00A27CE9"/>
    <w:rsid w:val="00AC40F3"/>
    <w:rsid w:val="00AE5CAC"/>
    <w:rsid w:val="00B568B2"/>
    <w:rsid w:val="00BB2B6F"/>
    <w:rsid w:val="00BC3D0A"/>
    <w:rsid w:val="00C026E6"/>
    <w:rsid w:val="00C04799"/>
    <w:rsid w:val="00C11760"/>
    <w:rsid w:val="00C62D50"/>
    <w:rsid w:val="00C83290"/>
    <w:rsid w:val="00D352F7"/>
    <w:rsid w:val="00D40176"/>
    <w:rsid w:val="00D531A6"/>
    <w:rsid w:val="00DA1474"/>
    <w:rsid w:val="00DC7BE7"/>
    <w:rsid w:val="00E82B29"/>
    <w:rsid w:val="00F07FF9"/>
    <w:rsid w:val="00F22643"/>
    <w:rsid w:val="00F31052"/>
    <w:rsid w:val="00F50784"/>
    <w:rsid w:val="00F8097F"/>
    <w:rsid w:val="00FD6A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  <w14:docId w14:val="4C00DADF"/>
  <w15:docId w15:val="{935188E6-AF63-46B0-A982-C22C741A35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semiHidden="1" w:uiPriority="22" w:qFormat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iPriority="0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B7DC5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Heading1">
    <w:name w:val="heading 1"/>
    <w:aliases w:val="Table_G"/>
    <w:basedOn w:val="SingleTxtG"/>
    <w:next w:val="SingleTxtG"/>
    <w:link w:val="Heading1Char"/>
    <w:qFormat/>
    <w:pPr>
      <w:keepNext/>
      <w:keepLines/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link w:val="Heading2Char"/>
    <w:semiHidden/>
    <w:qFormat/>
    <w:pPr>
      <w:kinsoku w:val="0"/>
      <w:overflowPunct w:val="0"/>
      <w:autoSpaceDE w:val="0"/>
      <w:autoSpaceDN w:val="0"/>
      <w:adjustRightInd w:val="0"/>
      <w:snapToGrid w:val="0"/>
      <w:outlineLvl w:val="1"/>
    </w:pPr>
    <w:rPr>
      <w:rFonts w:eastAsiaTheme="minorHAnsi"/>
      <w:lang w:val="fr-CH"/>
    </w:rPr>
  </w:style>
  <w:style w:type="paragraph" w:styleId="Heading3">
    <w:name w:val="heading 3"/>
    <w:basedOn w:val="Normal"/>
    <w:next w:val="Normal"/>
    <w:link w:val="Heading3Char"/>
    <w:semiHidden/>
    <w:qFormat/>
    <w:pPr>
      <w:kinsoku w:val="0"/>
      <w:overflowPunct w:val="0"/>
      <w:autoSpaceDE w:val="0"/>
      <w:autoSpaceDN w:val="0"/>
      <w:adjustRightInd w:val="0"/>
      <w:snapToGrid w:val="0"/>
      <w:outlineLvl w:val="2"/>
    </w:pPr>
    <w:rPr>
      <w:rFonts w:eastAsiaTheme="minorHAnsi"/>
      <w:lang w:val="fr-CH"/>
    </w:rPr>
  </w:style>
  <w:style w:type="paragraph" w:styleId="Heading4">
    <w:name w:val="heading 4"/>
    <w:basedOn w:val="Normal"/>
    <w:next w:val="Normal"/>
    <w:link w:val="Heading4Char"/>
    <w:semiHidden/>
    <w:qFormat/>
    <w:pPr>
      <w:kinsoku w:val="0"/>
      <w:overflowPunct w:val="0"/>
      <w:autoSpaceDE w:val="0"/>
      <w:autoSpaceDN w:val="0"/>
      <w:adjustRightInd w:val="0"/>
      <w:snapToGrid w:val="0"/>
      <w:outlineLvl w:val="3"/>
    </w:pPr>
    <w:rPr>
      <w:rFonts w:eastAsiaTheme="minorHAnsi"/>
      <w:lang w:val="fr-CH"/>
    </w:rPr>
  </w:style>
  <w:style w:type="paragraph" w:styleId="Heading5">
    <w:name w:val="heading 5"/>
    <w:basedOn w:val="Normal"/>
    <w:next w:val="Normal"/>
    <w:link w:val="Heading5Char"/>
    <w:semiHidden/>
    <w:qFormat/>
    <w:pPr>
      <w:kinsoku w:val="0"/>
      <w:overflowPunct w:val="0"/>
      <w:autoSpaceDE w:val="0"/>
      <w:autoSpaceDN w:val="0"/>
      <w:adjustRightInd w:val="0"/>
      <w:snapToGrid w:val="0"/>
      <w:outlineLvl w:val="4"/>
    </w:pPr>
    <w:rPr>
      <w:rFonts w:eastAsiaTheme="minorHAnsi"/>
      <w:lang w:val="fr-CH"/>
    </w:rPr>
  </w:style>
  <w:style w:type="paragraph" w:styleId="Heading6">
    <w:name w:val="heading 6"/>
    <w:basedOn w:val="Normal"/>
    <w:next w:val="Normal"/>
    <w:link w:val="Heading6Char"/>
    <w:semiHidden/>
    <w:qFormat/>
    <w:pPr>
      <w:kinsoku w:val="0"/>
      <w:overflowPunct w:val="0"/>
      <w:autoSpaceDE w:val="0"/>
      <w:autoSpaceDN w:val="0"/>
      <w:adjustRightInd w:val="0"/>
      <w:snapToGrid w:val="0"/>
      <w:outlineLvl w:val="5"/>
    </w:pPr>
    <w:rPr>
      <w:rFonts w:eastAsiaTheme="minorHAnsi"/>
      <w:lang w:val="fr-CH"/>
    </w:rPr>
  </w:style>
  <w:style w:type="paragraph" w:styleId="Heading7">
    <w:name w:val="heading 7"/>
    <w:basedOn w:val="Normal"/>
    <w:next w:val="Normal"/>
    <w:link w:val="Heading7Char"/>
    <w:semiHidden/>
    <w:qFormat/>
    <w:pPr>
      <w:kinsoku w:val="0"/>
      <w:overflowPunct w:val="0"/>
      <w:autoSpaceDE w:val="0"/>
      <w:autoSpaceDN w:val="0"/>
      <w:adjustRightInd w:val="0"/>
      <w:snapToGrid w:val="0"/>
      <w:outlineLvl w:val="6"/>
    </w:pPr>
    <w:rPr>
      <w:rFonts w:eastAsiaTheme="minorHAnsi"/>
      <w:lang w:val="fr-CH"/>
    </w:rPr>
  </w:style>
  <w:style w:type="paragraph" w:styleId="Heading8">
    <w:name w:val="heading 8"/>
    <w:basedOn w:val="Normal"/>
    <w:next w:val="Normal"/>
    <w:link w:val="Heading8Char"/>
    <w:semiHidden/>
    <w:qFormat/>
    <w:pPr>
      <w:kinsoku w:val="0"/>
      <w:overflowPunct w:val="0"/>
      <w:autoSpaceDE w:val="0"/>
      <w:autoSpaceDN w:val="0"/>
      <w:adjustRightInd w:val="0"/>
      <w:snapToGrid w:val="0"/>
      <w:outlineLvl w:val="7"/>
    </w:pPr>
    <w:rPr>
      <w:rFonts w:eastAsiaTheme="minorHAnsi"/>
      <w:lang w:val="fr-CH"/>
    </w:rPr>
  </w:style>
  <w:style w:type="paragraph" w:styleId="Heading9">
    <w:name w:val="heading 9"/>
    <w:basedOn w:val="Normal"/>
    <w:next w:val="Normal"/>
    <w:link w:val="Heading9Char"/>
    <w:semiHidden/>
    <w:qFormat/>
    <w:pPr>
      <w:kinsoku w:val="0"/>
      <w:overflowPunct w:val="0"/>
      <w:autoSpaceDE w:val="0"/>
      <w:autoSpaceDN w:val="0"/>
      <w:adjustRightInd w:val="0"/>
      <w:snapToGrid w:val="0"/>
      <w:outlineLvl w:val="8"/>
    </w:pPr>
    <w:rPr>
      <w:rFonts w:eastAsiaTheme="minorHAnsi"/>
      <w:lang w:val="fr-CH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6_G"/>
    <w:basedOn w:val="Normal"/>
    <w:link w:val="HeaderChar"/>
    <w:pPr>
      <w:pBdr>
        <w:bottom w:val="single" w:sz="4" w:space="4" w:color="auto"/>
      </w:pBdr>
      <w:suppressAutoHyphens w:val="0"/>
      <w:spacing w:line="240" w:lineRule="auto"/>
    </w:pPr>
    <w:rPr>
      <w:rFonts w:eastAsiaTheme="minorHAnsi"/>
      <w:b/>
      <w:sz w:val="18"/>
    </w:rPr>
  </w:style>
  <w:style w:type="character" w:customStyle="1" w:styleId="HeaderChar">
    <w:name w:val="Header Char"/>
    <w:aliases w:val="6_G Char"/>
    <w:basedOn w:val="DefaultParagraphFont"/>
    <w:link w:val="Header"/>
    <w:rPr>
      <w:rFonts w:ascii="Times New Roman" w:hAnsi="Times New Roman" w:cs="Times New Roman"/>
      <w:b/>
      <w:sz w:val="18"/>
      <w:szCs w:val="20"/>
      <w:lang w:val="en-GB"/>
    </w:rPr>
  </w:style>
  <w:style w:type="paragraph" w:styleId="Footer">
    <w:name w:val="footer"/>
    <w:aliases w:val="3_G"/>
    <w:basedOn w:val="Normal"/>
    <w:link w:val="FooterChar"/>
    <w:pPr>
      <w:suppressAutoHyphens w:val="0"/>
      <w:spacing w:line="240" w:lineRule="auto"/>
    </w:pPr>
    <w:rPr>
      <w:rFonts w:eastAsiaTheme="minorHAnsi"/>
      <w:sz w:val="16"/>
    </w:rPr>
  </w:style>
  <w:style w:type="character" w:customStyle="1" w:styleId="FooterChar">
    <w:name w:val="Footer Char"/>
    <w:aliases w:val="3_G Char"/>
    <w:basedOn w:val="DefaultParagraphFont"/>
    <w:link w:val="Footer"/>
    <w:rPr>
      <w:rFonts w:ascii="Times New Roman" w:hAnsi="Times New Roman" w:cs="Times New Roman"/>
      <w:sz w:val="16"/>
      <w:szCs w:val="20"/>
      <w:lang w:val="en-GB"/>
    </w:rPr>
  </w:style>
  <w:style w:type="paragraph" w:customStyle="1" w:styleId="HMG">
    <w:name w:val="_ H __M_G"/>
    <w:basedOn w:val="Normal"/>
    <w:next w:val="Normal"/>
    <w:qFormat/>
    <w:pPr>
      <w:keepNext/>
      <w:keepLines/>
      <w:tabs>
        <w:tab w:val="right" w:pos="851"/>
      </w:tabs>
      <w:kinsoku w:val="0"/>
      <w:overflowPunct w:val="0"/>
      <w:autoSpaceDE w:val="0"/>
      <w:autoSpaceDN w:val="0"/>
      <w:adjustRightInd w:val="0"/>
      <w:snapToGrid w:val="0"/>
      <w:spacing w:before="240" w:after="240" w:line="360" w:lineRule="exact"/>
      <w:ind w:left="1134" w:right="1134" w:hanging="1134"/>
    </w:pPr>
    <w:rPr>
      <w:rFonts w:eastAsiaTheme="minorHAnsi"/>
      <w:b/>
      <w:sz w:val="34"/>
    </w:rPr>
  </w:style>
  <w:style w:type="paragraph" w:customStyle="1" w:styleId="HChG">
    <w:name w:val="_ H _Ch_G"/>
    <w:basedOn w:val="Normal"/>
    <w:next w:val="Normal"/>
    <w:qFormat/>
    <w:pPr>
      <w:keepNext/>
      <w:keepLines/>
      <w:tabs>
        <w:tab w:val="right" w:pos="851"/>
      </w:tabs>
      <w:kinsoku w:val="0"/>
      <w:overflowPunct w:val="0"/>
      <w:autoSpaceDE w:val="0"/>
      <w:autoSpaceDN w:val="0"/>
      <w:adjustRightInd w:val="0"/>
      <w:snapToGrid w:val="0"/>
      <w:spacing w:before="360" w:after="240" w:line="300" w:lineRule="exact"/>
      <w:ind w:left="1134" w:right="1134" w:hanging="1134"/>
    </w:pPr>
    <w:rPr>
      <w:rFonts w:eastAsiaTheme="minorHAnsi"/>
      <w:b/>
      <w:sz w:val="28"/>
    </w:rPr>
  </w:style>
  <w:style w:type="paragraph" w:customStyle="1" w:styleId="H1G">
    <w:name w:val="_ H_1_G"/>
    <w:basedOn w:val="Normal"/>
    <w:next w:val="Normal"/>
    <w:qFormat/>
    <w:pPr>
      <w:keepNext/>
      <w:keepLines/>
      <w:tabs>
        <w:tab w:val="right" w:pos="851"/>
      </w:tabs>
      <w:kinsoku w:val="0"/>
      <w:overflowPunct w:val="0"/>
      <w:autoSpaceDE w:val="0"/>
      <w:autoSpaceDN w:val="0"/>
      <w:adjustRightInd w:val="0"/>
      <w:snapToGrid w:val="0"/>
      <w:spacing w:before="360" w:after="240" w:line="270" w:lineRule="exact"/>
      <w:ind w:left="1134" w:right="1134" w:hanging="1134"/>
    </w:pPr>
    <w:rPr>
      <w:rFonts w:eastAsiaTheme="minorHAnsi"/>
      <w:b/>
      <w:sz w:val="24"/>
    </w:rPr>
  </w:style>
  <w:style w:type="paragraph" w:customStyle="1" w:styleId="H23G">
    <w:name w:val="_ H_2/3_G"/>
    <w:basedOn w:val="Normal"/>
    <w:next w:val="Normal"/>
    <w:qFormat/>
    <w:pPr>
      <w:keepNext/>
      <w:keepLines/>
      <w:tabs>
        <w:tab w:val="right" w:pos="851"/>
      </w:tabs>
      <w:kinsoku w:val="0"/>
      <w:overflowPunct w:val="0"/>
      <w:autoSpaceDE w:val="0"/>
      <w:autoSpaceDN w:val="0"/>
      <w:adjustRightInd w:val="0"/>
      <w:snapToGrid w:val="0"/>
      <w:spacing w:before="240" w:after="120" w:line="240" w:lineRule="exact"/>
      <w:ind w:left="1134" w:right="1134" w:hanging="1134"/>
    </w:pPr>
    <w:rPr>
      <w:rFonts w:eastAsiaTheme="minorHAnsi"/>
      <w:b/>
    </w:rPr>
  </w:style>
  <w:style w:type="paragraph" w:customStyle="1" w:styleId="H4G">
    <w:name w:val="_ H_4_G"/>
    <w:basedOn w:val="Normal"/>
    <w:next w:val="Normal"/>
    <w:qFormat/>
    <w:pPr>
      <w:keepNext/>
      <w:keepLines/>
      <w:tabs>
        <w:tab w:val="right" w:pos="851"/>
      </w:tabs>
      <w:kinsoku w:val="0"/>
      <w:overflowPunct w:val="0"/>
      <w:autoSpaceDE w:val="0"/>
      <w:autoSpaceDN w:val="0"/>
      <w:adjustRightInd w:val="0"/>
      <w:snapToGrid w:val="0"/>
      <w:spacing w:before="240" w:after="120" w:line="240" w:lineRule="exact"/>
      <w:ind w:left="1134" w:right="1134" w:hanging="1134"/>
    </w:pPr>
    <w:rPr>
      <w:rFonts w:eastAsiaTheme="minorHAnsi"/>
      <w:i/>
    </w:rPr>
  </w:style>
  <w:style w:type="paragraph" w:customStyle="1" w:styleId="H56G">
    <w:name w:val="_ H_5/6_G"/>
    <w:basedOn w:val="Normal"/>
    <w:next w:val="Normal"/>
    <w:qFormat/>
    <w:pPr>
      <w:keepNext/>
      <w:keepLines/>
      <w:tabs>
        <w:tab w:val="right" w:pos="851"/>
      </w:tabs>
      <w:kinsoku w:val="0"/>
      <w:overflowPunct w:val="0"/>
      <w:autoSpaceDE w:val="0"/>
      <w:autoSpaceDN w:val="0"/>
      <w:adjustRightInd w:val="0"/>
      <w:snapToGrid w:val="0"/>
      <w:spacing w:before="240" w:after="120" w:line="240" w:lineRule="exact"/>
      <w:ind w:left="1134" w:right="1134" w:hanging="1134"/>
    </w:pPr>
    <w:rPr>
      <w:rFonts w:eastAsiaTheme="minorHAnsi"/>
    </w:rPr>
  </w:style>
  <w:style w:type="paragraph" w:customStyle="1" w:styleId="SingleTxtG">
    <w:name w:val="_ Single Txt_G"/>
    <w:basedOn w:val="Normal"/>
    <w:link w:val="SingleTxtGChar"/>
    <w:qFormat/>
    <w:pPr>
      <w:kinsoku w:val="0"/>
      <w:overflowPunct w:val="0"/>
      <w:autoSpaceDE w:val="0"/>
      <w:autoSpaceDN w:val="0"/>
      <w:adjustRightInd w:val="0"/>
      <w:snapToGrid w:val="0"/>
      <w:spacing w:after="120"/>
      <w:ind w:left="1134" w:right="1134"/>
      <w:jc w:val="both"/>
    </w:pPr>
    <w:rPr>
      <w:rFonts w:eastAsiaTheme="minorHAnsi"/>
    </w:rPr>
  </w:style>
  <w:style w:type="paragraph" w:customStyle="1" w:styleId="SLG">
    <w:name w:val="__S_L_G"/>
    <w:basedOn w:val="Normal"/>
    <w:next w:val="Normal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pPr>
      <w:numPr>
        <w:numId w:val="21"/>
      </w:numPr>
      <w:kinsoku w:val="0"/>
      <w:overflowPunct w:val="0"/>
      <w:autoSpaceDE w:val="0"/>
      <w:autoSpaceDN w:val="0"/>
      <w:adjustRightInd w:val="0"/>
      <w:snapToGrid w:val="0"/>
      <w:spacing w:after="120"/>
      <w:ind w:right="1134"/>
      <w:jc w:val="both"/>
    </w:pPr>
    <w:rPr>
      <w:rFonts w:eastAsiaTheme="minorHAnsi"/>
    </w:rPr>
  </w:style>
  <w:style w:type="paragraph" w:customStyle="1" w:styleId="Bullet2G">
    <w:name w:val="_Bullet 2_G"/>
    <w:basedOn w:val="Normal"/>
    <w:qFormat/>
    <w:pPr>
      <w:numPr>
        <w:numId w:val="22"/>
      </w:numPr>
      <w:kinsoku w:val="0"/>
      <w:overflowPunct w:val="0"/>
      <w:autoSpaceDE w:val="0"/>
      <w:autoSpaceDN w:val="0"/>
      <w:adjustRightInd w:val="0"/>
      <w:snapToGrid w:val="0"/>
      <w:spacing w:after="120"/>
      <w:ind w:right="1134"/>
      <w:jc w:val="both"/>
    </w:pPr>
    <w:rPr>
      <w:rFonts w:eastAsiaTheme="minorHAnsi"/>
    </w:rPr>
  </w:style>
  <w:style w:type="paragraph" w:customStyle="1" w:styleId="ParaNoG">
    <w:name w:val="_ParaNo._G"/>
    <w:basedOn w:val="SingleTxtG"/>
    <w:rsid w:val="00250E2B"/>
    <w:pPr>
      <w:numPr>
        <w:numId w:val="28"/>
      </w:numPr>
      <w:suppressAutoHyphens w:val="0"/>
      <w:kinsoku/>
      <w:overflowPunct/>
      <w:autoSpaceDE/>
      <w:autoSpaceDN/>
      <w:adjustRightInd/>
      <w:snapToGrid/>
    </w:pPr>
    <w:rPr>
      <w:rFonts w:eastAsia="SimSun"/>
      <w:lang w:eastAsia="zh-CN"/>
    </w:rPr>
  </w:style>
  <w:style w:type="character" w:styleId="FootnoteReference">
    <w:name w:val="footnote reference"/>
    <w:aliases w:val="4_G"/>
    <w:basedOn w:val="DefaultParagraphFont"/>
    <w:qFormat/>
    <w:rPr>
      <w:rFonts w:ascii="Times New Roman" w:hAnsi="Times New Roman"/>
      <w:sz w:val="18"/>
      <w:vertAlign w:val="superscript"/>
      <w:lang w:val="en-GB"/>
    </w:rPr>
  </w:style>
  <w:style w:type="character" w:styleId="EndnoteReference">
    <w:name w:val="endnote reference"/>
    <w:aliases w:val="1_G"/>
    <w:basedOn w:val="FootnoteReference"/>
    <w:qFormat/>
    <w:rPr>
      <w:rFonts w:ascii="Times New Roman" w:hAnsi="Times New Roman"/>
      <w:sz w:val="18"/>
      <w:vertAlign w:val="superscript"/>
      <w:lang w:val="en-GB"/>
    </w:rPr>
  </w:style>
  <w:style w:type="table" w:styleId="TableGrid">
    <w:name w:val="Table Grid"/>
    <w:basedOn w:val="TableNormal"/>
    <w:pPr>
      <w:suppressAutoHyphens/>
      <w:spacing w:after="0" w:line="240" w:lineRule="atLeast"/>
    </w:pPr>
    <w:rPr>
      <w:rFonts w:ascii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Hyperlink">
    <w:name w:val="Hyperlink"/>
    <w:basedOn w:val="DefaultParagraphFont"/>
    <w:semiHidden/>
    <w:rPr>
      <w:color w:val="0000FF"/>
      <w:u w:val="none"/>
    </w:rPr>
  </w:style>
  <w:style w:type="character" w:styleId="FollowedHyperlink">
    <w:name w:val="FollowedHyperlink"/>
    <w:basedOn w:val="DefaultParagraphFont"/>
    <w:semiHidden/>
    <w:rPr>
      <w:color w:val="0000FF"/>
      <w:u w:val="none"/>
    </w:rPr>
  </w:style>
  <w:style w:type="paragraph" w:styleId="FootnoteText">
    <w:name w:val="footnote text"/>
    <w:aliases w:val="5_G"/>
    <w:basedOn w:val="Normal"/>
    <w:link w:val="FootnoteTextChar"/>
    <w:qFormat/>
    <w:pPr>
      <w:tabs>
        <w:tab w:val="right" w:pos="1021"/>
      </w:tabs>
      <w:kinsoku w:val="0"/>
      <w:overflowPunct w:val="0"/>
      <w:autoSpaceDE w:val="0"/>
      <w:autoSpaceDN w:val="0"/>
      <w:adjustRightInd w:val="0"/>
      <w:snapToGrid w:val="0"/>
      <w:spacing w:line="220" w:lineRule="exact"/>
      <w:ind w:left="1134" w:right="1134" w:hanging="1134"/>
    </w:pPr>
    <w:rPr>
      <w:rFonts w:eastAsiaTheme="minorHAnsi"/>
      <w:sz w:val="18"/>
    </w:rPr>
  </w:style>
  <w:style w:type="character" w:customStyle="1" w:styleId="FootnoteTextChar">
    <w:name w:val="Footnote Text Char"/>
    <w:aliases w:val="5_G Char"/>
    <w:basedOn w:val="DefaultParagraphFont"/>
    <w:link w:val="FootnoteText"/>
    <w:rPr>
      <w:rFonts w:ascii="Times New Roman" w:hAnsi="Times New Roman" w:cs="Times New Roman"/>
      <w:sz w:val="18"/>
      <w:szCs w:val="20"/>
      <w:lang w:val="en-GB"/>
    </w:rPr>
  </w:style>
  <w:style w:type="paragraph" w:styleId="EndnoteText">
    <w:name w:val="endnote text"/>
    <w:aliases w:val="2_G"/>
    <w:basedOn w:val="FootnoteText"/>
    <w:link w:val="EndnoteTextChar"/>
    <w:qFormat/>
  </w:style>
  <w:style w:type="character" w:customStyle="1" w:styleId="EndnoteTextChar">
    <w:name w:val="Endnote Text Char"/>
    <w:aliases w:val="2_G Char"/>
    <w:basedOn w:val="DefaultParagraphFont"/>
    <w:link w:val="EndnoteText"/>
    <w:rPr>
      <w:rFonts w:ascii="Times New Roman" w:hAnsi="Times New Roman" w:cs="Times New Roman"/>
      <w:sz w:val="18"/>
      <w:szCs w:val="20"/>
      <w:lang w:val="en-GB"/>
    </w:rPr>
  </w:style>
  <w:style w:type="character" w:styleId="PageNumber">
    <w:name w:val="page number"/>
    <w:aliases w:val="7_G"/>
    <w:basedOn w:val="DefaultParagraphFont"/>
    <w:qFormat/>
    <w:rPr>
      <w:rFonts w:ascii="Times New Roman" w:hAnsi="Times New Roman"/>
      <w:b/>
      <w:sz w:val="18"/>
      <w:lang w:val="en-GB"/>
    </w:rPr>
  </w:style>
  <w:style w:type="character" w:customStyle="1" w:styleId="Heading1Char">
    <w:name w:val="Heading 1 Char"/>
    <w:aliases w:val="Table_G Char"/>
    <w:basedOn w:val="DefaultParagraphFont"/>
    <w:link w:val="Heading1"/>
    <w:rPr>
      <w:rFonts w:ascii="Times New Roman" w:hAnsi="Times New Roman" w:cs="Times New Roman"/>
      <w:sz w:val="20"/>
      <w:szCs w:val="20"/>
    </w:rPr>
  </w:style>
  <w:style w:type="character" w:customStyle="1" w:styleId="Heading2Char">
    <w:name w:val="Heading 2 Char"/>
    <w:basedOn w:val="DefaultParagraphFont"/>
    <w:link w:val="Heading2"/>
    <w:semiHidden/>
    <w:rPr>
      <w:rFonts w:ascii="Times New Roman" w:hAnsi="Times New Roman" w:cs="Times New Roman"/>
      <w:sz w:val="20"/>
      <w:szCs w:val="20"/>
    </w:rPr>
  </w:style>
  <w:style w:type="character" w:customStyle="1" w:styleId="Heading3Char">
    <w:name w:val="Heading 3 Char"/>
    <w:basedOn w:val="DefaultParagraphFont"/>
    <w:link w:val="Heading3"/>
    <w:semiHidden/>
    <w:rPr>
      <w:rFonts w:ascii="Times New Roman" w:hAnsi="Times New Roman" w:cs="Times New Roman"/>
      <w:sz w:val="20"/>
      <w:szCs w:val="20"/>
    </w:rPr>
  </w:style>
  <w:style w:type="character" w:customStyle="1" w:styleId="Heading4Char">
    <w:name w:val="Heading 4 Char"/>
    <w:basedOn w:val="DefaultParagraphFont"/>
    <w:link w:val="Heading4"/>
    <w:semiHidden/>
    <w:rPr>
      <w:rFonts w:ascii="Times New Roman" w:hAnsi="Times New Roman" w:cs="Times New Roman"/>
      <w:sz w:val="20"/>
      <w:szCs w:val="20"/>
    </w:rPr>
  </w:style>
  <w:style w:type="character" w:customStyle="1" w:styleId="Heading5Char">
    <w:name w:val="Heading 5 Char"/>
    <w:basedOn w:val="DefaultParagraphFont"/>
    <w:link w:val="Heading5"/>
    <w:semiHidden/>
    <w:rPr>
      <w:rFonts w:ascii="Times New Roman" w:hAnsi="Times New Roman" w:cs="Times New Roman"/>
      <w:sz w:val="20"/>
      <w:szCs w:val="20"/>
    </w:rPr>
  </w:style>
  <w:style w:type="character" w:customStyle="1" w:styleId="Heading6Char">
    <w:name w:val="Heading 6 Char"/>
    <w:basedOn w:val="DefaultParagraphFont"/>
    <w:link w:val="Heading6"/>
    <w:semiHidden/>
    <w:rPr>
      <w:rFonts w:ascii="Times New Roman" w:hAnsi="Times New Roman" w:cs="Times New Roman"/>
      <w:sz w:val="20"/>
      <w:szCs w:val="20"/>
    </w:rPr>
  </w:style>
  <w:style w:type="character" w:customStyle="1" w:styleId="Heading7Char">
    <w:name w:val="Heading 7 Char"/>
    <w:basedOn w:val="DefaultParagraphFont"/>
    <w:link w:val="Heading7"/>
    <w:semiHidden/>
    <w:rPr>
      <w:rFonts w:ascii="Times New Roman" w:hAnsi="Times New Roman" w:cs="Times New Roman"/>
      <w:sz w:val="20"/>
      <w:szCs w:val="20"/>
    </w:rPr>
  </w:style>
  <w:style w:type="character" w:customStyle="1" w:styleId="Heading8Char">
    <w:name w:val="Heading 8 Char"/>
    <w:basedOn w:val="DefaultParagraphFont"/>
    <w:link w:val="Heading8"/>
    <w:semiHidden/>
    <w:rPr>
      <w:rFonts w:ascii="Times New Roman" w:hAnsi="Times New Roman" w:cs="Times New Roman"/>
      <w:sz w:val="20"/>
      <w:szCs w:val="20"/>
    </w:rPr>
  </w:style>
  <w:style w:type="character" w:customStyle="1" w:styleId="Heading9Char">
    <w:name w:val="Heading 9 Char"/>
    <w:basedOn w:val="DefaultParagraphFont"/>
    <w:link w:val="Heading9"/>
    <w:semiHidden/>
    <w:rPr>
      <w:rFonts w:ascii="Times New Roman" w:hAnsi="Times New Roman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eastAsia="Times New Roman" w:hAnsi="Tahoma" w:cs="Tahoma"/>
      <w:sz w:val="16"/>
      <w:szCs w:val="16"/>
      <w:lang w:val="en-GB"/>
    </w:rPr>
  </w:style>
  <w:style w:type="numbering" w:styleId="111111">
    <w:name w:val="Outline List 2"/>
    <w:basedOn w:val="NoList"/>
    <w:semiHidden/>
    <w:pPr>
      <w:numPr>
        <w:numId w:val="18"/>
      </w:numPr>
    </w:pPr>
  </w:style>
  <w:style w:type="numbering" w:styleId="1ai">
    <w:name w:val="Outline List 1"/>
    <w:basedOn w:val="NoList"/>
    <w:semiHidden/>
    <w:pPr>
      <w:numPr>
        <w:numId w:val="20"/>
      </w:numPr>
    </w:pPr>
  </w:style>
  <w:style w:type="character" w:customStyle="1" w:styleId="SingleTxtGChar">
    <w:name w:val="_ Single Txt_G Char"/>
    <w:link w:val="SingleTxtG"/>
    <w:locked/>
    <w:rPr>
      <w:rFonts w:ascii="Times New Roman" w:hAnsi="Times New Roman" w:cs="Times New Roman"/>
      <w:sz w:val="20"/>
      <w:szCs w:val="20"/>
      <w:lang w:val="en-GB"/>
    </w:rPr>
  </w:style>
  <w:style w:type="table" w:customStyle="1" w:styleId="TableGrid1">
    <w:name w:val="Table Grid1"/>
    <w:basedOn w:val="TableNormal"/>
    <w:pPr>
      <w:suppressAutoHyphens/>
      <w:spacing w:after="0" w:line="240" w:lineRule="atLeast"/>
    </w:pPr>
    <w:rPr>
      <w:rFonts w:ascii="Times New Roman" w:hAnsi="Times New Roman" w:cs="Times New Roman"/>
      <w:sz w:val="20"/>
      <w:szCs w:val="20"/>
      <w:lang w:eastAsia="es-E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CommentReference">
    <w:name w:val="annotation reference"/>
    <w:basedOn w:val="DefaultParagraphFont"/>
    <w:uiPriority w:val="99"/>
    <w:semiHidden/>
    <w:unhideWhenUsed/>
    <w:rsid w:val="00DA147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A1474"/>
    <w:pPr>
      <w:spacing w:line="240" w:lineRule="auto"/>
    </w:p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A1474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E5CA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E5CAC"/>
    <w:rPr>
      <w:rFonts w:ascii="Times New Roman" w:eastAsia="Times New Roman" w:hAnsi="Times New Roman" w:cs="Times New Roman"/>
      <w:b/>
      <w:bCs/>
      <w:sz w:val="20"/>
      <w:szCs w:val="20"/>
      <w:lang w:val="en-GB"/>
    </w:rPr>
  </w:style>
  <w:style w:type="paragraph" w:styleId="Revision">
    <w:name w:val="Revision"/>
    <w:hidden/>
    <w:uiPriority w:val="99"/>
    <w:semiHidden/>
    <w:rsid w:val="000832A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B4A875-C186-4130-9E99-F313C43CD0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769</Words>
  <Characters>4562</Characters>
  <Application>Microsoft Office Word</Application>
  <DocSecurity>0</DocSecurity>
  <Lines>84</Lines>
  <Paragraphs>28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CERD/C/MNG/Q/23-24</vt:lpstr>
      <vt:lpstr/>
      <vt:lpstr/>
    </vt:vector>
  </TitlesOfParts>
  <Company>DCM</Company>
  <LinksUpToDate>false</LinksUpToDate>
  <CharactersWithSpaces>5306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CERD/C/MNG/Q/23-24</dc:title>
  <dc:subject>1910242</dc:subject>
  <dc:creator>cg</dc:creator>
  <cp:keywords/>
  <dc:description/>
  <cp:lastModifiedBy>Generic Desk Anglais</cp:lastModifiedBy>
  <cp:revision>2</cp:revision>
  <cp:lastPrinted>2019-06-19T14:41:00Z</cp:lastPrinted>
  <dcterms:created xsi:type="dcterms:W3CDTF">2019-06-20T13:17:00Z</dcterms:created>
  <dcterms:modified xsi:type="dcterms:W3CDTF">2019-06-20T13:17:00Z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1">
    <vt:lpwstr>C/MNG/Q/23-24</vt:lpwstr>
  </property>
  <property fmtid="{D5CDD505-2E9C-101B-9397-08002B2CF9AE}" pid="3" name="symh">
    <vt:lpwstr>CERD/C/MNG/Q/23-24</vt:lpwstr>
  </property>
  <property fmtid="{D5CDD505-2E9C-101B-9397-08002B2CF9AE}" pid="4" name="dist">
    <vt:lpwstr>General</vt:lpwstr>
  </property>
  <property fmtid="{D5CDD505-2E9C-101B-9397-08002B2CF9AE}" pid="5" name="date">
    <vt:lpwstr>8 May 2019</vt:lpwstr>
  </property>
  <property fmtid="{D5CDD505-2E9C-101B-9397-08002B2CF9AE}" pid="6" name="sdate">
    <vt:lpwstr>5 July-29 August 2019</vt:lpwstr>
  </property>
  <property fmtid="{D5CDD505-2E9C-101B-9397-08002B2CF9AE}" pid="7" name="virs">
    <vt:lpwstr>English, French and Spanish only</vt:lpwstr>
  </property>
  <property fmtid="{D5CDD505-2E9C-101B-9397-08002B2CF9AE}" pid="8" name="snum">
    <vt:lpwstr>Ninety-ninth</vt:lpwstr>
  </property>
  <property fmtid="{D5CDD505-2E9C-101B-9397-08002B2CF9AE}" pid="9" name="anum">
    <vt:lpwstr>[NUMBER]</vt:lpwstr>
  </property>
  <property fmtid="{D5CDD505-2E9C-101B-9397-08002B2CF9AE}" pid="10" name="count">
    <vt:lpwstr>Mongolia</vt:lpwstr>
  </property>
  <property fmtid="{D5CDD505-2E9C-101B-9397-08002B2CF9AE}" pid="11" name="countw">
    <vt:lpwstr>Mongolia</vt:lpwstr>
  </property>
  <property fmtid="{D5CDD505-2E9C-101B-9397-08002B2CF9AE}" pid="12" name="countwd">
    <vt:lpwstr>Mongolia</vt:lpwstr>
  </property>
  <property fmtid="{D5CDD505-2E9C-101B-9397-08002B2CF9AE}" pid="13" name="gdoc">
    <vt:lpwstr/>
  </property>
  <property fmtid="{D5CDD505-2E9C-101B-9397-08002B2CF9AE}" pid="14" name="gdocf">
    <vt:lpwstr/>
  </property>
  <property fmtid="{D5CDD505-2E9C-101B-9397-08002B2CF9AE}" pid="15" name="tlang">
    <vt:lpwstr/>
  </property>
  <property fmtid="{D5CDD505-2E9C-101B-9397-08002B2CF9AE}" pid="16" name="atitle">
    <vt:lpwstr>[Title]</vt:lpwstr>
  </property>
  <property fmtid="{D5CDD505-2E9C-101B-9397-08002B2CF9AE}" pid="17" name="stitle">
    <vt:lpwstr>[Title]</vt:lpwstr>
  </property>
  <property fmtid="{D5CDD505-2E9C-101B-9397-08002B2CF9AE}" pid="18" name="prep">
    <vt:lpwstr>combined twenty-third and twenty-fourth reports of Mongolia</vt:lpwstr>
  </property>
  <property fmtid="{D5CDD505-2E9C-101B-9397-08002B2CF9AE}" pid="19" name="preps">
    <vt:lpwstr>combined twenty-third and twenty-fourth reports of Mongolia</vt:lpwstr>
  </property>
  <property fmtid="{D5CDD505-2E9C-101B-9397-08002B2CF9AE}" pid="20" name="prepw">
    <vt:lpwstr>combined twenty-third and twenty-fourth reports</vt:lpwstr>
  </property>
  <property fmtid="{D5CDD505-2E9C-101B-9397-08002B2CF9AE}" pid="21" name="prepws">
    <vt:lpwstr>combined twenty-third and twenty-fourth reports</vt:lpwstr>
  </property>
  <property fmtid="{D5CDD505-2E9C-101B-9397-08002B2CF9AE}" pid="22" name="prepwc">
    <vt:lpwstr>Combined twenty-third and twenty-fourth reports </vt:lpwstr>
  </property>
  <property fmtid="{D5CDD505-2E9C-101B-9397-08002B2CF9AE}" pid="23" name="olang">
    <vt:lpwstr>English</vt:lpwstr>
  </property>
  <property fmtid="{D5CDD505-2E9C-101B-9397-08002B2CF9AE}" pid="24" name="Date-Generated">
    <vt:filetime>2019-05-08T08:31:54Z</vt:filetime>
  </property>
  <property fmtid="{D5CDD505-2E9C-101B-9397-08002B2CF9AE}" pid="25" name="Author">
    <vt:lpwstr/>
  </property>
  <property fmtid="{D5CDD505-2E9C-101B-9397-08002B2CF9AE}" pid="26" name="bar">
    <vt:lpwstr/>
  </property>
  <property fmtid="{D5CDD505-2E9C-101B-9397-08002B2CF9AE}" pid="27" name="Org">
    <vt:lpwstr>OHCHR</vt:lpwstr>
  </property>
  <property fmtid="{D5CDD505-2E9C-101B-9397-08002B2CF9AE}" pid="28" name="Entity">
    <vt:lpwstr>List of themes</vt:lpwstr>
  </property>
  <property fmtid="{D5CDD505-2E9C-101B-9397-08002B2CF9AE}" pid="29" name="doctype">
    <vt:lpwstr>Final</vt:lpwstr>
  </property>
  <property fmtid="{D5CDD505-2E9C-101B-9397-08002B2CF9AE}" pid="30" name="category">
    <vt:lpwstr>CERD</vt:lpwstr>
  </property>
</Properties>
</file>