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27A0FC" w14:textId="77777777" w:rsidTr="00D31C0A">
        <w:trPr>
          <w:trHeight w:hRule="exact" w:val="851"/>
        </w:trPr>
        <w:tc>
          <w:tcPr>
            <w:tcW w:w="1280" w:type="dxa"/>
            <w:tcBorders>
              <w:bottom w:val="single" w:sz="4" w:space="0" w:color="auto"/>
            </w:tcBorders>
          </w:tcPr>
          <w:p w14:paraId="2EDEA614" w14:textId="77777777" w:rsidR="002D5AAC" w:rsidRDefault="002D5AAC" w:rsidP="00D31C0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E961A2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F75BEDA" w14:textId="7A00CFCC" w:rsidR="002D5AAC" w:rsidRDefault="00D31C0A" w:rsidP="00D31C0A">
            <w:pPr>
              <w:jc w:val="right"/>
            </w:pPr>
            <w:r w:rsidRPr="00D31C0A">
              <w:rPr>
                <w:sz w:val="40"/>
              </w:rPr>
              <w:t>CRC</w:t>
            </w:r>
            <w:r>
              <w:t>/C/</w:t>
            </w:r>
            <w:proofErr w:type="spellStart"/>
            <w:r>
              <w:t>LTU</w:t>
            </w:r>
            <w:proofErr w:type="spellEnd"/>
            <w:r>
              <w:t>/</w:t>
            </w:r>
            <w:proofErr w:type="spellStart"/>
            <w:r>
              <w:t>RQ</w:t>
            </w:r>
            <w:proofErr w:type="spellEnd"/>
            <w:r>
              <w:t>/5-6</w:t>
            </w:r>
          </w:p>
        </w:tc>
      </w:tr>
      <w:tr w:rsidR="002D5AAC" w14:paraId="4E8A590D" w14:textId="77777777" w:rsidTr="00D31C0A">
        <w:trPr>
          <w:trHeight w:hRule="exact" w:val="2835"/>
        </w:trPr>
        <w:tc>
          <w:tcPr>
            <w:tcW w:w="1280" w:type="dxa"/>
            <w:tcBorders>
              <w:top w:val="single" w:sz="4" w:space="0" w:color="auto"/>
              <w:bottom w:val="single" w:sz="12" w:space="0" w:color="auto"/>
            </w:tcBorders>
          </w:tcPr>
          <w:p w14:paraId="5257E40C" w14:textId="77777777" w:rsidR="002D5AAC" w:rsidRDefault="007D431B" w:rsidP="007F3812">
            <w:pPr>
              <w:spacing w:before="120"/>
              <w:jc w:val="center"/>
            </w:pPr>
            <w:r>
              <w:rPr>
                <w:noProof/>
              </w:rPr>
              <w:drawing>
                <wp:inline distT="0" distB="0" distL="0" distR="0" wp14:anchorId="58B4B0C0" wp14:editId="26ED898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D48DF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FDFEC97" w14:textId="77777777" w:rsidR="002D5AAC" w:rsidRDefault="00D31C0A" w:rsidP="007F3812">
            <w:pPr>
              <w:spacing w:before="240"/>
            </w:pPr>
            <w:proofErr w:type="spellStart"/>
            <w:r>
              <w:t>Distr</w:t>
            </w:r>
            <w:proofErr w:type="spellEnd"/>
            <w:r>
              <w:t>. general</w:t>
            </w:r>
          </w:p>
          <w:p w14:paraId="60158123" w14:textId="77777777" w:rsidR="00D31C0A" w:rsidRDefault="00D31C0A" w:rsidP="00D31C0A">
            <w:pPr>
              <w:spacing w:line="240" w:lineRule="exact"/>
            </w:pPr>
            <w:r>
              <w:t>1 de noviembre de 2023</w:t>
            </w:r>
          </w:p>
          <w:p w14:paraId="037664E7" w14:textId="77777777" w:rsidR="00D31C0A" w:rsidRDefault="00D31C0A" w:rsidP="00D31C0A">
            <w:pPr>
              <w:spacing w:line="240" w:lineRule="exact"/>
            </w:pPr>
            <w:r>
              <w:t>Español</w:t>
            </w:r>
          </w:p>
          <w:p w14:paraId="0AF210D4" w14:textId="77777777" w:rsidR="00D31C0A" w:rsidRDefault="00D31C0A" w:rsidP="00D31C0A">
            <w:pPr>
              <w:spacing w:line="240" w:lineRule="exact"/>
            </w:pPr>
            <w:r>
              <w:t>Original: inglés</w:t>
            </w:r>
          </w:p>
          <w:p w14:paraId="4557A60F" w14:textId="5CEBDF5F" w:rsidR="00D31C0A" w:rsidRDefault="00D31C0A" w:rsidP="00D31C0A">
            <w:pPr>
              <w:spacing w:line="240" w:lineRule="exact"/>
            </w:pPr>
            <w:r>
              <w:t>Español, francés e inglés únicamente</w:t>
            </w:r>
          </w:p>
        </w:tc>
      </w:tr>
    </w:tbl>
    <w:p w14:paraId="0D288158" w14:textId="77777777" w:rsidR="00D31C0A" w:rsidRPr="00D31C0A" w:rsidRDefault="00D31C0A" w:rsidP="00D31C0A">
      <w:pPr>
        <w:spacing w:before="120"/>
        <w:rPr>
          <w:b/>
          <w:sz w:val="24"/>
          <w:szCs w:val="24"/>
        </w:rPr>
      </w:pPr>
      <w:r w:rsidRPr="00D31C0A">
        <w:rPr>
          <w:b/>
          <w:sz w:val="24"/>
          <w:szCs w:val="24"/>
        </w:rPr>
        <w:t>Comité de los Derechos del Niño</w:t>
      </w:r>
    </w:p>
    <w:p w14:paraId="65F6B5E1" w14:textId="77777777" w:rsidR="00D31C0A" w:rsidRPr="00D31C0A" w:rsidRDefault="00D31C0A" w:rsidP="00D31C0A">
      <w:pPr>
        <w:rPr>
          <w:b/>
        </w:rPr>
      </w:pPr>
      <w:r w:rsidRPr="00D31C0A">
        <w:rPr>
          <w:b/>
        </w:rPr>
        <w:t>95º período de sesiones</w:t>
      </w:r>
    </w:p>
    <w:p w14:paraId="44AC5952" w14:textId="77777777" w:rsidR="00D31C0A" w:rsidRPr="00D31C0A" w:rsidRDefault="00D31C0A" w:rsidP="00D31C0A">
      <w:r w:rsidRPr="00D31C0A">
        <w:t>15 de enero a 2 de febrero de 2024</w:t>
      </w:r>
    </w:p>
    <w:p w14:paraId="22EB7DCD" w14:textId="77777777" w:rsidR="00D31C0A" w:rsidRPr="00D31C0A" w:rsidRDefault="00D31C0A" w:rsidP="00D31C0A">
      <w:r w:rsidRPr="00D31C0A">
        <w:t>Tema 4 del programa provisional</w:t>
      </w:r>
    </w:p>
    <w:p w14:paraId="3F45E13D" w14:textId="77777777" w:rsidR="00D31C0A" w:rsidRPr="00D31C0A" w:rsidRDefault="00D31C0A" w:rsidP="00D31C0A">
      <w:pPr>
        <w:rPr>
          <w:b/>
          <w:bCs/>
        </w:rPr>
      </w:pPr>
      <w:r w:rsidRPr="00D31C0A">
        <w:rPr>
          <w:b/>
        </w:rPr>
        <w:t>Examen de los informes de los Estados Partes</w:t>
      </w:r>
    </w:p>
    <w:p w14:paraId="2C872C21" w14:textId="552812B1" w:rsidR="00D31C0A" w:rsidRDefault="00D31C0A" w:rsidP="00D31C0A">
      <w:pPr>
        <w:pStyle w:val="HMG"/>
      </w:pPr>
      <w:r w:rsidRPr="00D31C0A">
        <w:tab/>
      </w:r>
      <w:r>
        <w:tab/>
      </w:r>
      <w:r w:rsidRPr="00660D48">
        <w:t xml:space="preserve">Respuestas de Lituania a la lista de cuestiones relativa a sus informes periódicos quinto </w:t>
      </w:r>
      <w:r>
        <w:br/>
      </w:r>
      <w:r w:rsidRPr="00660D48">
        <w:t xml:space="preserve">y sexto </w:t>
      </w:r>
      <w:r>
        <w:t>combinados</w:t>
      </w:r>
      <w:r w:rsidRPr="00D31C0A">
        <w:rPr>
          <w:rStyle w:val="Refdenotaalpie"/>
          <w:b w:val="0"/>
          <w:sz w:val="20"/>
          <w:vertAlign w:val="baseline"/>
        </w:rPr>
        <w:footnoteReference w:customMarkFollows="1" w:id="1"/>
        <w:t>*</w:t>
      </w:r>
      <w:r w:rsidRPr="00D31C0A">
        <w:rPr>
          <w:b w:val="0"/>
          <w:bCs/>
          <w:sz w:val="20"/>
          <w:szCs w:val="10"/>
        </w:rPr>
        <w:t xml:space="preserve"> </w:t>
      </w:r>
      <w:r w:rsidRPr="00D31C0A">
        <w:rPr>
          <w:rStyle w:val="Refdenotaalpie"/>
          <w:b w:val="0"/>
          <w:sz w:val="20"/>
          <w:vertAlign w:val="baseline"/>
        </w:rPr>
        <w:footnoteReference w:customMarkFollows="1" w:id="2"/>
        <w:t>**</w:t>
      </w:r>
    </w:p>
    <w:p w14:paraId="289B0495" w14:textId="049553FE" w:rsidR="00D31C0A" w:rsidRDefault="00D31C0A" w:rsidP="00D31C0A">
      <w:pPr>
        <w:pStyle w:val="SingleTxtG"/>
        <w:jc w:val="right"/>
      </w:pPr>
      <w:r w:rsidRPr="00660D48">
        <w:t>[Fecha de recepción: 20 de octubre de 2023]</w:t>
      </w:r>
    </w:p>
    <w:p w14:paraId="608AF55F" w14:textId="55C377AF" w:rsidR="00D31C0A" w:rsidRDefault="00D31C0A">
      <w:pPr>
        <w:spacing w:line="240" w:lineRule="auto"/>
      </w:pPr>
      <w:r>
        <w:br w:type="page"/>
      </w:r>
    </w:p>
    <w:p w14:paraId="35205EF2" w14:textId="544BEB45" w:rsidR="00D31C0A" w:rsidRPr="00D31C0A" w:rsidRDefault="00D31C0A" w:rsidP="00D31C0A">
      <w:pPr>
        <w:pStyle w:val="HChG"/>
      </w:pPr>
      <w:r w:rsidRPr="00D31C0A">
        <w:lastRenderedPageBreak/>
        <w:tab/>
      </w:r>
      <w:r>
        <w:tab/>
      </w:r>
      <w:r w:rsidRPr="00D31C0A">
        <w:t>Primera parte</w:t>
      </w:r>
    </w:p>
    <w:p w14:paraId="35E73631" w14:textId="4B8D8E1C" w:rsidR="00D31C0A" w:rsidRPr="00D31C0A" w:rsidRDefault="00D31C0A" w:rsidP="00D31C0A">
      <w:pPr>
        <w:pStyle w:val="H1G"/>
      </w:pPr>
      <w:r>
        <w:tab/>
      </w:r>
      <w:r w:rsidRPr="00D31C0A">
        <w:tab/>
        <w:t xml:space="preserve">Respuesta al párrafo 2 a) de la lista de cuestiones relativa </w:t>
      </w:r>
      <w:r>
        <w:br/>
      </w:r>
      <w:r w:rsidRPr="00D31C0A">
        <w:t>a los informes</w:t>
      </w:r>
      <w:r>
        <w:t xml:space="preserve"> </w:t>
      </w:r>
      <w:r w:rsidRPr="00D31C0A">
        <w:t xml:space="preserve">periódicos quinto y sexto combinados </w:t>
      </w:r>
      <w:r>
        <w:br/>
      </w:r>
      <w:r w:rsidRPr="00D31C0A">
        <w:t>de Lituania (CRC/C/</w:t>
      </w:r>
      <w:proofErr w:type="spellStart"/>
      <w:r w:rsidRPr="00D31C0A">
        <w:t>LTU</w:t>
      </w:r>
      <w:proofErr w:type="spellEnd"/>
      <w:r w:rsidRPr="00D31C0A">
        <w:t>/Q/5-6)</w:t>
      </w:r>
    </w:p>
    <w:p w14:paraId="0216CC32" w14:textId="77777777" w:rsidR="00D31C0A" w:rsidRPr="00D31C0A" w:rsidRDefault="00D31C0A" w:rsidP="00D31C0A">
      <w:pPr>
        <w:pStyle w:val="SingleTxtG"/>
        <w:rPr>
          <w:spacing w:val="1"/>
        </w:rPr>
      </w:pPr>
      <w:r w:rsidRPr="00D31C0A">
        <w:rPr>
          <w:spacing w:val="1"/>
        </w:rPr>
        <w:t>1.</w:t>
      </w:r>
      <w:r w:rsidRPr="00D31C0A">
        <w:rPr>
          <w:spacing w:val="1"/>
        </w:rPr>
        <w:tab/>
        <w:t>Se aprobaron el Plan de Acción para el Bienestar Infantil 2019-2021 y el Plan de Acción para el Bienestar Infantil 2022-2026. Al concluir el período de vigencia de un plan, se lleva a cabo una evaluación para determinar qué medidas se van a mantener, qué medidas no se van a mantener y qué nuevas medidas sería importante incluir. Se evalúan los datos estadísticos disponibles, las novedades y tendencias, la información procedente de la sociedad civil sobre los problemas que afectan a los niños, etc. Por ejemplo, en el nuevo plan se incluyó el Programa de Terapia Familiar Multidimensional, así como medidas de apoyo a proyectos de ONG destinados a prestar servicios a niños y familias en proceso de divorcio, etc.</w:t>
      </w:r>
    </w:p>
    <w:p w14:paraId="3FA45E33" w14:textId="77777777" w:rsidR="00D31C0A" w:rsidRPr="00D31C0A" w:rsidRDefault="00D31C0A" w:rsidP="00D31C0A">
      <w:pPr>
        <w:pStyle w:val="SingleTxtG"/>
      </w:pPr>
      <w:r w:rsidRPr="00D31C0A">
        <w:t>2.</w:t>
      </w:r>
      <w:r w:rsidRPr="00D31C0A">
        <w:tab/>
        <w:t>Lituania no cuenta con una estrategia nacional sobre los derechos del niño, si bien, además del Plan de Acción para el Bienestar Infantil, se han adoptado otros documentos estratégicos (véase el anexo 8, parte 16 c)).</w:t>
      </w:r>
    </w:p>
    <w:p w14:paraId="1FBEA1AC" w14:textId="1E6BA382" w:rsidR="00D31C0A" w:rsidRPr="00D31C0A" w:rsidRDefault="00D31C0A" w:rsidP="00D31C0A">
      <w:pPr>
        <w:pStyle w:val="H1G"/>
      </w:pPr>
      <w:r>
        <w:tab/>
      </w:r>
      <w:r w:rsidRPr="00D31C0A">
        <w:tab/>
        <w:t>Respuesta al párrafo 2 b) de la lista de cuestiones</w:t>
      </w:r>
    </w:p>
    <w:p w14:paraId="6F4D177A" w14:textId="2AA6CEB1" w:rsidR="00D31C0A" w:rsidRPr="00D31C0A" w:rsidRDefault="00D31C0A" w:rsidP="00D31C0A">
      <w:pPr>
        <w:pStyle w:val="H23G"/>
      </w:pPr>
      <w:r>
        <w:tab/>
      </w:r>
      <w:r w:rsidRPr="00D31C0A">
        <w:tab/>
        <w:t>Presupuesto del Defensor de los Derechos del Niño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3047"/>
        <w:gridCol w:w="3047"/>
      </w:tblGrid>
      <w:tr w:rsidR="00334BEE" w:rsidRPr="00334BEE" w14:paraId="1BF6E58D" w14:textId="77777777" w:rsidTr="00463C88">
        <w:trPr>
          <w:trHeight w:val="240"/>
          <w:tblHeader/>
        </w:trPr>
        <w:tc>
          <w:tcPr>
            <w:tcW w:w="1276" w:type="dxa"/>
            <w:tcBorders>
              <w:top w:val="single" w:sz="4" w:space="0" w:color="auto"/>
              <w:bottom w:val="single" w:sz="12" w:space="0" w:color="auto"/>
            </w:tcBorders>
            <w:shd w:val="clear" w:color="auto" w:fill="auto"/>
            <w:vAlign w:val="bottom"/>
          </w:tcPr>
          <w:p w14:paraId="7B8A94E9" w14:textId="77777777" w:rsidR="00D31C0A" w:rsidRPr="00D31C0A" w:rsidRDefault="00D31C0A" w:rsidP="00334BEE">
            <w:pPr>
              <w:pStyle w:val="SingleTxtG"/>
              <w:tabs>
                <w:tab w:val="clear" w:pos="1701"/>
                <w:tab w:val="clear" w:pos="2268"/>
                <w:tab w:val="clear" w:pos="2835"/>
              </w:tabs>
              <w:spacing w:before="80" w:after="80" w:line="200" w:lineRule="exact"/>
              <w:ind w:left="0" w:right="0"/>
              <w:jc w:val="left"/>
              <w:rPr>
                <w:i/>
                <w:sz w:val="16"/>
              </w:rPr>
            </w:pPr>
            <w:r w:rsidRPr="00D31C0A">
              <w:rPr>
                <w:i/>
                <w:sz w:val="16"/>
              </w:rPr>
              <w:t>Año</w:t>
            </w:r>
          </w:p>
        </w:tc>
        <w:tc>
          <w:tcPr>
            <w:tcW w:w="3047" w:type="dxa"/>
            <w:tcBorders>
              <w:top w:val="single" w:sz="4" w:space="0" w:color="auto"/>
              <w:bottom w:val="single" w:sz="12" w:space="0" w:color="auto"/>
            </w:tcBorders>
            <w:shd w:val="clear" w:color="auto" w:fill="auto"/>
            <w:vAlign w:val="bottom"/>
          </w:tcPr>
          <w:p w14:paraId="0E7F9693" w14:textId="0C0F9AED" w:rsidR="00D31C0A" w:rsidRPr="00D31C0A" w:rsidRDefault="00D31C0A" w:rsidP="00463C88">
            <w:pPr>
              <w:pStyle w:val="SingleTxtG"/>
              <w:tabs>
                <w:tab w:val="clear" w:pos="1701"/>
                <w:tab w:val="clear" w:pos="2268"/>
                <w:tab w:val="clear" w:pos="2835"/>
              </w:tabs>
              <w:spacing w:before="80" w:after="80" w:line="200" w:lineRule="exact"/>
              <w:ind w:left="0" w:right="28"/>
              <w:jc w:val="right"/>
              <w:rPr>
                <w:i/>
                <w:sz w:val="16"/>
              </w:rPr>
            </w:pPr>
            <w:r w:rsidRPr="00D31C0A">
              <w:rPr>
                <w:i/>
                <w:sz w:val="16"/>
              </w:rPr>
              <w:t>Fondos (</w:t>
            </w:r>
            <w:r w:rsidR="00463C88">
              <w:rPr>
                <w:i/>
                <w:sz w:val="16"/>
              </w:rPr>
              <w:t xml:space="preserve">en </w:t>
            </w:r>
            <w:r w:rsidRPr="00D31C0A">
              <w:rPr>
                <w:i/>
                <w:sz w:val="16"/>
              </w:rPr>
              <w:t>euros)</w:t>
            </w:r>
          </w:p>
        </w:tc>
        <w:tc>
          <w:tcPr>
            <w:tcW w:w="3047" w:type="dxa"/>
            <w:tcBorders>
              <w:top w:val="single" w:sz="4" w:space="0" w:color="auto"/>
              <w:bottom w:val="single" w:sz="12" w:space="0" w:color="auto"/>
            </w:tcBorders>
            <w:shd w:val="clear" w:color="auto" w:fill="auto"/>
            <w:vAlign w:val="bottom"/>
          </w:tcPr>
          <w:p w14:paraId="4FC0367B" w14:textId="467FF47D" w:rsidR="00D31C0A" w:rsidRPr="00D31C0A" w:rsidRDefault="00463C88" w:rsidP="00463C88">
            <w:pPr>
              <w:pStyle w:val="SingleTxtG"/>
              <w:tabs>
                <w:tab w:val="clear" w:pos="1701"/>
                <w:tab w:val="clear" w:pos="2268"/>
                <w:tab w:val="clear" w:pos="2835"/>
              </w:tabs>
              <w:spacing w:before="80" w:after="80" w:line="200" w:lineRule="exact"/>
              <w:ind w:left="0" w:right="28"/>
              <w:jc w:val="right"/>
              <w:rPr>
                <w:i/>
                <w:sz w:val="16"/>
              </w:rPr>
            </w:pPr>
            <w:r>
              <w:rPr>
                <w:i/>
                <w:sz w:val="16"/>
              </w:rPr>
              <w:t>Porcentaje</w:t>
            </w:r>
            <w:r w:rsidR="00D31C0A" w:rsidRPr="00D31C0A">
              <w:rPr>
                <w:i/>
                <w:sz w:val="16"/>
              </w:rPr>
              <w:t xml:space="preserve"> de los fondos dedicados a salarios</w:t>
            </w:r>
          </w:p>
        </w:tc>
      </w:tr>
      <w:tr w:rsidR="00334BEE" w:rsidRPr="00D31C0A" w14:paraId="193B7C4D" w14:textId="77777777" w:rsidTr="00463C88">
        <w:trPr>
          <w:trHeight w:val="240"/>
        </w:trPr>
        <w:tc>
          <w:tcPr>
            <w:tcW w:w="1276" w:type="dxa"/>
            <w:tcBorders>
              <w:top w:val="single" w:sz="12" w:space="0" w:color="auto"/>
            </w:tcBorders>
            <w:shd w:val="clear" w:color="auto" w:fill="auto"/>
          </w:tcPr>
          <w:p w14:paraId="69D11608" w14:textId="77777777" w:rsidR="00D31C0A" w:rsidRPr="00D31C0A" w:rsidRDefault="00D31C0A" w:rsidP="00334BEE">
            <w:pPr>
              <w:pStyle w:val="SingleTxtG"/>
              <w:tabs>
                <w:tab w:val="clear" w:pos="1701"/>
                <w:tab w:val="clear" w:pos="2268"/>
                <w:tab w:val="clear" w:pos="2835"/>
              </w:tabs>
              <w:spacing w:before="40" w:after="40" w:line="220" w:lineRule="exact"/>
              <w:ind w:left="0" w:right="0"/>
              <w:jc w:val="left"/>
              <w:rPr>
                <w:sz w:val="18"/>
              </w:rPr>
            </w:pPr>
            <w:r w:rsidRPr="00D31C0A">
              <w:rPr>
                <w:sz w:val="18"/>
              </w:rPr>
              <w:t>2019</w:t>
            </w:r>
          </w:p>
        </w:tc>
        <w:tc>
          <w:tcPr>
            <w:tcW w:w="3047" w:type="dxa"/>
            <w:tcBorders>
              <w:top w:val="single" w:sz="12" w:space="0" w:color="auto"/>
            </w:tcBorders>
            <w:shd w:val="clear" w:color="auto" w:fill="auto"/>
            <w:vAlign w:val="bottom"/>
          </w:tcPr>
          <w:p w14:paraId="15471982"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511 000</w:t>
            </w:r>
          </w:p>
        </w:tc>
        <w:tc>
          <w:tcPr>
            <w:tcW w:w="3047" w:type="dxa"/>
            <w:tcBorders>
              <w:top w:val="single" w:sz="12" w:space="0" w:color="auto"/>
            </w:tcBorders>
            <w:shd w:val="clear" w:color="auto" w:fill="auto"/>
            <w:vAlign w:val="bottom"/>
          </w:tcPr>
          <w:p w14:paraId="63AA5994"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85</w:t>
            </w:r>
          </w:p>
        </w:tc>
      </w:tr>
      <w:tr w:rsidR="00334BEE" w:rsidRPr="00D31C0A" w14:paraId="78B12353" w14:textId="77777777" w:rsidTr="00463C88">
        <w:trPr>
          <w:trHeight w:val="240"/>
        </w:trPr>
        <w:tc>
          <w:tcPr>
            <w:tcW w:w="1276" w:type="dxa"/>
            <w:shd w:val="clear" w:color="auto" w:fill="auto"/>
          </w:tcPr>
          <w:p w14:paraId="1A1C6147" w14:textId="77777777" w:rsidR="00D31C0A" w:rsidRPr="00D31C0A" w:rsidRDefault="00D31C0A" w:rsidP="00334BEE">
            <w:pPr>
              <w:pStyle w:val="SingleTxtG"/>
              <w:tabs>
                <w:tab w:val="clear" w:pos="1701"/>
                <w:tab w:val="clear" w:pos="2268"/>
                <w:tab w:val="clear" w:pos="2835"/>
              </w:tabs>
              <w:spacing w:before="40" w:after="40" w:line="220" w:lineRule="exact"/>
              <w:ind w:left="0" w:right="0"/>
              <w:jc w:val="left"/>
              <w:rPr>
                <w:sz w:val="18"/>
              </w:rPr>
            </w:pPr>
            <w:r w:rsidRPr="00D31C0A">
              <w:rPr>
                <w:sz w:val="18"/>
              </w:rPr>
              <w:t>2020</w:t>
            </w:r>
          </w:p>
        </w:tc>
        <w:tc>
          <w:tcPr>
            <w:tcW w:w="3047" w:type="dxa"/>
            <w:shd w:val="clear" w:color="auto" w:fill="auto"/>
            <w:vAlign w:val="bottom"/>
          </w:tcPr>
          <w:p w14:paraId="4DCCA953"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570 000</w:t>
            </w:r>
          </w:p>
        </w:tc>
        <w:tc>
          <w:tcPr>
            <w:tcW w:w="3047" w:type="dxa"/>
            <w:shd w:val="clear" w:color="auto" w:fill="auto"/>
            <w:vAlign w:val="bottom"/>
          </w:tcPr>
          <w:p w14:paraId="3F88A866"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85</w:t>
            </w:r>
          </w:p>
        </w:tc>
      </w:tr>
      <w:tr w:rsidR="00334BEE" w:rsidRPr="00D31C0A" w14:paraId="092BE848" w14:textId="77777777" w:rsidTr="00463C88">
        <w:trPr>
          <w:trHeight w:val="240"/>
        </w:trPr>
        <w:tc>
          <w:tcPr>
            <w:tcW w:w="1276" w:type="dxa"/>
            <w:shd w:val="clear" w:color="auto" w:fill="auto"/>
          </w:tcPr>
          <w:p w14:paraId="3EA511ED" w14:textId="77777777" w:rsidR="00D31C0A" w:rsidRPr="00D31C0A" w:rsidRDefault="00D31C0A" w:rsidP="00334BEE">
            <w:pPr>
              <w:pStyle w:val="SingleTxtG"/>
              <w:tabs>
                <w:tab w:val="clear" w:pos="1701"/>
                <w:tab w:val="clear" w:pos="2268"/>
                <w:tab w:val="clear" w:pos="2835"/>
              </w:tabs>
              <w:spacing w:before="40" w:after="40" w:line="220" w:lineRule="exact"/>
              <w:ind w:left="0" w:right="0"/>
              <w:jc w:val="left"/>
              <w:rPr>
                <w:sz w:val="18"/>
              </w:rPr>
            </w:pPr>
            <w:r w:rsidRPr="00D31C0A">
              <w:rPr>
                <w:sz w:val="18"/>
              </w:rPr>
              <w:t>2021</w:t>
            </w:r>
          </w:p>
        </w:tc>
        <w:tc>
          <w:tcPr>
            <w:tcW w:w="3047" w:type="dxa"/>
            <w:shd w:val="clear" w:color="auto" w:fill="auto"/>
            <w:vAlign w:val="bottom"/>
          </w:tcPr>
          <w:p w14:paraId="5DAD84CB"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628 000</w:t>
            </w:r>
          </w:p>
        </w:tc>
        <w:tc>
          <w:tcPr>
            <w:tcW w:w="3047" w:type="dxa"/>
            <w:shd w:val="clear" w:color="auto" w:fill="auto"/>
            <w:vAlign w:val="bottom"/>
          </w:tcPr>
          <w:p w14:paraId="64CC3576"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85</w:t>
            </w:r>
          </w:p>
        </w:tc>
      </w:tr>
      <w:tr w:rsidR="00334BEE" w:rsidRPr="00D31C0A" w14:paraId="54B5ECE3" w14:textId="77777777" w:rsidTr="00463C88">
        <w:trPr>
          <w:trHeight w:val="240"/>
        </w:trPr>
        <w:tc>
          <w:tcPr>
            <w:tcW w:w="1276" w:type="dxa"/>
            <w:shd w:val="clear" w:color="auto" w:fill="auto"/>
          </w:tcPr>
          <w:p w14:paraId="747AC1A8" w14:textId="77777777" w:rsidR="00D31C0A" w:rsidRPr="00D31C0A" w:rsidRDefault="00D31C0A" w:rsidP="00334BEE">
            <w:pPr>
              <w:pStyle w:val="SingleTxtG"/>
              <w:tabs>
                <w:tab w:val="clear" w:pos="1701"/>
                <w:tab w:val="clear" w:pos="2268"/>
                <w:tab w:val="clear" w:pos="2835"/>
              </w:tabs>
              <w:spacing w:before="40" w:after="40" w:line="220" w:lineRule="exact"/>
              <w:ind w:left="0" w:right="0"/>
              <w:jc w:val="left"/>
              <w:rPr>
                <w:sz w:val="18"/>
              </w:rPr>
            </w:pPr>
            <w:r w:rsidRPr="00D31C0A">
              <w:rPr>
                <w:sz w:val="18"/>
              </w:rPr>
              <w:t>2022</w:t>
            </w:r>
          </w:p>
        </w:tc>
        <w:tc>
          <w:tcPr>
            <w:tcW w:w="3047" w:type="dxa"/>
            <w:shd w:val="clear" w:color="auto" w:fill="auto"/>
            <w:vAlign w:val="bottom"/>
          </w:tcPr>
          <w:p w14:paraId="24645061"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664 000</w:t>
            </w:r>
          </w:p>
        </w:tc>
        <w:tc>
          <w:tcPr>
            <w:tcW w:w="3047" w:type="dxa"/>
            <w:shd w:val="clear" w:color="auto" w:fill="auto"/>
            <w:vAlign w:val="bottom"/>
          </w:tcPr>
          <w:p w14:paraId="376C66F1"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83</w:t>
            </w:r>
          </w:p>
        </w:tc>
      </w:tr>
      <w:tr w:rsidR="00334BEE" w:rsidRPr="00D31C0A" w14:paraId="4C26D7AD" w14:textId="77777777" w:rsidTr="00463C88">
        <w:trPr>
          <w:trHeight w:val="240"/>
        </w:trPr>
        <w:tc>
          <w:tcPr>
            <w:tcW w:w="1276" w:type="dxa"/>
            <w:tcBorders>
              <w:bottom w:val="single" w:sz="12" w:space="0" w:color="auto"/>
            </w:tcBorders>
            <w:shd w:val="clear" w:color="auto" w:fill="auto"/>
          </w:tcPr>
          <w:p w14:paraId="624DA94A" w14:textId="77777777" w:rsidR="00D31C0A" w:rsidRPr="00D31C0A" w:rsidRDefault="00D31C0A" w:rsidP="00334BEE">
            <w:pPr>
              <w:pStyle w:val="SingleTxtG"/>
              <w:tabs>
                <w:tab w:val="clear" w:pos="1701"/>
                <w:tab w:val="clear" w:pos="2268"/>
                <w:tab w:val="clear" w:pos="2835"/>
              </w:tabs>
              <w:spacing w:before="40" w:after="40" w:line="220" w:lineRule="exact"/>
              <w:ind w:left="0" w:right="0"/>
              <w:jc w:val="left"/>
              <w:rPr>
                <w:sz w:val="18"/>
              </w:rPr>
            </w:pPr>
            <w:r w:rsidRPr="00D31C0A">
              <w:rPr>
                <w:sz w:val="18"/>
              </w:rPr>
              <w:t>2023</w:t>
            </w:r>
          </w:p>
        </w:tc>
        <w:tc>
          <w:tcPr>
            <w:tcW w:w="3047" w:type="dxa"/>
            <w:tcBorders>
              <w:bottom w:val="single" w:sz="12" w:space="0" w:color="auto"/>
            </w:tcBorders>
            <w:shd w:val="clear" w:color="auto" w:fill="auto"/>
            <w:vAlign w:val="bottom"/>
          </w:tcPr>
          <w:p w14:paraId="58645A24"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753 000</w:t>
            </w:r>
          </w:p>
        </w:tc>
        <w:tc>
          <w:tcPr>
            <w:tcW w:w="3047" w:type="dxa"/>
            <w:tcBorders>
              <w:bottom w:val="single" w:sz="12" w:space="0" w:color="auto"/>
            </w:tcBorders>
            <w:shd w:val="clear" w:color="auto" w:fill="auto"/>
            <w:vAlign w:val="bottom"/>
          </w:tcPr>
          <w:p w14:paraId="1CE30440"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78</w:t>
            </w:r>
          </w:p>
        </w:tc>
      </w:tr>
    </w:tbl>
    <w:p w14:paraId="092CEC2E" w14:textId="77777777" w:rsidR="00D31C0A" w:rsidRPr="00D31C0A" w:rsidRDefault="00D31C0A" w:rsidP="00334BEE">
      <w:pPr>
        <w:pStyle w:val="SingleTxtG"/>
        <w:spacing w:before="240"/>
      </w:pPr>
      <w:r w:rsidRPr="00D31C0A">
        <w:t>3.</w:t>
      </w:r>
      <w:r w:rsidRPr="00D31C0A">
        <w:tab/>
        <w:t>Desde el 1 de enero de 2009, se han aprobado 23 puestos en la oficina del Defensor de los Derechos del Niño, pero solo se han cubierto 16 (incluido el del titular del mandato).</w:t>
      </w:r>
    </w:p>
    <w:p w14:paraId="1B6D5C82" w14:textId="439B888D" w:rsidR="00D31C0A" w:rsidRPr="00D31C0A" w:rsidRDefault="00D31C0A" w:rsidP="00334BEE">
      <w:pPr>
        <w:pStyle w:val="H1G"/>
      </w:pPr>
      <w:r w:rsidRPr="00D31C0A">
        <w:tab/>
      </w:r>
      <w:r w:rsidR="00334BEE">
        <w:tab/>
      </w:r>
      <w:r w:rsidRPr="00D31C0A">
        <w:t xml:space="preserve">Respuesta al párrafo 2 </w:t>
      </w:r>
      <w:r w:rsidR="00334BEE">
        <w:t>c</w:t>
      </w:r>
      <w:r w:rsidRPr="00D31C0A">
        <w:t>) de la lista de cuestiones</w:t>
      </w:r>
    </w:p>
    <w:p w14:paraId="4D8298C1" w14:textId="77777777" w:rsidR="00D31C0A" w:rsidRPr="00D31C0A" w:rsidRDefault="00D31C0A" w:rsidP="00D31C0A">
      <w:pPr>
        <w:pStyle w:val="SingleTxtG"/>
      </w:pPr>
      <w:r w:rsidRPr="00D31C0A">
        <w:t>4.</w:t>
      </w:r>
      <w:r w:rsidRPr="00D31C0A">
        <w:tab/>
        <w:t>El Servicio de Protección de los Derechos del Niño tiene todas las competencias necesarias para la protección efectiva de los derechos del niño a todos los niveles. En la Ley sobre los Principios de la Protección de los Derechos del Niño se establece claramente que el Servicio actúa como institución estatal para la protección de los derechos del niño y como institución central para la organización de la adopción y de la protección internacional de esos derechos en Lituania; defiende y garantiza los derechos del niño; y representa los derechos e intereses legítimos del niño en todos los municipios las 24 horas del día, los siete días de la semana. En los instrumentos jurídicos pertinentes se establecen las competencias de los especialistas en materia de protección de los derechos del niño para examinar posibles violaciones específicas de esos derechos, incluida la obtención de datos e información de diferentes fuentes. La plantilla del Servicio cuenta con 751 puestos aprobados.</w:t>
      </w:r>
      <w:bookmarkStart w:id="0" w:name="part_a96f430cd1024c708f5b0a66ca50332f"/>
      <w:bookmarkEnd w:id="0"/>
    </w:p>
    <w:p w14:paraId="262B006D" w14:textId="3271D785" w:rsidR="00D31C0A" w:rsidRPr="00D31C0A" w:rsidRDefault="00D31C0A" w:rsidP="00D31C0A">
      <w:pPr>
        <w:pStyle w:val="SingleTxtG"/>
      </w:pPr>
      <w:r w:rsidRPr="00D31C0A">
        <w:t>5.</w:t>
      </w:r>
      <w:r w:rsidRPr="00D31C0A">
        <w:tab/>
        <w:t>En 2018 se asignaron 8.139.000 euros al Servicio de Protección de los Derechos del Niño. Desde el 1 de julio de 2018 (tras finalizar la reforma del sistema de protección de los derechos del niño que llevó a su centralización) hasta el 31 de diciembre de 2018, se asignaron otros 6.912.000 euros adicionales para las actividades del Servicio. En 2018 se asignaron al proyecto de reforma de la protección de los derechos del niño un total de</w:t>
      </w:r>
      <w:r w:rsidR="0073546A">
        <w:t> </w:t>
      </w:r>
      <w:r w:rsidRPr="00D31C0A">
        <w:t>11.648.000 euros.</w:t>
      </w:r>
    </w:p>
    <w:p w14:paraId="5ABC270B" w14:textId="7809F1C8" w:rsidR="00D31C0A" w:rsidRPr="00D31C0A" w:rsidRDefault="00D31C0A" w:rsidP="00334BEE">
      <w:pPr>
        <w:pStyle w:val="SingleTxtG"/>
        <w:keepNext/>
      </w:pPr>
      <w:r w:rsidRPr="00D31C0A">
        <w:lastRenderedPageBreak/>
        <w:t>6</w:t>
      </w:r>
      <w:r w:rsidR="00463C88">
        <w:t>.</w:t>
      </w:r>
      <w:r w:rsidRPr="00D31C0A">
        <w:tab/>
        <w:t>El destino de los fondos del Servicio de Protección de los Derechos del Niño ha sido el siguiente:</w:t>
      </w:r>
    </w:p>
    <w:p w14:paraId="7F32BBD7" w14:textId="3B5AB983" w:rsidR="00D31C0A" w:rsidRPr="00334BEE" w:rsidRDefault="00D31C0A" w:rsidP="00334BEE">
      <w:pPr>
        <w:pStyle w:val="Bullet1G"/>
        <w:rPr>
          <w:spacing w:val="-1"/>
        </w:rPr>
      </w:pPr>
      <w:r w:rsidRPr="00334BEE">
        <w:rPr>
          <w:spacing w:val="-1"/>
        </w:rPr>
        <w:t>2019: 14.058.000 euros y 294.000 euros para publicidad y formación, respectivamente</w:t>
      </w:r>
    </w:p>
    <w:p w14:paraId="585D280E" w14:textId="228B9A67" w:rsidR="00D31C0A" w:rsidRPr="00334BEE" w:rsidRDefault="00D31C0A" w:rsidP="00334BEE">
      <w:pPr>
        <w:pStyle w:val="Bullet1G"/>
        <w:rPr>
          <w:spacing w:val="-1"/>
        </w:rPr>
      </w:pPr>
      <w:r w:rsidRPr="00334BEE">
        <w:rPr>
          <w:spacing w:val="-1"/>
        </w:rPr>
        <w:t>2020: 15.482.000 euros y 399.000 euros para publicidad y formación, respectivamente</w:t>
      </w:r>
    </w:p>
    <w:p w14:paraId="08D69228" w14:textId="60AF23A7" w:rsidR="00D31C0A" w:rsidRPr="00334BEE" w:rsidRDefault="00D31C0A" w:rsidP="00334BEE">
      <w:pPr>
        <w:pStyle w:val="Bullet1G"/>
        <w:rPr>
          <w:spacing w:val="-1"/>
        </w:rPr>
      </w:pPr>
      <w:r w:rsidRPr="00334BEE">
        <w:rPr>
          <w:spacing w:val="-1"/>
        </w:rPr>
        <w:t>2021: 15.682.000 euros y 569.000 euros para publicidad y formación, respectivamente</w:t>
      </w:r>
    </w:p>
    <w:p w14:paraId="2AB1BFAE" w14:textId="39F7AD63" w:rsidR="00D31C0A" w:rsidRPr="00334BEE" w:rsidRDefault="00D31C0A" w:rsidP="00334BEE">
      <w:pPr>
        <w:pStyle w:val="Bullet1G"/>
        <w:rPr>
          <w:spacing w:val="-1"/>
        </w:rPr>
      </w:pPr>
      <w:r w:rsidRPr="00334BEE">
        <w:rPr>
          <w:spacing w:val="-1"/>
        </w:rPr>
        <w:t>2022: 18.447.000 euros y 575.000 euros para publicidad y formación, respectivamente</w:t>
      </w:r>
    </w:p>
    <w:p w14:paraId="00134411" w14:textId="6DC38222" w:rsidR="00D31C0A" w:rsidRPr="00334BEE" w:rsidRDefault="00D31C0A" w:rsidP="00334BEE">
      <w:pPr>
        <w:pStyle w:val="Bullet1G"/>
        <w:rPr>
          <w:spacing w:val="-1"/>
        </w:rPr>
      </w:pPr>
      <w:r w:rsidRPr="00334BEE">
        <w:rPr>
          <w:spacing w:val="-1"/>
        </w:rPr>
        <w:t>2023: 20.753.000 euros y 638.000 euros para publicidad y formación, respectivamente</w:t>
      </w:r>
    </w:p>
    <w:p w14:paraId="7E26E915" w14:textId="601F315D" w:rsidR="00D31C0A" w:rsidRPr="00D31C0A" w:rsidRDefault="00D31C0A" w:rsidP="00D31C0A">
      <w:pPr>
        <w:pStyle w:val="SingleTxtG"/>
      </w:pPr>
      <w:r w:rsidRPr="00D31C0A">
        <w:t>7.</w:t>
      </w:r>
      <w:r w:rsidRPr="00D31C0A">
        <w:tab/>
        <w:t>En 2019 se aprobaron fondos adicionales para equipos móviles del Servicio de Protección de los Derechos del Niño (esos equipos prestan asistencia a familias y niños en crisis cuando se detecta una necesidad de protección infantil) por un monto de 694.000 euros; en 2020 esos fondos ascendieron a 1.300.000 euros, en 2021 a 1.400.000 euros, y en 2022 a</w:t>
      </w:r>
      <w:r w:rsidR="0073546A">
        <w:t> </w:t>
      </w:r>
      <w:r w:rsidRPr="00D31C0A">
        <w:t>1.400.000 euros.</w:t>
      </w:r>
    </w:p>
    <w:p w14:paraId="35C8D194" w14:textId="77777777" w:rsidR="00D31C0A" w:rsidRPr="00D31C0A" w:rsidRDefault="00D31C0A" w:rsidP="00D31C0A">
      <w:pPr>
        <w:pStyle w:val="SingleTxtG"/>
      </w:pPr>
      <w:r w:rsidRPr="00D31C0A">
        <w:t>8.</w:t>
      </w:r>
      <w:r w:rsidRPr="00D31C0A">
        <w:tab/>
        <w:t>El fortalecimiento continuo de las competencias de los especialistas en protección de los derechos del niño se lleva a cabo a través de diversas actividades de formación. Se está preparando un modelo para mejorar las competencias profesionales de esos especialistas.</w:t>
      </w:r>
    </w:p>
    <w:p w14:paraId="741CE11F" w14:textId="34DA383A" w:rsidR="00D31C0A" w:rsidRPr="00D31C0A" w:rsidRDefault="00D31C0A" w:rsidP="00334BEE">
      <w:pPr>
        <w:pStyle w:val="H1G"/>
      </w:pPr>
      <w:r w:rsidRPr="00D31C0A">
        <w:tab/>
      </w:r>
      <w:r w:rsidR="00334BEE">
        <w:tab/>
      </w:r>
      <w:r w:rsidRPr="00D31C0A">
        <w:t>Respuesta al párrafo 2 d) de la lista de cuestiones</w:t>
      </w:r>
    </w:p>
    <w:p w14:paraId="12F5519C" w14:textId="77777777" w:rsidR="00D31C0A" w:rsidRPr="00D31C0A" w:rsidRDefault="00D31C0A" w:rsidP="00D31C0A">
      <w:pPr>
        <w:pStyle w:val="SingleTxtG"/>
      </w:pPr>
      <w:r w:rsidRPr="00D31C0A">
        <w:t>9.</w:t>
      </w:r>
      <w:r w:rsidRPr="00D31C0A">
        <w:tab/>
        <w:t>Los encargados de gestionar las asignaciones presupuestarias estatales (para los distintos ministerios) se ocupan de la ejecución de los presupuestos mediante programas de aplicación de medidas de progreso y programas de aplicación medidas continuas. Las medidas de progreso relacionadas con los niños y sus familias se elaboran teniendo en cuenta los datos relacionados con los problemas que afectan a los niños y a las familias, la escasez de servicios y apoyo a los que se enfrentan, los grupos de niños más vulnerables, etc. Al preparar el contenido de las medidas de progreso, se lleva a cabo un análisis de diferentes alternativas para determinar qué actividades tendrán el mayor impacto positivo en los niños. A la hora de planificar la financiación de las medidas continuas, se utilizan datos estadísticos, evaluaciones de la situación de los niños en el país, etc. Actualmente no se dispone de instrumentos específicos para determinar qué financiación se asigna específicamente a los niños en todos los ámbitos desglosada por grupos de niños vulnerables.</w:t>
      </w:r>
    </w:p>
    <w:p w14:paraId="68487E26" w14:textId="3F29CBF0" w:rsidR="00D31C0A" w:rsidRPr="00D31C0A" w:rsidRDefault="00334BEE" w:rsidP="00334BEE">
      <w:pPr>
        <w:pStyle w:val="H1G"/>
      </w:pPr>
      <w:r>
        <w:tab/>
      </w:r>
      <w:r w:rsidR="00D31C0A" w:rsidRPr="00D31C0A">
        <w:tab/>
        <w:t>Respuesta al párrafo 2 e) de la lista de cuestiones</w:t>
      </w:r>
    </w:p>
    <w:p w14:paraId="401C65A6" w14:textId="77777777" w:rsidR="00D31C0A" w:rsidRPr="00D31C0A" w:rsidRDefault="00D31C0A" w:rsidP="00D31C0A">
      <w:pPr>
        <w:pStyle w:val="SingleTxtG"/>
      </w:pPr>
      <w:r w:rsidRPr="00D31C0A">
        <w:t>10.</w:t>
      </w:r>
      <w:r w:rsidRPr="00D31C0A">
        <w:tab/>
        <w:t>El Sistema de Información sobre Protección Social está concebido para recopilar datos exclusivamente en el ámbito social, incluida la protección de los derechos del niño, por lo que no es posible recopilar datos de otras esferas. Otros ámbitos tienen sus propios sistemas de recogida de datos con los que recopilan datos relacionados con los niños en una esfera específica, como el Sistema de Información para la Gestión Educativa, el Sistema de Información sobre los Niños que no Asisten a la Escuela, etc.</w:t>
      </w:r>
    </w:p>
    <w:p w14:paraId="1C747616" w14:textId="77777777" w:rsidR="00D31C0A" w:rsidRPr="00D31C0A" w:rsidRDefault="00D31C0A" w:rsidP="00D31C0A">
      <w:pPr>
        <w:pStyle w:val="SingleTxtG"/>
      </w:pPr>
      <w:r w:rsidRPr="00D31C0A">
        <w:t>11.</w:t>
      </w:r>
      <w:r w:rsidRPr="00D31C0A">
        <w:tab/>
        <w:t xml:space="preserve">En 2023 se introdujeron cambios significativos en la resolución del Gobierno en virtud de la cual se aprobó la lista de indicadores de información estadística sobre la infancia. En esa resolución se pide a diversas instituciones estatales que recopilen datos sobre los niños más detallados de lo que se ha venido haciendo hasta ahora en lo que respecta a la demografía, las condiciones de vida de los hogares con niños, la salud, la educación, el mercado laboral, la protección social, la delincuencia, las infracciones administrativas y las causas civiles, y la migración. También se ha actualizado la lista de instituciones que recopilan datos pertinentes y pueden proporcionarlos. Según los cambios introducidos en la mencionada resolución, los datos sobre los niños deben desglosarse por grupos de edad, sexo, lugar de residencia y discapacidad. Sin embargo, resulta difícil recopilar datos relativos al origen étnico, ya que en Lituania la nacionalidad no es un dato que deba indicarse obligatoriamente en la partida de nacimiento. Eso da lugar a una situación en la que los datos recogidos no son suficientemente fiables a la hora de evaluarlos en el contexto general. Además, la nacionalidad es un indicador sensible y, teniendo en cuenta el tamaño del país, ni siquiera sería posible detallar los datos relativos a todas las nacionalidades debido a los requisitos de </w:t>
      </w:r>
      <w:r w:rsidRPr="00D31C0A">
        <w:lastRenderedPageBreak/>
        <w:t>confidencialidad (los datos no pueden publicarse ni ponerse a disposición del público de forma que pueda deducirse directa o indirectamente la identidad de los interesados).</w:t>
      </w:r>
    </w:p>
    <w:p w14:paraId="3AE2E93B" w14:textId="0B5E84DF" w:rsidR="00D31C0A" w:rsidRPr="00D31C0A" w:rsidRDefault="00D31C0A" w:rsidP="00334BEE">
      <w:pPr>
        <w:pStyle w:val="H1G"/>
      </w:pPr>
      <w:r w:rsidRPr="00D31C0A">
        <w:tab/>
      </w:r>
      <w:r w:rsidR="00334BEE">
        <w:tab/>
      </w:r>
      <w:r w:rsidRPr="00D31C0A">
        <w:t>Respuesta al párrafo 2 f) de la lista de cuestiones</w:t>
      </w:r>
    </w:p>
    <w:p w14:paraId="2E1A61F6" w14:textId="77777777" w:rsidR="00D31C0A" w:rsidRPr="00D31C0A" w:rsidRDefault="00D31C0A" w:rsidP="00D31C0A">
      <w:pPr>
        <w:pStyle w:val="SingleTxtG"/>
      </w:pPr>
      <w:r w:rsidRPr="00D31C0A">
        <w:t>12.</w:t>
      </w:r>
      <w:r w:rsidRPr="00D31C0A">
        <w:tab/>
        <w:t>En la Ley sobre los Principios de la Protección de los Derechos del Niño se establece que las personas declaradas culpables por la comisión de un delito relacionado con cualquier tipo de violencia sexual contra un menor u otra persona o de otros delitos dolosos graves o muy graves o por hechos similares contemplados en la legislación penal de otros países, con independencia de que sus antecedentes penales hayan desaparecido o hayan sido cancelados, no podrán trabajar, prestar servicios o realizar actividades de voluntariado en instituciones encargadas de prestar servicios de protección de los derechos de la infancia, sociales, educativos y deportivos o de atención sanitaria a la infancia; tampoco podrán hacerlo en otras instituciones, empresas u organizaciones si el trabajo o las actividades de voluntariado están directa y regularmente relacionados con la crianza, la educación o el cuidado de los niños o con la garantía de su seguridad. Todas las instituciones, organizaciones y compañías (incluidas las empresas) tienen la obligación de comprobar los antecedentes de todas las personas contratadas para trabajar, prestar servicios o realizar actividades de voluntariado en ese sector.</w:t>
      </w:r>
      <w:bookmarkStart w:id="1" w:name="part_ff27026aae01459f991cbe2c8f2b03b7"/>
      <w:bookmarkStart w:id="2" w:name="part_66b5dccaa0124dc8955b39962a5d9fa5"/>
      <w:bookmarkStart w:id="3" w:name="part_e5ded72ead6c4366b54c50c5d9195c32"/>
      <w:bookmarkEnd w:id="1"/>
      <w:bookmarkEnd w:id="2"/>
      <w:bookmarkEnd w:id="3"/>
    </w:p>
    <w:p w14:paraId="452CF8ED" w14:textId="77777777" w:rsidR="00D31C0A" w:rsidRPr="00D31C0A" w:rsidRDefault="00D31C0A" w:rsidP="00D31C0A">
      <w:pPr>
        <w:pStyle w:val="SingleTxtG"/>
      </w:pPr>
      <w:r w:rsidRPr="00D31C0A">
        <w:t>13.</w:t>
      </w:r>
      <w:r w:rsidRPr="00D31C0A">
        <w:tab/>
        <w:t>En el Código Laboral se establecen condiciones claras en relación con el trabajo infantil y se garantiza la protección de los niños contra la explotación laboral.</w:t>
      </w:r>
    </w:p>
    <w:p w14:paraId="69567EC7" w14:textId="74658B74" w:rsidR="00D31C0A" w:rsidRPr="00D31C0A" w:rsidRDefault="00D31C0A" w:rsidP="00D31C0A">
      <w:pPr>
        <w:pStyle w:val="SingleTxtG"/>
      </w:pPr>
      <w:r w:rsidRPr="00D31C0A">
        <w:t>14.</w:t>
      </w:r>
      <w:r w:rsidRPr="00D31C0A">
        <w:tab/>
        <w:t>En el Código de Infracciones Administrativas se contempla la imposición de sanciones en los casos en que se identifique una interferencia ilegal en el disfrute de los derechos y libertades del niño u otros actos que vulneren los derechos del niño, o cuando se determine que los directores, educadores u otras personas equiparables a ellos de las instituciones, organizaciones y empresas dedicadas a la educación, crianza, atención sanitaria y de otro tipo bajo cuya supervisión se encuentre un niño, hubieran causado lesiones físicas o mentales a un niño o hubieran cometido cualquier otra violación de sus derechos.</w:t>
      </w:r>
      <w:bookmarkStart w:id="4" w:name="part_2d5a589abcc34d7d92d9dc98a8206c55"/>
      <w:bookmarkEnd w:id="4"/>
    </w:p>
    <w:p w14:paraId="364A7A9A" w14:textId="4A885456" w:rsidR="00D31C0A" w:rsidRPr="00D31C0A" w:rsidRDefault="00D31C0A" w:rsidP="00334BEE">
      <w:pPr>
        <w:pStyle w:val="H1G"/>
      </w:pPr>
      <w:r w:rsidRPr="00D31C0A">
        <w:tab/>
      </w:r>
      <w:r w:rsidR="00334BEE">
        <w:tab/>
      </w:r>
      <w:r w:rsidRPr="00D31C0A">
        <w:t>Respuesta al párrafo 2 g) de la lista de cuestiones</w:t>
      </w:r>
    </w:p>
    <w:p w14:paraId="624E2568" w14:textId="642802FE" w:rsidR="00D31C0A" w:rsidRPr="00D31C0A" w:rsidRDefault="00D31C0A" w:rsidP="00D31C0A">
      <w:pPr>
        <w:pStyle w:val="SingleTxtG"/>
      </w:pPr>
      <w:r w:rsidRPr="00D31C0A">
        <w:t>15.</w:t>
      </w:r>
      <w:r w:rsidRPr="00D31C0A">
        <w:tab/>
        <w:t>En Lituania se han creado las condiciones necesarias para que la sociedad civil actúe con independencia. La política relativa a las ONG es competencia del Ministerio de Trabajo y Seguridad Social; los requisitos legales previos para que esas organizaciones puedan desarrollar su actividad los establece el Departamento de Registro y Enlace con las ONG. En</w:t>
      </w:r>
      <w:r w:rsidR="00920BCC">
        <w:t> </w:t>
      </w:r>
      <w:r w:rsidRPr="00D31C0A">
        <w:t>2020 se estableció la base jurídica de un Fondo para las ONG, destinado a fortalecer la capacidad institucional de esas organizaciones. También se creó la Junta del Fondo para las</w:t>
      </w:r>
      <w:r w:rsidR="00920BCC">
        <w:t> </w:t>
      </w:r>
      <w:r w:rsidRPr="00D31C0A">
        <w:t>ONG, que decide las directrices estratégicas de la financiación de esas organizaciones, analiza la situación del sector de las ONG, etc.</w:t>
      </w:r>
    </w:p>
    <w:p w14:paraId="6AFE0136" w14:textId="38F89E23" w:rsidR="00D31C0A" w:rsidRPr="00D31C0A" w:rsidRDefault="00D31C0A" w:rsidP="00D31C0A">
      <w:pPr>
        <w:pStyle w:val="SingleTxtG"/>
      </w:pPr>
      <w:r w:rsidRPr="00D31C0A">
        <w:t>16.</w:t>
      </w:r>
      <w:r w:rsidRPr="00D31C0A">
        <w:tab/>
        <w:t>También existe un Consejo de las ONG que realiza tareas de supervisión, análisis y consulta en el ámbito de las actividades de esas organizaciones. Los representantes de las</w:t>
      </w:r>
      <w:r w:rsidR="00920BCC">
        <w:t> </w:t>
      </w:r>
      <w:r w:rsidRPr="00D31C0A">
        <w:t>ONG participan en el Consejo Interinstitucional para el Bienestar del Niño, dependiente del Gobierno.</w:t>
      </w:r>
    </w:p>
    <w:p w14:paraId="2D816D2E" w14:textId="65DF8F0A" w:rsidR="00D31C0A" w:rsidRPr="00D31C0A" w:rsidRDefault="00D31C0A" w:rsidP="00D31C0A">
      <w:pPr>
        <w:pStyle w:val="SingleTxtG"/>
      </w:pPr>
      <w:r w:rsidRPr="00D31C0A">
        <w:t>17.</w:t>
      </w:r>
      <w:r w:rsidRPr="00D31C0A">
        <w:tab/>
        <w:t xml:space="preserve">Todos los proyectos de ley deben consultarse con las instituciones interesadas y la sociedad civil y publicarse en el Sistema de Información sobre Instrumentos Jurídicos. Se han creado las condiciones para que la sociedad civil participe en las consultas públicas organizadas por los ministerios. En el portal </w:t>
      </w:r>
      <w:hyperlink r:id="rId8" w:history="1">
        <w:r w:rsidRPr="00D31C0A">
          <w:rPr>
            <w:rStyle w:val="Hipervnculo"/>
            <w:color w:val="auto"/>
          </w:rPr>
          <w:t>www.epilietis.lrv.lt</w:t>
        </w:r>
      </w:hyperlink>
      <w:r w:rsidRPr="00D31C0A">
        <w:t xml:space="preserve"> se anuncian el tema, la hora y el lugar de una consulta pública específica y, después de su celebración, se comparten los resultados.</w:t>
      </w:r>
    </w:p>
    <w:p w14:paraId="59463B3A" w14:textId="77777777" w:rsidR="00D31C0A" w:rsidRPr="00D31C0A" w:rsidRDefault="00D31C0A" w:rsidP="00D31C0A">
      <w:pPr>
        <w:pStyle w:val="SingleTxtG"/>
      </w:pPr>
      <w:r w:rsidRPr="00D31C0A">
        <w:t>18.</w:t>
      </w:r>
      <w:r w:rsidRPr="00D31C0A">
        <w:tab/>
        <w:t>A partir de 2025, el 1,2 % del impuesto sobre la renta solo podrá destinarse a las ONG o a los artistas cualificados para recibir ayudas. También están previstas otras actividades destinadas a fortalecer la sociedad civil a través de los documentos estratégicos.</w:t>
      </w:r>
    </w:p>
    <w:p w14:paraId="765AFEC7" w14:textId="118033D3" w:rsidR="00D31C0A" w:rsidRPr="00D31C0A" w:rsidRDefault="00D31C0A" w:rsidP="00334BEE">
      <w:pPr>
        <w:pStyle w:val="H1G"/>
      </w:pPr>
      <w:r w:rsidRPr="00D31C0A">
        <w:lastRenderedPageBreak/>
        <w:tab/>
      </w:r>
      <w:r w:rsidR="00334BEE">
        <w:tab/>
      </w:r>
      <w:r w:rsidRPr="00D31C0A">
        <w:t>Respuesta al párrafo 3 a) de la lista de cuestiones</w:t>
      </w:r>
    </w:p>
    <w:p w14:paraId="1BED08EA" w14:textId="77777777" w:rsidR="00D31C0A" w:rsidRPr="00D31C0A" w:rsidRDefault="00D31C0A" w:rsidP="00D31C0A">
      <w:pPr>
        <w:pStyle w:val="SingleTxtG"/>
      </w:pPr>
      <w:r w:rsidRPr="00D31C0A">
        <w:t>19.</w:t>
      </w:r>
      <w:r w:rsidRPr="00D31C0A">
        <w:tab/>
        <w:t>El principio de no discriminación está consagrado en la Ley sobre los Principios de la Protección de los Derechos del Niño, así como en todos los demás actos jurídicos relacionados con esos derechos. Los reglamentos y los procedimientos que en ellos se describen también se basan en el principio de que todos los niños tienen el mismo derecho a recibir servicios, asistencia o cualquier otro tipo de ayuda que les garantice el disfrute de sus derechos. El sistema de protección de los derechos del niño se aplica por igual a todos los niños en el territorio de Lituania, independientemente de su condición.</w:t>
      </w:r>
    </w:p>
    <w:p w14:paraId="6F7BACC8" w14:textId="77777777" w:rsidR="00D31C0A" w:rsidRPr="00D31C0A" w:rsidRDefault="00D31C0A" w:rsidP="00D31C0A">
      <w:pPr>
        <w:pStyle w:val="SingleTxtG"/>
      </w:pPr>
      <w:r w:rsidRPr="00D31C0A">
        <w:t>20.</w:t>
      </w:r>
      <w:r w:rsidRPr="00D31C0A">
        <w:tab/>
        <w:t>Se han adoptado medidas prácticas para promover la correcta aplicación de ese principio. Por ejemplo, el Tribunal Constitucional, en su fallo de 2019, determinó que una de las formas de discriminación prohibidas por la Constitución era la restricción de los derechos humanos sobre la base de la identidad de género u orientación sexual, que también podía considerarse un atentado contra la dignidad humana. En 2021, el tribunal de distrito de Kaunas emitió un fallo relativo al derecho de un menor a cambiar el sexo que figuraba en el registro al sexo opuesto en los documentos de estado civil, y cambiar en consecuencia su nombre y apellido. Tras ese fallo, los tribunales recibieron más solicitudes de cambio de sexo en los documentos de estado civil de menores.</w:t>
      </w:r>
    </w:p>
    <w:p w14:paraId="76A06233" w14:textId="77777777" w:rsidR="00D31C0A" w:rsidRPr="00D31C0A" w:rsidRDefault="00D31C0A" w:rsidP="00D31C0A">
      <w:pPr>
        <w:pStyle w:val="SingleTxtG"/>
      </w:pPr>
      <w:r w:rsidRPr="00D31C0A">
        <w:t>21.</w:t>
      </w:r>
      <w:r w:rsidRPr="00D31C0A">
        <w:tab/>
        <w:t>Se han introducido enmiendas en la Ley de Educación Profesional, en virtud de las cuales se reconocen ciertos derechos a los alumnos con necesidades educativas especiales derivadas de una discapacidad intelectual en lo que se refiere a recibir becas, apoyo y educación en pie de igualdad con los demás. Se están preparando borradores de los procedimientos actualizados para la prestación de asistencia educativa en la escuela, con vistas a proporcionar mejores condiciones para que los niños reciban dicha asistencia. Está previsto aplicar una medida que garantice un mejor acceso a la educación infantil y preescolar (incluida la obligatoria) para los niños en situación de exclusión social, de pobreza o de riesgo que pueda conducir a la exclusión social.</w:t>
      </w:r>
    </w:p>
    <w:p w14:paraId="01E42DF3" w14:textId="77777777" w:rsidR="00D31C0A" w:rsidRPr="00D31C0A" w:rsidRDefault="00D31C0A" w:rsidP="00D31C0A">
      <w:pPr>
        <w:pStyle w:val="SingleTxtG"/>
      </w:pPr>
      <w:r w:rsidRPr="00D31C0A">
        <w:t>22.</w:t>
      </w:r>
      <w:r w:rsidRPr="00D31C0A">
        <w:tab/>
        <w:t>En 2018 los conceptos “familia en riesgo social”, “niño en riesgo social” y “persona en riesgo social” fueron eliminados de los instrumentos jurídicos por ser discriminatorios e incompatibles con los principios de los derechos humanos. También ha desaparecido la lista de familias en riesgo y niños en riesgo que se compilaba antes. Con ello se garantiza que las familias y los niños no sean discriminados por su condición social y no experimenten la exclusión social ni la estigmatización. Los servicios sociales se destinan ahora a todos los niños y sus familias, no solo en los que experimentan un riesgo social.</w:t>
      </w:r>
    </w:p>
    <w:p w14:paraId="29C37AA7" w14:textId="77777777" w:rsidR="00D31C0A" w:rsidRPr="00D31C0A" w:rsidRDefault="00D31C0A" w:rsidP="00D31C0A">
      <w:pPr>
        <w:pStyle w:val="SingleTxtG"/>
      </w:pPr>
      <w:r w:rsidRPr="00D31C0A">
        <w:t>23.</w:t>
      </w:r>
      <w:r w:rsidRPr="00D31C0A">
        <w:tab/>
        <w:t>Se han llevado a cabo diversas actividades de sensibilización dirigidas a reducir las actitudes negativas hacia los niños que se quedan sin el cuidado de sus padres. En 2023 se aprobó el Plan de Acción Nacional para la Aplicación del Sistema de Garantía Infantil en 2023-2030, que incluye 38 medidas destinadas a combatir la pobreza infantil y la exclusión social, prestando especial atención a los grupos de niños más vulnerables.</w:t>
      </w:r>
    </w:p>
    <w:p w14:paraId="4B451510" w14:textId="7E50CEEF" w:rsidR="00D31C0A" w:rsidRPr="00D31C0A" w:rsidRDefault="00334BEE" w:rsidP="00334BEE">
      <w:pPr>
        <w:pStyle w:val="H1G"/>
      </w:pPr>
      <w:bookmarkStart w:id="5" w:name="_Hlk149648732"/>
      <w:r>
        <w:tab/>
      </w:r>
      <w:r w:rsidR="00D31C0A" w:rsidRPr="00D31C0A">
        <w:tab/>
        <w:t>Respuesta al párrafo 3 b) de la lista de cuestiones</w:t>
      </w:r>
    </w:p>
    <w:bookmarkEnd w:id="5"/>
    <w:p w14:paraId="3445E0BA" w14:textId="77777777" w:rsidR="00D31C0A" w:rsidRPr="00D31C0A" w:rsidRDefault="00D31C0A" w:rsidP="00D31C0A">
      <w:pPr>
        <w:pStyle w:val="SingleTxtG"/>
      </w:pPr>
      <w:r w:rsidRPr="00D31C0A">
        <w:t>24.</w:t>
      </w:r>
      <w:r w:rsidRPr="00D31C0A">
        <w:tab/>
        <w:t>En todos los instrumentos jurídicos de Lituania en los que se regula la protección de los derechos del niño se establece claramente que, al tomar cualquier decisión que tenga un impacto directo o indirecto sobre ellos, es necesario tomar como base el interés superior del niño.</w:t>
      </w:r>
    </w:p>
    <w:p w14:paraId="77CB1835" w14:textId="0B2D3645" w:rsidR="00D31C0A" w:rsidRPr="00D31C0A" w:rsidRDefault="00D31C0A" w:rsidP="00D31C0A">
      <w:pPr>
        <w:pStyle w:val="SingleTxtG"/>
      </w:pPr>
      <w:r w:rsidRPr="00D31C0A">
        <w:t>25.</w:t>
      </w:r>
      <w:r w:rsidRPr="00D31C0A">
        <w:tab/>
        <w:t xml:space="preserve">Ese principio se interpreta y aplica igualmente en los procedimientos judiciales a la hora de tomar decisiones; se refleja, por ejemplo, en la práctica constante del Tribunal Supremo de Lituania, que desarrolló el concepto del interés superior del niño. Según ese concepto, los representantes del niño y demás personas y entidades jurídicas deben atenerse a la prioridad del interés superior del niño. Ese principio se aplica teniendo en cuenta la situación específica de cada niño, evaluando y determinando qué es lo mejor para él ahora y qué será lo mejor para él en el futuro, teniendo en cuenta su opinión; su identidad; la preservación del entorno familiar y los lazos familiares y el mantenimiento de las relaciones; y la evolución de </w:t>
      </w:r>
      <w:r w:rsidR="008A46F7">
        <w:t>las</w:t>
      </w:r>
      <w:r w:rsidRPr="00D31C0A">
        <w:t xml:space="preserve"> necesidades del niño de acuerdo con su edad, capacidades y madurez, y velando por su desarrollo adecuado, su seguridad física y mental, su derecho a la salud y la </w:t>
      </w:r>
      <w:r w:rsidRPr="00D31C0A">
        <w:lastRenderedPageBreak/>
        <w:t>educación y la satisfacción de otras necesidades especiales. Se debe proporcionar al niño la protección necesaria para su bienestar, recurriendo para ello a todas las medidas posibles.</w:t>
      </w:r>
    </w:p>
    <w:p w14:paraId="456CA4E3" w14:textId="77777777" w:rsidR="00D31C0A" w:rsidRPr="00D31C0A" w:rsidRDefault="00D31C0A" w:rsidP="00D31C0A">
      <w:pPr>
        <w:pStyle w:val="SingleTxtG"/>
      </w:pPr>
      <w:r w:rsidRPr="00D31C0A">
        <w:t>26.</w:t>
      </w:r>
      <w:r w:rsidRPr="00D31C0A">
        <w:tab/>
        <w:t>A partir del 1 de agosto de 2023, han empezado a trabajar en cuatro unidades territoriales del Servicio de Protección de los Derechos del Niño psicólogos profesionales que escuchan a los niños en situaciones de divorcio especialmente complejas y conflictivas y, junto con un abogado, preparan para el tribunal unas conclusiones en las que plantean soluciones que respondan al interés superior del niño. El principio del interés superior del niño debe aplicarse también en cualquier otro proceso, por ejemplo, los relacionados con la gestión de casos, la acogida y la adopción, etc.</w:t>
      </w:r>
    </w:p>
    <w:p w14:paraId="73FE6736" w14:textId="31A69FF4" w:rsidR="00D31C0A" w:rsidRPr="00D31C0A" w:rsidRDefault="00D31C0A" w:rsidP="00D31C0A">
      <w:pPr>
        <w:pStyle w:val="SingleTxtG"/>
      </w:pPr>
      <w:r w:rsidRPr="00D31C0A">
        <w:t>27.</w:t>
      </w:r>
      <w:r w:rsidRPr="00D31C0A">
        <w:tab/>
        <w:t xml:space="preserve">El interés superior del niño también se tiene en cuenta a la hora de determinar el estatuto jurídico de los menores en virtud de la Ley sobre la Condición Jurídica de los Extranjeros y de tomar otras decisiones. El nombramiento de representantes de los menores no acompañados, los derechos concedidos a esos menores y el procedimiento de alojamiento están claramente definidos en esa </w:t>
      </w:r>
      <w:r w:rsidR="00B565A6">
        <w:t>l</w:t>
      </w:r>
      <w:r w:rsidRPr="00D31C0A">
        <w:t xml:space="preserve">ey. Se han introducido enmiendas a la </w:t>
      </w:r>
      <w:r w:rsidR="00B565A6">
        <w:t>l</w:t>
      </w:r>
      <w:r w:rsidRPr="00D31C0A">
        <w:t xml:space="preserve">ey que permiten recurrir a un procedimiento más rápido y simplificado para designar al representante de </w:t>
      </w:r>
      <w:r w:rsidR="00B565A6">
        <w:t>u</w:t>
      </w:r>
      <w:r w:rsidRPr="00D31C0A">
        <w:t>n menor no acompañado en los casos en que se haya declarado el estado de guerra o el estado de emergencia o de que se plantee una situación de alarma debida a una afluencia masiva de extranjeros. Se establece claramente que las personas vulnerables y las familias con menores solo podrán ser detenidas en casos excepcionales, teniendo en cuenta el interés superior del niño y de las personas vulnerables.</w:t>
      </w:r>
    </w:p>
    <w:p w14:paraId="01CA7F27" w14:textId="77777777" w:rsidR="00D31C0A" w:rsidRPr="00D31C0A" w:rsidRDefault="00D31C0A" w:rsidP="00D31C0A">
      <w:pPr>
        <w:pStyle w:val="SingleTxtG"/>
      </w:pPr>
      <w:r w:rsidRPr="00D31C0A">
        <w:t>28.</w:t>
      </w:r>
      <w:r w:rsidRPr="00D31C0A">
        <w:tab/>
        <w:t>En la respuesta al párrafo 23 de la lista de cuestiones se ofrece información sobre la participación de los niños en la toma de decisiones.</w:t>
      </w:r>
    </w:p>
    <w:p w14:paraId="507CAA72" w14:textId="42F81201" w:rsidR="00D31C0A" w:rsidRPr="00D31C0A" w:rsidRDefault="00D31C0A" w:rsidP="00334BEE">
      <w:pPr>
        <w:pStyle w:val="H1G"/>
      </w:pPr>
      <w:r w:rsidRPr="00D31C0A">
        <w:tab/>
      </w:r>
      <w:r w:rsidR="00334BEE">
        <w:tab/>
      </w:r>
      <w:r w:rsidRPr="00D31C0A">
        <w:t>Respuesta al párrafo 3 c) de la lista de cuestiones</w:t>
      </w:r>
    </w:p>
    <w:p w14:paraId="59A3C8DB" w14:textId="77777777" w:rsidR="00D31C0A" w:rsidRPr="00D31C0A" w:rsidRDefault="00D31C0A" w:rsidP="00D31C0A">
      <w:pPr>
        <w:pStyle w:val="SingleTxtG"/>
      </w:pPr>
      <w:r w:rsidRPr="00D31C0A">
        <w:t>29.</w:t>
      </w:r>
      <w:r w:rsidRPr="00D31C0A">
        <w:tab/>
        <w:t>Los niños forman parte del Consejo Interinstitucional para el Bienestar del Niño, dependiente del Gobierno.</w:t>
      </w:r>
    </w:p>
    <w:p w14:paraId="7B5D6A8C" w14:textId="77777777" w:rsidR="00D31C0A" w:rsidRPr="00D31C0A" w:rsidRDefault="00D31C0A" w:rsidP="00D31C0A">
      <w:pPr>
        <w:pStyle w:val="SingleTxtG"/>
      </w:pPr>
      <w:r w:rsidRPr="00D31C0A">
        <w:t>30.</w:t>
      </w:r>
      <w:r w:rsidRPr="00D31C0A">
        <w:tab/>
        <w:t>La necesidad de escuchar la opinión de un niño sobre cualquier cuestión que le afecte está consagrada no solo en la Ley sobre los Principios de la Protección de los Derechos del Niño, sino también en otros instrumentos jurídicos en virtud de los cuales se regula la protección de esos derechos. Por ejemplo, el Servicio de Protección de los Derechos del Niño está obligado por ley a escuchar la opinión del niño y tenerla en cuenta a la hora de evaluar su situación y elegir para él un lugar de alojamiento temporal o de acogida, una familia de acogida o un lugar de cuidado. La opinión del niño también se escucha y se tiene en cuenta durante las reuniones de gestión de casos, las reuniones de los comités de bienestar infantil, los procedimientos judiciales en casos de disputas sobre la custodia de los hijos, etc.</w:t>
      </w:r>
    </w:p>
    <w:p w14:paraId="49CD79C4" w14:textId="77777777" w:rsidR="00D31C0A" w:rsidRPr="00D31C0A" w:rsidRDefault="00D31C0A" w:rsidP="00D31C0A">
      <w:pPr>
        <w:pStyle w:val="SingleTxtG"/>
      </w:pPr>
      <w:r w:rsidRPr="00D31C0A">
        <w:t>31.</w:t>
      </w:r>
      <w:r w:rsidRPr="00D31C0A">
        <w:tab/>
        <w:t>En 2023, el Servicio de Protección de los Derechos del Niño elaboró y publicó una “Guía metodológica para escuchar la opinión del niño”, destinada a los especialistas del Servicio. Sin embargo, dado que la necesidad de escuchar la opinión del niño se plantea constantemente también para otros especialistas, esa guía se distribuyó también a otras organizaciones, instituciones y agencias que trabajan con niños, y también se divulgó públicamente.</w:t>
      </w:r>
    </w:p>
    <w:p w14:paraId="6AC5263F" w14:textId="77777777" w:rsidR="00D31C0A" w:rsidRPr="00D31C0A" w:rsidRDefault="00D31C0A" w:rsidP="00D31C0A">
      <w:pPr>
        <w:pStyle w:val="SingleTxtG"/>
      </w:pPr>
      <w:r w:rsidRPr="00D31C0A">
        <w:t>32.</w:t>
      </w:r>
      <w:r w:rsidRPr="00D31C0A">
        <w:tab/>
        <w:t>Puede verse más información en la respuesta al párrafo 23 de la lista de cuestiones.</w:t>
      </w:r>
    </w:p>
    <w:p w14:paraId="28593B1F" w14:textId="66219580" w:rsidR="00D31C0A" w:rsidRPr="00D31C0A" w:rsidRDefault="00D31C0A" w:rsidP="00334BEE">
      <w:pPr>
        <w:pStyle w:val="H1G"/>
      </w:pPr>
      <w:r w:rsidRPr="00D31C0A">
        <w:tab/>
      </w:r>
      <w:r w:rsidR="00334BEE">
        <w:tab/>
      </w:r>
      <w:r w:rsidRPr="00D31C0A">
        <w:t>Respuesta al párrafo 4 a) de la lista de cuestiones</w:t>
      </w:r>
    </w:p>
    <w:p w14:paraId="023DCE09" w14:textId="77777777" w:rsidR="00D31C0A" w:rsidRPr="00D31C0A" w:rsidRDefault="00D31C0A" w:rsidP="00D31C0A">
      <w:pPr>
        <w:pStyle w:val="SingleTxtG"/>
      </w:pPr>
      <w:r w:rsidRPr="00D31C0A">
        <w:t>33.</w:t>
      </w:r>
      <w:r w:rsidRPr="00D31C0A">
        <w:tab/>
        <w:t>Se han adoptado medidas para ayudar a las familias que esperan un hijo y durante los primeros años de vida de este. Por ejemplo, hay una medida que se aplica en el ámbito de la salud denominada “Desarrollo de un modelo de intervención temprana de visitas a domicilio”. El objetivo es potenciar las habilidades parentales y proporcionar el apoyo necesario durante el embarazo, después del nacimiento y durante el primer año de vida del niño. En el marco de esa medida se están llevando a cabo 13 proyectos piloto en los que se visita a 325 familias.</w:t>
      </w:r>
    </w:p>
    <w:p w14:paraId="1815E479" w14:textId="77777777" w:rsidR="00D31C0A" w:rsidRPr="00D31C0A" w:rsidRDefault="00D31C0A" w:rsidP="00D31C0A">
      <w:pPr>
        <w:pStyle w:val="SingleTxtG"/>
      </w:pPr>
      <w:r w:rsidRPr="00D31C0A">
        <w:lastRenderedPageBreak/>
        <w:t>34.</w:t>
      </w:r>
      <w:r w:rsidRPr="00D31C0A">
        <w:tab/>
        <w:t>El Ministerio de Salud ha creado un grupo de trabajo encargado de preparar un procedimiento de prestación y financiación de servicios de intervención temprana (ambulatorios) para las familias durante el embarazo y los dos primeros años de vida del niño. Se espera que dichos servicios puedan prestarse habitualmente, y proporcionar así ayuda y atención para los niños lituanos en el período prenatal, postnatal y durante los dos primeros años de vida.</w:t>
      </w:r>
    </w:p>
    <w:p w14:paraId="1AEAA817" w14:textId="77777777" w:rsidR="00D31C0A" w:rsidRPr="00D31C0A" w:rsidRDefault="00D31C0A" w:rsidP="00D31C0A">
      <w:pPr>
        <w:pStyle w:val="SingleTxtG"/>
      </w:pPr>
      <w:r w:rsidRPr="00D31C0A">
        <w:t>35.</w:t>
      </w:r>
      <w:r w:rsidRPr="00D31C0A">
        <w:tab/>
        <w:t>En el ámbito social, a partir de 2022 se empezó a asignar cuidadores individuales a familias en situación de riesgo social con niños menores de 24 meses y a familias con niños con trastornos del desarrollo o con discapacidad menores de 36 meses.</w:t>
      </w:r>
    </w:p>
    <w:p w14:paraId="373F3254" w14:textId="77777777" w:rsidR="00D31C0A" w:rsidRPr="00D31C0A" w:rsidRDefault="00D31C0A" w:rsidP="00D31C0A">
      <w:pPr>
        <w:pStyle w:val="SingleTxtG"/>
      </w:pPr>
      <w:r w:rsidRPr="00D31C0A">
        <w:t>36.</w:t>
      </w:r>
      <w:r w:rsidRPr="00D31C0A">
        <w:tab/>
        <w:t>Actualmente, el Ministerio de Trabajo y Seguridad Social, junto con el Ministerio de Salud, están debatiendo otras medidas tendientes a fortalecer el apoyo de calidad a las familias que esperan un hijo</w:t>
      </w:r>
      <w:r w:rsidRPr="00D31C0A">
        <w:rPr>
          <w:lang w:val="en-GB"/>
        </w:rPr>
        <w:t xml:space="preserve"> </w:t>
      </w:r>
      <w:r w:rsidRPr="00D31C0A">
        <w:t>o tienen un hijo pequeño. Por ejemplo, está previsto incluir en el programa de formación para 2024 del Centro para la Mejora de las Competencias Profesionales (destinado a trabajadores sociales, cuidadores individuales y asistentes personales) elementos sobre las señales de aviso y el reconocimiento de la depresión posparto.</w:t>
      </w:r>
    </w:p>
    <w:p w14:paraId="0E7A8E4B" w14:textId="31713FBE" w:rsidR="00D31C0A" w:rsidRPr="00D31C0A" w:rsidRDefault="00334BEE" w:rsidP="00334BEE">
      <w:pPr>
        <w:pStyle w:val="H1G"/>
      </w:pPr>
      <w:r>
        <w:tab/>
      </w:r>
      <w:r w:rsidR="00D31C0A" w:rsidRPr="00D31C0A">
        <w:tab/>
        <w:t>Respuesta al párrafo 4 b) de la lista de cuestiones</w:t>
      </w:r>
    </w:p>
    <w:p w14:paraId="0EB19B8E" w14:textId="77777777" w:rsidR="00D31C0A" w:rsidRPr="00D31C0A" w:rsidRDefault="00D31C0A" w:rsidP="00D31C0A">
      <w:pPr>
        <w:pStyle w:val="SingleTxtG"/>
      </w:pPr>
      <w:r w:rsidRPr="00D31C0A">
        <w:t>37.</w:t>
      </w:r>
      <w:r w:rsidRPr="00D31C0A">
        <w:tab/>
        <w:t>En 2021 entraron en vigor algunas enmiendas de la Ley de Ciudadanía, en las que se establecen mejores condiciones para los niños:</w:t>
      </w:r>
    </w:p>
    <w:p w14:paraId="4EA954ED" w14:textId="77777777" w:rsidR="00D31C0A" w:rsidRPr="00D31C0A" w:rsidRDefault="00D31C0A" w:rsidP="00D31C0A">
      <w:pPr>
        <w:pStyle w:val="SingleTxtG"/>
      </w:pPr>
      <w:r w:rsidRPr="00D31C0A">
        <w:tab/>
        <w:t>a)</w:t>
      </w:r>
      <w:r w:rsidRPr="00D31C0A">
        <w:tab/>
        <w:t>Los hijos de apátridas residentes en Lituania, ya sea de forma permanente o temporal adquieren la ciudadanía lituana al nacer, independientemente de su lugar de nacimiento;</w:t>
      </w:r>
    </w:p>
    <w:p w14:paraId="512BE6BB" w14:textId="07ED5B14" w:rsidR="00D31C0A" w:rsidRPr="00D31C0A" w:rsidRDefault="00D31C0A" w:rsidP="00D31C0A">
      <w:pPr>
        <w:pStyle w:val="SingleTxtG"/>
      </w:pPr>
      <w:r w:rsidRPr="00D31C0A">
        <w:tab/>
        <w:t>b)</w:t>
      </w:r>
      <w:r w:rsidRPr="00D31C0A">
        <w:tab/>
        <w:t>Un niño del que uno de los progenitores sea apátrida residente en Lituania, ya sea de forma permanente o temporal, y el otro sea desconocido, adquiere la ciudadanía lituana al nacer, independientemente de su lugar de nacimiento;</w:t>
      </w:r>
    </w:p>
    <w:p w14:paraId="1C3F7D96" w14:textId="77777777" w:rsidR="00D31C0A" w:rsidRPr="00D31C0A" w:rsidRDefault="00D31C0A" w:rsidP="00D31C0A">
      <w:pPr>
        <w:pStyle w:val="SingleTxtG"/>
      </w:pPr>
      <w:r w:rsidRPr="00D31C0A">
        <w:tab/>
        <w:t>c)</w:t>
      </w:r>
      <w:r w:rsidRPr="00D31C0A">
        <w:tab/>
        <w:t>Una persona menor de 18 años que solicite la concesión de la ciudadanía lituana a través del procedimiento de naturalización, no estará sujeta a los requisitos de aprobar el examen de lengua estatal, aprobar el examen básico de conocimiento de la Constitución y tener una fuente legal de sustento. A un apátrida menor de 18 años, nacido en el territorio de Lituania, que solicite la concesión de la ciudadanía lituana, se le podrá conceder la ciudadanía si ha residido legalmente en el país durante los cinco años anteriores, no ha adquirido la ciudadanía de otro país y tiene derecho a residir en el país en el momento de presentar la solicitud y de que se adopte la decisión sobre la concesión de la nacionalidad lituana.</w:t>
      </w:r>
    </w:p>
    <w:p w14:paraId="4AC19B50" w14:textId="66C91DD4" w:rsidR="00D31C0A" w:rsidRPr="00D31C0A" w:rsidRDefault="00D31C0A" w:rsidP="00334BEE">
      <w:pPr>
        <w:pStyle w:val="H1G"/>
      </w:pPr>
      <w:r w:rsidRPr="00D31C0A">
        <w:tab/>
      </w:r>
      <w:r w:rsidR="00334BEE">
        <w:tab/>
      </w:r>
      <w:r w:rsidRPr="00D31C0A">
        <w:t>Respuesta al párrafo 4 c) de la lista de cuestiones</w:t>
      </w:r>
    </w:p>
    <w:p w14:paraId="00703245" w14:textId="39A14954" w:rsidR="00D31C0A" w:rsidRPr="00D31C0A" w:rsidRDefault="00D31C0A" w:rsidP="00D31C0A">
      <w:pPr>
        <w:pStyle w:val="SingleTxtG"/>
      </w:pPr>
      <w:r w:rsidRPr="00D31C0A">
        <w:t>38.</w:t>
      </w:r>
      <w:r w:rsidRPr="00D31C0A">
        <w:tab/>
        <w:t>Constantemente se llevan a cabo diversas actividades educativas y de otro tipo. Por ejemplo, desde 2021 los agentes comunitarios de la policía lituana aplican la medida “Cultura de Internet. Prevención del ciberacoso”. En 2020 participaron en eventos organizados por escuelas de educación general y publicaron información de interés en diversos medios. En</w:t>
      </w:r>
      <w:r w:rsidR="00DB5D1C">
        <w:t> </w:t>
      </w:r>
      <w:r w:rsidRPr="00D31C0A">
        <w:t>2023, el Departamento de Policía inició diversos debates públicos sobre el tema de las redes sociales.</w:t>
      </w:r>
    </w:p>
    <w:p w14:paraId="6B452B40" w14:textId="77777777" w:rsidR="00D31C0A" w:rsidRPr="00D31C0A" w:rsidRDefault="00D31C0A" w:rsidP="00D31C0A">
      <w:pPr>
        <w:pStyle w:val="SingleTxtG"/>
      </w:pPr>
      <w:r w:rsidRPr="00D31C0A">
        <w:t>39.</w:t>
      </w:r>
      <w:r w:rsidRPr="00D31C0A">
        <w:tab/>
        <w:t>En noviembre de 2022 se puso en marcha una línea telefónica sobre los derechos del niño a través de la cual niños y adultos pueden plantear cualquier pregunta relacionada con ese tema. También se pueden hacer preguntas por correo electrónico. La línea también puede utilizarse para denunciar casos de violación de los derechos del niño (los niños también pueden hacerlo). Para que el proceso de presentación de denuncias sea lo más fluido posible, el Servicio de Protección de los Derechos del Niño ha publicado unas normas para tramitar las solicitudes y denuncias de particulares.</w:t>
      </w:r>
    </w:p>
    <w:p w14:paraId="57991A34" w14:textId="77777777" w:rsidR="00D31C0A" w:rsidRPr="00D31C0A" w:rsidRDefault="00D31C0A" w:rsidP="00D31C0A">
      <w:pPr>
        <w:pStyle w:val="SingleTxtG"/>
      </w:pPr>
      <w:r w:rsidRPr="00D31C0A">
        <w:t>40.</w:t>
      </w:r>
      <w:r w:rsidRPr="00D31C0A">
        <w:tab/>
        <w:t xml:space="preserve">En 2016 se introdujeron modificaciones en la Ley de Educación, gracias a las cuales se introdujeron muchos cambios positivos en relación con la prevención y la intervención en </w:t>
      </w:r>
      <w:r w:rsidRPr="00D31C0A">
        <w:lastRenderedPageBreak/>
        <w:t>materia de violencia en las escuelas (incluido el acoso escolar). En 2017, el Ministerio de Trabajo y Seguridad Social aprobó las “Recomendaciones para la aplicación de la prevención de la violencia en las escuelas”. Durante el período 2019-2023, se adoptaron diversas medidas en el ámbito de la prevención del acoso escolar (materiales docentes, recomendaciones, etc.). Continúa la aplicación de la medida “Rechazo del Bullying” en las escuelas lituanas (se aplica en 502 de ellas). El Ministerio publica una lista de programas preventivos y de desarrollo de aptitudes socioemocionales recomendados para su aplicación en las escuelas (las escuelas pueden elegir qué programas desean aplicar).</w:t>
      </w:r>
    </w:p>
    <w:p w14:paraId="278F2E1C" w14:textId="77777777" w:rsidR="00D31C0A" w:rsidRPr="00D31C0A" w:rsidRDefault="00D31C0A" w:rsidP="00D31C0A">
      <w:pPr>
        <w:pStyle w:val="SingleTxtG"/>
      </w:pPr>
      <w:r w:rsidRPr="00D31C0A">
        <w:t>41.</w:t>
      </w:r>
      <w:r w:rsidRPr="00D31C0A">
        <w:tab/>
        <w:t xml:space="preserve">Se está llevando a cabo el proyecto “Por una Internet más segura”. Durante su ejecución en todos los países de la Unión Europea se crearon centros nacionales para una Internet más segura, que actualmente funcionan en 30 países y están unidos por las redes </w:t>
      </w:r>
      <w:proofErr w:type="spellStart"/>
      <w:r w:rsidRPr="00D31C0A">
        <w:t>INSAFE</w:t>
      </w:r>
      <w:proofErr w:type="spellEnd"/>
      <w:r w:rsidRPr="00D31C0A">
        <w:t xml:space="preserve"> e </w:t>
      </w:r>
      <w:proofErr w:type="spellStart"/>
      <w:r w:rsidRPr="00D31C0A">
        <w:t>INHOPE</w:t>
      </w:r>
      <w:proofErr w:type="spellEnd"/>
      <w:r w:rsidRPr="00D31C0A">
        <w:t>. Con ese proyecto se pretende hacer de Internet un entorno fiable e implicar a los niños y jóvenes en la creación de un espacio más seguro en la red.</w:t>
      </w:r>
    </w:p>
    <w:p w14:paraId="3AE8AD42" w14:textId="77777777" w:rsidR="00D31C0A" w:rsidRPr="00D31C0A" w:rsidRDefault="00D31C0A" w:rsidP="00D31C0A">
      <w:pPr>
        <w:pStyle w:val="SingleTxtG"/>
      </w:pPr>
      <w:r w:rsidRPr="00D31C0A">
        <w:t>42.</w:t>
      </w:r>
      <w:r w:rsidRPr="00D31C0A">
        <w:tab/>
        <w:t>El Organismo Nacional de Educación impartió formación a 120 especialistas en los ámbitos de la trata de personas y la prevención del acoso y la violencia en todos los municipios de Lituania. Esos especialistas impartieron clases en las escuelas y ofrecieron asesoramiento a alumnos, padres y profesores, y a los comités escolares de bienestar infantil. Se han preparado diversos materiales metodológicos.</w:t>
      </w:r>
    </w:p>
    <w:p w14:paraId="0B4B8297" w14:textId="667E4CFD" w:rsidR="00D31C0A" w:rsidRPr="00D31C0A" w:rsidRDefault="00334BEE" w:rsidP="00334BEE">
      <w:pPr>
        <w:pStyle w:val="H1G"/>
      </w:pPr>
      <w:r>
        <w:tab/>
      </w:r>
      <w:r w:rsidR="00D31C0A" w:rsidRPr="00D31C0A">
        <w:tab/>
        <w:t>Respuesta al párrafo 4 d) de la lista de cuestiones</w:t>
      </w:r>
    </w:p>
    <w:p w14:paraId="6ADD8483" w14:textId="77777777" w:rsidR="00D31C0A" w:rsidRPr="00D31C0A" w:rsidRDefault="00D31C0A" w:rsidP="00D31C0A">
      <w:pPr>
        <w:pStyle w:val="SingleTxtG"/>
      </w:pPr>
      <w:bookmarkStart w:id="6" w:name="_Hlk148009359"/>
      <w:r w:rsidRPr="00D31C0A">
        <w:t>43.</w:t>
      </w:r>
      <w:r w:rsidRPr="00D31C0A">
        <w:tab/>
        <w:t>La policía de Lituania coopera con el Centro Nacional para Menores Desaparecidos y Explotados de los Estados Unidos de América. En 2022 se recibieron unos 4.900 informes de ese Centro sobre la detección de contenido de naturaleza sexual en Internet (incluido material pornográfico y sobre abusos sexuales), y en los tres primeros meses de 2023 se recibieron 2.200 informes.</w:t>
      </w:r>
    </w:p>
    <w:p w14:paraId="4F31957E" w14:textId="7C6BC947" w:rsidR="00D31C0A" w:rsidRPr="00D31C0A" w:rsidRDefault="00D31C0A" w:rsidP="00D31C0A">
      <w:pPr>
        <w:pStyle w:val="SingleTxtG"/>
      </w:pPr>
      <w:bookmarkStart w:id="7" w:name="_Hlk140670700"/>
      <w:r w:rsidRPr="00D31C0A">
        <w:t>44.</w:t>
      </w:r>
      <w:r w:rsidRPr="00D31C0A">
        <w:tab/>
        <w:t>El Organismo de Regulación de las Comunicaciones supervisa cómo quienes prestan servicios de acceso a redes informáticas públicas, como la Internet (en lo sucesivo, proveedores de servicios), garantizan la instalación y el funcionamiento de herramientas de filtrado de contenidos nocivos de Internet que tengan un impacto negativo en los menores. Desde 2019 se realiza una encuesta anual entre los proveedores de servicios (centros de educación infantil y bibliotecas públicas) sobre el uso de herramientas de filtrado en los puntos de acceso a las redes informáticas públicas desde los que los menores pueden visitar la Internet y navegar por ella. Desde la primera encuesta del Organismo, realizada en 2019, el número de proveedores de servicios que proporcionan información se ha multiplicado por un factor de 2,6 (179 en 2019, y 818 en 2023), y la proporción de proveedores de servicios que utilizan las medidas de filtrado obligatorias aumentó en un 50 % (43 en 2019 (25 %) y</w:t>
      </w:r>
      <w:r w:rsidR="0073546A">
        <w:t> </w:t>
      </w:r>
      <w:r w:rsidRPr="00D31C0A">
        <w:t>606 en 2023 (75 %)). Desde 2023, los expertos de</w:t>
      </w:r>
      <w:r w:rsidR="002D5C42">
        <w:t>l</w:t>
      </w:r>
      <w:r w:rsidRPr="00D31C0A">
        <w:t xml:space="preserve"> Organismo de Regulación de las Comunicaciones visitan las instituciones y no solo comprueban si los proveedores de servicios filtran los contenidos de Internet con herramientas de filtrado aprobadas, sino que también asesoran sobre el uso, la instalación y otras cuestiones relacionadas con esas herramientas. Además, el Organismo ha aprobado 10 herramientas de filtrado que actualiza periódicamente.</w:t>
      </w:r>
    </w:p>
    <w:p w14:paraId="3C40DF03" w14:textId="2AE9CE94" w:rsidR="00D31C0A" w:rsidRPr="00D31C0A" w:rsidRDefault="00D31C0A" w:rsidP="00D31C0A">
      <w:pPr>
        <w:pStyle w:val="SingleTxtG"/>
      </w:pPr>
      <w:r w:rsidRPr="00D31C0A">
        <w:t>45.</w:t>
      </w:r>
      <w:r w:rsidRPr="00D31C0A">
        <w:tab/>
        <w:t xml:space="preserve">El Organismo de Regulación de las Comunicaciones también administra el sitio web </w:t>
      </w:r>
      <w:hyperlink r:id="rId9" w:history="1">
        <w:proofErr w:type="spellStart"/>
        <w:r w:rsidRPr="00D31C0A">
          <w:rPr>
            <w:rStyle w:val="Hipervnculo"/>
          </w:rPr>
          <w:t>www.esaugumas.lt</w:t>
        </w:r>
        <w:proofErr w:type="spellEnd"/>
      </w:hyperlink>
      <w:r w:rsidRPr="00D31C0A">
        <w:t>, en el que se ofrece a los internautas información sobre diversas cuestiones relacionadas con la seguridad en la red.</w:t>
      </w:r>
    </w:p>
    <w:bookmarkEnd w:id="6"/>
    <w:bookmarkEnd w:id="7"/>
    <w:p w14:paraId="1FB84092" w14:textId="2A9AAB8D" w:rsidR="00D31C0A" w:rsidRPr="00D31C0A" w:rsidRDefault="00334BEE" w:rsidP="00334BEE">
      <w:pPr>
        <w:pStyle w:val="H1G"/>
      </w:pPr>
      <w:r>
        <w:tab/>
      </w:r>
      <w:r w:rsidR="00D31C0A" w:rsidRPr="00D31C0A">
        <w:tab/>
        <w:t>Respuesta al párrafo 5 a) de la lista de cuestiones</w:t>
      </w:r>
    </w:p>
    <w:p w14:paraId="7A91E9A4" w14:textId="77777777" w:rsidR="00D31C0A" w:rsidRPr="00D31C0A" w:rsidRDefault="00D31C0A" w:rsidP="00D31C0A">
      <w:pPr>
        <w:pStyle w:val="SingleTxtG"/>
      </w:pPr>
      <w:r w:rsidRPr="00D31C0A">
        <w:t>46.</w:t>
      </w:r>
      <w:r w:rsidRPr="00D31C0A">
        <w:tab/>
        <w:t xml:space="preserve">Se han adoptado muchas medidas diferentes para ayudar a los padres a educar a sus hijos de forma no violenta. Por ejemplo, se financia la línea de consulta gratuita “Línea para padres”; se imparte formación sobre el ejercicio positivo de la paternidad en los servicios integrales para proyectos familiares; se financian dos proyectos piloto de “Ventanilla única” (con los cuales, entre otras cosas, se ponen a prueba nuevas metodologías diseñadas para ayudar a los padres a resolver de forma no violenta los problemas que surgen, por ejemplo, durante los años de adolescencia del niño). También se han puesto en marcha servicios y </w:t>
      </w:r>
      <w:r w:rsidRPr="00D31C0A">
        <w:lastRenderedPageBreak/>
        <w:t>programas basados en datos, como la Conferencia Familiar, el programa de actuación parental positiva denominado Años Increíbles y el Programa de Terapia Familiar Multidimensional (destinado a niños con problemas de conducta complejos y a sus familiares). Algunos centros de salud pública también organizan grupos de mejora de las aptitudes para la crianza positiva dirigidos a padres y padres de acogida de niños de diversos grupos de edad. Desde 2017, año en que se prohibió el castigo corporal en el entorno familiar, se han llevado a cabo diversas actividades informativas y educativas. También se realizan esfuerzos para tratar de que la información esté disponible en varios idiomas. Por ejemplo, en 2020 se preparó un folleto informativo, dirigido a los padres y otros cuidadores de niños y menores, sobre los derechos del niño, por ejemplo, el derecho del niño a ser protegido de cualquier forma de violencia, incluido el castigo corporal, en el que se recordaba que la crianza de los niños debe basarse en métodos no violentos. Los folletos se redactan en lituano, polaco, ruso, inglés y árabe. Si es necesario, todas esas medidas pueden explicarse con más detalle.</w:t>
      </w:r>
    </w:p>
    <w:p w14:paraId="4ABD3928" w14:textId="5AC0D918" w:rsidR="00D31C0A" w:rsidRPr="00D31C0A" w:rsidRDefault="00334BEE" w:rsidP="00334BEE">
      <w:pPr>
        <w:pStyle w:val="H1G"/>
      </w:pPr>
      <w:r>
        <w:tab/>
      </w:r>
      <w:r w:rsidR="00D31C0A" w:rsidRPr="00D31C0A">
        <w:tab/>
        <w:t>Respuesta al párrafo 5 b) de la lista de cuestiones</w:t>
      </w:r>
    </w:p>
    <w:p w14:paraId="584681AE" w14:textId="77777777" w:rsidR="00D31C0A" w:rsidRPr="00D31C0A" w:rsidRDefault="00D31C0A" w:rsidP="00D31C0A">
      <w:pPr>
        <w:pStyle w:val="SingleTxtG"/>
      </w:pPr>
      <w:r w:rsidRPr="00D31C0A">
        <w:t>47.</w:t>
      </w:r>
      <w:r w:rsidRPr="00D31C0A">
        <w:tab/>
        <w:t>Desde 2020, los agentes comunitarios de la policía lituana aplican una medida que consiste en organizar reuniones en las comunidades sobre la promoción de la tolerancia cero hacia la violencia doméstica. El 1 de julio de 2023 entraron en vigor cambios en la Ley de Protección contra la Violencia Doméstica entre los que cabe mencionar la introducción en el ordenamiento jurídico una orden de protección urgente contra la violencia. Se ha mejorado el procedimiento de registro de incidentes por la policía y se ha implantado un nuevo sistema para evaluar el riesgo de violencia doméstica.</w:t>
      </w:r>
    </w:p>
    <w:p w14:paraId="23E9DB5C" w14:textId="77777777" w:rsidR="00D31C0A" w:rsidRPr="00D31C0A" w:rsidRDefault="00D31C0A" w:rsidP="00D31C0A">
      <w:pPr>
        <w:pStyle w:val="SingleTxtG"/>
      </w:pPr>
      <w:r w:rsidRPr="00D31C0A">
        <w:t>48.</w:t>
      </w:r>
      <w:r w:rsidRPr="00D31C0A">
        <w:tab/>
        <w:t>Con el fin de crear un entorno más seguro para los niños, en 2021 entraron en vigor enmiendas del Código Penal y del Código de Procedimiento Penal relacionadas con una nueva medida con efectos penales: la obligación de notificar el cambio de lugar de residencia de las personas que hayan cometido actos de violencia sexual contra niños o hayan participado en la trata de niños.</w:t>
      </w:r>
    </w:p>
    <w:p w14:paraId="5D912885" w14:textId="57FBEE7C" w:rsidR="00D31C0A" w:rsidRPr="00D31C0A" w:rsidRDefault="00D31C0A" w:rsidP="00D31C0A">
      <w:pPr>
        <w:pStyle w:val="SingleTxtG"/>
      </w:pPr>
      <w:r w:rsidRPr="00D31C0A">
        <w:t>49.</w:t>
      </w:r>
      <w:r w:rsidRPr="00D31C0A">
        <w:tab/>
        <w:t>Desde 2022 funciona la Línea sobre los Derechos del Niño. Además, desde hace muchos años se financia la Línea de Ayuda a la Infancia: si durante la llamada se pone de manifiesto que el niño necesita ayuda urgente o que la situación está relacionada con un caso de violación de los derechos del niño, se puede poner al niño o al adulto que ha llamado en contacto con especialistas en protección de los derechos del niño para que reciba ayuda lo antes posible. Para facilitar la comunicación de los niños, estos pueden ponerse en contacto con la Línea de Ayuda a la Infancia no solo por teléfono, sino también por chat o correo electrónico.</w:t>
      </w:r>
    </w:p>
    <w:p w14:paraId="24CC56D3" w14:textId="77777777" w:rsidR="00D31C0A" w:rsidRPr="00D31C0A" w:rsidRDefault="00D31C0A" w:rsidP="00D31C0A">
      <w:pPr>
        <w:pStyle w:val="SingleTxtG"/>
      </w:pPr>
      <w:r w:rsidRPr="00D31C0A">
        <w:t>50.</w:t>
      </w:r>
      <w:r w:rsidRPr="00D31C0A">
        <w:tab/>
        <w:t>El Servicio de Protección de los Derechos del Niño responde a la notificación de actos de violencia contra los menores las 24 horas del día, todos los días de la semana (incluidos los días festivos y los fines de semana). El Servicio está obligado por ley a responder a la mayor brevedad a las denuncias de posibles actos de violencia contra menores.</w:t>
      </w:r>
    </w:p>
    <w:p w14:paraId="4E2BB4B1" w14:textId="76F8FDAF" w:rsidR="00D31C0A" w:rsidRPr="00D31C0A" w:rsidRDefault="00D31C0A" w:rsidP="00D31C0A">
      <w:pPr>
        <w:pStyle w:val="SingleTxtG"/>
      </w:pPr>
      <w:r w:rsidRPr="00D31C0A">
        <w:t>51.</w:t>
      </w:r>
      <w:r w:rsidRPr="00D31C0A">
        <w:tab/>
        <w:t>En 2023 se llevó a cabo una actualización profunda del acuerdo a cinco bandas entre el Ministerio de Trabajo y Seguridad Social, el Servicio de Protección de los Derechos del Niño, el Defensor de los Derechos del Niño, la Fiscalía General y el Departamento de Policía. Con esa actualización, se han aclarado las condiciones y las actividades relativas al intercambio de información y la actuación interinstitucional cuando se detecte un posible caso de violencia sexual contra niños. Cabe señalar también que la ley obliga a todas las personas y a todas las instituciones, organizaciones u organismos a informar sobre los casos de violación de los derechos de los niños de los que tengan conocimiento, especialmente cuando se trata de actos de violencia.</w:t>
      </w:r>
    </w:p>
    <w:p w14:paraId="7DBFD48C" w14:textId="46222BE3" w:rsidR="00D31C0A" w:rsidRPr="00D31C0A" w:rsidRDefault="00D31C0A" w:rsidP="00334BEE">
      <w:pPr>
        <w:pStyle w:val="H1G"/>
      </w:pPr>
      <w:r w:rsidRPr="00D31C0A">
        <w:tab/>
      </w:r>
      <w:r w:rsidR="00334BEE">
        <w:tab/>
      </w:r>
      <w:r w:rsidRPr="00D31C0A">
        <w:t>Respuesta al párrafo 5 c) de la lista de cuestiones</w:t>
      </w:r>
    </w:p>
    <w:p w14:paraId="4349EE6D" w14:textId="77777777" w:rsidR="00D31C0A" w:rsidRPr="00D31C0A" w:rsidRDefault="00D31C0A" w:rsidP="00D31C0A">
      <w:pPr>
        <w:pStyle w:val="SingleTxtG"/>
      </w:pPr>
      <w:r w:rsidRPr="00D31C0A">
        <w:t>52.</w:t>
      </w:r>
      <w:r w:rsidRPr="00D31C0A">
        <w:tab/>
        <w:t xml:space="preserve">El Centro de Ayuda, que funciona desde el 3 de junio de 2016, es el único centro especializado de Lituania en el que se reúnen bajo un mismo techo todos los servicios necesarios para investigar los casos de violencia sexual contra menores. El Centro </w:t>
      </w:r>
      <w:r w:rsidRPr="00D31C0A">
        <w:lastRenderedPageBreak/>
        <w:t>proporciona asistencia integral gratuita a corto plazo a los niños que han sufrido violencia sexual y a sus familiares. Dado que es el único centro de ese tipo en Lituania, también ofrece un servicio gratuito de alojamiento para los niños que llegan de otros municipios. Con el fin de mejorar la calidad de las actividades del Centro, está previsto que pase a depender del Servicio de Protección de los Derechos del Niño.</w:t>
      </w:r>
    </w:p>
    <w:p w14:paraId="064CB746" w14:textId="7C7E1CE8" w:rsidR="00D31C0A" w:rsidRPr="00D31C0A" w:rsidRDefault="00D31C0A" w:rsidP="00D31C0A">
      <w:pPr>
        <w:pStyle w:val="SingleTxtG"/>
      </w:pPr>
      <w:r w:rsidRPr="00D31C0A">
        <w:t>53.</w:t>
      </w:r>
      <w:r w:rsidRPr="00D31C0A">
        <w:tab/>
        <w:t>También hay salas de interrogatorio adaptadas a los niños en 40 tribunales y 65</w:t>
      </w:r>
      <w:r w:rsidR="00A23BBA">
        <w:t> </w:t>
      </w:r>
      <w:r w:rsidRPr="00D31C0A">
        <w:t>comisarías de policía de toda Lituania.</w:t>
      </w:r>
    </w:p>
    <w:p w14:paraId="481FAC94" w14:textId="71C23DE5" w:rsidR="00D31C0A" w:rsidRPr="00D31C0A" w:rsidRDefault="00334BEE" w:rsidP="00334BEE">
      <w:pPr>
        <w:pStyle w:val="H1G"/>
      </w:pPr>
      <w:r>
        <w:tab/>
      </w:r>
      <w:r w:rsidR="00D31C0A" w:rsidRPr="00D31C0A">
        <w:tab/>
        <w:t>Respuesta al párrafo 5 d) de la lista de cuestiones</w:t>
      </w:r>
    </w:p>
    <w:p w14:paraId="022C93CB" w14:textId="77777777" w:rsidR="00D31C0A" w:rsidRPr="00D31C0A" w:rsidRDefault="00D31C0A" w:rsidP="00D31C0A">
      <w:pPr>
        <w:pStyle w:val="SingleTxtG"/>
      </w:pPr>
      <w:r w:rsidRPr="00D31C0A">
        <w:t>54.</w:t>
      </w:r>
      <w:r w:rsidRPr="00D31C0A">
        <w:tab/>
        <w:t>En 2021 se creó, dentro del Centro de Ayuda, un Centro Educativo en el que se llevan a cabo actividades preventivas para los niños y actividades educativas para sus allegados, los especialistas que trabajan con niños y las familias. En el Centro Educativo se utilizan juegos interactivos para la educación de los niños, cuyo objetivo es desarrollar sus aptitudes para el comportamiento seguro y el reconocimiento de los peligros ocultos en las situaciones sociales, ampliar los conocimientos de los niños sobre su propio cuerpo, y fomentar la conciencia de los niños sobre las posibilidades de obtener ayuda en caso de una situación de riesgo o ante un comportamiento inadecuado. El Centro de Ayuda organiza cada año cursos de formación para especialistas de diversas instituciones. También se ha preparado material metodológico.</w:t>
      </w:r>
    </w:p>
    <w:p w14:paraId="032E870D" w14:textId="0EA7D4F1" w:rsidR="00D31C0A" w:rsidRPr="00D31C0A" w:rsidRDefault="00D31C0A" w:rsidP="00D31C0A">
      <w:pPr>
        <w:pStyle w:val="SingleTxtG"/>
      </w:pPr>
      <w:r w:rsidRPr="00D31C0A">
        <w:t>55.</w:t>
      </w:r>
      <w:r w:rsidRPr="00D31C0A">
        <w:tab/>
        <w:t>En 2022 había 38 municipios que contaban con coordinadores de asuntos de la juventud que, como actividad independiente, trabajaban con los jóvenes en el ámbito de la prevención de la violencia doméstica. En 2022, en el marco de la organización del Premio Audiencia Joven, se organizaron actividades relacionadas con la prevención de la violencia sexual.</w:t>
      </w:r>
    </w:p>
    <w:p w14:paraId="2AFFA8F6" w14:textId="43CD7BE4" w:rsidR="00D31C0A" w:rsidRPr="00D31C0A" w:rsidRDefault="00D31C0A" w:rsidP="00334BEE">
      <w:pPr>
        <w:pStyle w:val="H1G"/>
      </w:pPr>
      <w:r w:rsidRPr="00D31C0A">
        <w:tab/>
      </w:r>
      <w:r w:rsidR="00334BEE">
        <w:tab/>
      </w:r>
      <w:r w:rsidRPr="00D31C0A">
        <w:t>Respuesta al párrafo 5 e) de la lista de cuestiones</w:t>
      </w:r>
    </w:p>
    <w:p w14:paraId="2D01A86D" w14:textId="77777777" w:rsidR="00D31C0A" w:rsidRPr="00D31C0A" w:rsidRDefault="00D31C0A" w:rsidP="00D31C0A">
      <w:pPr>
        <w:pStyle w:val="SingleTxtG"/>
      </w:pPr>
      <w:bookmarkStart w:id="8" w:name="_Hlk140670739"/>
      <w:r w:rsidRPr="00D31C0A">
        <w:t>56.</w:t>
      </w:r>
      <w:r w:rsidRPr="00D31C0A">
        <w:tab/>
        <w:t>En la legislación se regulan claramente los procedimientos encaminados a alertar al Organismo de Regulación de las Comunicaciones de cualquier información prohibida o que pueda tener repercusiones negativas para los menores, así como las competencias del Organismo para actuar al respecto. El Organismo está facultado para impartir instrucciones obligatorias (“Notificación y retirada”) a los proveedores de servicios de alojamiento de información electrónica o de explotación de redes públicas de comunicación en relación con la retirada de información prohibida de sus servicios o la eliminación del acceso a esa información, y los proveedores de servicios están obligados a cumplir dichas instrucciones.</w:t>
      </w:r>
    </w:p>
    <w:p w14:paraId="33A71F3C" w14:textId="62D97403" w:rsidR="00D31C0A" w:rsidRPr="00D31C0A" w:rsidRDefault="00D31C0A" w:rsidP="00D31C0A">
      <w:pPr>
        <w:pStyle w:val="SingleTxtG"/>
      </w:pPr>
      <w:r w:rsidRPr="00D31C0A">
        <w:t>57.</w:t>
      </w:r>
      <w:r w:rsidRPr="00D31C0A">
        <w:tab/>
        <w:t xml:space="preserve">En 2007, el Organismo de Regulación de las Comunicaciones estableció, y desde entonces administra, una línea directa de Internet (que desde 2019 recibe la denominación “Internet limpia”). A través de esa línea, cualquier usuario de Internet puede denunciar información que haya encontrado en la red cuya distribución esté prohibida o que pueda tener un impacto negativo en los menores (por ejemplo, acoso público en el ciberespacio; información con contenido pornográfico (incluida la explotación sexual infantil); información relacionada con la discriminación, etc.). Una vez que se investigan esas denuncias y se identifican las infracciones, se remiten a la entidad apropiada para que prosiga la investigación. La línea directa de Internet del Organismo es miembro de la asociación internacional de líneas directas de Internet </w:t>
      </w:r>
      <w:proofErr w:type="spellStart"/>
      <w:r w:rsidRPr="00D31C0A">
        <w:t>INHOPE</w:t>
      </w:r>
      <w:proofErr w:type="spellEnd"/>
      <w:r w:rsidRPr="00D31C0A">
        <w:t xml:space="preserve"> (desde 2008).</w:t>
      </w:r>
    </w:p>
    <w:p w14:paraId="2D661F22" w14:textId="77777777" w:rsidR="00D31C0A" w:rsidRPr="00D31C0A" w:rsidRDefault="00D31C0A" w:rsidP="00D31C0A">
      <w:pPr>
        <w:pStyle w:val="SingleTxtG"/>
      </w:pPr>
      <w:r w:rsidRPr="00D31C0A">
        <w:t>58.</w:t>
      </w:r>
      <w:r w:rsidRPr="00D31C0A">
        <w:tab/>
        <w:t xml:space="preserve">En septiembre de 2022, el Organismo de Regulación de las Comunicaciones firmó un acuerdo de cooperación con la ONG canadiense Canadian Center </w:t>
      </w:r>
      <w:proofErr w:type="spellStart"/>
      <w:r w:rsidRPr="00D31C0A">
        <w:t>for</w:t>
      </w:r>
      <w:proofErr w:type="spellEnd"/>
      <w:r w:rsidRPr="00D31C0A">
        <w:t xml:space="preserve"> Child </w:t>
      </w:r>
      <w:proofErr w:type="spellStart"/>
      <w:r w:rsidRPr="00D31C0A">
        <w:t>Protection</w:t>
      </w:r>
      <w:proofErr w:type="spellEnd"/>
      <w:r w:rsidRPr="00D31C0A">
        <w:t xml:space="preserve"> y pasó a formar parte del proyecto “</w:t>
      </w:r>
      <w:proofErr w:type="spellStart"/>
      <w:r w:rsidRPr="00D31C0A">
        <w:t>Arachnid</w:t>
      </w:r>
      <w:proofErr w:type="spellEnd"/>
      <w:r w:rsidRPr="00D31C0A">
        <w:t xml:space="preserve">”, cuyo objetivo es combatir el material relacionado con la explotación sexual infantil. De ese modo, aumentaron las posibilidades de Lituania para detectar y eliminar lo antes posible ese tipo de material. Además, desde 2022, el Organismo utiliza una solución innovadora: una herramienta de búsqueda automática basada en la inteligencia artificial que busca contenidos prohibidos en Internet (pornografía y material de explotación sexual infantil) en el espacio de direcciones IP de Lituania y, una vez detectados, los comunica a la línea directa de Internet del </w:t>
      </w:r>
      <w:bookmarkEnd w:id="8"/>
      <w:r w:rsidRPr="00D31C0A">
        <w:t>Organismo “Internet limpia”.</w:t>
      </w:r>
    </w:p>
    <w:p w14:paraId="41C52921" w14:textId="4458AD06" w:rsidR="00D31C0A" w:rsidRPr="00D31C0A" w:rsidRDefault="00D31C0A" w:rsidP="00334BEE">
      <w:pPr>
        <w:pStyle w:val="H1G"/>
      </w:pPr>
      <w:r w:rsidRPr="00D31C0A">
        <w:lastRenderedPageBreak/>
        <w:tab/>
      </w:r>
      <w:r w:rsidR="00334BEE">
        <w:tab/>
      </w:r>
      <w:r w:rsidRPr="00D31C0A">
        <w:t>Respuesta al párrafo 6 a) de la lista de cuestiones</w:t>
      </w:r>
    </w:p>
    <w:p w14:paraId="43C79F4B" w14:textId="44A5B001" w:rsidR="00D31C0A" w:rsidRPr="00D31C0A" w:rsidRDefault="00D31C0A" w:rsidP="00D31C0A">
      <w:pPr>
        <w:pStyle w:val="SingleTxtG"/>
      </w:pPr>
      <w:bookmarkStart w:id="9" w:name="_page_22_0"/>
      <w:r w:rsidRPr="00D31C0A">
        <w:t>59.</w:t>
      </w:r>
      <w:r w:rsidR="00D65D1D">
        <w:tab/>
      </w:r>
      <w:r w:rsidRPr="00D31C0A">
        <w:t xml:space="preserve">En la Ley sobre los Principios de la Protección de los Derechos del Niño se establece claramente que la separación de un niño de su familia únicamente puede llevarse a cabo como último recurso y solo después de que se haya recurrido a todas las medidas posibles de asistencia a la familia. En esa </w:t>
      </w:r>
      <w:r w:rsidR="00B07B96">
        <w:t>l</w:t>
      </w:r>
      <w:r w:rsidRPr="00D31C0A">
        <w:t>ey, también establece que la pobreza por razones objetivas no puede ser considerada como trato negligente de los hijos.</w:t>
      </w:r>
    </w:p>
    <w:p w14:paraId="5C36E4F3" w14:textId="6E5ACD36" w:rsidR="00D31C0A" w:rsidRPr="00D31C0A" w:rsidRDefault="00D31C0A" w:rsidP="00D31C0A">
      <w:pPr>
        <w:pStyle w:val="SingleTxtG"/>
      </w:pPr>
      <w:r w:rsidRPr="00D31C0A">
        <w:t>60.</w:t>
      </w:r>
      <w:r w:rsidRPr="00D31C0A">
        <w:tab/>
        <w:t xml:space="preserve">Con el fin de proteger a los niños de la separación de sus padres, en los últimos años se han aplicado diversas medidas, como: ayuda a los padres para criar a sus hijos de forma no violenta (véase la respuesta al párrafo 5 a) de la lista de cuestiones); servicios basados en datos (por ejemplo, la Conferencia Familiar, el Programa de Terapia Familiar Multidimensional o el Programa Años Increíbles); otros servicios nuevos (por ejemplo, servicios de cuidadores individuales, proyectos piloto de mecanismos de refuerzo de la integración social para niños y jóvenes procedentes de entornos desfavorecidos, centros de “Ventanilla única”, etc.). Tras la reforma del sistema de protección de los derechos del niño, se crearon nuevos mecanismos para ayudar a las familias en las que se detectaran problemas de vulneración de los derechos del niño (por ejemplo, gestión de casos, equipos móviles). También se hicieron esfuerzos para reforzar el trabajo preventivo con las familias, como la introducción de los servicios preventivos en la Ley de Servicios Sociales. Desde 2020, las familias pueden solicitar la gestión de su caso incluso cuando no se haya detectado ninguna violación de los derechos del niño, siempre que exista la necesidad de recibir asistencia integral. Los servicios integrales están disponibles para todas las familias en todos los municipios. En 2020 se creó un nuevo mecanismo </w:t>
      </w:r>
      <w:r w:rsidR="00B7519A">
        <w:t>—</w:t>
      </w:r>
      <w:r w:rsidRPr="00D31C0A">
        <w:t>la supervisión temporal del menor</w:t>
      </w:r>
      <w:r w:rsidR="00B7519A">
        <w:t>—</w:t>
      </w:r>
      <w:r w:rsidRPr="00D31C0A">
        <w:t xml:space="preserve"> que brinda protección adicional a los niños frente a la separación de su familia, incluso en los casos en que se haya producido una vulneración de los derechos del niño. El número de niños separados de sus familias está disminuyendo.</w:t>
      </w:r>
    </w:p>
    <w:p w14:paraId="40FA1CE9" w14:textId="068A684E" w:rsidR="00D31C0A" w:rsidRPr="00D31C0A" w:rsidRDefault="00D31C0A" w:rsidP="00D31C0A">
      <w:pPr>
        <w:pStyle w:val="SingleTxtG"/>
      </w:pPr>
      <w:r w:rsidRPr="00D31C0A">
        <w:t>61.</w:t>
      </w:r>
      <w:r w:rsidRPr="00D31C0A">
        <w:tab/>
        <w:t>En 2023 se aprobó el Plan de Acción Nacional para la Aplicación del Sistema de Garantía Infantil en 2023-2030, que contenía 38 medidas destinadas a combatir la pobreza infantil y la exclusión social, prestando especial atención a los grupos de niños más vulnerables. En el Programa de Desarrollo para el Fortalecimiento de la Política Familiar se contempla toda una serie de medidas destinadas a fortalecer a las familias, incluidas las que se encuentran en situación de crisis.</w:t>
      </w:r>
    </w:p>
    <w:p w14:paraId="5634004B" w14:textId="37152AD2" w:rsidR="00D31C0A" w:rsidRPr="00D31C0A" w:rsidRDefault="00D31C0A" w:rsidP="00334BEE">
      <w:pPr>
        <w:pStyle w:val="H1G"/>
      </w:pPr>
      <w:r w:rsidRPr="00D31C0A">
        <w:tab/>
      </w:r>
      <w:r w:rsidR="00334BEE">
        <w:tab/>
      </w:r>
      <w:r w:rsidRPr="00D31C0A">
        <w:t>Respuesta al párrafo 6 b) de la lista de cuestiones</w:t>
      </w:r>
    </w:p>
    <w:p w14:paraId="23FC1B6F" w14:textId="77777777" w:rsidR="00D31C0A" w:rsidRPr="00D31C0A" w:rsidRDefault="00D31C0A" w:rsidP="00D31C0A">
      <w:pPr>
        <w:pStyle w:val="SingleTxtG"/>
      </w:pPr>
      <w:r w:rsidRPr="00D31C0A">
        <w:t>62.</w:t>
      </w:r>
      <w:r w:rsidRPr="00D31C0A">
        <w:tab/>
        <w:t>La entrega de niños menores de tres años al cuidado institucional está prohibida por la ley, salvo en determinados casos extremos y únicamente con la aprobación del Servicio de Protección de los Derechos del Niño. Las grandes instituciones erigidas en el pasado se están reestructurando (la última de ellas en cerrar sus puertas lo hará el 31 de diciembre de 2023). Ya en 2020 se prohibió el internamiento de nuevos niños en esas instituciones (excepto para la atención social por un plazo máximo de tres meses). Se crearon nuevas formas de cuidado de los niños basadas en la familia y la comunidad, como las familias de acogida profesionales y los hogares de base comunitaria.</w:t>
      </w:r>
    </w:p>
    <w:p w14:paraId="19B5312A" w14:textId="77777777" w:rsidR="00D31C0A" w:rsidRPr="00D31C0A" w:rsidRDefault="00D31C0A" w:rsidP="00D31C0A">
      <w:pPr>
        <w:pStyle w:val="SingleTxtG"/>
      </w:pPr>
      <w:r w:rsidRPr="00D31C0A">
        <w:t>63.</w:t>
      </w:r>
      <w:r w:rsidRPr="00D31C0A">
        <w:tab/>
        <w:t>Para promover el cuidado de los niños en el seno de la familia se combinan las medidas de apoyo y asistencia de carácter financiero y no financiero. En 2022 se incrementaron considerablemente las prestaciones para el cuidado de los hijos. La prestación para el cuidado de los hijos también está ahora vinculada a la edad del niño (se paga una prestación mayor si el niño tiene una discapacidad). Se han creado Centros de Acogida en todos los municipios de Lituania. Se trata de puntos de prestación de servicios en los que se brinda atención a todas las formas de acogida y a los niños acogidos. Los padres adoptivos también pueden solicitar esos servicios. Durante varios años se han llevado a cabo de forma constante diversas campañas de sensibilización destinadas a alentar a la población a acoger o adoptar niños y a modificar las actitudes negativas hacia los niños que se quedan sin el cuidado de sus padres. En 2021 se puso en marcha la Línea de Adopción y Acogimiento. Se invierten recursos en el mejoramiento de las competencias de los especialistas que trabajan con niños acogidos y sus familias (se organizan diversas actividades formativas y de otro tipo).</w:t>
      </w:r>
    </w:p>
    <w:p w14:paraId="572BE8CE" w14:textId="77777777" w:rsidR="00D31C0A" w:rsidRPr="00D31C0A" w:rsidRDefault="00D31C0A" w:rsidP="00D31C0A">
      <w:pPr>
        <w:pStyle w:val="SingleTxtG"/>
      </w:pPr>
      <w:r w:rsidRPr="00D31C0A">
        <w:lastRenderedPageBreak/>
        <w:t>64.</w:t>
      </w:r>
      <w:r w:rsidRPr="00D31C0A">
        <w:tab/>
        <w:t xml:space="preserve">Para seguir fomentando la atención basada en la familia, se está desarrollando el modelo de acogimiento profesional y se están realizando importantes actualizaciones del programa </w:t>
      </w:r>
      <w:proofErr w:type="spellStart"/>
      <w:r w:rsidRPr="00D31C0A">
        <w:t>GIMK</w:t>
      </w:r>
      <w:proofErr w:type="spellEnd"/>
      <w:r w:rsidRPr="00D31C0A">
        <w:t xml:space="preserve"> (programa de formación y asesoramiento para tutores (cuidadores), tutores de guardia, padres adoptivos y trabajadores de hogares de acogida comunitarios para niños en cuyo marco se forma a los padres de acogida, a los padres de acogida profesionales, a los miembros de hogares de acogida y a los padres adoptivos).</w:t>
      </w:r>
    </w:p>
    <w:p w14:paraId="4A8F0ACA" w14:textId="77777777" w:rsidR="00D31C0A" w:rsidRPr="00D31C0A" w:rsidRDefault="00D31C0A" w:rsidP="00D31C0A">
      <w:pPr>
        <w:pStyle w:val="SingleTxtG"/>
      </w:pPr>
      <w:r w:rsidRPr="00D31C0A">
        <w:t>65.</w:t>
      </w:r>
      <w:r w:rsidRPr="00D31C0A">
        <w:tab/>
        <w:t>Una parte importante de la desinstitucionalización del sistema de atención a la infancia se basa en el desarrollo y fortalecimiento de la calidad del apoyo y los servicios que se prestan a las familias que crían niños (véase la respuesta al párrafo 6 a) de la lista de cuestiones). Se puede proporcionar más información durante la sesión sobre el informe de Lituania relativo a la Convención.</w:t>
      </w:r>
    </w:p>
    <w:p w14:paraId="6C9DCD0F" w14:textId="401E0D58" w:rsidR="00D31C0A" w:rsidRPr="00D31C0A" w:rsidRDefault="00334BEE" w:rsidP="00334BEE">
      <w:pPr>
        <w:pStyle w:val="H1G"/>
      </w:pPr>
      <w:r>
        <w:tab/>
      </w:r>
      <w:r w:rsidR="00D31C0A" w:rsidRPr="00D31C0A">
        <w:tab/>
        <w:t>Respuesta al párrafo 6 c) de la lista de cuestiones</w:t>
      </w:r>
    </w:p>
    <w:p w14:paraId="7CD0A4F1" w14:textId="77777777" w:rsidR="00D31C0A" w:rsidRPr="00D31C0A" w:rsidRDefault="00D31C0A" w:rsidP="00D31C0A">
      <w:pPr>
        <w:pStyle w:val="SingleTxtG"/>
      </w:pPr>
      <w:r w:rsidRPr="00D31C0A">
        <w:t>66.</w:t>
      </w:r>
      <w:r w:rsidRPr="00D31C0A">
        <w:tab/>
        <w:t>La supervisión de los Centros de Acogida se lleva a cabo mediante procedimientos continuos, que se aplican a todas las colocaciones de niños. El Servicio de Protección de los Derechos del Niño supervisa todos los casos de cuidado temporal y permanente de niños en familias de acogida. El Servicio visita a cada niño acogido y redacta un informe tras la revisión. Al visitar al niño, el Servicio evalúa cómo los padres de acogida se ocupan de la seguridad física y mental, la salud y la educación del niño, qué estilo de crianza emplean, cómo cooperan con el Centro de Acogida Familiar, cómo utilizan los fondos asignados para mantener al niño, cómo administran los bienes del niño, si no impiden que el niño se comunique con sus padres biológicos (si tal comunicación estuviera permitida), si mantienen relaciones con ellos, se ocupan del tiempo libre del niño, lo preparan para una vida independiente, etc.</w:t>
      </w:r>
    </w:p>
    <w:p w14:paraId="6B54B25A" w14:textId="77777777" w:rsidR="00D31C0A" w:rsidRPr="00D31C0A" w:rsidRDefault="00D31C0A" w:rsidP="00D31C0A">
      <w:pPr>
        <w:pStyle w:val="SingleTxtG"/>
      </w:pPr>
      <w:r w:rsidRPr="00D31C0A">
        <w:t>67.</w:t>
      </w:r>
      <w:r w:rsidRPr="00D31C0A">
        <w:tab/>
        <w:t>El Servicio de Protección de los Derechos del Niño, junto con la División de Servicios de Apoyo a los Estudiantes, supervisa la calidad de las actividades de los Centros de Acogida, garantizando así el rendimiento de alta calidad de estos centros.</w:t>
      </w:r>
    </w:p>
    <w:p w14:paraId="2B4B09D4" w14:textId="77777777" w:rsidR="00D31C0A" w:rsidRPr="00D31C0A" w:rsidRDefault="00D31C0A" w:rsidP="00D31C0A">
      <w:pPr>
        <w:pStyle w:val="SingleTxtG"/>
      </w:pPr>
      <w:r w:rsidRPr="00D31C0A">
        <w:t>68.</w:t>
      </w:r>
      <w:r w:rsidRPr="00D31C0A">
        <w:tab/>
        <w:t>La División de Servicios de Apoyo a los Estudiantes supervisa la calidad de la atención infantil en las instituciones (tanto las instituciones de atención infantil de tipo antiguo, como los hogares de base comunitaria para el cuidado de los niños). La División proporciona asistencia metodológica en relación con la aplicación de las normas de atención social, supervisa y evalúa la calidad de la atención, expide licencias para prestar esa atención, suspende y cancela su validez, supervisa y controla el cumplimiento de las condiciones de la actividad autorizada y comprueba la contabilidad de las instituciones de servicios sociales autorizadas que prestan atención social. En los casos en que se detecta alguna violación de los derechos de algún niño en concreto, la información se transfiere al Servicio de Protección de los Derechos del Niño. Por tanto, en Lituania la supervisión continua y coherente de todos los centros de atención a la infancia está garantizada.</w:t>
      </w:r>
    </w:p>
    <w:p w14:paraId="78C4C97A" w14:textId="08D720F6" w:rsidR="00D31C0A" w:rsidRPr="00D31C0A" w:rsidRDefault="00D31C0A" w:rsidP="00334BEE">
      <w:pPr>
        <w:pStyle w:val="H1G"/>
      </w:pPr>
      <w:r w:rsidRPr="00D31C0A">
        <w:tab/>
      </w:r>
      <w:r w:rsidR="00334BEE">
        <w:tab/>
      </w:r>
      <w:r w:rsidRPr="00D31C0A">
        <w:t>Respuesta al párrafo 7 a) de la lista de cuestiones</w:t>
      </w:r>
    </w:p>
    <w:p w14:paraId="307247C1" w14:textId="04ACCA62" w:rsidR="00D31C0A" w:rsidRPr="00D31C0A" w:rsidRDefault="00D31C0A" w:rsidP="00D31C0A">
      <w:pPr>
        <w:pStyle w:val="SingleTxtG"/>
      </w:pPr>
      <w:r w:rsidRPr="00D31C0A">
        <w:t>69.</w:t>
      </w:r>
      <w:r w:rsidRPr="00D31C0A">
        <w:tab/>
        <w:t>En 2022, se prepararon directrices para el desarrollo de la educación</w:t>
      </w:r>
      <w:r w:rsidRPr="00D31C0A">
        <w:rPr>
          <w:lang w:val="en-GB"/>
        </w:rPr>
        <w:t xml:space="preserve"> </w:t>
      </w:r>
      <w:r w:rsidRPr="00D31C0A">
        <w:t>inclusiva. Se preparó una medida de progreso denominada “Implantación de la educación inclusiva”. Se elaboraron diversas directrices, memorandos y recomendaciones para las escuelas, los Servicios Psicopedagógicos, etc., incluso en relación con el trabajo durante el confinamiento debido a la pandemia de COVID</w:t>
      </w:r>
      <w:r w:rsidR="00093D00">
        <w:noBreakHyphen/>
      </w:r>
      <w:r w:rsidRPr="00D31C0A">
        <w:t>19. Se organizaron diversas actividades de formación para profesores y especialistas en apoyo educativo.</w:t>
      </w:r>
    </w:p>
    <w:p w14:paraId="2B378976" w14:textId="77777777" w:rsidR="00D31C0A" w:rsidRPr="00D31C0A" w:rsidRDefault="00D31C0A" w:rsidP="00D31C0A">
      <w:pPr>
        <w:pStyle w:val="SingleTxtG"/>
      </w:pPr>
      <w:r w:rsidRPr="00D31C0A">
        <w:t>70.</w:t>
      </w:r>
      <w:r w:rsidRPr="00D31C0A">
        <w:tab/>
        <w:t>En 2022, se llevaron a cabo por primera vez otros programas de estudios para la adquisición de cualificaciones, gracias a los cuales las personas con el título de pedagogía podían adquirir las cualificaciones de pedagogo especial, logopeda, pedagogo de sordos o pedagogo de ciegos. Se han aplicado determinadas medidas para aumentar el atractivo de esas especialidades.</w:t>
      </w:r>
    </w:p>
    <w:p w14:paraId="0CA13F40" w14:textId="431049B7" w:rsidR="00D31C0A" w:rsidRPr="00D31C0A" w:rsidRDefault="00D31C0A" w:rsidP="00D31C0A">
      <w:pPr>
        <w:pStyle w:val="SingleTxtG"/>
      </w:pPr>
      <w:r w:rsidRPr="00D31C0A">
        <w:t>71.</w:t>
      </w:r>
      <w:r w:rsidRPr="00D31C0A">
        <w:tab/>
        <w:t>En 2023 inició sus actividades en Vilna el Centro Lituano por la Educación</w:t>
      </w:r>
      <w:r w:rsidRPr="00D31C0A">
        <w:rPr>
          <w:lang w:val="en-GB"/>
        </w:rPr>
        <w:t xml:space="preserve"> </w:t>
      </w:r>
      <w:r w:rsidRPr="00D31C0A">
        <w:t xml:space="preserve">Inclusiva, que actuará como institución nacional especializada. El Centro propondrá y pondrá a prueba </w:t>
      </w:r>
      <w:r w:rsidRPr="00D31C0A">
        <w:lastRenderedPageBreak/>
        <w:t>los nuevos instrumentos de la educación inclusiva y las estrategias educativas innovadoras, proporcionará asistencia metodológica a los especialistas y coordinará la mejora de sus competencias. También proporcionará asesoramiento y apoyo educativo a corto plazo a los niños con necesidades educativas especiales y a sus padres, trabajadores pedagógicos y asistentes de los profesores. En 2022 se invirtieron 424.450 euros en la adaptación de las escuelas públicas para las personas con discapacidad.</w:t>
      </w:r>
    </w:p>
    <w:p w14:paraId="21042363" w14:textId="77777777" w:rsidR="00D31C0A" w:rsidRPr="00D31C0A" w:rsidRDefault="00D31C0A" w:rsidP="00D31C0A">
      <w:pPr>
        <w:pStyle w:val="SingleTxtG"/>
      </w:pPr>
      <w:r w:rsidRPr="00D31C0A">
        <w:t>72.</w:t>
      </w:r>
      <w:r w:rsidRPr="00D31C0A">
        <w:tab/>
        <w:t>Se ha aprobado el plan de creación y funcionamiento de centros regionales de educación especial (se han previsto ocho centros de ese tipo) en los que se mantendrán consultas con las escuelas sobre la educación de niños con necesidades educativas especiales.</w:t>
      </w:r>
    </w:p>
    <w:p w14:paraId="36CE5C17" w14:textId="41D6EF4A" w:rsidR="00D31C0A" w:rsidRPr="00D31C0A" w:rsidRDefault="00D31C0A" w:rsidP="00D31C0A">
      <w:pPr>
        <w:pStyle w:val="SingleTxtG"/>
      </w:pPr>
      <w:r w:rsidRPr="00D31C0A">
        <w:t>73.</w:t>
      </w:r>
      <w:r w:rsidRPr="00D31C0A">
        <w:tab/>
        <w:t xml:space="preserve">Se ha preparado un programa sobre los procedimientos y las condiciones de financiación para la creación de grupos y clases abiertos a toda la diversidad de alumnos y la organización de su educación. Según ese programa, a partir del 1 de septiembre de 2023 se crearán 100 aulas de uso general, en las </w:t>
      </w:r>
      <w:r w:rsidR="00E00DCA">
        <w:t xml:space="preserve">que </w:t>
      </w:r>
      <w:r w:rsidRPr="00D31C0A">
        <w:t>podrá haber un máximo de tres alumnos con necesidades educativas especiales altas y muy altas, y en cuyo proceso educativo participará un segundo profesor, en calidad de ayudante. En 2022 se aprobó el tema de la inclusión como una de las prioridades nacionales de los programas de mejora de la cualificación de los docentes para 2023</w:t>
      </w:r>
      <w:r w:rsidR="00E00DCA">
        <w:noBreakHyphen/>
      </w:r>
      <w:r w:rsidRPr="00D31C0A">
        <w:t>2025.</w:t>
      </w:r>
    </w:p>
    <w:p w14:paraId="25AFB101" w14:textId="77777777" w:rsidR="00D31C0A" w:rsidRPr="00D31C0A" w:rsidRDefault="00D31C0A" w:rsidP="00D31C0A">
      <w:pPr>
        <w:pStyle w:val="SingleTxtG"/>
      </w:pPr>
      <w:r w:rsidRPr="00D31C0A">
        <w:t>74.</w:t>
      </w:r>
      <w:r w:rsidRPr="00D31C0A">
        <w:tab/>
        <w:t>Se han mejorado las condiciones económicas de los especialistas en asistencia educativa. Aunque esa es una función que compete a los municipios de manera independiente, el Ministerio de Trabajo y Seguridad Social les presta habitualmente apoyo y complementa la financiación de la asistencia educativa en las escuelas, asignando fondos para la creación de puestos de especialistas en asistencia educativa.</w:t>
      </w:r>
    </w:p>
    <w:p w14:paraId="60263440" w14:textId="4018260E" w:rsidR="00D31C0A" w:rsidRPr="00D31C0A" w:rsidRDefault="00D31C0A" w:rsidP="00334BEE">
      <w:pPr>
        <w:pStyle w:val="H1G"/>
      </w:pPr>
      <w:r w:rsidRPr="00D31C0A">
        <w:tab/>
      </w:r>
      <w:r w:rsidR="00334BEE">
        <w:tab/>
      </w:r>
      <w:r w:rsidRPr="00D31C0A">
        <w:t>Respuesta al párrafo 7 b) de la lista de cuestiones</w:t>
      </w:r>
    </w:p>
    <w:p w14:paraId="34AF60A1" w14:textId="77777777" w:rsidR="00D31C0A" w:rsidRPr="00D31C0A" w:rsidRDefault="00D31C0A" w:rsidP="00D31C0A">
      <w:pPr>
        <w:pStyle w:val="SingleTxtG"/>
      </w:pPr>
      <w:r w:rsidRPr="00D31C0A">
        <w:t>75.</w:t>
      </w:r>
      <w:r w:rsidRPr="00D31C0A">
        <w:tab/>
        <w:t>Se han aprobado nuevos documentos relevantes para la educación inclusiva. Por ejemplo, se ha aprobado el Programa de Escuelas del Milenio para reforzar la inclusión. El objetivo es crear condiciones educativas integrales y de alta calidad antes de 2030 para reducir las diferencias en el rendimiento de los alumnos en todos los municipios del país. Se llevarán a cabo actividades en 270 escuelas. El 22 % de los alumnos reciben ayudas económicas o de otro tipo (por pertenecer a un grupo de una condición social, económica o cultural desfavorecida).</w:t>
      </w:r>
    </w:p>
    <w:p w14:paraId="471AD11C" w14:textId="77777777" w:rsidR="00D31C0A" w:rsidRPr="00D31C0A" w:rsidRDefault="00D31C0A" w:rsidP="00D31C0A">
      <w:pPr>
        <w:pStyle w:val="SingleTxtG"/>
      </w:pPr>
      <w:r w:rsidRPr="00D31C0A">
        <w:t>76.</w:t>
      </w:r>
      <w:r w:rsidRPr="00D31C0A">
        <w:tab/>
        <w:t>Se han aprobado las directrices para la financiación de la medida regional “Aumentar el acceso a la educación de los niños en situación de exclusión social” con objeto de financiar la adaptación de las escuelas según los principios del diseño universal y la adquisición de medios de transporte. Está previsto invertir 150.875.000 euros durante el período 2023-2029. Los fondos se utilizarán para adaptar el entorno educativo, adquirir y aplicar metodologías de evaluación y educativas, atraer especialistas y mejorar sus competencias, probar nuevos modelos de organización educativa y ampliar el apoyo educativo.</w:t>
      </w:r>
    </w:p>
    <w:p w14:paraId="6AD50A18" w14:textId="4A52691D" w:rsidR="00D31C0A" w:rsidRPr="00D31C0A" w:rsidRDefault="00D31C0A" w:rsidP="00334BEE">
      <w:pPr>
        <w:pStyle w:val="H1G"/>
      </w:pPr>
      <w:r w:rsidRPr="00D31C0A">
        <w:tab/>
      </w:r>
      <w:r w:rsidR="00463C88">
        <w:tab/>
      </w:r>
      <w:r w:rsidRPr="00D31C0A">
        <w:t>Respuesta al párrafo 8 de la lista de cuestiones</w:t>
      </w:r>
    </w:p>
    <w:p w14:paraId="09F11C47" w14:textId="77777777" w:rsidR="00D31C0A" w:rsidRPr="00D31C0A" w:rsidRDefault="00D31C0A" w:rsidP="00D31C0A">
      <w:pPr>
        <w:pStyle w:val="SingleTxtG"/>
      </w:pPr>
      <w:r w:rsidRPr="00D31C0A">
        <w:t>77.</w:t>
      </w:r>
      <w:r w:rsidRPr="00D31C0A">
        <w:tab/>
        <w:t>El acceso de estudiantes de medicina a algunas especialidades pediátricas está aumentando, en tanto que en otras está disminuyendo (véase el cuadro que figura más adelante). Algunas especialidades son de reciente creación en Lituania (véase el anexo 11).</w:t>
      </w:r>
    </w:p>
    <w:p w14:paraId="01D69674" w14:textId="56974E75" w:rsidR="00D31C0A" w:rsidRPr="00D31C0A" w:rsidRDefault="00D31C0A" w:rsidP="00334BEE">
      <w:pPr>
        <w:pStyle w:val="H1G"/>
      </w:pPr>
      <w:r w:rsidRPr="00D31C0A">
        <w:tab/>
      </w:r>
      <w:r w:rsidR="00463C88">
        <w:tab/>
      </w:r>
      <w:r w:rsidRPr="00D31C0A">
        <w:t>Respuesta al párrafo 9 a) de la lista de cuestiones</w:t>
      </w:r>
    </w:p>
    <w:p w14:paraId="20569EA2" w14:textId="77777777" w:rsidR="00D31C0A" w:rsidRPr="00D31C0A" w:rsidRDefault="00D31C0A" w:rsidP="00D31C0A">
      <w:pPr>
        <w:pStyle w:val="SingleTxtG"/>
      </w:pPr>
      <w:r w:rsidRPr="00D31C0A">
        <w:t>78.</w:t>
      </w:r>
      <w:r w:rsidRPr="00D31C0A">
        <w:tab/>
        <w:t xml:space="preserve">En Lituania, los servicios de salud reproductiva están integrados en el sistema de atención sanitaria. Todas las personas amparadas por el seguro obligatorio de salud, que tienen derecho a servicios de atención sanitaria personal, tienen acceso a todos los servicios cubiertos por el fondo del seguro, siempre que esos servicios satisfagan los requisitos establecidos. La derivación a los servicios especializados de atención sanitaria compete a los médicos de familia. No es necesaria la derivación de un médico para solicitar servicios de urgencia. Los servicios para mujeres embarazadas, parturientas y recién nacidos se prestan </w:t>
      </w:r>
      <w:r w:rsidRPr="00D31C0A">
        <w:lastRenderedPageBreak/>
        <w:t>de acuerdo con el procedimiento de asistencia sanitaria para esos beneficiarios. En 2022, las instituciones que prestaban esos servicios estaban obligadas a informar a las pacientes dadas de alta del hospital sobre los síntomas de la depresión posparto y sobre las instituciones de atención sanitaria personal que prestaban servicios a las pacientes que experimentan esos síntomas.</w:t>
      </w:r>
      <w:bookmarkStart w:id="10" w:name="_Hlk36725877"/>
      <w:bookmarkStart w:id="11" w:name="_Hlk115334479"/>
      <w:bookmarkEnd w:id="10"/>
      <w:bookmarkEnd w:id="11"/>
    </w:p>
    <w:p w14:paraId="36107310" w14:textId="4C9E05C7" w:rsidR="00D31C0A" w:rsidRPr="00D31C0A" w:rsidRDefault="00D31C0A" w:rsidP="00D31C0A">
      <w:pPr>
        <w:pStyle w:val="SingleTxtG"/>
      </w:pPr>
      <w:r w:rsidRPr="00D31C0A">
        <w:t>79.</w:t>
      </w:r>
      <w:r w:rsidRPr="00D31C0A">
        <w:tab/>
        <w:t>En virtud de una orden del Ministerio de Salud, el anticonceptivo Levonorgestrel se prescribe y reembolsa a las jóvenes de 15 a 17 años según el procedimiento establecido por el Ministerio, mientras que a las mujeres de 18 a 20 años se les prescribe y reembolsa al</w:t>
      </w:r>
      <w:r w:rsidR="00463C88">
        <w:t> </w:t>
      </w:r>
      <w:r w:rsidRPr="00D31C0A">
        <w:t>100</w:t>
      </w:r>
      <w:r w:rsidR="00463C88">
        <w:t> </w:t>
      </w:r>
      <w:r w:rsidRPr="00D31C0A">
        <w:t>% ese anticonceptivo si acuden a un ginecólogo para que se lo recete.</w:t>
      </w:r>
    </w:p>
    <w:p w14:paraId="301AFEDC" w14:textId="77777777" w:rsidR="00D31C0A" w:rsidRPr="00D31C0A" w:rsidRDefault="00D31C0A" w:rsidP="00D31C0A">
      <w:pPr>
        <w:pStyle w:val="SingleTxtG"/>
      </w:pPr>
      <w:r w:rsidRPr="00D31C0A">
        <w:t>80.</w:t>
      </w:r>
      <w:r w:rsidRPr="00D31C0A">
        <w:tab/>
        <w:t>En 2023 entró en vigor el programa actualizado del procedimiento para la organización y prestación de servicios de aborto. En el documento se describe con mayor claridad el servicio de interrupción del embarazo (asesoramiento al paciente antes de la interrupción del embarazo, la realización del procedimiento y la atención posterior), y se establecen las condiciones para la interrupción del embarazo con medicamentos.</w:t>
      </w:r>
    </w:p>
    <w:p w14:paraId="16B013CB" w14:textId="50C7E17B" w:rsidR="00D31C0A" w:rsidRPr="00D31C0A" w:rsidRDefault="00D31C0A" w:rsidP="00334BEE">
      <w:pPr>
        <w:pStyle w:val="H1G"/>
      </w:pPr>
      <w:r w:rsidRPr="00D31C0A">
        <w:tab/>
      </w:r>
      <w:r w:rsidR="00463C88">
        <w:tab/>
      </w:r>
      <w:r w:rsidRPr="00D31C0A">
        <w:t>Respuesta al párrafo 9 b) de la lista de cuestiones</w:t>
      </w:r>
    </w:p>
    <w:p w14:paraId="7BF40C5D" w14:textId="77777777" w:rsidR="00D31C0A" w:rsidRPr="00D31C0A" w:rsidRDefault="00D31C0A" w:rsidP="00D31C0A">
      <w:pPr>
        <w:pStyle w:val="SingleTxtG"/>
      </w:pPr>
      <w:r w:rsidRPr="00D31C0A">
        <w:t>81.</w:t>
      </w:r>
      <w:r w:rsidRPr="00D31C0A">
        <w:tab/>
        <w:t>Se están aplicando muchas medidas en esa esfera;</w:t>
      </w:r>
      <w:bookmarkStart w:id="12" w:name="_Hlk148351766"/>
      <w:r w:rsidRPr="00D31C0A">
        <w:t xml:space="preserve"> se puede proporcionar más información durante la sesión sobre el informe de Lituania relativo a la Convención.</w:t>
      </w:r>
      <w:bookmarkEnd w:id="12"/>
    </w:p>
    <w:p w14:paraId="5C8B3FC6" w14:textId="77777777" w:rsidR="00D31C0A" w:rsidRPr="00D31C0A" w:rsidRDefault="00D31C0A" w:rsidP="00D31C0A">
      <w:pPr>
        <w:pStyle w:val="SingleTxtG"/>
      </w:pPr>
      <w:r w:rsidRPr="00D31C0A">
        <w:t>82.</w:t>
      </w:r>
      <w:r w:rsidRPr="00D31C0A">
        <w:tab/>
        <w:t>Por ejemplo, se está aplicando el Programa de Intervención Temprana para jóvenes de 14 a 21 años que experimentan con el alcohol o las drogas o las consumen de forma esporádica (se exceptúa el tabaco). En las escuelas, la prevención del consumo de sustancias psicoactivas se lleva a cabo en dos direcciones: la educación socioemocional y la prevención de su consumo. Cinco programas preventivos, de los 22 recomendados por el Ministerio de Trabajo y Seguridad Social, están dirigidos a la prevención general del consumo de sustancias psicoactivas. Las escuelas también implementan otros dos programas preventivos que complementan la educación general.</w:t>
      </w:r>
    </w:p>
    <w:p w14:paraId="651A6FA9" w14:textId="77777777" w:rsidR="00D31C0A" w:rsidRPr="00D31C0A" w:rsidRDefault="00D31C0A" w:rsidP="00D31C0A">
      <w:pPr>
        <w:pStyle w:val="SingleTxtG"/>
      </w:pPr>
      <w:r w:rsidRPr="00D31C0A">
        <w:t>83.</w:t>
      </w:r>
      <w:r w:rsidRPr="00D31C0A">
        <w:tab/>
        <w:t>En 2021, de acuerdo con el Currículo Europeo de Prevención, se mejoraron las competencias de los especialistas en el ámbito de la prevención del consumo de sustancias psicoactivas; de esa forma, se desarrolló y aplicó la medida innovadora “Currículo Europeo de Prevención”. Durante el período 2021-2022 se organizaron seminarios nacionales en línea y actividades de formación.</w:t>
      </w:r>
    </w:p>
    <w:p w14:paraId="423A9357" w14:textId="4EC76180" w:rsidR="00D31C0A" w:rsidRPr="00D31C0A" w:rsidRDefault="00D31C0A" w:rsidP="00D31C0A">
      <w:pPr>
        <w:pStyle w:val="SingleTxtG"/>
      </w:pPr>
      <w:r w:rsidRPr="00D31C0A">
        <w:t>84.</w:t>
      </w:r>
      <w:r w:rsidRPr="00D31C0A">
        <w:tab/>
        <w:t xml:space="preserve">El Departamento de Control de Drogas, Tabaco y Alcohol prepara anualmente campañas de sensibilización dirigidas a niños y jóvenes sobre los temas más relevantes en relación con el consumo de sustancias psicoactivas; se elaboran diversas publicaciones y se imparte formación para especialistas en respuesta a las necesidades existentes. Se ha diseñado la página web </w:t>
      </w:r>
      <w:hyperlink r:id="rId10" w:history="1">
        <w:proofErr w:type="spellStart"/>
        <w:r w:rsidRPr="00D31C0A">
          <w:rPr>
            <w:rStyle w:val="Hipervnculo"/>
          </w:rPr>
          <w:t>www.askritiskas.lt</w:t>
        </w:r>
        <w:proofErr w:type="spellEnd"/>
      </w:hyperlink>
      <w:r w:rsidRPr="00D31C0A">
        <w:t>, cuyo objetivo es informar a los jóvenes (a partir de 14</w:t>
      </w:r>
      <w:r w:rsidR="00463C88">
        <w:t> </w:t>
      </w:r>
      <w:r w:rsidRPr="00D31C0A">
        <w:t>años) sobre las sustancias psicoactivas, sus efectos y los riesgos de su consumo.</w:t>
      </w:r>
    </w:p>
    <w:p w14:paraId="5C334E7D" w14:textId="77777777" w:rsidR="00D31C0A" w:rsidRPr="00D31C0A" w:rsidRDefault="00D31C0A" w:rsidP="00D31C0A">
      <w:pPr>
        <w:pStyle w:val="SingleTxtG"/>
      </w:pPr>
      <w:r w:rsidRPr="00D31C0A">
        <w:t>85.</w:t>
      </w:r>
      <w:r w:rsidRPr="00D31C0A">
        <w:tab/>
        <w:t>Se está aplicando el programa de Terapia Familiar Multidimensional, que también contribuye a resolver el problema de la tendencia al consumo de alcohol y otras sustancias psicoactivas. En 2022 entraron en vigor las enmiendas de la Ley de Servicios Sociales en virtud de las cuales se introdujo la prestación de servicios sociales preventivos en los municipios. A partir de 2024, en virtud de nuevas enmiendas de la Ley de Servicios Sociales, se introducirán los servicios de rehabilitación psicológica y social de los niños con adicciones. También se utilizan como medida preventiva los centros de día para niños, así como el trabajo abierto y el trabajo móvil con jóvenes.</w:t>
      </w:r>
    </w:p>
    <w:p w14:paraId="3757021A" w14:textId="6B6C7A8F" w:rsidR="00D31C0A" w:rsidRPr="00D31C0A" w:rsidRDefault="00D31C0A" w:rsidP="00334BEE">
      <w:pPr>
        <w:pStyle w:val="H1G"/>
      </w:pPr>
      <w:r w:rsidRPr="00D31C0A">
        <w:tab/>
      </w:r>
      <w:r w:rsidR="00463C88">
        <w:tab/>
      </w:r>
      <w:r w:rsidRPr="00D31C0A">
        <w:t>Respuesta al párrafo 9 c) de la lista de cuestiones</w:t>
      </w:r>
    </w:p>
    <w:p w14:paraId="1FF8807B" w14:textId="77777777" w:rsidR="00D31C0A" w:rsidRPr="00D31C0A" w:rsidRDefault="00D31C0A" w:rsidP="00D31C0A">
      <w:pPr>
        <w:pStyle w:val="SingleTxtG"/>
      </w:pPr>
      <w:r w:rsidRPr="00D31C0A">
        <w:t>86.</w:t>
      </w:r>
      <w:r w:rsidRPr="00D31C0A">
        <w:tab/>
        <w:t>Se aplican muchas medidas en esa esfera; si se considera necesario, puede facilitarse más información.</w:t>
      </w:r>
    </w:p>
    <w:p w14:paraId="1B65AAC7" w14:textId="77777777" w:rsidR="00D31C0A" w:rsidRPr="00D31C0A" w:rsidRDefault="00D31C0A" w:rsidP="00D31C0A">
      <w:pPr>
        <w:pStyle w:val="SingleTxtG"/>
      </w:pPr>
      <w:r w:rsidRPr="00D31C0A">
        <w:t>87.</w:t>
      </w:r>
      <w:r w:rsidRPr="00D31C0A">
        <w:tab/>
        <w:t xml:space="preserve">Los servicios de bienestar psicológico y promoción de la salud mental se prestan en todos los municipios a través de 49 centros de salud pública, que son muy populares entre </w:t>
      </w:r>
      <w:r w:rsidRPr="00D31C0A">
        <w:lastRenderedPageBreak/>
        <w:t>los jóvenes: en 2020 fueron 1.400 los jóvenes de 11 a 17 años que utilizaron esos servicios; en 2021 fueron 3.874 y en 2022 fueron 5.513.</w:t>
      </w:r>
    </w:p>
    <w:p w14:paraId="265561B2" w14:textId="77777777" w:rsidR="00D31C0A" w:rsidRPr="00D31C0A" w:rsidRDefault="00D31C0A" w:rsidP="00D31C0A">
      <w:pPr>
        <w:pStyle w:val="SingleTxtG"/>
      </w:pPr>
      <w:r w:rsidRPr="00D31C0A">
        <w:t>88.</w:t>
      </w:r>
      <w:r w:rsidRPr="00D31C0A">
        <w:tab/>
        <w:t>Los servicios primarios de salud mental que se prestan en los 116 centros de salud mental existentes son gratuitos y no requieren la derivación de un médico de familia. La prestación de esos servicios corre a cargo de un equipo de especialistas que incluye un psiquiatra, un psiquiatra especializado en niños y adolescentes, una enfermera de salud mental, un trabajador social y un psicólogo. En 2022 había 83 camas de hospitalización psiquiátrica y 9 para hospitalización infantil.</w:t>
      </w:r>
    </w:p>
    <w:p w14:paraId="3491B57E" w14:textId="77777777" w:rsidR="00D31C0A" w:rsidRPr="00D31C0A" w:rsidRDefault="00D31C0A" w:rsidP="00D31C0A">
      <w:pPr>
        <w:pStyle w:val="SingleTxtG"/>
      </w:pPr>
      <w:r w:rsidRPr="00D31C0A">
        <w:t>89.</w:t>
      </w:r>
      <w:r w:rsidRPr="00D31C0A">
        <w:tab/>
        <w:t>Se ha actualizado la normativa en muchos ámbitos (por ejemplo, en relación con los servicios de rehabilitación psicosocial para niños; crisis de suicidio, etc.). El Ministerio de Sanidad ha creado un grupo de trabajo para mejorar la situación de los servicios de salud mental para niños y adolescentes. Se están probando nuevas medidas, por ejemplo, la introducción de un modelo adaptado y ampliado de prestación de servicios sanitarios para los jóvenes.</w:t>
      </w:r>
    </w:p>
    <w:p w14:paraId="54EC75B8" w14:textId="77777777" w:rsidR="00D31C0A" w:rsidRPr="00D31C0A" w:rsidRDefault="00D31C0A" w:rsidP="00D31C0A">
      <w:pPr>
        <w:pStyle w:val="SingleTxtG"/>
      </w:pPr>
      <w:r w:rsidRPr="00D31C0A">
        <w:t>90.</w:t>
      </w:r>
      <w:r w:rsidRPr="00D31C0A">
        <w:tab/>
        <w:t>Se están llevando a cabo cursos para dar a conocer las nociones básicas de la salud mental y otros cursos de formación para el personal escolar. Se llevan a cabo actividades relacionadas con la prevención de suicidios, la coordinación de la asistencia sistemática, etc. Para reducir la estigmatización de la salud mental, se ha puesto en marcha una iniciativa consistente en el nombramiento de embajadores de la salud mental. La iniciativa ha contribuido a reducir las autolesiones y los intentos de suicidio entre los niños.</w:t>
      </w:r>
    </w:p>
    <w:p w14:paraId="0E6CF09C" w14:textId="77777777" w:rsidR="00D31C0A" w:rsidRPr="00D31C0A" w:rsidRDefault="00D31C0A" w:rsidP="00D31C0A">
      <w:pPr>
        <w:pStyle w:val="SingleTxtG"/>
      </w:pPr>
      <w:r w:rsidRPr="00D31C0A">
        <w:t>91.</w:t>
      </w:r>
      <w:r w:rsidRPr="00D31C0A">
        <w:tab/>
        <w:t>Se han establecido equipos móviles de ayuda psicológica a personas en crisis, formados por al menos dos psicólogos especializados. Se presta asistencia en todo el país en casos de crisis graves.</w:t>
      </w:r>
    </w:p>
    <w:p w14:paraId="04573F35" w14:textId="77777777" w:rsidR="00D31C0A" w:rsidRPr="00D31C0A" w:rsidRDefault="00D31C0A" w:rsidP="00D31C0A">
      <w:pPr>
        <w:pStyle w:val="SingleTxtG"/>
      </w:pPr>
      <w:r w:rsidRPr="00D31C0A">
        <w:t>92.</w:t>
      </w:r>
      <w:r w:rsidRPr="00D31C0A">
        <w:tab/>
        <w:t>Se han aplicado diversas medidas destinadas a mejorar las condiciones de trabajo de los psicólogos en las escuelas. En estas se debe llevar a cabo al menos un programa preventivo; las escuelas y los Servicios Psicopedagógicos (o servicios de apoyo educativo) emplean a psicólogos que llevan a cabo una labor educativa con alumnos y profesores, ofrecen consultas psicológicas y, si se observan problemas de salud mental más graves, derivan a los alumnos para que reciban más ayuda. Se están elaborando recomendaciones metodológicas, memorandos para especialistas escolares sobre crisis, suicidios, violencia psicológica, acoso escolar, prevención del consumo de sustancias psicoactivas y promoción de un estilo de vida saludable; y se mantienen bajo supervisión las actividades de los especialistas escolares. Se están implementando medidas para garantizar la calidad de los servicios de apoyo psicológico en las escuelas y los Servicios Psicopedagógicos. En el período 2018-2020 se asignaron fondos adicionales para aumentar la disponibilidad de ayuda psicológica en las instituciones educativas a través del proyecto “Creación de un entorno seguro en la escuela II”.</w:t>
      </w:r>
    </w:p>
    <w:p w14:paraId="22208004" w14:textId="77777777" w:rsidR="00D31C0A" w:rsidRPr="00D31C0A" w:rsidRDefault="00D31C0A" w:rsidP="00D31C0A">
      <w:pPr>
        <w:pStyle w:val="SingleTxtG"/>
      </w:pPr>
      <w:r w:rsidRPr="00D31C0A">
        <w:t>93.</w:t>
      </w:r>
      <w:r w:rsidRPr="00D31C0A">
        <w:tab/>
        <w:t>En 2019, el Organismo Nacional de Educación preparó un programa de prevención del suicidio y los correspondientes materiales metodológicos. Durante el período 2020-2021 hubo 20 escuelas de educación general que participaron en el programa de prevención del suicidio. Se han preparado publicaciones metodológicas sobre el reconocimiento de la crisis suicida y las opciones de ayuda.</w:t>
      </w:r>
    </w:p>
    <w:p w14:paraId="53DBCFED" w14:textId="3BA6AF85" w:rsidR="00D31C0A" w:rsidRPr="00D31C0A" w:rsidRDefault="00D31C0A" w:rsidP="00334BEE">
      <w:pPr>
        <w:pStyle w:val="H1G"/>
      </w:pPr>
      <w:r w:rsidRPr="00D31C0A">
        <w:tab/>
      </w:r>
      <w:r w:rsidR="00463C88">
        <w:tab/>
      </w:r>
      <w:r w:rsidRPr="00D31C0A">
        <w:t>Respuesta al párrafo 10 de la lista de cuestiones</w:t>
      </w:r>
    </w:p>
    <w:p w14:paraId="32C492F6" w14:textId="085AE265" w:rsidR="00D31C0A" w:rsidRPr="00D31C0A" w:rsidRDefault="00D31C0A" w:rsidP="00D31C0A">
      <w:pPr>
        <w:pStyle w:val="SingleTxtG"/>
      </w:pPr>
      <w:r w:rsidRPr="00D31C0A">
        <w:t>94.</w:t>
      </w:r>
      <w:r w:rsidRPr="00D31C0A">
        <w:tab/>
        <w:t>Puede facilitarse más información si se considera necesario.</w:t>
      </w:r>
    </w:p>
    <w:p w14:paraId="3A46B55E" w14:textId="77777777" w:rsidR="00D31C0A" w:rsidRPr="00D31C0A" w:rsidRDefault="00D31C0A" w:rsidP="00D31C0A">
      <w:pPr>
        <w:pStyle w:val="SingleTxtG"/>
      </w:pPr>
      <w:r w:rsidRPr="00D31C0A">
        <w:t>95.</w:t>
      </w:r>
      <w:r w:rsidRPr="00D31C0A">
        <w:tab/>
        <w:t xml:space="preserve">Se preparó un algoritmo para los municipios sobre cómo garantizar durante el confinamiento el suministro de raciones alimentarias a los niños que recibían comidas gratuitas en la escuela; se elaboraron recomendaciones sobre la organización de la educación a distancia; se evaluaron las condiciones para que los alumnos participaran en esa enseñanza a distancia y se prestó ayuda a los que tropezaban con dificultades (por ejemplo, se establecieron las condiciones para utilizar en casa un ordenador, una tableta o un teléfono móvil propiedad de la escuela o para adquirirlos, y también se facilitó la conexión a Internet). Las guarderías infantiles se unieron para ayudar a los niños a participar en la educación a distancia. El sistema de protección de los derechos del niño funcionó sin mayores </w:t>
      </w:r>
      <w:r w:rsidRPr="00D31C0A">
        <w:lastRenderedPageBreak/>
        <w:t xml:space="preserve">restricciones en cuanto a la evaluación de las denuncias sobre violaciones de los derechos del niño. Se organizaron diversas actividades para los especialistas de las instituciones educativas destinadas a garantizar la calidad de su trabajo. Se pusieron en marcha diversas medidas de carácter económico para ayudar a los niños y a las familias, así como medidas para mantener empleadas al mayor número posible de personas, reincorporar lo antes posible al mercado laboral a las que perdiesen su empleo y garantizar unos ingresos adecuados y ayudas a los que hubieran quedado fuera del mercado de trabajo. El Organismo Nacional de Educación preparó recomendaciones dirigidas a los Servicios Psicopedagógicos de los municipios para la realización de las actividades de evaluación en condiciones de confinamiento. </w:t>
      </w:r>
      <w:bookmarkStart w:id="13" w:name="_Hlk148351705"/>
      <w:r w:rsidRPr="00D31C0A">
        <w:t>Los Servicios Psicopedagógicos</w:t>
      </w:r>
      <w:bookmarkEnd w:id="13"/>
      <w:r w:rsidRPr="00D31C0A">
        <w:t xml:space="preserve"> tenían que asegurarse de que se daban las condiciones para la educación a distancia de los alumnos con necesidades educativas especiales y para la prestación de asistencia educativa.</w:t>
      </w:r>
    </w:p>
    <w:p w14:paraId="45A8B45C" w14:textId="3AA04A52" w:rsidR="00D31C0A" w:rsidRPr="00D31C0A" w:rsidRDefault="00D31C0A" w:rsidP="00D31C0A">
      <w:pPr>
        <w:pStyle w:val="SingleTxtG"/>
      </w:pPr>
      <w:r w:rsidRPr="00D31C0A">
        <w:t>96.</w:t>
      </w:r>
      <w:r w:rsidRPr="00D31C0A">
        <w:tab/>
        <w:t>Para garantizar un apoyo psicológico y emocional de alta calidad, se ofrecieron más consultas relacionadas con las habilidades parentales. Se creó una nueva sección, denominada “Apoyo emocional y psicológico”, en el sitio web del Ministerio de Trabajo y Seguridad Social. En ella se incluía información sobre cómo ayudarse a uno mismo y ayudar a los seres queridos durante el confinamiento, dónde solicitar ayuda de especialistas y dónde conseguir información sobre asesoramiento profesional (supervisión). Para responder mejor a las nuevas necesidades de las familias, se permitió ampliar la gama de servicios financiados en el marco de los proyectos de servicios integrales para la familia. En cooperación con el Ministerio de Salud, se crearon una línea telefónica gratuita y un sitio web de apoyo emocional (</w:t>
      </w:r>
      <w:proofErr w:type="spellStart"/>
      <w:r w:rsidR="00311D7A" w:rsidRPr="003F4FAC">
        <w:rPr>
          <w:rStyle w:val="Hipervnculo"/>
        </w:rPr>
        <w:fldChar w:fldCharType="begin"/>
      </w:r>
      <w:r w:rsidR="00311D7A" w:rsidRPr="003F4FAC">
        <w:rPr>
          <w:rStyle w:val="Hipervnculo"/>
        </w:rPr>
        <w:instrText>HYPERLINK "https://pagalbasau.lt/"</w:instrText>
      </w:r>
      <w:r w:rsidR="00311D7A" w:rsidRPr="003F4FAC">
        <w:rPr>
          <w:rStyle w:val="Hipervnculo"/>
        </w:rPr>
      </w:r>
      <w:r w:rsidR="00311D7A" w:rsidRPr="003F4FAC">
        <w:rPr>
          <w:rStyle w:val="Hipervnculo"/>
        </w:rPr>
        <w:fldChar w:fldCharType="separate"/>
      </w:r>
      <w:r w:rsidR="00311D7A" w:rsidRPr="003F4FAC">
        <w:rPr>
          <w:rStyle w:val="Hipervnculo"/>
        </w:rPr>
        <w:t>www.pagalbasau.lt</w:t>
      </w:r>
      <w:proofErr w:type="spellEnd"/>
      <w:r w:rsidR="00311D7A" w:rsidRPr="003F4FAC">
        <w:rPr>
          <w:rStyle w:val="Hipervnculo"/>
        </w:rPr>
        <w:fldChar w:fldCharType="end"/>
      </w:r>
      <w:r w:rsidRPr="00D31C0A">
        <w:t>).</w:t>
      </w:r>
    </w:p>
    <w:p w14:paraId="741C05C2" w14:textId="77777777" w:rsidR="00D31C0A" w:rsidRPr="00D31C0A" w:rsidRDefault="00D31C0A" w:rsidP="00D31C0A">
      <w:pPr>
        <w:pStyle w:val="SingleTxtG"/>
      </w:pPr>
      <w:r w:rsidRPr="00D31C0A">
        <w:t>97.</w:t>
      </w:r>
      <w:r w:rsidRPr="00D31C0A">
        <w:tab/>
        <w:t>En el marco del Plan de Acción 2021-2022 se aplicaron 49 medidas para reducir las consecuencias negativas a largo plazo de la pandemia de COVID-19 en la salud mental individual y pública. Se aprobó el Plan de Acción Nacional para la Aplicación del Sistema de Garantía Infantil en 2023-2030. En el Plan se contemplan 38 medidas destinadas a combatir la pobreza infantil y la exclusión social, prestando especial atención a los grupos de niños más vulnerables.</w:t>
      </w:r>
    </w:p>
    <w:p w14:paraId="7215E998" w14:textId="04A846A1" w:rsidR="00D31C0A" w:rsidRPr="00D31C0A" w:rsidRDefault="00D31C0A" w:rsidP="00334BEE">
      <w:pPr>
        <w:pStyle w:val="H1G"/>
      </w:pPr>
      <w:r w:rsidRPr="00D31C0A">
        <w:tab/>
      </w:r>
      <w:r w:rsidR="00463C88">
        <w:tab/>
      </w:r>
      <w:r w:rsidRPr="00D31C0A">
        <w:t>Respuesta al párrafo 11 a) de la lista de cuestiones</w:t>
      </w:r>
    </w:p>
    <w:p w14:paraId="4DAF71D1" w14:textId="77777777" w:rsidR="00D31C0A" w:rsidRPr="00D31C0A" w:rsidRDefault="00D31C0A" w:rsidP="00D31C0A">
      <w:pPr>
        <w:pStyle w:val="SingleTxtG"/>
      </w:pPr>
      <w:r w:rsidRPr="00D31C0A">
        <w:t>98.</w:t>
      </w:r>
      <w:r w:rsidRPr="00D31C0A">
        <w:tab/>
        <w:t>Se ha establecido que debe garantizarse una educación de calidad para todos los niños, independientemente de la condición social o la nacionalidad. Para garantizar la igualdad de oportunidades para los niños que carecen de recursos, se recurre a especialistas en apoyo educativo para ayudarlos. Se sufraga una parte de los gastos de los alumnos relacionados con la escuela. Los niños en situación de riesgo social reciben educación obligatoria de acuerdo con el programa de educación preescolar, y los costes de su educación, comidas y transporte se sufragan con cargo del presupuesto del Estado. Los niños en situación de riesgo social, incluidos los niños romaníes, reciben asistencia educativa.</w:t>
      </w:r>
    </w:p>
    <w:p w14:paraId="5EAE33AB" w14:textId="2EBE98B7" w:rsidR="00D31C0A" w:rsidRPr="00D31C0A" w:rsidRDefault="00D31C0A" w:rsidP="00D31C0A">
      <w:pPr>
        <w:pStyle w:val="SingleTxtG"/>
      </w:pPr>
      <w:r w:rsidRPr="00D31C0A">
        <w:t>99.</w:t>
      </w:r>
      <w:r w:rsidRPr="00D31C0A">
        <w:tab/>
        <w:t>La educación se adapta a los alumnos en función de cuáles sean sus mejores aptitudes y sus capacidades y, si es necesario, se individualiza según las recomendaciones de los Servicios Psicopedagógicos. Los niños con dificultades de aprendizaje reciben apoyo escolar para salvar sus deficiencias. Se garantiza el acceso a la educación de las familias socialmente excluidas que viven en la pobreza, los niños que no estudian en la escuela, etc., para lo que se les proporcionan servicios sociales y asistencia educativa a través de programas sociales y educativos específicos. Se están aplicando programas específicos para la inclusión de los niños no escolarizados en las actividades educativas. Para garantizar el acceso a la educación, los alumnos que viven en pueblos y ciudades que distan más de tres kilómetros de la escuela disponen de transporte de ida y vuelta.</w:t>
      </w:r>
      <w:bookmarkStart w:id="14" w:name="part_77b0ef0bd08d41938d6ff0f72d539329"/>
      <w:bookmarkEnd w:id="14"/>
    </w:p>
    <w:p w14:paraId="5C0111AB" w14:textId="3D4E0EFA" w:rsidR="00D31C0A" w:rsidRPr="00D31C0A" w:rsidRDefault="00D31C0A" w:rsidP="00D31C0A">
      <w:pPr>
        <w:pStyle w:val="SingleTxtG"/>
      </w:pPr>
      <w:r w:rsidRPr="00D31C0A">
        <w:t>100.</w:t>
      </w:r>
      <w:r w:rsidRPr="00D31C0A">
        <w:tab/>
        <w:t>En el caso de los menores de 18 años (y en algunos casos hasta los 21 o los 23 años) que tienen necesidades educativas especiales altas o muy altas, que reciben enseñanza según los programas de educación preescolar, pre</w:t>
      </w:r>
      <w:r w:rsidR="00186078">
        <w:t>primaria</w:t>
      </w:r>
      <w:r w:rsidRPr="00D31C0A">
        <w:t>, educación general o formación profesional primaria, se garantiza la disponibilidad de asistencia educativa coordinada y servicios sociales y sanitarios para ellos y sus padres u otros cuidadores.</w:t>
      </w:r>
    </w:p>
    <w:p w14:paraId="300FB233" w14:textId="46AA42A3" w:rsidR="00D31C0A" w:rsidRPr="00D31C0A" w:rsidRDefault="00D31C0A" w:rsidP="00334BEE">
      <w:pPr>
        <w:pStyle w:val="H1G"/>
      </w:pPr>
      <w:r w:rsidRPr="00D31C0A">
        <w:lastRenderedPageBreak/>
        <w:tab/>
      </w:r>
      <w:r w:rsidR="00463C88">
        <w:tab/>
      </w:r>
      <w:r w:rsidRPr="00D31C0A">
        <w:t>Respuesta al párrafo 11 b) de la lista de cuestiones</w:t>
      </w:r>
    </w:p>
    <w:p w14:paraId="653429A3" w14:textId="77777777" w:rsidR="00D31C0A" w:rsidRPr="00D31C0A" w:rsidRDefault="00D31C0A" w:rsidP="00D31C0A">
      <w:pPr>
        <w:pStyle w:val="SingleTxtG"/>
      </w:pPr>
      <w:r w:rsidRPr="00D31C0A">
        <w:t>101.</w:t>
      </w:r>
      <w:r w:rsidRPr="00D31C0A">
        <w:tab/>
        <w:t>Los datos del estudio “Situación de las personas de etnia romaní en 2020” muestran que la situación de esas personas en lo tocante a la educación está mejorando (véase el anexo 13).</w:t>
      </w:r>
    </w:p>
    <w:p w14:paraId="1D2E4DA0" w14:textId="77C1B77A" w:rsidR="00D31C0A" w:rsidRPr="00D31C0A" w:rsidRDefault="00D31C0A" w:rsidP="00D31C0A">
      <w:pPr>
        <w:pStyle w:val="SingleTxtG"/>
      </w:pPr>
      <w:r w:rsidRPr="00D31C0A">
        <w:t>102.</w:t>
      </w:r>
      <w:r w:rsidRPr="00D31C0A">
        <w:tab/>
        <w:t>El Departamento de Minorías Nacionales, dependiente del Gobierno, con el fin de garantizar la integración de los niños romaníes en las escuelas de educación general, apoya la educación no formal de esos niños y los proyectos de formación profesional de los jóvenes. Todos los años se asignan fondos a los proyectos del Centro de la Sociedad Romaní y el Centro de Día Multicultural para Niños y Jóvenes “</w:t>
      </w:r>
      <w:proofErr w:type="spellStart"/>
      <w:r w:rsidRPr="00D31C0A">
        <w:t>Pađek</w:t>
      </w:r>
      <w:proofErr w:type="spellEnd"/>
      <w:r w:rsidRPr="00D31C0A">
        <w:t xml:space="preserve"> </w:t>
      </w:r>
      <w:proofErr w:type="spellStart"/>
      <w:r w:rsidRPr="00D31C0A">
        <w:t>Pritapti</w:t>
      </w:r>
      <w:proofErr w:type="spellEnd"/>
      <w:r w:rsidRPr="00D31C0A">
        <w:t xml:space="preserve">” (Ayuda para adaptarse), que trabajan con niños y jóvenes romaníes. El objetivo es reducir la exclusión social de esos niños y jóvenes y promover la tolerancia a través de la educación, la enseñanza no formal y la educación inclusiva. Desde 2019 el Centro funciona como un espacio abierto para la juventud, en el que se promueve el empleo valioso de la juventud romaní. Desde 2016, el Departamento implementa el proyecto “Plataformas locales romaníes </w:t>
      </w:r>
      <w:r w:rsidR="00F1589D">
        <w:t>–</w:t>
      </w:r>
      <w:r w:rsidRPr="00D31C0A">
        <w:t xml:space="preserve"> un camino hacia la cooperación con los municipios” y, a través de la cooperación con el mencionado centro multicultural, apoya anualmente entre 4 y 5 proyectos destinados a empoderar a la juventud romaní a través del deporte, el voluntariado y la cultura.</w:t>
      </w:r>
    </w:p>
    <w:p w14:paraId="1464ACD3" w14:textId="0CCB513E" w:rsidR="00D31C0A" w:rsidRPr="00D31C0A" w:rsidRDefault="00D31C0A" w:rsidP="00334BEE">
      <w:pPr>
        <w:pStyle w:val="H1G"/>
      </w:pPr>
      <w:r w:rsidRPr="00D31C0A">
        <w:tab/>
      </w:r>
      <w:r w:rsidR="00463C88">
        <w:tab/>
      </w:r>
      <w:r w:rsidRPr="00D31C0A">
        <w:t>Respuesta al párrafo 12 a) de la lista de cuestiones</w:t>
      </w:r>
    </w:p>
    <w:p w14:paraId="7546C8E1" w14:textId="77777777" w:rsidR="00D31C0A" w:rsidRPr="00D31C0A" w:rsidRDefault="00D31C0A" w:rsidP="00D31C0A">
      <w:pPr>
        <w:pStyle w:val="SingleTxtG"/>
      </w:pPr>
      <w:r w:rsidRPr="00D31C0A">
        <w:t>103.</w:t>
      </w:r>
      <w:r w:rsidRPr="00D31C0A">
        <w:tab/>
        <w:t>En la Ley sobre la Condición Jurídica de los Extranjeros se establece que las personas vulnerables y las familias con menores extranjeros solo pueden ser internadas en casos especiales, teniendo en cuenta el interés superior del niño y de las personas vulnerables. Los funcionarios del Servicio de Guardia de Fronteras de Lituania, cuando preparan los casos que han de presentar al tribunal relativos al internamiento de extranjeros en cuyas familias hay niños menores de edad, evalúan todas las circunstancias y valoran el interés superior del niño y suelen presentar al tribunal una propuesta para que asigne a los extranjeros una medida alternativa al internamiento. Incluso en los casos en que los extranjeros son internados por decisión judicial, los miembros de la familia menores de edad no son recluidos, sino que son alojados en el Centro de Registro de Extranjeros del Servicio de Guardia de Fronteras junto con sus padres. El Centro cuenta con un pabellón para solicitantes de asilo vulnerables y otro para familias y mujeres internadas. Ambos pabellones están adaptados para personas con discapacidad; disponen de todas las condiciones necesarias para vivir, respetando la intimidad de los residentes, y disponen de zonas de recreo cercanas, también adecuadas para los niños.</w:t>
      </w:r>
    </w:p>
    <w:p w14:paraId="379562B7" w14:textId="29920F3D" w:rsidR="00D31C0A" w:rsidRPr="00D31C0A" w:rsidRDefault="00D31C0A" w:rsidP="00D31C0A">
      <w:pPr>
        <w:pStyle w:val="SingleTxtG"/>
      </w:pPr>
      <w:r w:rsidRPr="00D31C0A">
        <w:t>104.</w:t>
      </w:r>
      <w:r w:rsidRPr="00D31C0A">
        <w:tab/>
        <w:t>Los menores no acompañados no son internados ni alojados en unidades del Servicio de Guardia de Fronteras, sino que se les aplican otras disposiciones de</w:t>
      </w:r>
      <w:r w:rsidR="00847F6B">
        <w:t xml:space="preserve"> </w:t>
      </w:r>
      <w:r w:rsidRPr="00D31C0A">
        <w:t>l</w:t>
      </w:r>
      <w:r w:rsidR="00847F6B">
        <w:t>a</w:t>
      </w:r>
      <w:r w:rsidRPr="00D31C0A">
        <w:t xml:space="preserve"> Ley sobre la Condición Jurídica de los Extranjeros, y son alojados en el Centro de Acogida de Refugiados de </w:t>
      </w:r>
      <w:proofErr w:type="spellStart"/>
      <w:r w:rsidRPr="00D31C0A">
        <w:t>Rukla</w:t>
      </w:r>
      <w:proofErr w:type="spellEnd"/>
      <w:r w:rsidRPr="00D31C0A">
        <w:t xml:space="preserve"> de acuerdo con los procedimientos establecidos y por decisión del Servicio de Protección de los Derechos del Niño.</w:t>
      </w:r>
    </w:p>
    <w:p w14:paraId="78F8CD6F" w14:textId="6EF86BD2" w:rsidR="00D31C0A" w:rsidRPr="00D31C0A" w:rsidRDefault="00D31C0A" w:rsidP="00334BEE">
      <w:pPr>
        <w:pStyle w:val="H1G"/>
      </w:pPr>
      <w:r w:rsidRPr="00D31C0A">
        <w:tab/>
      </w:r>
      <w:r w:rsidR="00463C88">
        <w:tab/>
      </w:r>
      <w:r w:rsidRPr="00D31C0A">
        <w:t>Respuesta al párrafo 12 b) de la lista de cuestiones</w:t>
      </w:r>
    </w:p>
    <w:p w14:paraId="7BEE1C0C" w14:textId="5ED2666E" w:rsidR="00D31C0A" w:rsidRPr="00D31C0A" w:rsidRDefault="00D31C0A" w:rsidP="00D31C0A">
      <w:pPr>
        <w:pStyle w:val="SingleTxtG"/>
      </w:pPr>
      <w:r w:rsidRPr="00D31C0A">
        <w:t>105.</w:t>
      </w:r>
      <w:r w:rsidRPr="00D31C0A">
        <w:tab/>
        <w:t xml:space="preserve">La realización de la prueba de determinación de la edad de los extranjeros está regulada por la Ley sobre la Condición Jurídica de los Extranjeros. En esa </w:t>
      </w:r>
      <w:r w:rsidR="00847F6B">
        <w:t>l</w:t>
      </w:r>
      <w:r w:rsidRPr="00D31C0A">
        <w:t>ey se establece que debe llevarse a cabo una investigación para la determinación de la edad cuando existan dudas razonables sobre la edad declarada por el extranjero, y que la investigación para la determinación de la edad de un extranjero menor de edad solo debe realizarse después de recibir el consentimiento de su representante legal o apoderado. La prueba de determinación de la edad de los menores no acompañados se lleva a cabo de acuerdo con el procedimiento de determinación de la edad, alojamiento y otras actuaciones procesales, cuando se trata de extranjeros menores no acompañados que no son solicitantes de asilo, y de acuerdo con el procedimiento de concesión y cancelación de asilo cuando sí lo son. Los funcionarios del Servicio de Guardia de Fronteras, antes de iniciar una investigación para determinar la edad de un extranjero, le proporcionan información en un idioma que comprenda sobre el procedimiento de verificación y las consecuencias que pueden derivarse de los resultados.</w:t>
      </w:r>
    </w:p>
    <w:p w14:paraId="78B6FAF5" w14:textId="4B4D4F40" w:rsidR="00D31C0A" w:rsidRPr="00D31C0A" w:rsidRDefault="00D31C0A" w:rsidP="00334BEE">
      <w:pPr>
        <w:pStyle w:val="H1G"/>
      </w:pPr>
      <w:r w:rsidRPr="00D31C0A">
        <w:lastRenderedPageBreak/>
        <w:tab/>
      </w:r>
      <w:r w:rsidR="00463C88">
        <w:tab/>
      </w:r>
      <w:r w:rsidRPr="00D31C0A">
        <w:t>Respuesta al párrafo 12 c) de la lista de cuestiones</w:t>
      </w:r>
    </w:p>
    <w:p w14:paraId="1EC679EC" w14:textId="5CF6EB05" w:rsidR="00D31C0A" w:rsidRPr="00D31C0A" w:rsidRDefault="00D31C0A" w:rsidP="00D31C0A">
      <w:pPr>
        <w:pStyle w:val="SingleTxtG"/>
      </w:pPr>
      <w:r w:rsidRPr="00D31C0A">
        <w:t>106.</w:t>
      </w:r>
      <w:r w:rsidRPr="00D31C0A">
        <w:tab/>
        <w:t>La Ley sobre los Principios de la Protección de los Derechos del Niño, así como el funcionamiento del sistema de protección de los derechos del niño en ella establecido son válidos para todos los niños en el territorio de Lituania, si</w:t>
      </w:r>
      <w:r w:rsidR="000349BB">
        <w:t>n</w:t>
      </w:r>
      <w:r w:rsidRPr="00D31C0A">
        <w:t xml:space="preserve"> importar cuál sea su condición. Además, cuando se resuelven cuestiones relacionadas con los menores no acompañados, también se aplica la Ley sobre los Principios de la Protección de los Derechos del Niño. Se han introducido algunos cambios en los instrumentos jurídicos que permiten un procedimiento más rápido y simplificado para garantizar la protección de los menores no acompañados, como los cambios en la Ley sobre la Condición Jurídica de los Extranjeros, que permiten nombrar más rápidamente a un representante de esos niños. Se han aplicado diversas medidas (algunas en cooperación con ONG) destinadas a ayudar a los niños procedentes de Ucrania a integrarse en la sociedad y en el sistema educativo y recibir ayuda psicológica, empleo, etc.</w:t>
      </w:r>
    </w:p>
    <w:p w14:paraId="3F402262" w14:textId="77777777" w:rsidR="00D31C0A" w:rsidRPr="00D31C0A" w:rsidRDefault="00D31C0A" w:rsidP="00D31C0A">
      <w:pPr>
        <w:pStyle w:val="SingleTxtG"/>
      </w:pPr>
      <w:r w:rsidRPr="00D31C0A">
        <w:t>107.</w:t>
      </w:r>
      <w:r w:rsidRPr="00D31C0A">
        <w:tab/>
        <w:t>En todos los casos, el Servicio de Protección de los Derechos del Niño, cuando recibe una notificación sobre un niño separado de sus padres, incluidos los niños que han quedado sin cuidado parental, evalúa dicha notificación como si se tratara del caso de un niño sin representante según la ley y lleva a cabo una evaluación de la situación. El Servicio también toma decisiones sobre la colocación de los menores que no son solicitantes de asilo, inicia la búsqueda y nombramiento de un tutor y pone en marcha la prestación de servicios; todas estas acciones se llevaron a cabo también en el caso de los niños que llegaron de Ucrania. Tras el establecimiento del cuidado de los menores no acompañados que llegaron de Ucrania, el Servicio se ocupa de la supervisión de esas colocaciones. El Servicio también participa en el proceso de entrevistas de los menores no acompañados. Los niños que han llegado de Ucrania (como todos los demás niños migrantes) pueden denunciar ante el Servicio u otras autoridades competentes la vulneración de sus derechos. Todas las denuncias de violación de los derechos del niño relacionados con menores no acompañados se tratan con los mismos procedimientos y algoritmos que todos los demás casos de violación de los derechos del niño. La información sobre la Línea de los Derechos del Niño se facilita directamente a los niños ucranianos llegados a Lituania.</w:t>
      </w:r>
    </w:p>
    <w:p w14:paraId="1A73E6AA" w14:textId="6FE61CBE" w:rsidR="00D31C0A" w:rsidRPr="00D31C0A" w:rsidRDefault="00D31C0A" w:rsidP="00334BEE">
      <w:pPr>
        <w:pStyle w:val="H1G"/>
      </w:pPr>
      <w:r w:rsidRPr="00D31C0A">
        <w:tab/>
      </w:r>
      <w:r w:rsidR="00463C88">
        <w:tab/>
      </w:r>
      <w:r w:rsidRPr="00D31C0A">
        <w:t>Respuesta al párrafo 13 a) de la lista de cuestiones</w:t>
      </w:r>
    </w:p>
    <w:bookmarkEnd w:id="9"/>
    <w:p w14:paraId="6B64D229" w14:textId="77777777" w:rsidR="00D31C0A" w:rsidRPr="00D31C0A" w:rsidRDefault="00D31C0A" w:rsidP="00D31C0A">
      <w:pPr>
        <w:pStyle w:val="SingleTxtG"/>
      </w:pPr>
      <w:r w:rsidRPr="00D31C0A">
        <w:t>108.</w:t>
      </w:r>
      <w:r w:rsidRPr="00D31C0A">
        <w:tab/>
        <w:t>En los tribunales, los litigios relacionados con las relaciones familiares y los derechos del niño son examinados por jueces especializados en esa esfera. En 2023 se aprobaron proyectos de ley que, entre otras cosas, tenían por objeto crear unas condiciones propicias para la especialización de los jueces. Se confía en que, a partir del 1 de julio de 2024, en los tribunales de distrito de Lituania (sus diferentes salas) se creen las condiciones apropiadas para que todos los jueces de los tribunales de distrito que así lo deseen puedan especializarse.</w:t>
      </w:r>
    </w:p>
    <w:p w14:paraId="15DF56E6" w14:textId="77777777" w:rsidR="00D31C0A" w:rsidRPr="00D31C0A" w:rsidRDefault="00D31C0A" w:rsidP="00D31C0A">
      <w:pPr>
        <w:pStyle w:val="SingleTxtG"/>
      </w:pPr>
      <w:r w:rsidRPr="00D31C0A">
        <w:t>109.</w:t>
      </w:r>
      <w:r w:rsidRPr="00D31C0A">
        <w:tab/>
        <w:t>En 2022, los tribunales lituanos destacaron en el Cuadro de Indicadores de la Justicia de la Unión Europea como uno de los países que aplican un gran número de medidas para garantizar una administración de justicia que responda a los intereses del niño: los jueces reciben formación para comunicarse con los niños que participan en el proceso y los niños tienen derecho a recibir asistencia letrada y son oídos en un entorno especialmente adaptado. Los jueces deben mejorar constantemente sus cualificaciones profesionales: se establece para ellos un programa obligatorio de perfeccionamiento. Cada año, el Ministerio de Justicia propone temas para los programas de formación de los jueces relacionados con la garantía de los derechos del niño en el proceso judicial.</w:t>
      </w:r>
    </w:p>
    <w:p w14:paraId="34156D87" w14:textId="77777777" w:rsidR="00D31C0A" w:rsidRPr="00D31C0A" w:rsidRDefault="00D31C0A" w:rsidP="00D31C0A">
      <w:pPr>
        <w:pStyle w:val="SingleTxtG"/>
      </w:pPr>
      <w:r w:rsidRPr="00D31C0A">
        <w:t>110.</w:t>
      </w:r>
      <w:r w:rsidRPr="00D31C0A">
        <w:tab/>
        <w:t>Los tribunales cuentan con un equipo de psicólogos que ayudan a garantizar la seguridad emocional de todos los menores que participan en el proceso judicial durante los interrogatorios. Los psicólogos forenses ayudan a aplicar correctamente los derechos y garantías procesales de los menores en los tribunales y ayudan también en sus interrogatorios, teniendo en cuenta su madurez social y psicológica.</w:t>
      </w:r>
    </w:p>
    <w:p w14:paraId="3517A1D2" w14:textId="69E9A4B3" w:rsidR="00D31C0A" w:rsidRPr="00D31C0A" w:rsidRDefault="00D31C0A" w:rsidP="00463C88">
      <w:pPr>
        <w:pStyle w:val="H1G"/>
      </w:pPr>
      <w:r w:rsidRPr="00D31C0A">
        <w:lastRenderedPageBreak/>
        <w:tab/>
      </w:r>
      <w:r w:rsidR="00463C88">
        <w:tab/>
      </w:r>
      <w:r w:rsidRPr="00D31C0A">
        <w:t>Respuesta al párrafo 13 b) de la lista de cuestiones</w:t>
      </w:r>
    </w:p>
    <w:p w14:paraId="66A7BD98" w14:textId="77777777" w:rsidR="00D31C0A" w:rsidRPr="00D31C0A" w:rsidRDefault="00D31C0A" w:rsidP="00D31C0A">
      <w:pPr>
        <w:pStyle w:val="SingleTxtG"/>
      </w:pPr>
      <w:r w:rsidRPr="00D31C0A">
        <w:t>111.</w:t>
      </w:r>
      <w:r w:rsidRPr="00D31C0A">
        <w:tab/>
        <w:t>Según el Código de Procedimiento Penal, se precisa la participación de un abogado defensor en un caso si en él interviene un menor como sospechoso o acusado. En la práctica, para defender a un menor sospechoso o acusado se elige a un abogado de oficio con experiencia en esos casos.</w:t>
      </w:r>
    </w:p>
    <w:p w14:paraId="4C2154EC" w14:textId="77777777" w:rsidR="00D31C0A" w:rsidRPr="00D31C0A" w:rsidRDefault="00D31C0A" w:rsidP="00D31C0A">
      <w:pPr>
        <w:pStyle w:val="SingleTxtG"/>
      </w:pPr>
      <w:r w:rsidRPr="00D31C0A">
        <w:t>112.</w:t>
      </w:r>
      <w:r w:rsidRPr="00D31C0A">
        <w:tab/>
        <w:t xml:space="preserve">En 2022 se llevó a cabo un estudio de viabilidad sobre la eficacia y la calidad del sistema de asistencia jurídica garantizada por el Estado. Como respuesta a los resultados del estudio, se planificaron medidas específicas para mejorar la calidad de los servicios de los abogados y, en 2023, se adoptaron enmiendas a la Ley de Asistencia Jurídica Garantizada por el Estado encaminadas a: a) promover la especialización de los abogados y establecer una formación especial para los que prestan asistencia jurídica garantizada por el Estado en casos delicados (por ejemplo, relacionados con menores) cuyo inicio está previsto para principios de 2024, y los abogados que la hayan completado percibirán un salario más elevado; b) la preparación por el Colegio de Abogados de Lituania (una asociación que reúne a todos los abogados) de recomendaciones prácticas para los abogados en relación con la prestación efectiva de asistencia jurídica en casos específicos; c) mejorar la supervisión de la prestación de servicios mediante: i) la realización de encuestas entre los destinatarios de los servicios sobre los servicios prestados; </w:t>
      </w:r>
      <w:proofErr w:type="spellStart"/>
      <w:r w:rsidRPr="00D31C0A">
        <w:t>ii</w:t>
      </w:r>
      <w:proofErr w:type="spellEnd"/>
      <w:r w:rsidRPr="00D31C0A">
        <w:t>) la aprobación de las normas para examinar las reclamaciones relativas a la calidad de la asistencia jurídica garantizada por el Estado.</w:t>
      </w:r>
    </w:p>
    <w:p w14:paraId="35C3C05F" w14:textId="77777777" w:rsidR="00D31C0A" w:rsidRPr="00D31C0A" w:rsidRDefault="00D31C0A" w:rsidP="00D31C0A">
      <w:pPr>
        <w:pStyle w:val="SingleTxtG"/>
      </w:pPr>
      <w:r w:rsidRPr="00D31C0A">
        <w:t>113.</w:t>
      </w:r>
      <w:r w:rsidRPr="00D31C0A">
        <w:tab/>
        <w:t>En 2023 se organizaron actividades de formación relacionadas con la protección de los intereses de los menores en los procedimientos judiciales dirigidas a los abogados que prestan asistencia jurídica garantizada por el Estado.</w:t>
      </w:r>
    </w:p>
    <w:p w14:paraId="31B7BFCC" w14:textId="5AC173B8" w:rsidR="00D31C0A" w:rsidRPr="00D31C0A" w:rsidRDefault="00D31C0A" w:rsidP="00334BEE">
      <w:pPr>
        <w:pStyle w:val="H1G"/>
      </w:pPr>
      <w:r w:rsidRPr="00D31C0A">
        <w:tab/>
      </w:r>
      <w:r w:rsidR="00463C88">
        <w:tab/>
      </w:r>
      <w:r w:rsidRPr="00D31C0A">
        <w:t>Respuesta al párrafo 14 a) de la lista de cuestiones</w:t>
      </w:r>
    </w:p>
    <w:p w14:paraId="7145D34B" w14:textId="77777777" w:rsidR="00D31C0A" w:rsidRPr="00D31C0A" w:rsidRDefault="00D31C0A" w:rsidP="00D31C0A">
      <w:pPr>
        <w:pStyle w:val="SingleTxtG"/>
      </w:pPr>
      <w:r w:rsidRPr="00D31C0A">
        <w:t>114.</w:t>
      </w:r>
      <w:r w:rsidRPr="00D31C0A">
        <w:tab/>
        <w:t>En el Código Penal se establece la definición del delito de compra o venta de un niño, que incluye todos los actos definidos en el Protocolo Facultativo de la Convención sobre los Derechos del Niño relativo a la venta de niños, la prostitución infantil y la utilización de niños en la pornografía. Se establece que la persona que ofrezca comprar o adquirir de otro modo, venda, compre o transfiera de otro modo, adquiera, reclute, transporte o mantenga en cautiverio a un niño con la intención, o a sabiendas, de que, sin tener en cuenta el consentimiento del niño, este va a ser adoptado ilícitamente; utilizado en condiciones de esclavitud o similares a la esclavitud; dedicado a la prostitución, pornografía u otras formas de explotación sexual; objeto de un matrimonio forzado o ficticio; o sometido a trabajos o servicios forzados, incluida la mendicidad, la comisión de actos delictivos u otros fines de explotación, será castigada con pena de privación de libertad de tres a doce años. Asimismo, se establece que quien cometa el acto especificado contra dos o más niños o menores; ponga en peligro la vida de la víctima; forme parte de un grupo organizado; pretenda,</w:t>
      </w:r>
      <w:r w:rsidRPr="00D31C0A">
        <w:rPr>
          <w:lang w:val="en-GB"/>
        </w:rPr>
        <w:t xml:space="preserve"> o </w:t>
      </w:r>
      <w:r w:rsidRPr="00D31C0A">
        <w:t>sepa, que se extraigan órganos, tejidos o células de la víctima; o sea un empleado del Estado o una persona que desempeñe funciones en la administración pública y actúe en el ejercicio de esa autoridad, será castigado con pena de privación de libertad de cinco a quince años. También podrá ser procesada cualquier persona por preparar e intentar cometer esos actos delictivos específicos.</w:t>
      </w:r>
    </w:p>
    <w:p w14:paraId="1EC7CA73" w14:textId="4A8134A8" w:rsidR="00D31C0A" w:rsidRPr="00D31C0A" w:rsidRDefault="00D31C0A" w:rsidP="00334BEE">
      <w:pPr>
        <w:pStyle w:val="H1G"/>
      </w:pPr>
      <w:r w:rsidRPr="00D31C0A">
        <w:tab/>
      </w:r>
      <w:r w:rsidR="00463C88">
        <w:tab/>
      </w:r>
      <w:r w:rsidRPr="00D31C0A">
        <w:t>Respuesta al párrafo 14 b) de la lista de cuestiones</w:t>
      </w:r>
    </w:p>
    <w:p w14:paraId="71AE6E53" w14:textId="77777777" w:rsidR="00D31C0A" w:rsidRPr="00D31C0A" w:rsidRDefault="00D31C0A" w:rsidP="00D31C0A">
      <w:pPr>
        <w:pStyle w:val="SingleTxtG"/>
      </w:pPr>
      <w:r w:rsidRPr="00D31C0A">
        <w:t>115.</w:t>
      </w:r>
      <w:r w:rsidRPr="00D31C0A">
        <w:tab/>
        <w:t>Los delitos relacionados con la compra o venta de un menor consagrados en el Código Penal están tipificados como delitos muy graves, es decir, con un plazo de prescripción de 25 años, computados desde el momento de la comisión del hecho delictivo.</w:t>
      </w:r>
    </w:p>
    <w:p w14:paraId="4BCB4A1B" w14:textId="59CDF090" w:rsidR="00D31C0A" w:rsidRPr="00D31C0A" w:rsidRDefault="00D31C0A" w:rsidP="00334BEE">
      <w:pPr>
        <w:pStyle w:val="H1G"/>
      </w:pPr>
      <w:r w:rsidRPr="00D31C0A">
        <w:tab/>
      </w:r>
      <w:r w:rsidR="00463C88">
        <w:tab/>
      </w:r>
      <w:r w:rsidRPr="00D31C0A">
        <w:t>Respuesta al párrafo 14 c) de la lista de cuestiones</w:t>
      </w:r>
    </w:p>
    <w:p w14:paraId="50E6D3A3" w14:textId="2C19ABA8" w:rsidR="00D31C0A" w:rsidRPr="00D31C0A" w:rsidRDefault="00D31C0A" w:rsidP="00D31C0A">
      <w:pPr>
        <w:pStyle w:val="SingleTxtG"/>
      </w:pPr>
      <w:r w:rsidRPr="00D31C0A">
        <w:t>116.</w:t>
      </w:r>
      <w:r w:rsidRPr="00D31C0A">
        <w:tab/>
        <w:t xml:space="preserve">El Código Penal contiene disposiciones relativas a la responsabilidad penal por la comisión de delitos contemplados en los tratados internacionales (jurisdicción universal). Se establece que “las personas son responsables con arreglo al Código Penal, con independencia </w:t>
      </w:r>
      <w:r w:rsidRPr="00D31C0A">
        <w:lastRenderedPageBreak/>
        <w:t>de su nacionalidad y lugar de residencia, así como del lugar en que se hubiera cometido el delito y de si el acto se castiga con arreglo a las leyes del lugar en que se cometió el delito, cuando cometan delitos definidos sobre la base de tratados internacionales: [...] c) comprar o vender un niño”. Por tanto, en las disposiciones de las leyes penales de Lituania se contempla la jurisdicción universal en relación con los delitos definidos en el Protocolo Facultativo de la Convención sobre los Derechos del Niño relativo a la venta de niños, la prostitución infantil y la utilización de niños en la pornografía, a los que no se aplica el requisito de la doble incriminación.</w:t>
      </w:r>
    </w:p>
    <w:p w14:paraId="4251E849" w14:textId="4C92B4DB" w:rsidR="00D31C0A" w:rsidRPr="00D31C0A" w:rsidRDefault="00D31C0A" w:rsidP="00334BEE">
      <w:pPr>
        <w:pStyle w:val="H1G"/>
      </w:pPr>
      <w:r w:rsidRPr="00D31C0A">
        <w:tab/>
      </w:r>
      <w:r w:rsidR="00463C88">
        <w:tab/>
      </w:r>
      <w:r w:rsidRPr="00D31C0A">
        <w:t>Respuesta al párrafo 14 d) de la lista de cuestiones</w:t>
      </w:r>
    </w:p>
    <w:p w14:paraId="5B490AB7" w14:textId="77777777" w:rsidR="00D31C0A" w:rsidRPr="00D31C0A" w:rsidRDefault="00D31C0A" w:rsidP="00D31C0A">
      <w:pPr>
        <w:pStyle w:val="SingleTxtG"/>
      </w:pPr>
      <w:r w:rsidRPr="00D31C0A">
        <w:t>117.</w:t>
      </w:r>
      <w:r w:rsidRPr="00D31C0A">
        <w:tab/>
        <w:t>De conformidad con la resolución del Consejo de la Magistratura, que aprobó los correspondientes programas de formación, en 2019 se impartieron cursos de formación dirigidos a los jueces de distrito que se ocupaban de casos penales sobre los temas “Menores victimizados” y “Trata de personas”.</w:t>
      </w:r>
    </w:p>
    <w:p w14:paraId="1C2CF24A" w14:textId="77777777" w:rsidR="00D31C0A" w:rsidRPr="00D31C0A" w:rsidRDefault="00D31C0A" w:rsidP="00D31C0A">
      <w:pPr>
        <w:pStyle w:val="SingleTxtG"/>
      </w:pPr>
      <w:r w:rsidRPr="00D31C0A">
        <w:t>118.</w:t>
      </w:r>
      <w:r w:rsidRPr="00D31C0A">
        <w:tab/>
        <w:t>En el ordenamiento jurídico de Lituania no se aplican sanciones, ni siquiera multas, a las víctimas de los delitos definidos en el Protocolo Facultativo de la Convención sobre los Derechos del Niño relativo a la venta de niños, la prostitución infantil y la utilización de niños en la pornografía. En el Código de Infracciones Administrativas se contempla la responsabilidad por el ejercicio de la prostitución. Sin embargo, se establece que una persona no estará sujeta a esa responsabilidad si cuando ejercía la prostitución lo hacía mientras era materialmente dependiente, por razón de servicio o de otro modo, o mientras se la mantenía engañada o coaccionada física o mentalmente, o siendo menor o siendo objeto de la trata de personas y se la reconociera como víctima en un proceso penal.</w:t>
      </w:r>
    </w:p>
    <w:p w14:paraId="0357B244" w14:textId="333108A8" w:rsidR="00D31C0A" w:rsidRPr="00D31C0A" w:rsidRDefault="00D31C0A" w:rsidP="00334BEE">
      <w:pPr>
        <w:pStyle w:val="H1G"/>
      </w:pPr>
      <w:r w:rsidRPr="00D31C0A">
        <w:tab/>
      </w:r>
      <w:r w:rsidR="00463C88">
        <w:tab/>
      </w:r>
      <w:r w:rsidRPr="00D31C0A">
        <w:t>Respuesta al párrafo 15 a) de la lista de cuestiones</w:t>
      </w:r>
    </w:p>
    <w:p w14:paraId="565E82B7" w14:textId="6FDB1469" w:rsidR="00D31C0A" w:rsidRPr="00D31C0A" w:rsidRDefault="00D31C0A" w:rsidP="00D31C0A">
      <w:pPr>
        <w:pStyle w:val="SingleTxtG"/>
      </w:pPr>
      <w:r w:rsidRPr="00D31C0A">
        <w:t>119.</w:t>
      </w:r>
      <w:r w:rsidRPr="00D31C0A">
        <w:tab/>
        <w:t>En 2022 se creó un grupo de trabajo en la policía encargado de coordinar la protección de los refugiados de Ucrania frente a la trata de personas. Se aprobó el plan de acción de ese grupo de trabajo. El Departamento de Policía y la Asociación Nacional contra la Trata de Personas, en aplicación del plan, organizaron en 2022 cursos de formación para los ucranianos empleados por el Departamento de Policía que trabajaban en los centros de registro sobre cómo identificar los casos de trata de personas. Se realiza un seguimiento y un análisis continuos de los acontecimientos marcados como “Ucrania 2022”, se llevan a cabo análisis periódicos del riesgo, se implementan medidas dirigidas a los miembros de la comunidad ucraniana en Lituania para advertirlos de los riesgos y amenazas, motivarlos para que aumenten la vigilancia y presten atención a la autoprotección, fomentar la denuncia de violaciones de la ley.</w:t>
      </w:r>
    </w:p>
    <w:p w14:paraId="02C9802C" w14:textId="77777777" w:rsidR="00D31C0A" w:rsidRPr="00D31C0A" w:rsidRDefault="00D31C0A" w:rsidP="00D31C0A">
      <w:pPr>
        <w:pStyle w:val="SingleTxtG"/>
      </w:pPr>
      <w:r w:rsidRPr="00D31C0A">
        <w:t>120.</w:t>
      </w:r>
      <w:r w:rsidRPr="00D31C0A">
        <w:tab/>
        <w:t>En 2023, el Servicio de Protección de los Derechos del Niño organizó una reunión con el Servicio de Guardia de Fronteras para examinar las posibilidades de resolver los problemas de los menores no acompañados relacionados con la garantía del interés superior del niño. En el sitio web del Servicio de Protección de los Derechos del Niño se ha creado una sección que contiene información de interés para los ucranianos en su propio idioma. Se han preparado folletos informativos en ucraniano, inglés y ruso sobre el sistema de protección de los derechos del niño en Lituania.</w:t>
      </w:r>
    </w:p>
    <w:p w14:paraId="0746DBB9" w14:textId="7B25D95D" w:rsidR="00D31C0A" w:rsidRPr="00D31C0A" w:rsidRDefault="00D31C0A" w:rsidP="00334BEE">
      <w:pPr>
        <w:pStyle w:val="H1G"/>
      </w:pPr>
      <w:r w:rsidRPr="00D31C0A">
        <w:tab/>
      </w:r>
      <w:r w:rsidR="00463C88">
        <w:tab/>
      </w:r>
      <w:r w:rsidRPr="00D31C0A">
        <w:t>Respuesta al párrafo 15 b) de la lista de cuestiones</w:t>
      </w:r>
    </w:p>
    <w:p w14:paraId="4468037A" w14:textId="77777777" w:rsidR="00D31C0A" w:rsidRPr="00D31C0A" w:rsidRDefault="00D31C0A" w:rsidP="00D31C0A">
      <w:pPr>
        <w:pStyle w:val="SingleTxtG"/>
      </w:pPr>
      <w:r w:rsidRPr="00D31C0A">
        <w:t>121.</w:t>
      </w:r>
      <w:r w:rsidRPr="00D31C0A">
        <w:tab/>
        <w:t xml:space="preserve">En virtud de la Ley sobre la Condición Jurídica de los Extranjeros, los solicitantes de asilo tienen derecho a recibir gratuitamente asistencia médica, asistencia psicológica y servicios sociales en los locales del Servicio de Guardia de Fronteras, en el Centro de Acogida de Refugiados o en cualquier otro lugar en que se alojen, así como cualquier otro tipo de asistencia sanitaria garantizada por el Estado (gratuita) contemplada en la Ley del Sistema Sanitario. Cuando se clasifica a una persona como vulnerable, se le reconoce el derecho a disfrutar de unas condiciones de acogida que respondan a sus necesidades especiales. La decisión sobre el alojamiento del solicitante de asilo corresponde al Departamento de </w:t>
      </w:r>
      <w:r w:rsidRPr="00D31C0A">
        <w:lastRenderedPageBreak/>
        <w:t>Migración, dependiente del Ministerio del Interior. Los solicitantes de asilo son alojados temporalmente en un local del Servicio de Guardia de Fronteras o en un Centro de Acogida de Refugiados. También pueden ser alojados en otros lugares que se determinen. El Departamento de Migración puede autorizar al solicitante de asilo que lo desee a instalarse en un lugar de residencia de su elección. Las personas vulnerables y los miembros de su familia pueden ser alojados en otros alojamientos que respondan a sus necesidades especiales. El Departamento de Migración puede autorizar a las personas vulnerables a vivir con un pariente cercano o un representante mayor de edad en el territorio de Lituania, cuando sea posible.</w:t>
      </w:r>
    </w:p>
    <w:p w14:paraId="655A43CA" w14:textId="77777777" w:rsidR="00D31C0A" w:rsidRPr="00D31C0A" w:rsidRDefault="00D31C0A" w:rsidP="00D31C0A">
      <w:pPr>
        <w:pStyle w:val="SingleTxtG"/>
      </w:pPr>
      <w:r w:rsidRPr="00D31C0A">
        <w:t>122.</w:t>
      </w:r>
      <w:r w:rsidRPr="00D31C0A">
        <w:tab/>
        <w:t>La evaluación inicial de la vulnerabilidad de los solicitantes de asilo ya se lleva a cabo durante la primera entrevista. La vulnerabilidad también puede determinarse en las fases posteriores de la tramitación de una solicitud de asilo (también pueden determinarla el Servicio de Guardia de Fronteras, el Centro de Acogida de Refugiados u otra organización o institución competente). Entre las personas vulnerables se incluyen los menores.</w:t>
      </w:r>
    </w:p>
    <w:p w14:paraId="52E77D30" w14:textId="7610B7CC" w:rsidR="00D31C0A" w:rsidRPr="00D31C0A" w:rsidRDefault="00D31C0A" w:rsidP="00334BEE">
      <w:pPr>
        <w:pStyle w:val="HChG"/>
      </w:pPr>
      <w:r w:rsidRPr="00D31C0A">
        <w:tab/>
      </w:r>
      <w:r w:rsidR="00463C88">
        <w:tab/>
      </w:r>
      <w:r w:rsidRPr="00D31C0A">
        <w:t>Segunda parte</w:t>
      </w:r>
    </w:p>
    <w:p w14:paraId="15BA8E5B" w14:textId="7A68066A" w:rsidR="00D31C0A" w:rsidRPr="00D31C0A" w:rsidRDefault="00D31C0A" w:rsidP="00334BEE">
      <w:pPr>
        <w:pStyle w:val="H1G"/>
      </w:pPr>
      <w:r w:rsidRPr="00D31C0A">
        <w:tab/>
      </w:r>
      <w:r w:rsidR="00463C88">
        <w:tab/>
      </w:r>
      <w:r w:rsidRPr="00D31C0A">
        <w:t>Respuesta al párrafo 16 de la lista de cuestiones</w:t>
      </w:r>
    </w:p>
    <w:p w14:paraId="30F3EC76" w14:textId="77777777" w:rsidR="00D31C0A" w:rsidRPr="00D31C0A" w:rsidRDefault="00D31C0A" w:rsidP="00D31C0A">
      <w:pPr>
        <w:pStyle w:val="SingleTxtG"/>
      </w:pPr>
      <w:r w:rsidRPr="00D31C0A">
        <w:t>123.</w:t>
      </w:r>
      <w:r w:rsidRPr="00D31C0A">
        <w:tab/>
        <w:t>Véase el anexo 8.</w:t>
      </w:r>
    </w:p>
    <w:p w14:paraId="18C33593" w14:textId="03CB13B6" w:rsidR="00D31C0A" w:rsidRPr="00D31C0A" w:rsidRDefault="00D31C0A" w:rsidP="00334BEE">
      <w:pPr>
        <w:pStyle w:val="HChG"/>
      </w:pPr>
      <w:r w:rsidRPr="00D31C0A">
        <w:tab/>
      </w:r>
      <w:r w:rsidR="00463C88">
        <w:tab/>
      </w:r>
      <w:r w:rsidRPr="00D31C0A">
        <w:t>Tercera parte</w:t>
      </w:r>
    </w:p>
    <w:p w14:paraId="13EAFF8D" w14:textId="20BFE2B1" w:rsidR="00D31C0A" w:rsidRPr="00D31C0A" w:rsidRDefault="00D31C0A" w:rsidP="00334BEE">
      <w:pPr>
        <w:pStyle w:val="H1G"/>
      </w:pPr>
      <w:r w:rsidRPr="00D31C0A">
        <w:tab/>
      </w:r>
      <w:r w:rsidR="00463C88">
        <w:tab/>
      </w:r>
      <w:r w:rsidRPr="00D31C0A">
        <w:t>Respuesta al párrafo 17 de la lista de cuestiones</w:t>
      </w:r>
    </w:p>
    <w:p w14:paraId="395A9213" w14:textId="77777777" w:rsidR="00D31C0A" w:rsidRPr="00D31C0A" w:rsidRDefault="00D31C0A" w:rsidP="00D31C0A">
      <w:pPr>
        <w:pStyle w:val="SingleTxtG"/>
      </w:pPr>
      <w:r w:rsidRPr="00D31C0A">
        <w:t>124.</w:t>
      </w:r>
      <w:r w:rsidRPr="00D31C0A">
        <w:tab/>
        <w:t>No es posible proporcionar datos sobre cuántos fondos se asignan específicamente a los niños en el presupuesto del Estado en todos los ámbitos, porque en Lituania no existen instrumentos que permitan determinar cuántos fondos se asignan directamente a los niños y qué fondos se clasifican como gastos para los niños y cuáles no. Solo es posible proporcionar datos sobre los fondos destinados al sistema de protección de la infancia (véase la respuesta al párrafo 1 c) de la lista de cuestiones) y sobre las medidas específicas.</w:t>
      </w:r>
    </w:p>
    <w:p w14:paraId="62A2B22D" w14:textId="4E67B128" w:rsidR="00D31C0A" w:rsidRPr="00D31C0A" w:rsidRDefault="00D31C0A" w:rsidP="00334BEE">
      <w:pPr>
        <w:pStyle w:val="H1G"/>
      </w:pPr>
      <w:r w:rsidRPr="00D31C0A">
        <w:tab/>
      </w:r>
      <w:r w:rsidR="00463C88">
        <w:tab/>
      </w:r>
      <w:r w:rsidRPr="00D31C0A">
        <w:t xml:space="preserve">Respuesta a los párrafos 18 a), b), c), d), e) y f) de la lista </w:t>
      </w:r>
      <w:r w:rsidR="00463C88">
        <w:br/>
      </w:r>
      <w:r w:rsidRPr="00D31C0A">
        <w:t>de cuestiones</w:t>
      </w:r>
    </w:p>
    <w:p w14:paraId="169A48EF" w14:textId="77777777" w:rsidR="00D31C0A" w:rsidRPr="00D31C0A" w:rsidRDefault="00D31C0A" w:rsidP="00D31C0A">
      <w:pPr>
        <w:pStyle w:val="SingleTxtG"/>
      </w:pPr>
      <w:r w:rsidRPr="00D31C0A">
        <w:t>125.</w:t>
      </w:r>
      <w:r w:rsidRPr="00D31C0A">
        <w:tab/>
        <w:t>Véanse los anexos 6 y 9.</w:t>
      </w:r>
    </w:p>
    <w:p w14:paraId="37ECB179" w14:textId="7B042451" w:rsidR="00D31C0A" w:rsidRPr="00D31C0A" w:rsidRDefault="00D31C0A" w:rsidP="00334BEE">
      <w:pPr>
        <w:pStyle w:val="H1G"/>
      </w:pPr>
      <w:r w:rsidRPr="00D31C0A">
        <w:tab/>
      </w:r>
      <w:r w:rsidR="00463C88">
        <w:tab/>
      </w:r>
      <w:r w:rsidRPr="00D31C0A">
        <w:t>Respuesta al párrafo 19 a) de la lista de cuestiones</w:t>
      </w:r>
    </w:p>
    <w:p w14:paraId="0E612EB9" w14:textId="77777777" w:rsidR="00D31C0A" w:rsidRPr="00D31C0A" w:rsidRDefault="00D31C0A" w:rsidP="00D31C0A">
      <w:pPr>
        <w:pStyle w:val="SingleTxtG"/>
      </w:pPr>
      <w:bookmarkStart w:id="15" w:name="_Hlk148028669"/>
      <w:r w:rsidRPr="00D31C0A">
        <w:t>126.</w:t>
      </w:r>
      <w:r w:rsidRPr="00D31C0A">
        <w:tab/>
        <w:t>La naturaleza y la duración de la separación del niño de su familia varían según las situaciones (véase el anexo 10).</w:t>
      </w:r>
    </w:p>
    <w:bookmarkEnd w:id="15"/>
    <w:p w14:paraId="414A38C9" w14:textId="68F240FE" w:rsidR="00D31C0A" w:rsidRPr="00D31C0A" w:rsidRDefault="00D31C0A" w:rsidP="00334BEE">
      <w:pPr>
        <w:pStyle w:val="H1G"/>
      </w:pPr>
      <w:r w:rsidRPr="00D31C0A">
        <w:tab/>
      </w:r>
      <w:r w:rsidR="00463C88">
        <w:tab/>
      </w:r>
      <w:r w:rsidRPr="00D31C0A">
        <w:t>Respuesta al párrafo 19 b) de la lista de cuestiones</w:t>
      </w:r>
    </w:p>
    <w:p w14:paraId="57715F18" w14:textId="77777777" w:rsidR="00D31C0A" w:rsidRPr="00D31C0A" w:rsidRDefault="00D31C0A" w:rsidP="00D31C0A">
      <w:pPr>
        <w:pStyle w:val="SingleTxtG"/>
      </w:pPr>
      <w:r w:rsidRPr="00D31C0A">
        <w:t>127.</w:t>
      </w:r>
      <w:r w:rsidRPr="00D31C0A">
        <w:tab/>
        <w:t>En Lituania quedan 18 centros de acogida social para niños del tipo antiguo, que finalizarán sus actividades el 31 de diciembre de 2023. El número de niños que permanecen en ellos es muy pequeño; cuando las instituciones finalicen sus actividades, esos niños habrán alcanzado la edad adulta o serán colocados en hogares de base comunitaria o familias de acogida. En Lituania hay 219 hogares de base comunitaria para el cuidado de los niños:</w:t>
      </w:r>
    </w:p>
    <w:p w14:paraId="335A0106" w14:textId="6C53D10B" w:rsidR="00D31C0A" w:rsidRPr="00D31C0A" w:rsidRDefault="00D31C0A" w:rsidP="00334BEE">
      <w:pPr>
        <w:pStyle w:val="Bullet1G"/>
      </w:pPr>
      <w:r w:rsidRPr="00D31C0A">
        <w:t>2020: 857 niños en centros de acogida social, 799 niños en hogares de base comunitaria</w:t>
      </w:r>
      <w:r w:rsidR="00334BEE">
        <w:t>.</w:t>
      </w:r>
    </w:p>
    <w:p w14:paraId="1EE60CD6" w14:textId="369AD115" w:rsidR="00D31C0A" w:rsidRPr="00D31C0A" w:rsidRDefault="00D31C0A" w:rsidP="00334BEE">
      <w:pPr>
        <w:pStyle w:val="Bullet1G"/>
      </w:pPr>
      <w:r w:rsidRPr="00D31C0A">
        <w:t>2021: 415 niños en centros de acogida social, 975 niños en hogares de base comunitaria</w:t>
      </w:r>
      <w:r w:rsidR="00334BEE">
        <w:t>.</w:t>
      </w:r>
    </w:p>
    <w:p w14:paraId="7A87366B" w14:textId="77777777" w:rsidR="00D31C0A" w:rsidRPr="00D31C0A" w:rsidRDefault="00D31C0A" w:rsidP="00334BEE">
      <w:pPr>
        <w:pStyle w:val="Bullet1G"/>
      </w:pPr>
      <w:r w:rsidRPr="00D31C0A">
        <w:lastRenderedPageBreak/>
        <w:t>2022: 511 niños en centros de acogida social (el aumento del número está relacionado con los niños llegados de las instituciones de acogida de Ucrania), 836 niños en hogares de base comunitaria.</w:t>
      </w:r>
    </w:p>
    <w:p w14:paraId="303FAE6B" w14:textId="30B43CFF" w:rsidR="00D31C0A" w:rsidRPr="00D31C0A" w:rsidRDefault="00D31C0A" w:rsidP="00334BEE">
      <w:pPr>
        <w:pStyle w:val="H1G"/>
      </w:pPr>
      <w:r w:rsidRPr="00D31C0A">
        <w:tab/>
      </w:r>
      <w:r w:rsidR="00463C88">
        <w:tab/>
      </w:r>
      <w:r w:rsidRPr="00D31C0A">
        <w:t>Respuesta al párrafo 19 c) de la lista de cuestiones</w:t>
      </w:r>
    </w:p>
    <w:p w14:paraId="161308FA" w14:textId="453BF986" w:rsidR="00D31C0A" w:rsidRPr="00D31C0A" w:rsidRDefault="00D31C0A" w:rsidP="00D31C0A">
      <w:pPr>
        <w:pStyle w:val="SingleTxtG"/>
      </w:pPr>
      <w:r w:rsidRPr="00D31C0A">
        <w:t>128.</w:t>
      </w:r>
      <w:r w:rsidRPr="00D31C0A">
        <w:tab/>
        <w:t>En familias de acogida:</w:t>
      </w:r>
    </w:p>
    <w:p w14:paraId="734C2AF2" w14:textId="2BBBBEE1" w:rsidR="00D31C0A" w:rsidRPr="00D31C0A" w:rsidRDefault="00D31C0A" w:rsidP="00334BEE">
      <w:pPr>
        <w:pStyle w:val="Bullet1G"/>
      </w:pPr>
      <w:r w:rsidRPr="00D31C0A">
        <w:t>2020: 4.644 niños</w:t>
      </w:r>
    </w:p>
    <w:p w14:paraId="4C1874BC" w14:textId="17283E1E" w:rsidR="00D31C0A" w:rsidRPr="00D31C0A" w:rsidRDefault="00D31C0A" w:rsidP="00334BEE">
      <w:pPr>
        <w:pStyle w:val="Bullet1G"/>
      </w:pPr>
      <w:r w:rsidRPr="00D31C0A">
        <w:t>2021: 4.417 niños</w:t>
      </w:r>
    </w:p>
    <w:p w14:paraId="61431CA6" w14:textId="7DE3C316" w:rsidR="00D31C0A" w:rsidRPr="00D31C0A" w:rsidRDefault="00D31C0A" w:rsidP="00334BEE">
      <w:pPr>
        <w:pStyle w:val="Bullet1G"/>
      </w:pPr>
      <w:r w:rsidRPr="00D31C0A">
        <w:t>2022: 4.994 niños</w:t>
      </w:r>
    </w:p>
    <w:p w14:paraId="66AEE9AA" w14:textId="6513B648" w:rsidR="00D31C0A" w:rsidRPr="00D31C0A" w:rsidRDefault="00D31C0A" w:rsidP="00D31C0A">
      <w:pPr>
        <w:pStyle w:val="SingleTxtG"/>
      </w:pPr>
      <w:r w:rsidRPr="00D31C0A">
        <w:t>129.</w:t>
      </w:r>
      <w:r w:rsidRPr="00D31C0A">
        <w:tab/>
        <w:t>En familias de acogida profesionales:</w:t>
      </w:r>
    </w:p>
    <w:p w14:paraId="5F470509" w14:textId="55B456B0" w:rsidR="00D31C0A" w:rsidRPr="00D31C0A" w:rsidRDefault="00D31C0A" w:rsidP="00334BEE">
      <w:pPr>
        <w:pStyle w:val="Bullet1G"/>
      </w:pPr>
      <w:r w:rsidRPr="00D31C0A">
        <w:t>2020: 198 niños</w:t>
      </w:r>
    </w:p>
    <w:p w14:paraId="429901C9" w14:textId="648B2CBA" w:rsidR="00D31C0A" w:rsidRPr="00D31C0A" w:rsidRDefault="00D31C0A" w:rsidP="00334BEE">
      <w:pPr>
        <w:pStyle w:val="Bullet1G"/>
      </w:pPr>
      <w:r w:rsidRPr="00D31C0A">
        <w:t>2021: 210 niños</w:t>
      </w:r>
    </w:p>
    <w:p w14:paraId="02E65BDB" w14:textId="4A3FD5B5" w:rsidR="00D31C0A" w:rsidRPr="00D31C0A" w:rsidRDefault="00D31C0A" w:rsidP="00334BEE">
      <w:pPr>
        <w:pStyle w:val="Bullet1G"/>
      </w:pPr>
      <w:r w:rsidRPr="00D31C0A">
        <w:t>2022: 244 niños</w:t>
      </w:r>
    </w:p>
    <w:p w14:paraId="5A5EA03F" w14:textId="5DFEB4BF" w:rsidR="00D31C0A" w:rsidRPr="00D31C0A" w:rsidRDefault="00226477" w:rsidP="00226477">
      <w:pPr>
        <w:pStyle w:val="SingleTxtG"/>
        <w:ind w:left="1531"/>
      </w:pPr>
      <w:r>
        <w:tab/>
      </w:r>
      <w:r w:rsidR="00D31C0A" w:rsidRPr="00D31C0A">
        <w:t>En hogares de acogida:</w:t>
      </w:r>
    </w:p>
    <w:p w14:paraId="7B3679DC" w14:textId="3D1E407D" w:rsidR="00D31C0A" w:rsidRPr="00D31C0A" w:rsidRDefault="00D31C0A" w:rsidP="00334BEE">
      <w:pPr>
        <w:pStyle w:val="Bullet1G"/>
      </w:pPr>
      <w:r w:rsidRPr="00D31C0A">
        <w:t>2020: 318 niños</w:t>
      </w:r>
    </w:p>
    <w:p w14:paraId="73EDF01E" w14:textId="37436EB5" w:rsidR="00D31C0A" w:rsidRPr="00D31C0A" w:rsidRDefault="00D31C0A" w:rsidP="00334BEE">
      <w:pPr>
        <w:pStyle w:val="Bullet1G"/>
      </w:pPr>
      <w:r w:rsidRPr="00D31C0A">
        <w:t>2021: 279 niños</w:t>
      </w:r>
    </w:p>
    <w:p w14:paraId="0A21B134" w14:textId="30FAEE2C" w:rsidR="00D31C0A" w:rsidRPr="00D31C0A" w:rsidRDefault="00D31C0A" w:rsidP="00334BEE">
      <w:pPr>
        <w:pStyle w:val="Bullet1G"/>
      </w:pPr>
      <w:r w:rsidRPr="00D31C0A">
        <w:t>2022: 263 niños</w:t>
      </w:r>
    </w:p>
    <w:p w14:paraId="4997C692" w14:textId="0D94CB9F" w:rsidR="00D31C0A" w:rsidRPr="00D31C0A" w:rsidRDefault="00D31C0A" w:rsidP="00334BEE">
      <w:pPr>
        <w:pStyle w:val="H1G"/>
      </w:pPr>
      <w:r w:rsidRPr="00D31C0A">
        <w:tab/>
      </w:r>
      <w:r w:rsidR="00463C88">
        <w:tab/>
      </w:r>
      <w:r w:rsidRPr="00D31C0A">
        <w:t>Respuesta al párrafo 19 d) de la lista de cuestiones</w:t>
      </w:r>
    </w:p>
    <w:p w14:paraId="5EA9AF18" w14:textId="0F68F25C" w:rsidR="00D31C0A" w:rsidRPr="00D31C0A" w:rsidRDefault="00D31C0A" w:rsidP="00D31C0A">
      <w:pPr>
        <w:pStyle w:val="SingleTxtG"/>
      </w:pPr>
      <w:bookmarkStart w:id="16" w:name="_Hlk147406539"/>
      <w:r w:rsidRPr="00D31C0A">
        <w:t>130.</w:t>
      </w:r>
      <w:r w:rsidRPr="00D31C0A">
        <w:tab/>
        <w:t>Véase el anexo 12.</w:t>
      </w:r>
    </w:p>
    <w:p w14:paraId="2EAF26AD" w14:textId="20544318" w:rsidR="00D31C0A" w:rsidRPr="00D31C0A" w:rsidRDefault="00D31C0A" w:rsidP="00334BEE">
      <w:pPr>
        <w:pStyle w:val="H1G"/>
      </w:pPr>
      <w:r w:rsidRPr="00D31C0A">
        <w:tab/>
      </w:r>
      <w:r w:rsidR="00463C88">
        <w:tab/>
      </w:r>
      <w:r w:rsidRPr="00D31C0A">
        <w:t>Respuesta al párrafo 20 a) de la lista de cuestiones</w:t>
      </w:r>
    </w:p>
    <w:p w14:paraId="106B9776" w14:textId="238AD5C4" w:rsidR="00D31C0A" w:rsidRPr="00D31C0A" w:rsidRDefault="00D31C0A" w:rsidP="00334BEE">
      <w:pPr>
        <w:pStyle w:val="H23G"/>
      </w:pPr>
      <w:r w:rsidRPr="00D31C0A">
        <w:tab/>
      </w:r>
      <w:r w:rsidR="00334BEE">
        <w:tab/>
      </w:r>
      <w:r w:rsidRPr="00D31C0A">
        <w:t>Número total de niños con discapacidad en Lituania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18"/>
        <w:gridCol w:w="1024"/>
        <w:gridCol w:w="27"/>
        <w:gridCol w:w="995"/>
        <w:gridCol w:w="18"/>
        <w:gridCol w:w="1068"/>
        <w:gridCol w:w="1153"/>
        <w:gridCol w:w="1015"/>
        <w:gridCol w:w="1052"/>
      </w:tblGrid>
      <w:tr w:rsidR="00226477" w:rsidRPr="00317274" w14:paraId="4890676D" w14:textId="77777777" w:rsidTr="00F51EC4">
        <w:trPr>
          <w:trHeight w:val="240"/>
          <w:tblHeader/>
        </w:trPr>
        <w:tc>
          <w:tcPr>
            <w:tcW w:w="1020" w:type="dxa"/>
            <w:tcBorders>
              <w:top w:val="single" w:sz="4" w:space="0" w:color="auto"/>
            </w:tcBorders>
            <w:shd w:val="clear" w:color="auto" w:fill="auto"/>
            <w:vAlign w:val="bottom"/>
          </w:tcPr>
          <w:p w14:paraId="0A9E50D4" w14:textId="0FDD95CE" w:rsidR="00226477" w:rsidRPr="00D31C0A" w:rsidRDefault="00226477" w:rsidP="00317274">
            <w:pPr>
              <w:pStyle w:val="SingleTxtG"/>
              <w:tabs>
                <w:tab w:val="clear" w:pos="1701"/>
                <w:tab w:val="clear" w:pos="2268"/>
                <w:tab w:val="clear" w:pos="2835"/>
              </w:tabs>
              <w:spacing w:before="80" w:after="80" w:line="200" w:lineRule="exact"/>
              <w:ind w:left="0" w:right="0"/>
              <w:jc w:val="left"/>
              <w:rPr>
                <w:i/>
                <w:iCs/>
                <w:sz w:val="16"/>
              </w:rPr>
            </w:pPr>
          </w:p>
        </w:tc>
        <w:tc>
          <w:tcPr>
            <w:tcW w:w="2049" w:type="dxa"/>
            <w:gridSpan w:val="3"/>
            <w:tcBorders>
              <w:top w:val="single" w:sz="4" w:space="0" w:color="auto"/>
              <w:bottom w:val="single" w:sz="4" w:space="0" w:color="auto"/>
              <w:right w:val="single" w:sz="24" w:space="0" w:color="FFFFFF" w:themeColor="background1"/>
            </w:tcBorders>
            <w:shd w:val="clear" w:color="auto" w:fill="auto"/>
            <w:vAlign w:val="bottom"/>
          </w:tcPr>
          <w:p w14:paraId="768F8903" w14:textId="77777777" w:rsidR="00226477" w:rsidRPr="00D31C0A" w:rsidRDefault="00226477" w:rsidP="00FF0A23">
            <w:pPr>
              <w:pStyle w:val="SingleTxtG"/>
              <w:tabs>
                <w:tab w:val="clear" w:pos="1701"/>
                <w:tab w:val="clear" w:pos="2268"/>
                <w:tab w:val="clear" w:pos="2835"/>
              </w:tabs>
              <w:spacing w:before="80" w:after="80" w:line="200" w:lineRule="exact"/>
              <w:ind w:left="113" w:right="0"/>
              <w:jc w:val="center"/>
              <w:rPr>
                <w:i/>
                <w:sz w:val="16"/>
              </w:rPr>
            </w:pPr>
            <w:r w:rsidRPr="00D31C0A">
              <w:rPr>
                <w:i/>
                <w:sz w:val="16"/>
              </w:rPr>
              <w:t>Sexo</w:t>
            </w:r>
          </w:p>
        </w:tc>
        <w:tc>
          <w:tcPr>
            <w:tcW w:w="3248" w:type="dxa"/>
            <w:gridSpan w:val="4"/>
            <w:tcBorders>
              <w:top w:val="single" w:sz="4" w:space="0" w:color="auto"/>
              <w:left w:val="single" w:sz="24" w:space="0" w:color="FFFFFF" w:themeColor="background1"/>
              <w:bottom w:val="single" w:sz="4" w:space="0" w:color="auto"/>
            </w:tcBorders>
            <w:shd w:val="clear" w:color="auto" w:fill="auto"/>
            <w:vAlign w:val="bottom"/>
          </w:tcPr>
          <w:p w14:paraId="7B883A89" w14:textId="77777777" w:rsidR="00226477" w:rsidRPr="00D31C0A" w:rsidRDefault="00226477" w:rsidP="00FF0A23">
            <w:pPr>
              <w:pStyle w:val="SingleTxtG"/>
              <w:tabs>
                <w:tab w:val="clear" w:pos="1701"/>
                <w:tab w:val="clear" w:pos="2268"/>
                <w:tab w:val="clear" w:pos="2835"/>
              </w:tabs>
              <w:spacing w:before="80" w:after="80" w:line="200" w:lineRule="exact"/>
              <w:ind w:left="113" w:right="0"/>
              <w:jc w:val="center"/>
              <w:rPr>
                <w:i/>
                <w:sz w:val="16"/>
              </w:rPr>
            </w:pPr>
            <w:r w:rsidRPr="00D31C0A">
              <w:rPr>
                <w:i/>
                <w:sz w:val="16"/>
              </w:rPr>
              <w:t>Nivel de discapacidad</w:t>
            </w:r>
          </w:p>
        </w:tc>
        <w:tc>
          <w:tcPr>
            <w:tcW w:w="1053" w:type="dxa"/>
            <w:vMerge w:val="restart"/>
            <w:tcBorders>
              <w:top w:val="single" w:sz="4" w:space="0" w:color="auto"/>
              <w:bottom w:val="single" w:sz="12" w:space="0" w:color="auto"/>
            </w:tcBorders>
            <w:shd w:val="clear" w:color="auto" w:fill="auto"/>
            <w:vAlign w:val="bottom"/>
          </w:tcPr>
          <w:p w14:paraId="343AA31D" w14:textId="77777777" w:rsidR="00226477" w:rsidRPr="00D31C0A" w:rsidRDefault="00226477" w:rsidP="00FF0A23">
            <w:pPr>
              <w:pStyle w:val="SingleTxtG"/>
              <w:tabs>
                <w:tab w:val="clear" w:pos="1701"/>
                <w:tab w:val="clear" w:pos="2268"/>
                <w:tab w:val="clear" w:pos="2835"/>
              </w:tabs>
              <w:spacing w:before="80" w:after="80" w:line="200" w:lineRule="exact"/>
              <w:ind w:left="0" w:right="28"/>
              <w:jc w:val="right"/>
              <w:rPr>
                <w:i/>
                <w:sz w:val="16"/>
              </w:rPr>
            </w:pPr>
            <w:r w:rsidRPr="00D31C0A">
              <w:rPr>
                <w:i/>
                <w:sz w:val="16"/>
              </w:rPr>
              <w:t>Total</w:t>
            </w:r>
          </w:p>
        </w:tc>
      </w:tr>
      <w:tr w:rsidR="00226477" w:rsidRPr="00D31C0A" w14:paraId="32B6B30F" w14:textId="77777777" w:rsidTr="00226477">
        <w:trPr>
          <w:trHeight w:val="240"/>
          <w:tblHeader/>
        </w:trPr>
        <w:tc>
          <w:tcPr>
            <w:tcW w:w="1020" w:type="dxa"/>
            <w:tcBorders>
              <w:bottom w:val="single" w:sz="12" w:space="0" w:color="auto"/>
            </w:tcBorders>
            <w:shd w:val="clear" w:color="auto" w:fill="auto"/>
            <w:vAlign w:val="bottom"/>
          </w:tcPr>
          <w:p w14:paraId="66DC9CE8" w14:textId="77777777" w:rsidR="00226477" w:rsidRPr="00D31C0A" w:rsidRDefault="00226477" w:rsidP="00317274">
            <w:pPr>
              <w:pStyle w:val="SingleTxtG"/>
              <w:tabs>
                <w:tab w:val="clear" w:pos="1701"/>
                <w:tab w:val="clear" w:pos="2268"/>
                <w:tab w:val="clear" w:pos="2835"/>
              </w:tabs>
              <w:spacing w:before="40" w:after="40" w:line="220" w:lineRule="exact"/>
              <w:ind w:left="0" w:right="0"/>
              <w:jc w:val="left"/>
              <w:rPr>
                <w:sz w:val="18"/>
              </w:rPr>
            </w:pPr>
          </w:p>
        </w:tc>
        <w:tc>
          <w:tcPr>
            <w:tcW w:w="1026" w:type="dxa"/>
            <w:tcBorders>
              <w:top w:val="single" w:sz="4" w:space="0" w:color="auto"/>
              <w:bottom w:val="single" w:sz="12" w:space="0" w:color="auto"/>
            </w:tcBorders>
            <w:shd w:val="clear" w:color="auto" w:fill="auto"/>
            <w:vAlign w:val="bottom"/>
          </w:tcPr>
          <w:p w14:paraId="387C6818" w14:textId="77777777" w:rsidR="00226477" w:rsidRPr="00D31C0A" w:rsidRDefault="00226477" w:rsidP="00FF0A23">
            <w:pPr>
              <w:pStyle w:val="SingleTxtG"/>
              <w:tabs>
                <w:tab w:val="clear" w:pos="1701"/>
                <w:tab w:val="clear" w:pos="2268"/>
                <w:tab w:val="clear" w:pos="2835"/>
              </w:tabs>
              <w:spacing w:before="80" w:after="80" w:line="200" w:lineRule="exact"/>
              <w:ind w:left="0" w:right="28"/>
              <w:jc w:val="right"/>
              <w:rPr>
                <w:i/>
                <w:sz w:val="16"/>
              </w:rPr>
            </w:pPr>
            <w:r w:rsidRPr="00D31C0A">
              <w:rPr>
                <w:i/>
                <w:sz w:val="16"/>
              </w:rPr>
              <w:t>Niños</w:t>
            </w:r>
          </w:p>
        </w:tc>
        <w:tc>
          <w:tcPr>
            <w:tcW w:w="1023" w:type="dxa"/>
            <w:gridSpan w:val="2"/>
            <w:tcBorders>
              <w:top w:val="single" w:sz="4" w:space="0" w:color="auto"/>
              <w:bottom w:val="single" w:sz="12" w:space="0" w:color="auto"/>
              <w:right w:val="single" w:sz="24" w:space="0" w:color="FFFFFF" w:themeColor="background1"/>
            </w:tcBorders>
            <w:shd w:val="clear" w:color="auto" w:fill="auto"/>
            <w:vAlign w:val="bottom"/>
          </w:tcPr>
          <w:p w14:paraId="17B22535" w14:textId="77777777" w:rsidR="00226477" w:rsidRPr="00D31C0A" w:rsidRDefault="00226477" w:rsidP="00FF0A23">
            <w:pPr>
              <w:pStyle w:val="SingleTxtG"/>
              <w:tabs>
                <w:tab w:val="clear" w:pos="1701"/>
                <w:tab w:val="clear" w:pos="2268"/>
                <w:tab w:val="clear" w:pos="2835"/>
              </w:tabs>
              <w:spacing w:before="80" w:after="80" w:line="200" w:lineRule="exact"/>
              <w:ind w:left="0" w:right="28"/>
              <w:jc w:val="right"/>
              <w:rPr>
                <w:i/>
                <w:sz w:val="16"/>
              </w:rPr>
            </w:pPr>
            <w:r w:rsidRPr="00D31C0A">
              <w:rPr>
                <w:i/>
                <w:sz w:val="16"/>
              </w:rPr>
              <w:t>Niñas</w:t>
            </w:r>
          </w:p>
        </w:tc>
        <w:tc>
          <w:tcPr>
            <w:tcW w:w="1078" w:type="dxa"/>
            <w:gridSpan w:val="2"/>
            <w:tcBorders>
              <w:top w:val="single" w:sz="4" w:space="0" w:color="auto"/>
              <w:left w:val="single" w:sz="24" w:space="0" w:color="FFFFFF" w:themeColor="background1"/>
              <w:bottom w:val="single" w:sz="12" w:space="0" w:color="auto"/>
            </w:tcBorders>
            <w:shd w:val="clear" w:color="auto" w:fill="auto"/>
            <w:vAlign w:val="bottom"/>
          </w:tcPr>
          <w:p w14:paraId="284A167B" w14:textId="77777777" w:rsidR="00226477" w:rsidRPr="00D31C0A" w:rsidRDefault="00226477" w:rsidP="00FF0A23">
            <w:pPr>
              <w:pStyle w:val="SingleTxtG"/>
              <w:tabs>
                <w:tab w:val="clear" w:pos="1701"/>
                <w:tab w:val="clear" w:pos="2268"/>
                <w:tab w:val="clear" w:pos="2835"/>
              </w:tabs>
              <w:spacing w:before="80" w:after="80" w:line="200" w:lineRule="exact"/>
              <w:ind w:left="0" w:right="28"/>
              <w:jc w:val="right"/>
              <w:rPr>
                <w:i/>
                <w:sz w:val="16"/>
              </w:rPr>
            </w:pPr>
            <w:r w:rsidRPr="00D31C0A">
              <w:rPr>
                <w:i/>
                <w:sz w:val="16"/>
              </w:rPr>
              <w:t>Grave</w:t>
            </w:r>
          </w:p>
        </w:tc>
        <w:tc>
          <w:tcPr>
            <w:tcW w:w="1154" w:type="dxa"/>
            <w:tcBorders>
              <w:top w:val="single" w:sz="4" w:space="0" w:color="auto"/>
              <w:bottom w:val="single" w:sz="12" w:space="0" w:color="auto"/>
            </w:tcBorders>
            <w:shd w:val="clear" w:color="auto" w:fill="auto"/>
            <w:vAlign w:val="bottom"/>
          </w:tcPr>
          <w:p w14:paraId="3D4D3750" w14:textId="77777777" w:rsidR="00226477" w:rsidRPr="00D31C0A" w:rsidRDefault="00226477" w:rsidP="00FF0A23">
            <w:pPr>
              <w:pStyle w:val="SingleTxtG"/>
              <w:tabs>
                <w:tab w:val="clear" w:pos="1701"/>
                <w:tab w:val="clear" w:pos="2268"/>
                <w:tab w:val="clear" w:pos="2835"/>
              </w:tabs>
              <w:spacing w:before="80" w:after="80" w:line="200" w:lineRule="exact"/>
              <w:ind w:left="0" w:right="28"/>
              <w:jc w:val="right"/>
              <w:rPr>
                <w:i/>
                <w:sz w:val="16"/>
              </w:rPr>
            </w:pPr>
            <w:r w:rsidRPr="00D31C0A">
              <w:rPr>
                <w:i/>
                <w:sz w:val="16"/>
              </w:rPr>
              <w:t xml:space="preserve">Moderado </w:t>
            </w:r>
          </w:p>
        </w:tc>
        <w:tc>
          <w:tcPr>
            <w:tcW w:w="1016" w:type="dxa"/>
            <w:tcBorders>
              <w:top w:val="single" w:sz="4" w:space="0" w:color="auto"/>
              <w:bottom w:val="single" w:sz="12" w:space="0" w:color="auto"/>
            </w:tcBorders>
            <w:shd w:val="clear" w:color="auto" w:fill="auto"/>
            <w:vAlign w:val="bottom"/>
          </w:tcPr>
          <w:p w14:paraId="564FCE9B" w14:textId="77777777" w:rsidR="00226477" w:rsidRPr="00D31C0A" w:rsidRDefault="00226477" w:rsidP="00FF0A23">
            <w:pPr>
              <w:pStyle w:val="SingleTxtG"/>
              <w:tabs>
                <w:tab w:val="clear" w:pos="1701"/>
                <w:tab w:val="clear" w:pos="2268"/>
                <w:tab w:val="clear" w:pos="2835"/>
              </w:tabs>
              <w:spacing w:before="80" w:after="80" w:line="200" w:lineRule="exact"/>
              <w:ind w:left="0" w:right="28"/>
              <w:jc w:val="right"/>
              <w:rPr>
                <w:i/>
                <w:sz w:val="16"/>
              </w:rPr>
            </w:pPr>
            <w:r w:rsidRPr="00D31C0A">
              <w:rPr>
                <w:i/>
                <w:sz w:val="16"/>
              </w:rPr>
              <w:t xml:space="preserve">Leve </w:t>
            </w:r>
          </w:p>
        </w:tc>
        <w:tc>
          <w:tcPr>
            <w:tcW w:w="1053" w:type="dxa"/>
            <w:vMerge/>
            <w:tcBorders>
              <w:top w:val="single" w:sz="12" w:space="0" w:color="auto"/>
              <w:bottom w:val="single" w:sz="12" w:space="0" w:color="auto"/>
            </w:tcBorders>
            <w:shd w:val="clear" w:color="auto" w:fill="auto"/>
            <w:vAlign w:val="bottom"/>
          </w:tcPr>
          <w:p w14:paraId="4EB5E248" w14:textId="77777777" w:rsidR="00226477" w:rsidRPr="00D31C0A" w:rsidRDefault="00226477" w:rsidP="00FF0A23">
            <w:pPr>
              <w:pStyle w:val="SingleTxtG"/>
              <w:tabs>
                <w:tab w:val="clear" w:pos="1701"/>
                <w:tab w:val="clear" w:pos="2268"/>
                <w:tab w:val="clear" w:pos="2835"/>
              </w:tabs>
              <w:spacing w:before="40" w:after="40" w:line="220" w:lineRule="exact"/>
              <w:ind w:left="0" w:right="28"/>
              <w:jc w:val="right"/>
              <w:rPr>
                <w:sz w:val="18"/>
              </w:rPr>
            </w:pPr>
          </w:p>
        </w:tc>
      </w:tr>
      <w:tr w:rsidR="00226477" w:rsidRPr="00D31C0A" w14:paraId="0CF35B51" w14:textId="77777777" w:rsidTr="00D77C54">
        <w:trPr>
          <w:trHeight w:val="240"/>
          <w:tblHeader/>
        </w:trPr>
        <w:tc>
          <w:tcPr>
            <w:tcW w:w="1020" w:type="dxa"/>
            <w:tcBorders>
              <w:top w:val="single" w:sz="12" w:space="0" w:color="auto"/>
              <w:bottom w:val="nil"/>
            </w:tcBorders>
            <w:shd w:val="clear" w:color="auto" w:fill="auto"/>
            <w:vAlign w:val="bottom"/>
          </w:tcPr>
          <w:p w14:paraId="26000431" w14:textId="42C8B110" w:rsidR="00226477" w:rsidRPr="00D31C0A" w:rsidRDefault="00226477" w:rsidP="00317274">
            <w:pPr>
              <w:pStyle w:val="SingleTxtG"/>
              <w:tabs>
                <w:tab w:val="clear" w:pos="1701"/>
                <w:tab w:val="clear" w:pos="2268"/>
                <w:tab w:val="clear" w:pos="2835"/>
              </w:tabs>
              <w:spacing w:before="40" w:after="40" w:line="220" w:lineRule="exact"/>
              <w:ind w:left="0" w:right="0"/>
              <w:jc w:val="left"/>
              <w:rPr>
                <w:sz w:val="18"/>
              </w:rPr>
            </w:pPr>
            <w:r w:rsidRPr="00D31C0A">
              <w:rPr>
                <w:sz w:val="16"/>
              </w:rPr>
              <w:t>2020</w:t>
            </w:r>
          </w:p>
        </w:tc>
        <w:tc>
          <w:tcPr>
            <w:tcW w:w="1026" w:type="dxa"/>
            <w:tcBorders>
              <w:top w:val="single" w:sz="12" w:space="0" w:color="auto"/>
              <w:bottom w:val="nil"/>
            </w:tcBorders>
            <w:shd w:val="clear" w:color="auto" w:fill="auto"/>
            <w:vAlign w:val="bottom"/>
          </w:tcPr>
          <w:p w14:paraId="69AD990D" w14:textId="77777777" w:rsidR="00226477" w:rsidRPr="00D31C0A" w:rsidRDefault="00226477" w:rsidP="00FF0A23">
            <w:pPr>
              <w:pStyle w:val="SingleTxtG"/>
              <w:tabs>
                <w:tab w:val="clear" w:pos="1701"/>
                <w:tab w:val="clear" w:pos="2268"/>
                <w:tab w:val="clear" w:pos="2835"/>
              </w:tabs>
              <w:spacing w:before="40" w:after="40" w:line="220" w:lineRule="exact"/>
              <w:ind w:left="0" w:right="28"/>
              <w:jc w:val="right"/>
              <w:rPr>
                <w:sz w:val="18"/>
              </w:rPr>
            </w:pPr>
            <w:r w:rsidRPr="00D31C0A">
              <w:rPr>
                <w:sz w:val="18"/>
              </w:rPr>
              <w:t>9 534</w:t>
            </w:r>
          </w:p>
        </w:tc>
        <w:tc>
          <w:tcPr>
            <w:tcW w:w="1023" w:type="dxa"/>
            <w:gridSpan w:val="2"/>
            <w:tcBorders>
              <w:top w:val="single" w:sz="12" w:space="0" w:color="auto"/>
              <w:bottom w:val="nil"/>
            </w:tcBorders>
            <w:shd w:val="clear" w:color="auto" w:fill="auto"/>
            <w:vAlign w:val="bottom"/>
          </w:tcPr>
          <w:p w14:paraId="43D56BFA" w14:textId="77777777" w:rsidR="00226477" w:rsidRPr="00D31C0A" w:rsidRDefault="00226477" w:rsidP="00FF0A23">
            <w:pPr>
              <w:pStyle w:val="SingleTxtG"/>
              <w:tabs>
                <w:tab w:val="clear" w:pos="1701"/>
                <w:tab w:val="clear" w:pos="2268"/>
                <w:tab w:val="clear" w:pos="2835"/>
              </w:tabs>
              <w:spacing w:before="40" w:after="40" w:line="220" w:lineRule="exact"/>
              <w:ind w:left="0" w:right="28"/>
              <w:jc w:val="right"/>
              <w:rPr>
                <w:sz w:val="18"/>
              </w:rPr>
            </w:pPr>
            <w:r w:rsidRPr="00D31C0A">
              <w:rPr>
                <w:sz w:val="18"/>
              </w:rPr>
              <w:t>5 725</w:t>
            </w:r>
          </w:p>
        </w:tc>
        <w:tc>
          <w:tcPr>
            <w:tcW w:w="1078" w:type="dxa"/>
            <w:gridSpan w:val="2"/>
            <w:tcBorders>
              <w:top w:val="single" w:sz="12" w:space="0" w:color="auto"/>
              <w:bottom w:val="nil"/>
            </w:tcBorders>
            <w:shd w:val="clear" w:color="auto" w:fill="auto"/>
            <w:vAlign w:val="bottom"/>
          </w:tcPr>
          <w:p w14:paraId="6D9C3101" w14:textId="77777777" w:rsidR="00226477" w:rsidRPr="00D31C0A" w:rsidRDefault="00226477" w:rsidP="00FF0A23">
            <w:pPr>
              <w:pStyle w:val="SingleTxtG"/>
              <w:tabs>
                <w:tab w:val="clear" w:pos="1701"/>
                <w:tab w:val="clear" w:pos="2268"/>
                <w:tab w:val="clear" w:pos="2835"/>
              </w:tabs>
              <w:spacing w:before="40" w:after="40" w:line="220" w:lineRule="exact"/>
              <w:ind w:left="0" w:right="28"/>
              <w:jc w:val="right"/>
              <w:rPr>
                <w:sz w:val="18"/>
              </w:rPr>
            </w:pPr>
            <w:r w:rsidRPr="00D31C0A">
              <w:rPr>
                <w:sz w:val="18"/>
              </w:rPr>
              <w:t>3 033</w:t>
            </w:r>
          </w:p>
        </w:tc>
        <w:tc>
          <w:tcPr>
            <w:tcW w:w="1154" w:type="dxa"/>
            <w:tcBorders>
              <w:top w:val="single" w:sz="12" w:space="0" w:color="auto"/>
              <w:bottom w:val="nil"/>
            </w:tcBorders>
            <w:shd w:val="clear" w:color="auto" w:fill="auto"/>
            <w:vAlign w:val="bottom"/>
          </w:tcPr>
          <w:p w14:paraId="1C10F5BE" w14:textId="77777777" w:rsidR="00226477" w:rsidRPr="00D31C0A" w:rsidRDefault="00226477" w:rsidP="00FF0A23">
            <w:pPr>
              <w:pStyle w:val="SingleTxtG"/>
              <w:tabs>
                <w:tab w:val="clear" w:pos="1701"/>
                <w:tab w:val="clear" w:pos="2268"/>
                <w:tab w:val="clear" w:pos="2835"/>
              </w:tabs>
              <w:spacing w:before="40" w:after="40" w:line="220" w:lineRule="exact"/>
              <w:ind w:left="0" w:right="28"/>
              <w:jc w:val="right"/>
              <w:rPr>
                <w:sz w:val="18"/>
              </w:rPr>
            </w:pPr>
            <w:r w:rsidRPr="00D31C0A">
              <w:rPr>
                <w:sz w:val="18"/>
              </w:rPr>
              <w:t>8 156</w:t>
            </w:r>
          </w:p>
        </w:tc>
        <w:tc>
          <w:tcPr>
            <w:tcW w:w="1016" w:type="dxa"/>
            <w:tcBorders>
              <w:top w:val="single" w:sz="12" w:space="0" w:color="auto"/>
              <w:bottom w:val="nil"/>
            </w:tcBorders>
            <w:shd w:val="clear" w:color="auto" w:fill="auto"/>
            <w:vAlign w:val="bottom"/>
          </w:tcPr>
          <w:p w14:paraId="51B02F99" w14:textId="77777777" w:rsidR="00226477" w:rsidRPr="00D31C0A" w:rsidRDefault="00226477" w:rsidP="00FF0A23">
            <w:pPr>
              <w:pStyle w:val="SingleTxtG"/>
              <w:tabs>
                <w:tab w:val="clear" w:pos="1701"/>
                <w:tab w:val="clear" w:pos="2268"/>
                <w:tab w:val="clear" w:pos="2835"/>
              </w:tabs>
              <w:spacing w:before="40" w:after="40" w:line="220" w:lineRule="exact"/>
              <w:ind w:left="0" w:right="28"/>
              <w:jc w:val="right"/>
              <w:rPr>
                <w:sz w:val="18"/>
              </w:rPr>
            </w:pPr>
            <w:r w:rsidRPr="00D31C0A">
              <w:rPr>
                <w:sz w:val="18"/>
              </w:rPr>
              <w:t>4 070</w:t>
            </w:r>
          </w:p>
        </w:tc>
        <w:tc>
          <w:tcPr>
            <w:tcW w:w="1053" w:type="dxa"/>
            <w:tcBorders>
              <w:top w:val="single" w:sz="12" w:space="0" w:color="auto"/>
              <w:bottom w:val="nil"/>
            </w:tcBorders>
            <w:shd w:val="clear" w:color="auto" w:fill="auto"/>
            <w:vAlign w:val="bottom"/>
          </w:tcPr>
          <w:p w14:paraId="6F1ED58C" w14:textId="77777777" w:rsidR="00226477" w:rsidRPr="00D31C0A" w:rsidRDefault="00226477" w:rsidP="00FF0A23">
            <w:pPr>
              <w:pStyle w:val="SingleTxtG"/>
              <w:tabs>
                <w:tab w:val="clear" w:pos="1701"/>
                <w:tab w:val="clear" w:pos="2268"/>
                <w:tab w:val="clear" w:pos="2835"/>
              </w:tabs>
              <w:spacing w:before="40" w:after="40" w:line="220" w:lineRule="exact"/>
              <w:ind w:left="0" w:right="28"/>
              <w:jc w:val="right"/>
              <w:rPr>
                <w:sz w:val="18"/>
              </w:rPr>
            </w:pPr>
            <w:r w:rsidRPr="00D31C0A">
              <w:rPr>
                <w:sz w:val="18"/>
              </w:rPr>
              <w:t>15 259</w:t>
            </w:r>
          </w:p>
        </w:tc>
      </w:tr>
      <w:tr w:rsidR="00226477" w:rsidRPr="00317274" w14:paraId="03929331" w14:textId="77777777" w:rsidTr="00D77C54">
        <w:trPr>
          <w:trHeight w:val="240"/>
        </w:trPr>
        <w:tc>
          <w:tcPr>
            <w:tcW w:w="1020" w:type="dxa"/>
            <w:tcBorders>
              <w:top w:val="nil"/>
              <w:bottom w:val="nil"/>
            </w:tcBorders>
            <w:shd w:val="clear" w:color="auto" w:fill="auto"/>
            <w:vAlign w:val="bottom"/>
          </w:tcPr>
          <w:p w14:paraId="656ADB66" w14:textId="44950C9A" w:rsidR="00226477" w:rsidRPr="00D31C0A" w:rsidRDefault="00226477" w:rsidP="00226477">
            <w:pPr>
              <w:pStyle w:val="SingleTxtG"/>
              <w:tabs>
                <w:tab w:val="clear" w:pos="1701"/>
                <w:tab w:val="clear" w:pos="2268"/>
                <w:tab w:val="clear" w:pos="2835"/>
              </w:tabs>
              <w:spacing w:before="40" w:after="40" w:line="220" w:lineRule="exact"/>
              <w:ind w:left="0" w:right="0"/>
              <w:jc w:val="left"/>
              <w:rPr>
                <w:sz w:val="18"/>
              </w:rPr>
            </w:pPr>
            <w:r w:rsidRPr="00D31C0A">
              <w:rPr>
                <w:sz w:val="16"/>
              </w:rPr>
              <w:t>2021</w:t>
            </w:r>
          </w:p>
        </w:tc>
        <w:tc>
          <w:tcPr>
            <w:tcW w:w="1026" w:type="dxa"/>
            <w:tcBorders>
              <w:top w:val="nil"/>
              <w:bottom w:val="nil"/>
            </w:tcBorders>
            <w:shd w:val="clear" w:color="auto" w:fill="auto"/>
            <w:vAlign w:val="bottom"/>
          </w:tcPr>
          <w:p w14:paraId="4F6FC0E1" w14:textId="77777777" w:rsidR="00226477" w:rsidRPr="00D31C0A" w:rsidRDefault="00226477" w:rsidP="00226477">
            <w:pPr>
              <w:pStyle w:val="SingleTxtG"/>
              <w:tabs>
                <w:tab w:val="clear" w:pos="1701"/>
                <w:tab w:val="clear" w:pos="2268"/>
                <w:tab w:val="clear" w:pos="2835"/>
              </w:tabs>
              <w:spacing w:before="40" w:after="40" w:line="220" w:lineRule="exact"/>
              <w:ind w:left="0" w:right="28"/>
              <w:jc w:val="right"/>
              <w:rPr>
                <w:sz w:val="18"/>
              </w:rPr>
            </w:pPr>
            <w:r w:rsidRPr="00D31C0A">
              <w:rPr>
                <w:sz w:val="18"/>
              </w:rPr>
              <w:t>9 467</w:t>
            </w:r>
          </w:p>
        </w:tc>
        <w:tc>
          <w:tcPr>
            <w:tcW w:w="1023" w:type="dxa"/>
            <w:gridSpan w:val="2"/>
            <w:tcBorders>
              <w:top w:val="nil"/>
              <w:bottom w:val="nil"/>
            </w:tcBorders>
            <w:shd w:val="clear" w:color="auto" w:fill="auto"/>
            <w:vAlign w:val="bottom"/>
          </w:tcPr>
          <w:p w14:paraId="0D476177" w14:textId="77777777" w:rsidR="00226477" w:rsidRPr="00D31C0A" w:rsidRDefault="00226477" w:rsidP="00226477">
            <w:pPr>
              <w:pStyle w:val="SingleTxtG"/>
              <w:tabs>
                <w:tab w:val="clear" w:pos="1701"/>
                <w:tab w:val="clear" w:pos="2268"/>
                <w:tab w:val="clear" w:pos="2835"/>
              </w:tabs>
              <w:spacing w:before="40" w:after="40" w:line="220" w:lineRule="exact"/>
              <w:ind w:left="0" w:right="28"/>
              <w:jc w:val="right"/>
              <w:rPr>
                <w:sz w:val="18"/>
              </w:rPr>
            </w:pPr>
            <w:r w:rsidRPr="00D31C0A">
              <w:rPr>
                <w:sz w:val="18"/>
              </w:rPr>
              <w:t>5 802</w:t>
            </w:r>
          </w:p>
        </w:tc>
        <w:tc>
          <w:tcPr>
            <w:tcW w:w="1078" w:type="dxa"/>
            <w:gridSpan w:val="2"/>
            <w:tcBorders>
              <w:top w:val="nil"/>
              <w:bottom w:val="nil"/>
            </w:tcBorders>
            <w:shd w:val="clear" w:color="auto" w:fill="auto"/>
            <w:vAlign w:val="bottom"/>
          </w:tcPr>
          <w:p w14:paraId="0672D106" w14:textId="77777777" w:rsidR="00226477" w:rsidRPr="00D31C0A" w:rsidRDefault="00226477" w:rsidP="00226477">
            <w:pPr>
              <w:pStyle w:val="SingleTxtG"/>
              <w:tabs>
                <w:tab w:val="clear" w:pos="1701"/>
                <w:tab w:val="clear" w:pos="2268"/>
                <w:tab w:val="clear" w:pos="2835"/>
              </w:tabs>
              <w:spacing w:before="40" w:after="40" w:line="220" w:lineRule="exact"/>
              <w:ind w:left="0" w:right="28"/>
              <w:jc w:val="right"/>
              <w:rPr>
                <w:sz w:val="18"/>
              </w:rPr>
            </w:pPr>
            <w:r w:rsidRPr="00D31C0A">
              <w:rPr>
                <w:sz w:val="18"/>
              </w:rPr>
              <w:t>3 245</w:t>
            </w:r>
          </w:p>
        </w:tc>
        <w:tc>
          <w:tcPr>
            <w:tcW w:w="1154" w:type="dxa"/>
            <w:tcBorders>
              <w:top w:val="nil"/>
              <w:bottom w:val="nil"/>
            </w:tcBorders>
            <w:shd w:val="clear" w:color="auto" w:fill="auto"/>
            <w:vAlign w:val="bottom"/>
          </w:tcPr>
          <w:p w14:paraId="7DC98EE5" w14:textId="77777777" w:rsidR="00226477" w:rsidRPr="00D31C0A" w:rsidRDefault="00226477" w:rsidP="00226477">
            <w:pPr>
              <w:pStyle w:val="SingleTxtG"/>
              <w:tabs>
                <w:tab w:val="clear" w:pos="1701"/>
                <w:tab w:val="clear" w:pos="2268"/>
                <w:tab w:val="clear" w:pos="2835"/>
              </w:tabs>
              <w:spacing w:before="40" w:after="40" w:line="220" w:lineRule="exact"/>
              <w:ind w:left="0" w:right="28"/>
              <w:jc w:val="right"/>
              <w:rPr>
                <w:sz w:val="18"/>
              </w:rPr>
            </w:pPr>
            <w:r w:rsidRPr="00D31C0A">
              <w:rPr>
                <w:sz w:val="18"/>
              </w:rPr>
              <w:t>8 297</w:t>
            </w:r>
          </w:p>
        </w:tc>
        <w:tc>
          <w:tcPr>
            <w:tcW w:w="1016" w:type="dxa"/>
            <w:tcBorders>
              <w:top w:val="nil"/>
              <w:bottom w:val="nil"/>
            </w:tcBorders>
            <w:shd w:val="clear" w:color="auto" w:fill="auto"/>
            <w:vAlign w:val="bottom"/>
          </w:tcPr>
          <w:p w14:paraId="387BDE7A" w14:textId="77777777" w:rsidR="00226477" w:rsidRPr="00D31C0A" w:rsidRDefault="00226477" w:rsidP="00226477">
            <w:pPr>
              <w:pStyle w:val="SingleTxtG"/>
              <w:tabs>
                <w:tab w:val="clear" w:pos="1701"/>
                <w:tab w:val="clear" w:pos="2268"/>
                <w:tab w:val="clear" w:pos="2835"/>
              </w:tabs>
              <w:spacing w:before="40" w:after="40" w:line="220" w:lineRule="exact"/>
              <w:ind w:left="0" w:right="28"/>
              <w:jc w:val="right"/>
              <w:rPr>
                <w:sz w:val="18"/>
              </w:rPr>
            </w:pPr>
            <w:r w:rsidRPr="00D31C0A">
              <w:rPr>
                <w:sz w:val="18"/>
              </w:rPr>
              <w:t>3 727</w:t>
            </w:r>
          </w:p>
        </w:tc>
        <w:tc>
          <w:tcPr>
            <w:tcW w:w="1053" w:type="dxa"/>
            <w:tcBorders>
              <w:top w:val="nil"/>
              <w:bottom w:val="nil"/>
            </w:tcBorders>
            <w:shd w:val="clear" w:color="auto" w:fill="auto"/>
            <w:vAlign w:val="bottom"/>
          </w:tcPr>
          <w:p w14:paraId="0312CEC2" w14:textId="77777777" w:rsidR="00226477" w:rsidRPr="00D31C0A" w:rsidRDefault="00226477" w:rsidP="00226477">
            <w:pPr>
              <w:pStyle w:val="SingleTxtG"/>
              <w:tabs>
                <w:tab w:val="clear" w:pos="1701"/>
                <w:tab w:val="clear" w:pos="2268"/>
                <w:tab w:val="clear" w:pos="2835"/>
              </w:tabs>
              <w:spacing w:before="40" w:after="40" w:line="220" w:lineRule="exact"/>
              <w:ind w:left="0" w:right="28"/>
              <w:jc w:val="right"/>
              <w:rPr>
                <w:sz w:val="18"/>
              </w:rPr>
            </w:pPr>
            <w:r w:rsidRPr="00D31C0A">
              <w:rPr>
                <w:sz w:val="18"/>
              </w:rPr>
              <w:t>15 269</w:t>
            </w:r>
          </w:p>
        </w:tc>
      </w:tr>
      <w:tr w:rsidR="00D77C54" w:rsidRPr="00FF0A23" w14:paraId="49E512BA" w14:textId="77777777" w:rsidTr="00D77C54">
        <w:trPr>
          <w:trHeight w:val="240"/>
          <w:tblHeader/>
        </w:trPr>
        <w:tc>
          <w:tcPr>
            <w:tcW w:w="1015" w:type="dxa"/>
            <w:tcBorders>
              <w:top w:val="nil"/>
              <w:bottom w:val="single" w:sz="12" w:space="0" w:color="auto"/>
            </w:tcBorders>
            <w:shd w:val="clear" w:color="auto" w:fill="auto"/>
            <w:vAlign w:val="bottom"/>
          </w:tcPr>
          <w:p w14:paraId="3918D732" w14:textId="508206DE" w:rsidR="00D77C54" w:rsidRPr="00D31C0A" w:rsidRDefault="00D77C54" w:rsidP="00D77C54">
            <w:pPr>
              <w:pStyle w:val="SingleTxtG"/>
              <w:tabs>
                <w:tab w:val="clear" w:pos="1701"/>
                <w:tab w:val="clear" w:pos="2268"/>
                <w:tab w:val="clear" w:pos="2835"/>
              </w:tabs>
              <w:spacing w:before="40" w:after="40" w:line="220" w:lineRule="exact"/>
              <w:ind w:left="0" w:right="0"/>
              <w:jc w:val="left"/>
              <w:rPr>
                <w:sz w:val="18"/>
              </w:rPr>
            </w:pPr>
            <w:r w:rsidRPr="00D31C0A">
              <w:rPr>
                <w:sz w:val="16"/>
              </w:rPr>
              <w:t>2022</w:t>
            </w:r>
          </w:p>
        </w:tc>
        <w:tc>
          <w:tcPr>
            <w:tcW w:w="1053" w:type="dxa"/>
            <w:gridSpan w:val="2"/>
            <w:tcBorders>
              <w:top w:val="nil"/>
              <w:bottom w:val="single" w:sz="12" w:space="0" w:color="auto"/>
            </w:tcBorders>
            <w:shd w:val="clear" w:color="auto" w:fill="auto"/>
            <w:vAlign w:val="bottom"/>
          </w:tcPr>
          <w:p w14:paraId="090472B5" w14:textId="77777777" w:rsidR="00D77C54" w:rsidRPr="00D31C0A" w:rsidRDefault="00D77C54" w:rsidP="00D77C54">
            <w:pPr>
              <w:pStyle w:val="SingleTxtG"/>
              <w:tabs>
                <w:tab w:val="clear" w:pos="1701"/>
                <w:tab w:val="clear" w:pos="2268"/>
                <w:tab w:val="clear" w:pos="2835"/>
              </w:tabs>
              <w:spacing w:before="40" w:after="40" w:line="220" w:lineRule="exact"/>
              <w:ind w:left="0" w:right="28"/>
              <w:jc w:val="right"/>
              <w:rPr>
                <w:sz w:val="18"/>
              </w:rPr>
            </w:pPr>
            <w:r w:rsidRPr="00D31C0A">
              <w:rPr>
                <w:sz w:val="18"/>
              </w:rPr>
              <w:t>10 179</w:t>
            </w:r>
          </w:p>
        </w:tc>
        <w:tc>
          <w:tcPr>
            <w:tcW w:w="1014" w:type="dxa"/>
            <w:gridSpan w:val="2"/>
            <w:tcBorders>
              <w:top w:val="nil"/>
              <w:bottom w:val="single" w:sz="12" w:space="0" w:color="auto"/>
            </w:tcBorders>
            <w:shd w:val="clear" w:color="auto" w:fill="auto"/>
            <w:vAlign w:val="bottom"/>
          </w:tcPr>
          <w:p w14:paraId="0AB13F8E" w14:textId="77777777" w:rsidR="00D77C54" w:rsidRPr="00D31C0A" w:rsidRDefault="00D77C54" w:rsidP="00D77C54">
            <w:pPr>
              <w:pStyle w:val="SingleTxtG"/>
              <w:tabs>
                <w:tab w:val="clear" w:pos="1701"/>
                <w:tab w:val="clear" w:pos="2268"/>
                <w:tab w:val="clear" w:pos="2835"/>
              </w:tabs>
              <w:spacing w:before="40" w:after="40" w:line="220" w:lineRule="exact"/>
              <w:ind w:left="0" w:right="28"/>
              <w:jc w:val="right"/>
              <w:rPr>
                <w:sz w:val="18"/>
              </w:rPr>
            </w:pPr>
            <w:r w:rsidRPr="00D31C0A">
              <w:rPr>
                <w:sz w:val="18"/>
              </w:rPr>
              <w:t>5 852</w:t>
            </w:r>
          </w:p>
        </w:tc>
        <w:tc>
          <w:tcPr>
            <w:tcW w:w="1069" w:type="dxa"/>
            <w:tcBorders>
              <w:top w:val="nil"/>
              <w:bottom w:val="single" w:sz="12" w:space="0" w:color="auto"/>
            </w:tcBorders>
            <w:shd w:val="clear" w:color="auto" w:fill="auto"/>
            <w:vAlign w:val="bottom"/>
          </w:tcPr>
          <w:p w14:paraId="4CDFEE19" w14:textId="77777777" w:rsidR="00D77C54" w:rsidRPr="00D31C0A" w:rsidRDefault="00D77C54" w:rsidP="00D77C54">
            <w:pPr>
              <w:pStyle w:val="SingleTxtG"/>
              <w:tabs>
                <w:tab w:val="clear" w:pos="1701"/>
                <w:tab w:val="clear" w:pos="2268"/>
                <w:tab w:val="clear" w:pos="2835"/>
              </w:tabs>
              <w:spacing w:before="40" w:after="40" w:line="220" w:lineRule="exact"/>
              <w:ind w:left="0" w:right="28"/>
              <w:jc w:val="right"/>
              <w:rPr>
                <w:sz w:val="18"/>
              </w:rPr>
            </w:pPr>
            <w:r w:rsidRPr="00D31C0A">
              <w:rPr>
                <w:sz w:val="18"/>
              </w:rPr>
              <w:t>3 573</w:t>
            </w:r>
          </w:p>
        </w:tc>
        <w:tc>
          <w:tcPr>
            <w:tcW w:w="1152" w:type="dxa"/>
            <w:tcBorders>
              <w:top w:val="nil"/>
              <w:bottom w:val="single" w:sz="12" w:space="0" w:color="auto"/>
            </w:tcBorders>
            <w:shd w:val="clear" w:color="auto" w:fill="auto"/>
            <w:vAlign w:val="bottom"/>
          </w:tcPr>
          <w:p w14:paraId="45BE01CF" w14:textId="77777777" w:rsidR="00D77C54" w:rsidRPr="00D31C0A" w:rsidRDefault="00D77C54" w:rsidP="00D77C54">
            <w:pPr>
              <w:pStyle w:val="SingleTxtG"/>
              <w:tabs>
                <w:tab w:val="clear" w:pos="1701"/>
                <w:tab w:val="clear" w:pos="2268"/>
                <w:tab w:val="clear" w:pos="2835"/>
              </w:tabs>
              <w:spacing w:before="40" w:after="40" w:line="220" w:lineRule="exact"/>
              <w:ind w:left="0" w:right="28"/>
              <w:jc w:val="right"/>
              <w:rPr>
                <w:sz w:val="18"/>
              </w:rPr>
            </w:pPr>
            <w:r w:rsidRPr="00D31C0A">
              <w:rPr>
                <w:sz w:val="18"/>
              </w:rPr>
              <w:t>8 868</w:t>
            </w:r>
          </w:p>
        </w:tc>
        <w:tc>
          <w:tcPr>
            <w:tcW w:w="1014" w:type="dxa"/>
            <w:tcBorders>
              <w:top w:val="nil"/>
              <w:bottom w:val="single" w:sz="12" w:space="0" w:color="auto"/>
            </w:tcBorders>
            <w:shd w:val="clear" w:color="auto" w:fill="auto"/>
            <w:vAlign w:val="bottom"/>
          </w:tcPr>
          <w:p w14:paraId="25583C0A" w14:textId="77777777" w:rsidR="00D77C54" w:rsidRPr="00D31C0A" w:rsidRDefault="00D77C54" w:rsidP="00D77C54">
            <w:pPr>
              <w:pStyle w:val="SingleTxtG"/>
              <w:tabs>
                <w:tab w:val="clear" w:pos="1701"/>
                <w:tab w:val="clear" w:pos="2268"/>
                <w:tab w:val="clear" w:pos="2835"/>
              </w:tabs>
              <w:spacing w:before="40" w:after="40" w:line="220" w:lineRule="exact"/>
              <w:ind w:left="0" w:right="28"/>
              <w:jc w:val="right"/>
              <w:rPr>
                <w:sz w:val="18"/>
              </w:rPr>
            </w:pPr>
            <w:r w:rsidRPr="00D31C0A">
              <w:rPr>
                <w:sz w:val="18"/>
              </w:rPr>
              <w:t>3 590</w:t>
            </w:r>
          </w:p>
        </w:tc>
        <w:tc>
          <w:tcPr>
            <w:tcW w:w="1053" w:type="dxa"/>
            <w:tcBorders>
              <w:top w:val="nil"/>
              <w:bottom w:val="single" w:sz="12" w:space="0" w:color="auto"/>
            </w:tcBorders>
            <w:shd w:val="clear" w:color="auto" w:fill="auto"/>
            <w:vAlign w:val="bottom"/>
          </w:tcPr>
          <w:p w14:paraId="45041D4E" w14:textId="77777777" w:rsidR="00D77C54" w:rsidRPr="00D31C0A" w:rsidRDefault="00D77C54" w:rsidP="00D77C54">
            <w:pPr>
              <w:pStyle w:val="SingleTxtG"/>
              <w:tabs>
                <w:tab w:val="clear" w:pos="1701"/>
                <w:tab w:val="clear" w:pos="2268"/>
                <w:tab w:val="clear" w:pos="2835"/>
              </w:tabs>
              <w:spacing w:before="40" w:after="40" w:line="220" w:lineRule="exact"/>
              <w:ind w:left="0" w:right="28"/>
              <w:jc w:val="right"/>
              <w:rPr>
                <w:sz w:val="18"/>
              </w:rPr>
            </w:pPr>
            <w:r w:rsidRPr="00D31C0A">
              <w:rPr>
                <w:sz w:val="18"/>
              </w:rPr>
              <w:t>16 031</w:t>
            </w:r>
          </w:p>
        </w:tc>
      </w:tr>
    </w:tbl>
    <w:p w14:paraId="740C37CB" w14:textId="5B9EA943" w:rsidR="00D31C0A" w:rsidRPr="00D31C0A" w:rsidRDefault="00D31C0A" w:rsidP="00FF0A23">
      <w:pPr>
        <w:pStyle w:val="H1G"/>
      </w:pPr>
      <w:r w:rsidRPr="00D31C0A">
        <w:tab/>
      </w:r>
      <w:r w:rsidR="00463C88">
        <w:tab/>
      </w:r>
      <w:r w:rsidRPr="00D31C0A">
        <w:t>Respuesta al párrafo 20 b) de la lista de cuestiones</w:t>
      </w:r>
    </w:p>
    <w:p w14:paraId="13C558DD" w14:textId="77777777" w:rsidR="00D31C0A" w:rsidRPr="00D31C0A" w:rsidRDefault="00D31C0A" w:rsidP="00D31C0A">
      <w:pPr>
        <w:pStyle w:val="SingleTxtG"/>
      </w:pPr>
      <w:r w:rsidRPr="00D31C0A">
        <w:t>131.</w:t>
      </w:r>
      <w:r w:rsidRPr="00D31C0A">
        <w:tab/>
        <w:t>A fines de 2022, vivían en cinco centros de acogida social para niños con discapacidad un total de 136 niños:</w:t>
      </w:r>
    </w:p>
    <w:p w14:paraId="14EEE257" w14:textId="11ECE1FC" w:rsidR="00D31C0A" w:rsidRPr="00D31C0A" w:rsidRDefault="00D31C0A" w:rsidP="00FF0A23">
      <w:pPr>
        <w:pStyle w:val="Bullet1G"/>
      </w:pPr>
      <w:r w:rsidRPr="00D31C0A">
        <w:t>2021: 106 niños en cinco centros de acogida social</w:t>
      </w:r>
    </w:p>
    <w:p w14:paraId="2B6DE518" w14:textId="47A62D47" w:rsidR="00D31C0A" w:rsidRPr="00D31C0A" w:rsidRDefault="00D31C0A" w:rsidP="00FF0A23">
      <w:pPr>
        <w:pStyle w:val="Bullet1G"/>
      </w:pPr>
      <w:r w:rsidRPr="00D31C0A">
        <w:t>2020: niños en cuatro centros de acogida social</w:t>
      </w:r>
    </w:p>
    <w:p w14:paraId="31FA9A1E" w14:textId="4D23E77E" w:rsidR="00D31C0A" w:rsidRPr="00D31C0A" w:rsidRDefault="00D31C0A" w:rsidP="00FF0A23">
      <w:pPr>
        <w:pStyle w:val="Bullet1G"/>
      </w:pPr>
      <w:r w:rsidRPr="00D31C0A">
        <w:t>2019: 89 niños en cuatro centros de acogida social</w:t>
      </w:r>
    </w:p>
    <w:p w14:paraId="75F746EA" w14:textId="70D05C5C" w:rsidR="00D31C0A" w:rsidRPr="00D31C0A" w:rsidRDefault="00D31C0A" w:rsidP="00FF0A23">
      <w:pPr>
        <w:pStyle w:val="H1G"/>
      </w:pPr>
      <w:r w:rsidRPr="00D31C0A">
        <w:tab/>
      </w:r>
      <w:r w:rsidR="00463C88">
        <w:tab/>
      </w:r>
      <w:r w:rsidRPr="00D31C0A">
        <w:t>Respuesta al párrafo 20 c) de la lista de cuestiones</w:t>
      </w:r>
    </w:p>
    <w:p w14:paraId="2A686CEE" w14:textId="77777777" w:rsidR="00D31C0A" w:rsidRPr="00D31C0A" w:rsidRDefault="00D31C0A" w:rsidP="00D31C0A">
      <w:pPr>
        <w:pStyle w:val="SingleTxtG"/>
      </w:pPr>
      <w:r w:rsidRPr="00D31C0A">
        <w:t>132.</w:t>
      </w:r>
      <w:r w:rsidRPr="00D31C0A">
        <w:tab/>
        <w:t>No se dispone de datos.</w:t>
      </w:r>
    </w:p>
    <w:bookmarkEnd w:id="16"/>
    <w:p w14:paraId="0327ABEC" w14:textId="04741A48" w:rsidR="00D31C0A" w:rsidRPr="00D31C0A" w:rsidRDefault="00D31C0A" w:rsidP="00FF0A23">
      <w:pPr>
        <w:pStyle w:val="H1G"/>
      </w:pPr>
      <w:r w:rsidRPr="00D31C0A">
        <w:lastRenderedPageBreak/>
        <w:tab/>
      </w:r>
      <w:r w:rsidR="00463C88">
        <w:tab/>
      </w:r>
      <w:r w:rsidRPr="00D31C0A">
        <w:t>Respuesta a los párrafos 20 d), e), f), g) y h) de la lista de cuestiones</w:t>
      </w:r>
    </w:p>
    <w:p w14:paraId="23FB3ED3" w14:textId="77777777" w:rsidR="00D31C0A" w:rsidRPr="00D31C0A" w:rsidRDefault="00D31C0A" w:rsidP="00D31C0A">
      <w:pPr>
        <w:pStyle w:val="SingleTxtG"/>
      </w:pPr>
      <w:r w:rsidRPr="00D31C0A">
        <w:t>133.</w:t>
      </w:r>
      <w:r w:rsidRPr="00D31C0A">
        <w:tab/>
        <w:t>Véanse los anexos 2, 3, 4 y 5.</w:t>
      </w:r>
    </w:p>
    <w:p w14:paraId="78A5E012" w14:textId="7520DC26" w:rsidR="00D31C0A" w:rsidRPr="00D31C0A" w:rsidRDefault="00D31C0A" w:rsidP="00FF0A23">
      <w:pPr>
        <w:pStyle w:val="H1G"/>
      </w:pPr>
      <w:r w:rsidRPr="00D31C0A">
        <w:tab/>
      </w:r>
      <w:r w:rsidR="00463C88">
        <w:tab/>
      </w:r>
      <w:r w:rsidRPr="00D31C0A">
        <w:t>Respuesta al párrafo 20 i) de la lista de cuestiones</w:t>
      </w:r>
    </w:p>
    <w:tbl>
      <w:tblPr>
        <w:tblStyle w:val="Tablaconcuadrcula"/>
        <w:tblW w:w="7370" w:type="dxa"/>
        <w:tblInd w:w="1134" w:type="dxa"/>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5102"/>
      </w:tblGrid>
      <w:tr w:rsidR="009C567C" w:rsidRPr="009C567C" w14:paraId="0D844E0C" w14:textId="77777777" w:rsidTr="00463C88">
        <w:trPr>
          <w:trHeight w:val="240"/>
          <w:tblHeader/>
        </w:trPr>
        <w:tc>
          <w:tcPr>
            <w:tcW w:w="2268" w:type="dxa"/>
            <w:tcBorders>
              <w:top w:val="single" w:sz="4" w:space="0" w:color="auto"/>
              <w:bottom w:val="single" w:sz="12" w:space="0" w:color="auto"/>
            </w:tcBorders>
            <w:shd w:val="clear" w:color="auto" w:fill="auto"/>
            <w:vAlign w:val="bottom"/>
          </w:tcPr>
          <w:p w14:paraId="0E9204F5" w14:textId="77777777" w:rsidR="00D31C0A" w:rsidRPr="00D31C0A" w:rsidRDefault="00D31C0A" w:rsidP="009C567C">
            <w:pPr>
              <w:pStyle w:val="SingleTxtG"/>
              <w:tabs>
                <w:tab w:val="clear" w:pos="1701"/>
                <w:tab w:val="clear" w:pos="2268"/>
                <w:tab w:val="clear" w:pos="2835"/>
              </w:tabs>
              <w:spacing w:before="80" w:after="80" w:line="200" w:lineRule="exact"/>
              <w:ind w:left="0" w:right="0"/>
              <w:jc w:val="left"/>
              <w:rPr>
                <w:i/>
                <w:sz w:val="16"/>
              </w:rPr>
            </w:pPr>
            <w:r w:rsidRPr="00D31C0A">
              <w:rPr>
                <w:i/>
                <w:sz w:val="16"/>
              </w:rPr>
              <w:t>Año académico</w:t>
            </w:r>
          </w:p>
        </w:tc>
        <w:tc>
          <w:tcPr>
            <w:tcW w:w="5102" w:type="dxa"/>
            <w:tcBorders>
              <w:top w:val="single" w:sz="4" w:space="0" w:color="auto"/>
              <w:bottom w:val="single" w:sz="12" w:space="0" w:color="auto"/>
            </w:tcBorders>
            <w:shd w:val="clear" w:color="auto" w:fill="auto"/>
            <w:vAlign w:val="bottom"/>
          </w:tcPr>
          <w:p w14:paraId="12D4EC92" w14:textId="77777777" w:rsidR="00D31C0A" w:rsidRPr="00D31C0A" w:rsidRDefault="00D31C0A" w:rsidP="00463C88">
            <w:pPr>
              <w:pStyle w:val="SingleTxtG"/>
              <w:tabs>
                <w:tab w:val="clear" w:pos="1701"/>
                <w:tab w:val="clear" w:pos="2268"/>
                <w:tab w:val="clear" w:pos="2835"/>
              </w:tabs>
              <w:spacing w:before="80" w:after="80" w:line="200" w:lineRule="exact"/>
              <w:ind w:left="0" w:right="28"/>
              <w:jc w:val="right"/>
              <w:rPr>
                <w:i/>
                <w:sz w:val="16"/>
              </w:rPr>
            </w:pPr>
            <w:r w:rsidRPr="00D31C0A">
              <w:rPr>
                <w:i/>
                <w:sz w:val="16"/>
              </w:rPr>
              <w:t>Número de niños (de 6 a 17 años) sin escolarizar a causa de la discapacidad</w:t>
            </w:r>
          </w:p>
        </w:tc>
      </w:tr>
      <w:tr w:rsidR="009C567C" w:rsidRPr="00D31C0A" w14:paraId="189F977D" w14:textId="77777777" w:rsidTr="00463C88">
        <w:trPr>
          <w:trHeight w:val="240"/>
        </w:trPr>
        <w:tc>
          <w:tcPr>
            <w:tcW w:w="2268" w:type="dxa"/>
            <w:tcBorders>
              <w:top w:val="single" w:sz="12" w:space="0" w:color="auto"/>
            </w:tcBorders>
            <w:shd w:val="clear" w:color="auto" w:fill="auto"/>
          </w:tcPr>
          <w:p w14:paraId="27B2CDE5" w14:textId="7E79A404" w:rsidR="00D31C0A" w:rsidRPr="00D31C0A" w:rsidRDefault="00D31C0A" w:rsidP="009C567C">
            <w:pPr>
              <w:pStyle w:val="SingleTxtG"/>
              <w:tabs>
                <w:tab w:val="clear" w:pos="1701"/>
                <w:tab w:val="clear" w:pos="2268"/>
                <w:tab w:val="clear" w:pos="2835"/>
              </w:tabs>
              <w:spacing w:before="40" w:after="40" w:line="220" w:lineRule="exact"/>
              <w:ind w:left="0" w:right="0"/>
              <w:jc w:val="left"/>
              <w:rPr>
                <w:sz w:val="18"/>
              </w:rPr>
            </w:pPr>
            <w:r w:rsidRPr="00D31C0A">
              <w:rPr>
                <w:sz w:val="18"/>
              </w:rPr>
              <w:t>2020</w:t>
            </w:r>
            <w:r w:rsidR="00463C88">
              <w:rPr>
                <w:sz w:val="18"/>
              </w:rPr>
              <w:t>/</w:t>
            </w:r>
            <w:r w:rsidRPr="00D31C0A">
              <w:rPr>
                <w:sz w:val="18"/>
              </w:rPr>
              <w:t>21</w:t>
            </w:r>
          </w:p>
        </w:tc>
        <w:tc>
          <w:tcPr>
            <w:tcW w:w="5102" w:type="dxa"/>
            <w:tcBorders>
              <w:top w:val="single" w:sz="12" w:space="0" w:color="auto"/>
            </w:tcBorders>
            <w:shd w:val="clear" w:color="auto" w:fill="auto"/>
            <w:vAlign w:val="bottom"/>
          </w:tcPr>
          <w:p w14:paraId="11919220"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51</w:t>
            </w:r>
          </w:p>
        </w:tc>
      </w:tr>
      <w:tr w:rsidR="00463C88" w:rsidRPr="00D31C0A" w14:paraId="2611600A" w14:textId="77777777" w:rsidTr="00463C88">
        <w:trPr>
          <w:trHeight w:val="240"/>
        </w:trPr>
        <w:tc>
          <w:tcPr>
            <w:tcW w:w="2268" w:type="dxa"/>
            <w:tcBorders>
              <w:bottom w:val="nil"/>
            </w:tcBorders>
            <w:shd w:val="clear" w:color="auto" w:fill="auto"/>
          </w:tcPr>
          <w:p w14:paraId="3D836349" w14:textId="69AA8BA3" w:rsidR="00D31C0A" w:rsidRPr="00D31C0A" w:rsidRDefault="00D31C0A" w:rsidP="009C567C">
            <w:pPr>
              <w:pStyle w:val="SingleTxtG"/>
              <w:tabs>
                <w:tab w:val="clear" w:pos="1701"/>
                <w:tab w:val="clear" w:pos="2268"/>
                <w:tab w:val="clear" w:pos="2835"/>
              </w:tabs>
              <w:spacing w:before="40" w:after="40" w:line="220" w:lineRule="exact"/>
              <w:ind w:left="0" w:right="0"/>
              <w:jc w:val="left"/>
              <w:rPr>
                <w:sz w:val="18"/>
              </w:rPr>
            </w:pPr>
            <w:r w:rsidRPr="00D31C0A">
              <w:rPr>
                <w:sz w:val="18"/>
              </w:rPr>
              <w:t>2021</w:t>
            </w:r>
            <w:r w:rsidR="00463C88">
              <w:rPr>
                <w:sz w:val="18"/>
              </w:rPr>
              <w:t>/</w:t>
            </w:r>
            <w:r w:rsidRPr="00D31C0A">
              <w:rPr>
                <w:sz w:val="18"/>
              </w:rPr>
              <w:t>22</w:t>
            </w:r>
          </w:p>
        </w:tc>
        <w:tc>
          <w:tcPr>
            <w:tcW w:w="5102" w:type="dxa"/>
            <w:tcBorders>
              <w:bottom w:val="nil"/>
            </w:tcBorders>
            <w:shd w:val="clear" w:color="auto" w:fill="auto"/>
            <w:vAlign w:val="bottom"/>
          </w:tcPr>
          <w:p w14:paraId="7484CF4B"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39</w:t>
            </w:r>
          </w:p>
        </w:tc>
      </w:tr>
      <w:tr w:rsidR="009C567C" w:rsidRPr="00D31C0A" w14:paraId="74DEA970" w14:textId="77777777" w:rsidTr="00463C88">
        <w:trPr>
          <w:trHeight w:val="240"/>
        </w:trPr>
        <w:tc>
          <w:tcPr>
            <w:tcW w:w="2268" w:type="dxa"/>
            <w:tcBorders>
              <w:top w:val="nil"/>
              <w:bottom w:val="single" w:sz="12" w:space="0" w:color="auto"/>
            </w:tcBorders>
            <w:shd w:val="clear" w:color="auto" w:fill="auto"/>
          </w:tcPr>
          <w:p w14:paraId="039E39C7" w14:textId="193044A4" w:rsidR="00D31C0A" w:rsidRPr="00D31C0A" w:rsidRDefault="00D31C0A" w:rsidP="009C567C">
            <w:pPr>
              <w:pStyle w:val="SingleTxtG"/>
              <w:tabs>
                <w:tab w:val="clear" w:pos="1701"/>
                <w:tab w:val="clear" w:pos="2268"/>
                <w:tab w:val="clear" w:pos="2835"/>
              </w:tabs>
              <w:spacing w:before="40" w:after="40" w:line="220" w:lineRule="exact"/>
              <w:ind w:left="0" w:right="0"/>
              <w:jc w:val="left"/>
              <w:rPr>
                <w:sz w:val="18"/>
              </w:rPr>
            </w:pPr>
            <w:r w:rsidRPr="00D31C0A">
              <w:rPr>
                <w:sz w:val="18"/>
              </w:rPr>
              <w:t>2022</w:t>
            </w:r>
            <w:r w:rsidR="00463C88">
              <w:rPr>
                <w:sz w:val="18"/>
              </w:rPr>
              <w:t>/</w:t>
            </w:r>
            <w:r w:rsidRPr="00D31C0A">
              <w:rPr>
                <w:sz w:val="18"/>
              </w:rPr>
              <w:t>23</w:t>
            </w:r>
          </w:p>
        </w:tc>
        <w:tc>
          <w:tcPr>
            <w:tcW w:w="5102" w:type="dxa"/>
            <w:tcBorders>
              <w:top w:val="nil"/>
              <w:bottom w:val="single" w:sz="12" w:space="0" w:color="auto"/>
            </w:tcBorders>
            <w:shd w:val="clear" w:color="auto" w:fill="auto"/>
            <w:vAlign w:val="bottom"/>
          </w:tcPr>
          <w:p w14:paraId="681B281C" w14:textId="77777777" w:rsidR="00D31C0A" w:rsidRPr="00D31C0A" w:rsidRDefault="00D31C0A" w:rsidP="00463C88">
            <w:pPr>
              <w:pStyle w:val="SingleTxtG"/>
              <w:tabs>
                <w:tab w:val="clear" w:pos="1701"/>
                <w:tab w:val="clear" w:pos="2268"/>
                <w:tab w:val="clear" w:pos="2835"/>
              </w:tabs>
              <w:spacing w:before="40" w:after="40" w:line="220" w:lineRule="exact"/>
              <w:ind w:left="0" w:right="28"/>
              <w:jc w:val="right"/>
              <w:rPr>
                <w:sz w:val="18"/>
              </w:rPr>
            </w:pPr>
            <w:r w:rsidRPr="00D31C0A">
              <w:rPr>
                <w:sz w:val="18"/>
              </w:rPr>
              <w:t>45</w:t>
            </w:r>
          </w:p>
        </w:tc>
      </w:tr>
    </w:tbl>
    <w:p w14:paraId="1D1723C7" w14:textId="129EAD67" w:rsidR="00D31C0A" w:rsidRPr="00D31C0A" w:rsidRDefault="00D31C0A" w:rsidP="00463C88">
      <w:pPr>
        <w:pStyle w:val="H1G"/>
      </w:pPr>
      <w:r w:rsidRPr="00D31C0A">
        <w:tab/>
      </w:r>
      <w:r w:rsidR="00463C88">
        <w:tab/>
      </w:r>
      <w:r w:rsidRPr="00D31C0A">
        <w:t>Respuesta al párrafo 20 j) de la lista de cuestiones</w:t>
      </w:r>
    </w:p>
    <w:p w14:paraId="1BC446F6" w14:textId="72FD2ED7" w:rsidR="00D31C0A" w:rsidRPr="00D31C0A" w:rsidRDefault="00D31C0A" w:rsidP="00D31C0A">
      <w:pPr>
        <w:pStyle w:val="SingleTxtG"/>
      </w:pPr>
      <w:r w:rsidRPr="00D31C0A">
        <w:t>134.</w:t>
      </w:r>
      <w:r w:rsidRPr="00D31C0A">
        <w:tab/>
        <w:t>En 2021, de todos los niños que perdieron el cuidado parental, 42 fueron diagnosticados con una discapacidad. A fines de 2022, se diagnosticó una discapacidad a 159</w:t>
      </w:r>
      <w:r w:rsidR="0012305F">
        <w:t> </w:t>
      </w:r>
      <w:r w:rsidRPr="00D31C0A">
        <w:t>niños en régimen de acogida (80 niños y 79 niñas); 22 de ellos tenían una discapacidad leve, 104 una discapacidad moderada y 33 una discapacidad grave.</w:t>
      </w:r>
    </w:p>
    <w:p w14:paraId="53E311A6" w14:textId="77AB7E68" w:rsidR="00D31C0A" w:rsidRPr="00D31C0A" w:rsidRDefault="00D31C0A" w:rsidP="00463C88">
      <w:pPr>
        <w:pStyle w:val="H1G"/>
      </w:pPr>
      <w:r w:rsidRPr="00D31C0A">
        <w:tab/>
      </w:r>
      <w:r w:rsidR="00463C88">
        <w:tab/>
      </w:r>
      <w:r w:rsidRPr="00D31C0A">
        <w:t xml:space="preserve">Respuesta a los párrafos 21 a), b), c), d) y e) de la lista </w:t>
      </w:r>
      <w:r w:rsidR="00463C88">
        <w:br/>
      </w:r>
      <w:r w:rsidRPr="00D31C0A">
        <w:t>de cuestiones</w:t>
      </w:r>
    </w:p>
    <w:p w14:paraId="4928F5AE" w14:textId="77777777" w:rsidR="00D31C0A" w:rsidRPr="00D31C0A" w:rsidRDefault="00D31C0A" w:rsidP="00D31C0A">
      <w:pPr>
        <w:pStyle w:val="SingleTxtG"/>
      </w:pPr>
      <w:r w:rsidRPr="00D31C0A">
        <w:t>135.</w:t>
      </w:r>
      <w:r w:rsidRPr="00D31C0A">
        <w:tab/>
        <w:t>Véase el anexo 1.</w:t>
      </w:r>
    </w:p>
    <w:p w14:paraId="4365EF06" w14:textId="091D455C" w:rsidR="00D31C0A" w:rsidRPr="00D31C0A" w:rsidRDefault="00D31C0A" w:rsidP="00463C88">
      <w:pPr>
        <w:pStyle w:val="H1G"/>
      </w:pPr>
      <w:r w:rsidRPr="00D31C0A">
        <w:tab/>
      </w:r>
      <w:r w:rsidR="00463C88">
        <w:tab/>
      </w:r>
      <w:r w:rsidRPr="00D31C0A">
        <w:t>Respuesta al párrafo 21 f) de la lista de cuestiones</w:t>
      </w:r>
    </w:p>
    <w:p w14:paraId="388F98B7" w14:textId="77777777" w:rsidR="00D31C0A" w:rsidRPr="00D31C0A" w:rsidRDefault="00D31C0A" w:rsidP="00D31C0A">
      <w:pPr>
        <w:pStyle w:val="SingleTxtG"/>
      </w:pPr>
      <w:r w:rsidRPr="00D31C0A">
        <w:t>136.</w:t>
      </w:r>
      <w:r w:rsidRPr="00D31C0A">
        <w:tab/>
        <w:t>Los menores condenados a una pena de confinamiento, que cumplen una pena de prisión o son detenidos se mantienen separados de los adultos en todos los casos.</w:t>
      </w:r>
    </w:p>
    <w:p w14:paraId="77E26EA8" w14:textId="42FA8B5A" w:rsidR="00D31C0A" w:rsidRPr="00D31C0A" w:rsidRDefault="00D31C0A" w:rsidP="00463C88">
      <w:pPr>
        <w:pStyle w:val="H1G"/>
      </w:pPr>
      <w:r w:rsidRPr="00D31C0A">
        <w:tab/>
      </w:r>
      <w:r w:rsidR="00463C88">
        <w:tab/>
      </w:r>
      <w:r w:rsidRPr="00D31C0A">
        <w:t>Respuesta al párrafo 22 de la lista de cuestiones</w:t>
      </w:r>
    </w:p>
    <w:p w14:paraId="44BC1C7D" w14:textId="77777777" w:rsidR="00D31C0A" w:rsidRPr="00D31C0A" w:rsidRDefault="00D31C0A" w:rsidP="00D31C0A">
      <w:pPr>
        <w:pStyle w:val="SingleTxtG"/>
      </w:pPr>
      <w:r w:rsidRPr="00D31C0A">
        <w:t>137.</w:t>
      </w:r>
      <w:r w:rsidRPr="00D31C0A">
        <w:tab/>
        <w:t>Véase la respuesta al párrafo 18 e) de la lista de cuestiones.</w:t>
      </w:r>
    </w:p>
    <w:p w14:paraId="7F9DD22E" w14:textId="20C0C6A0" w:rsidR="00D31C0A" w:rsidRPr="00D31C0A" w:rsidRDefault="00D31C0A" w:rsidP="00463C88">
      <w:pPr>
        <w:pStyle w:val="H1G"/>
      </w:pPr>
      <w:r w:rsidRPr="00D31C0A">
        <w:tab/>
      </w:r>
      <w:r w:rsidR="00463C88">
        <w:tab/>
      </w:r>
      <w:r w:rsidRPr="00D31C0A">
        <w:t>Respuesta al párrafo 23 de la lista de cuestiones</w:t>
      </w:r>
    </w:p>
    <w:p w14:paraId="649528B1" w14:textId="77777777" w:rsidR="00D31C0A" w:rsidRPr="00D31C0A" w:rsidRDefault="00D31C0A" w:rsidP="00D31C0A">
      <w:pPr>
        <w:pStyle w:val="SingleTxtG"/>
      </w:pPr>
      <w:r w:rsidRPr="00D31C0A">
        <w:t>138.</w:t>
      </w:r>
      <w:r w:rsidRPr="00D31C0A">
        <w:tab/>
        <w:t>Cuando se planifican medidas dirigidas a los niños o que repercuten en sus vidas, el objetivo es evaluar cómo el contenido de esas medidas cumple los principios más importantes de un enfoque basado en los derechos del niño, es decir, se trata de evaluar en qué medida las medidas responden al interés superior del niño, al principio de no discriminación, al derecho de todo niño a vivir en un entorno seguro y a la oportunidad de estar sano, crecer y desarrollarse. Asimismo, se evalúa en qué medida las medidas garantizan los principios de dignidad, transparencia y responsabilidad y todos los derechos de todos los niños, reconociendo la interacción mutua y la indivisibilidad de esos derechos. Las decisiones se basan también en los datos disponibles sobre la situación de los niños en Lituania, lo que permite asegurarse de que las medidas responderán a las necesidades de los niños y a la realidad de sus vidas. Además, se pretende llevar a cabo evaluaciones y análisis adicionales, cuando sea posible, que permitan comprender mejor los problemas a los que se enfrentan los niños en uno u otro ámbito.</w:t>
      </w:r>
    </w:p>
    <w:p w14:paraId="4947036A" w14:textId="68277B11" w:rsidR="00D31C0A" w:rsidRPr="00D31C0A" w:rsidRDefault="00D31C0A" w:rsidP="00D31C0A">
      <w:pPr>
        <w:pStyle w:val="SingleTxtG"/>
      </w:pPr>
      <w:r w:rsidRPr="00D31C0A">
        <w:t>139.</w:t>
      </w:r>
      <w:r w:rsidRPr="00D31C0A">
        <w:tab/>
        <w:t>Para implicar a los niños en el proceso de toma de decisiones, desde el 1 de julio de</w:t>
      </w:r>
      <w:r w:rsidR="000479BF">
        <w:t> </w:t>
      </w:r>
      <w:r w:rsidRPr="00D31C0A">
        <w:t xml:space="preserve">2021 hasta el 5 de junio de 2023 el Consejo de la Infancia actuó como voz consultiva del Servicio de Protección de los Derechos del Niño. El Consejo estaba formado por 15 niños (de 10 a 16 años) de todo el país. Durante los dos años de existencia del Consejo, se celebraron 12 reuniones. Esas reuniones estaban relacionadas con temas de interés (por ejemplo, la prevención del acoso escolar, la violencia contra los niños, la tolerancia, los retos </w:t>
      </w:r>
      <w:r w:rsidRPr="00D31C0A">
        <w:lastRenderedPageBreak/>
        <w:t>de la educación formal y no formal, las diferencias y la integración en las escuelas de las minorías nacionales y los derechos y responsabilidades de los niños). Además, los niños participan como miembros permanentes en el Consejo Interinstitucional para el Bienestar del Niño, dependiente del Gobierno. Está previsto celebrar consultas públicas con los niños sobre determinadas cuestiones, por ejemplo, en 2024 está prevista una consulta pública sobre una versión adaptada a los niños de la aplicación de la Garantía Infantil en Lituania.</w:t>
      </w:r>
    </w:p>
    <w:p w14:paraId="445ACFAD" w14:textId="1E90B42E" w:rsidR="00D31C0A" w:rsidRPr="00D31C0A" w:rsidRDefault="00D31C0A" w:rsidP="00463C88">
      <w:pPr>
        <w:pStyle w:val="H1G"/>
      </w:pPr>
      <w:r w:rsidRPr="00D31C0A">
        <w:tab/>
      </w:r>
      <w:r w:rsidR="00463C88">
        <w:tab/>
      </w:r>
      <w:r w:rsidRPr="00D31C0A">
        <w:t>Respuesta al párrafo 24 de la lista de cuestiones</w:t>
      </w:r>
    </w:p>
    <w:p w14:paraId="6ADDF557" w14:textId="77777777" w:rsidR="00D31C0A" w:rsidRPr="00D31C0A" w:rsidRDefault="00D31C0A" w:rsidP="00D31C0A">
      <w:pPr>
        <w:pStyle w:val="SingleTxtG"/>
      </w:pPr>
      <w:r w:rsidRPr="00D31C0A">
        <w:t>140.</w:t>
      </w:r>
      <w:r w:rsidRPr="00D31C0A">
        <w:tab/>
        <w:t>Véase el anexo 7.</w:t>
      </w:r>
    </w:p>
    <w:p w14:paraId="6019EE1C" w14:textId="305D0A33" w:rsidR="00D31C0A" w:rsidRPr="00D31C0A" w:rsidRDefault="00D31C0A" w:rsidP="00463C88">
      <w:pPr>
        <w:pStyle w:val="H1G"/>
      </w:pPr>
      <w:r w:rsidRPr="00D31C0A">
        <w:tab/>
      </w:r>
      <w:r w:rsidR="00463C88">
        <w:tab/>
      </w:r>
      <w:r w:rsidRPr="00D31C0A">
        <w:t>Respuesta al párrafo 25 de la lista de cuestiones</w:t>
      </w:r>
    </w:p>
    <w:p w14:paraId="5DD08A67" w14:textId="77777777" w:rsidR="00D31C0A" w:rsidRPr="00D31C0A" w:rsidRDefault="00D31C0A" w:rsidP="00D31C0A">
      <w:pPr>
        <w:pStyle w:val="SingleTxtG"/>
      </w:pPr>
      <w:r w:rsidRPr="00D31C0A">
        <w:t>141.</w:t>
      </w:r>
      <w:r w:rsidRPr="00D31C0A">
        <w:tab/>
        <w:t>Esferas prioritarias:</w:t>
      </w:r>
    </w:p>
    <w:p w14:paraId="245A7047" w14:textId="705E7146" w:rsidR="00D31C0A" w:rsidRPr="00D31C0A" w:rsidRDefault="00D31C0A" w:rsidP="00463C88">
      <w:pPr>
        <w:pStyle w:val="Bullet1G"/>
      </w:pPr>
      <w:r w:rsidRPr="00D31C0A">
        <w:t>Protección de los niños contra toda forma de violencia</w:t>
      </w:r>
    </w:p>
    <w:p w14:paraId="3C922BFC" w14:textId="722C7A4B" w:rsidR="00D31C0A" w:rsidRPr="00D31C0A" w:rsidRDefault="00D31C0A" w:rsidP="00463C88">
      <w:pPr>
        <w:pStyle w:val="Bullet1G"/>
      </w:pPr>
      <w:r w:rsidRPr="00D31C0A">
        <w:t>Ulterior mejora del sistema de atención a la infancia (desinstitucionalización)</w:t>
      </w:r>
    </w:p>
    <w:p w14:paraId="4EAE345E" w14:textId="2F5C96CB" w:rsidR="00D31C0A" w:rsidRPr="00D31C0A" w:rsidRDefault="00D31C0A" w:rsidP="00463C88">
      <w:pPr>
        <w:pStyle w:val="Bullet1G"/>
      </w:pPr>
      <w:r w:rsidRPr="00D31C0A">
        <w:t>Reducción de la pobreza infantil y la exclusión social</w:t>
      </w:r>
    </w:p>
    <w:p w14:paraId="0C1BE17A" w14:textId="0E11B3DB" w:rsidR="00D31C0A" w:rsidRPr="00D31C0A" w:rsidRDefault="00D31C0A" w:rsidP="00463C88">
      <w:pPr>
        <w:pStyle w:val="Bullet1G"/>
      </w:pPr>
      <w:r w:rsidRPr="00D31C0A">
        <w:t>Ayuda de calidad para niños con problemas de conducta complejos</w:t>
      </w:r>
    </w:p>
    <w:p w14:paraId="46D3560E" w14:textId="582D7E52" w:rsidR="00D31C0A" w:rsidRDefault="00D31C0A" w:rsidP="00463C88">
      <w:pPr>
        <w:pStyle w:val="Bullet1G"/>
      </w:pPr>
      <w:r w:rsidRPr="00660D48">
        <w:t>Medidas de apoyo a los niños y sus familias durante los primeros 1.000 días de vida del niño</w:t>
      </w:r>
    </w:p>
    <w:p w14:paraId="0094EDF3" w14:textId="666C710D" w:rsidR="00381C24" w:rsidRPr="00D31C0A" w:rsidRDefault="00D31C0A" w:rsidP="00D31C0A">
      <w:pPr>
        <w:pStyle w:val="SingleTxtG"/>
        <w:suppressAutoHyphens/>
        <w:spacing w:before="240" w:after="0"/>
        <w:jc w:val="center"/>
        <w:rPr>
          <w:u w:val="single"/>
        </w:rPr>
      </w:pPr>
      <w:r>
        <w:rPr>
          <w:u w:val="single"/>
        </w:rPr>
        <w:tab/>
      </w:r>
      <w:r>
        <w:rPr>
          <w:u w:val="single"/>
        </w:rPr>
        <w:tab/>
      </w:r>
      <w:r>
        <w:rPr>
          <w:u w:val="single"/>
        </w:rPr>
        <w:tab/>
      </w:r>
    </w:p>
    <w:sectPr w:rsidR="00381C24" w:rsidRPr="00D31C0A" w:rsidSect="00D31C0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614AC" w14:textId="77777777" w:rsidR="00244B5E" w:rsidRPr="007C2DEF" w:rsidRDefault="00244B5E" w:rsidP="007C2DEF">
      <w:pPr>
        <w:pStyle w:val="Piedepgina"/>
      </w:pPr>
    </w:p>
  </w:endnote>
  <w:endnote w:type="continuationSeparator" w:id="0">
    <w:p w14:paraId="09CB0546" w14:textId="77777777" w:rsidR="00244B5E" w:rsidRPr="007C2DEF" w:rsidRDefault="00244B5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A2507" w14:textId="5B4CFAA1" w:rsidR="00D31C0A" w:rsidRPr="00D31C0A" w:rsidRDefault="00D31C0A" w:rsidP="00D31C0A">
    <w:pPr>
      <w:pStyle w:val="Piedepgina"/>
      <w:tabs>
        <w:tab w:val="right" w:pos="9638"/>
      </w:tabs>
    </w:pPr>
    <w:r w:rsidRPr="00D31C0A">
      <w:rPr>
        <w:b/>
        <w:sz w:val="18"/>
      </w:rPr>
      <w:fldChar w:fldCharType="begin"/>
    </w:r>
    <w:r w:rsidRPr="00D31C0A">
      <w:rPr>
        <w:b/>
        <w:sz w:val="18"/>
      </w:rPr>
      <w:instrText xml:space="preserve"> PAGE  \* MERGEFORMAT </w:instrText>
    </w:r>
    <w:r w:rsidRPr="00D31C0A">
      <w:rPr>
        <w:b/>
        <w:sz w:val="18"/>
      </w:rPr>
      <w:fldChar w:fldCharType="separate"/>
    </w:r>
    <w:r w:rsidRPr="00D31C0A">
      <w:rPr>
        <w:b/>
        <w:noProof/>
        <w:sz w:val="18"/>
      </w:rPr>
      <w:t>2</w:t>
    </w:r>
    <w:r w:rsidRPr="00D31C0A">
      <w:rPr>
        <w:b/>
        <w:sz w:val="18"/>
      </w:rPr>
      <w:fldChar w:fldCharType="end"/>
    </w:r>
    <w:r>
      <w:rPr>
        <w:b/>
        <w:sz w:val="18"/>
      </w:rPr>
      <w:tab/>
    </w:r>
    <w:proofErr w:type="spellStart"/>
    <w:r>
      <w:t>GE.23</w:t>
    </w:r>
    <w:proofErr w:type="spellEnd"/>
    <w:r>
      <w:t>-21106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AE2A7" w14:textId="1A689CD2" w:rsidR="00D31C0A" w:rsidRPr="00D31C0A" w:rsidRDefault="00D31C0A" w:rsidP="00D31C0A">
    <w:pPr>
      <w:pStyle w:val="Piedepgina"/>
      <w:tabs>
        <w:tab w:val="right" w:pos="9638"/>
      </w:tabs>
      <w:rPr>
        <w:b/>
        <w:sz w:val="18"/>
      </w:rPr>
    </w:pPr>
    <w:proofErr w:type="spellStart"/>
    <w:r>
      <w:t>GE.23</w:t>
    </w:r>
    <w:proofErr w:type="spellEnd"/>
    <w:r>
      <w:t>-21106</w:t>
    </w:r>
    <w:r>
      <w:tab/>
    </w:r>
    <w:r w:rsidRPr="00D31C0A">
      <w:rPr>
        <w:b/>
        <w:sz w:val="18"/>
      </w:rPr>
      <w:fldChar w:fldCharType="begin"/>
    </w:r>
    <w:r w:rsidRPr="00D31C0A">
      <w:rPr>
        <w:b/>
        <w:sz w:val="18"/>
      </w:rPr>
      <w:instrText xml:space="preserve"> PAGE  \* MERGEFORMAT </w:instrText>
    </w:r>
    <w:r w:rsidRPr="00D31C0A">
      <w:rPr>
        <w:b/>
        <w:sz w:val="18"/>
      </w:rPr>
      <w:fldChar w:fldCharType="separate"/>
    </w:r>
    <w:r w:rsidRPr="00D31C0A">
      <w:rPr>
        <w:b/>
        <w:noProof/>
        <w:sz w:val="18"/>
      </w:rPr>
      <w:t>3</w:t>
    </w:r>
    <w:r w:rsidRPr="00D31C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2A32D" w14:textId="12C65648" w:rsidR="007E16A7" w:rsidRPr="00D31C0A" w:rsidRDefault="00D31C0A" w:rsidP="00D31C0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B36D820" wp14:editId="53CA739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-21106  (S)</w:t>
    </w:r>
    <w:r>
      <w:rPr>
        <w:noProof/>
        <w:sz w:val="20"/>
      </w:rPr>
      <w:drawing>
        <wp:anchor distT="0" distB="0" distL="114300" distR="114300" simplePos="0" relativeHeight="251658752" behindDoc="0" locked="0" layoutInCell="1" allowOverlap="1" wp14:anchorId="069DB775" wp14:editId="591C90B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091123    151223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19002" w14:textId="77777777" w:rsidR="00244B5E" w:rsidRPr="001075E9" w:rsidRDefault="00244B5E" w:rsidP="001075E9">
      <w:pPr>
        <w:tabs>
          <w:tab w:val="right" w:pos="2155"/>
        </w:tabs>
        <w:spacing w:after="80" w:line="240" w:lineRule="auto"/>
        <w:ind w:left="680"/>
        <w:rPr>
          <w:u w:val="single"/>
        </w:rPr>
      </w:pPr>
      <w:r>
        <w:rPr>
          <w:u w:val="single"/>
        </w:rPr>
        <w:tab/>
      </w:r>
    </w:p>
  </w:footnote>
  <w:footnote w:type="continuationSeparator" w:id="0">
    <w:p w14:paraId="134EA121" w14:textId="77777777" w:rsidR="00244B5E" w:rsidRDefault="00244B5E" w:rsidP="007C2DEF">
      <w:pPr>
        <w:tabs>
          <w:tab w:val="right" w:pos="2155"/>
        </w:tabs>
        <w:spacing w:after="80" w:line="240" w:lineRule="auto"/>
        <w:ind w:left="680"/>
        <w:rPr>
          <w:u w:val="single"/>
        </w:rPr>
      </w:pPr>
      <w:r>
        <w:rPr>
          <w:u w:val="single"/>
        </w:rPr>
        <w:tab/>
      </w:r>
    </w:p>
  </w:footnote>
  <w:footnote w:id="1">
    <w:p w14:paraId="298709DE" w14:textId="42F4A971" w:rsidR="00D31C0A" w:rsidRPr="00D31C0A" w:rsidRDefault="00D31C0A" w:rsidP="00D31C0A">
      <w:pPr>
        <w:pStyle w:val="Textonotapie"/>
        <w:rPr>
          <w:sz w:val="20"/>
        </w:rPr>
      </w:pPr>
      <w:r>
        <w:tab/>
      </w:r>
      <w:r w:rsidRPr="00D31C0A">
        <w:rPr>
          <w:rStyle w:val="Refdenotaalpie"/>
          <w:sz w:val="20"/>
          <w:vertAlign w:val="baseline"/>
        </w:rPr>
        <w:t>*</w:t>
      </w:r>
      <w:r w:rsidRPr="00D31C0A">
        <w:rPr>
          <w:rStyle w:val="Refdenotaalpie"/>
          <w:vertAlign w:val="baseline"/>
        </w:rPr>
        <w:tab/>
      </w:r>
      <w:r w:rsidRPr="00D31C0A">
        <w:t>La versión original del presente documento no fue objeto de revisión editorial oficial.</w:t>
      </w:r>
    </w:p>
  </w:footnote>
  <w:footnote w:id="2">
    <w:p w14:paraId="7CAD810A" w14:textId="1AFCCBDB" w:rsidR="00D31C0A" w:rsidRPr="00D31C0A" w:rsidRDefault="00D31C0A" w:rsidP="00D31C0A">
      <w:pPr>
        <w:pStyle w:val="Textonotapie"/>
        <w:rPr>
          <w:sz w:val="20"/>
        </w:rPr>
      </w:pPr>
      <w:r>
        <w:tab/>
      </w:r>
      <w:r w:rsidRPr="00D31C0A">
        <w:rPr>
          <w:rStyle w:val="Refdenotaalpie"/>
          <w:sz w:val="20"/>
          <w:vertAlign w:val="baseline"/>
        </w:rPr>
        <w:t>**</w:t>
      </w:r>
      <w:r w:rsidRPr="00D31C0A">
        <w:rPr>
          <w:rStyle w:val="Refdenotaalpie"/>
          <w:vertAlign w:val="baseline"/>
        </w:rPr>
        <w:tab/>
      </w:r>
      <w:r w:rsidRPr="00D31C0A">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597DB" w14:textId="662D1C50" w:rsidR="00D31C0A" w:rsidRPr="00D31C0A" w:rsidRDefault="00D31C0A">
    <w:pPr>
      <w:pStyle w:val="Encabezado"/>
    </w:pPr>
    <w:r>
      <w:fldChar w:fldCharType="begin"/>
    </w:r>
    <w:r>
      <w:instrText xml:space="preserve"> TITLE  \* MERGEFORMAT </w:instrText>
    </w:r>
    <w:r>
      <w:fldChar w:fldCharType="separate"/>
    </w:r>
    <w:r>
      <w:t>CRC/C/</w:t>
    </w:r>
    <w:proofErr w:type="spellStart"/>
    <w:r>
      <w:t>LTU</w:t>
    </w:r>
    <w:proofErr w:type="spellEnd"/>
    <w:r>
      <w:t>/</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7BC1D" w14:textId="7E76B015" w:rsidR="00D31C0A" w:rsidRPr="00D31C0A" w:rsidRDefault="00D31C0A" w:rsidP="00D31C0A">
    <w:pPr>
      <w:pStyle w:val="Encabezado"/>
      <w:jc w:val="right"/>
    </w:pPr>
    <w:r>
      <w:fldChar w:fldCharType="begin"/>
    </w:r>
    <w:r>
      <w:instrText xml:space="preserve"> TITLE  \* MERGEFORMAT </w:instrText>
    </w:r>
    <w:r>
      <w:fldChar w:fldCharType="separate"/>
    </w:r>
    <w:r>
      <w:t>CRC/C/</w:t>
    </w:r>
    <w:proofErr w:type="spellStart"/>
    <w:r>
      <w:t>LTU</w:t>
    </w:r>
    <w:proofErr w:type="spellEnd"/>
    <w:r>
      <w:t>/</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20024937">
    <w:abstractNumId w:val="25"/>
  </w:num>
  <w:num w:numId="2" w16cid:durableId="1443915349">
    <w:abstractNumId w:val="17"/>
  </w:num>
  <w:num w:numId="3" w16cid:durableId="68843986">
    <w:abstractNumId w:val="27"/>
  </w:num>
  <w:num w:numId="4" w16cid:durableId="1041596092">
    <w:abstractNumId w:val="26"/>
  </w:num>
  <w:num w:numId="5" w16cid:durableId="472138739">
    <w:abstractNumId w:val="22"/>
  </w:num>
  <w:num w:numId="6" w16cid:durableId="1390763693">
    <w:abstractNumId w:val="8"/>
  </w:num>
  <w:num w:numId="7" w16cid:durableId="1129322619">
    <w:abstractNumId w:val="3"/>
  </w:num>
  <w:num w:numId="8" w16cid:durableId="823156297">
    <w:abstractNumId w:val="2"/>
  </w:num>
  <w:num w:numId="9" w16cid:durableId="772289702">
    <w:abstractNumId w:val="1"/>
  </w:num>
  <w:num w:numId="10" w16cid:durableId="1375733779">
    <w:abstractNumId w:val="0"/>
  </w:num>
  <w:num w:numId="11" w16cid:durableId="576327751">
    <w:abstractNumId w:val="9"/>
  </w:num>
  <w:num w:numId="12" w16cid:durableId="1434326452">
    <w:abstractNumId w:val="7"/>
  </w:num>
  <w:num w:numId="13" w16cid:durableId="142893942">
    <w:abstractNumId w:val="6"/>
  </w:num>
  <w:num w:numId="14" w16cid:durableId="1876890379">
    <w:abstractNumId w:val="5"/>
  </w:num>
  <w:num w:numId="15" w16cid:durableId="1738749631">
    <w:abstractNumId w:val="4"/>
  </w:num>
  <w:num w:numId="16" w16cid:durableId="90979188">
    <w:abstractNumId w:val="12"/>
  </w:num>
  <w:num w:numId="17" w16cid:durableId="1262756688">
    <w:abstractNumId w:val="25"/>
  </w:num>
  <w:num w:numId="18" w16cid:durableId="1743870591">
    <w:abstractNumId w:val="17"/>
  </w:num>
  <w:num w:numId="19" w16cid:durableId="860356785">
    <w:abstractNumId w:val="12"/>
  </w:num>
  <w:num w:numId="20" w16cid:durableId="2013678404">
    <w:abstractNumId w:val="27"/>
  </w:num>
  <w:num w:numId="21" w16cid:durableId="894698643">
    <w:abstractNumId w:val="26"/>
  </w:num>
  <w:num w:numId="22" w16cid:durableId="1097485577">
    <w:abstractNumId w:val="18"/>
  </w:num>
  <w:num w:numId="23" w16cid:durableId="388001412">
    <w:abstractNumId w:val="18"/>
  </w:num>
  <w:num w:numId="24" w16cid:durableId="1375738189">
    <w:abstractNumId w:val="22"/>
  </w:num>
  <w:num w:numId="25" w16cid:durableId="1266378103">
    <w:abstractNumId w:val="9"/>
  </w:num>
  <w:num w:numId="26" w16cid:durableId="535506219">
    <w:abstractNumId w:val="7"/>
  </w:num>
  <w:num w:numId="27" w16cid:durableId="1841967931">
    <w:abstractNumId w:val="6"/>
  </w:num>
  <w:num w:numId="28" w16cid:durableId="95911834">
    <w:abstractNumId w:val="5"/>
  </w:num>
  <w:num w:numId="29" w16cid:durableId="628630867">
    <w:abstractNumId w:val="4"/>
  </w:num>
  <w:num w:numId="30" w16cid:durableId="650257167">
    <w:abstractNumId w:val="8"/>
  </w:num>
  <w:num w:numId="31" w16cid:durableId="1423064979">
    <w:abstractNumId w:val="3"/>
  </w:num>
  <w:num w:numId="32" w16cid:durableId="883375046">
    <w:abstractNumId w:val="2"/>
  </w:num>
  <w:num w:numId="33" w16cid:durableId="1157108106">
    <w:abstractNumId w:val="1"/>
  </w:num>
  <w:num w:numId="34" w16cid:durableId="550727071">
    <w:abstractNumId w:val="0"/>
  </w:num>
  <w:num w:numId="35" w16cid:durableId="1201438488">
    <w:abstractNumId w:val="16"/>
  </w:num>
  <w:num w:numId="36" w16cid:durableId="339628099">
    <w:abstractNumId w:val="15"/>
  </w:num>
  <w:num w:numId="37" w16cid:durableId="1867134180">
    <w:abstractNumId w:val="10"/>
  </w:num>
  <w:num w:numId="38" w16cid:durableId="1267350069">
    <w:abstractNumId w:val="21"/>
  </w:num>
  <w:num w:numId="39" w16cid:durableId="1287465088">
    <w:abstractNumId w:val="14"/>
  </w:num>
  <w:num w:numId="40" w16cid:durableId="1896694300">
    <w:abstractNumId w:val="20"/>
  </w:num>
  <w:num w:numId="41" w16cid:durableId="1624000810">
    <w:abstractNumId w:val="19"/>
  </w:num>
  <w:num w:numId="42" w16cid:durableId="181749587">
    <w:abstractNumId w:val="23"/>
  </w:num>
  <w:num w:numId="43" w16cid:durableId="65029327">
    <w:abstractNumId w:val="13"/>
  </w:num>
  <w:num w:numId="44" w16cid:durableId="1872496751">
    <w:abstractNumId w:val="24"/>
  </w:num>
  <w:num w:numId="45" w16cid:durableId="88132939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B5E"/>
    <w:rsid w:val="00002131"/>
    <w:rsid w:val="00006403"/>
    <w:rsid w:val="00023B74"/>
    <w:rsid w:val="000248AA"/>
    <w:rsid w:val="00033EE1"/>
    <w:rsid w:val="000349BB"/>
    <w:rsid w:val="000424A0"/>
    <w:rsid w:val="000479BF"/>
    <w:rsid w:val="000605C6"/>
    <w:rsid w:val="00093D00"/>
    <w:rsid w:val="000B57E7"/>
    <w:rsid w:val="000F09DF"/>
    <w:rsid w:val="000F61B2"/>
    <w:rsid w:val="001075E9"/>
    <w:rsid w:val="0012305F"/>
    <w:rsid w:val="001256EA"/>
    <w:rsid w:val="00161852"/>
    <w:rsid w:val="00180183"/>
    <w:rsid w:val="00186078"/>
    <w:rsid w:val="0018649F"/>
    <w:rsid w:val="00196389"/>
    <w:rsid w:val="001B269E"/>
    <w:rsid w:val="001B5FFA"/>
    <w:rsid w:val="001C7A89"/>
    <w:rsid w:val="001D1565"/>
    <w:rsid w:val="001F77CD"/>
    <w:rsid w:val="00220F72"/>
    <w:rsid w:val="00226477"/>
    <w:rsid w:val="00240004"/>
    <w:rsid w:val="00244B5E"/>
    <w:rsid w:val="002931F6"/>
    <w:rsid w:val="002A2EFC"/>
    <w:rsid w:val="002C0E18"/>
    <w:rsid w:val="002C7B20"/>
    <w:rsid w:val="002D13EA"/>
    <w:rsid w:val="002D5AAC"/>
    <w:rsid w:val="002D5C42"/>
    <w:rsid w:val="00301299"/>
    <w:rsid w:val="00311D7A"/>
    <w:rsid w:val="00317274"/>
    <w:rsid w:val="00322004"/>
    <w:rsid w:val="00334BEE"/>
    <w:rsid w:val="003402C2"/>
    <w:rsid w:val="00381C24"/>
    <w:rsid w:val="003958D0"/>
    <w:rsid w:val="003B00E5"/>
    <w:rsid w:val="003E53A4"/>
    <w:rsid w:val="003F4FAC"/>
    <w:rsid w:val="0040168E"/>
    <w:rsid w:val="004043B6"/>
    <w:rsid w:val="00414A16"/>
    <w:rsid w:val="00417185"/>
    <w:rsid w:val="00427F10"/>
    <w:rsid w:val="00454E07"/>
    <w:rsid w:val="00463C88"/>
    <w:rsid w:val="004D45DB"/>
    <w:rsid w:val="004E7D95"/>
    <w:rsid w:val="0050108D"/>
    <w:rsid w:val="00513E05"/>
    <w:rsid w:val="00517B31"/>
    <w:rsid w:val="00536DF4"/>
    <w:rsid w:val="00572E19"/>
    <w:rsid w:val="005A182D"/>
    <w:rsid w:val="005C43E4"/>
    <w:rsid w:val="005D7179"/>
    <w:rsid w:val="005F0B42"/>
    <w:rsid w:val="005F2AD1"/>
    <w:rsid w:val="00613A6A"/>
    <w:rsid w:val="006517BD"/>
    <w:rsid w:val="006B3A76"/>
    <w:rsid w:val="006E49BB"/>
    <w:rsid w:val="006F35EE"/>
    <w:rsid w:val="006F7B0F"/>
    <w:rsid w:val="007021FF"/>
    <w:rsid w:val="0073546A"/>
    <w:rsid w:val="00757357"/>
    <w:rsid w:val="007A059A"/>
    <w:rsid w:val="007C2DEF"/>
    <w:rsid w:val="007D0A1F"/>
    <w:rsid w:val="007D431B"/>
    <w:rsid w:val="007E16A7"/>
    <w:rsid w:val="007F3812"/>
    <w:rsid w:val="007F4281"/>
    <w:rsid w:val="008108D9"/>
    <w:rsid w:val="008136D8"/>
    <w:rsid w:val="00834B71"/>
    <w:rsid w:val="00847F6B"/>
    <w:rsid w:val="008562F2"/>
    <w:rsid w:val="0086445C"/>
    <w:rsid w:val="00867322"/>
    <w:rsid w:val="008675EF"/>
    <w:rsid w:val="008A08D7"/>
    <w:rsid w:val="008A3EA3"/>
    <w:rsid w:val="008A46F7"/>
    <w:rsid w:val="008C2B1A"/>
    <w:rsid w:val="008E1429"/>
    <w:rsid w:val="00906890"/>
    <w:rsid w:val="00920BCC"/>
    <w:rsid w:val="00945724"/>
    <w:rsid w:val="00951972"/>
    <w:rsid w:val="00990362"/>
    <w:rsid w:val="009C567C"/>
    <w:rsid w:val="009C646E"/>
    <w:rsid w:val="009C7505"/>
    <w:rsid w:val="009C7B97"/>
    <w:rsid w:val="009E1414"/>
    <w:rsid w:val="009F2CEF"/>
    <w:rsid w:val="00A23BBA"/>
    <w:rsid w:val="00A3180B"/>
    <w:rsid w:val="00A43957"/>
    <w:rsid w:val="00A5723C"/>
    <w:rsid w:val="00A9104B"/>
    <w:rsid w:val="00A917B3"/>
    <w:rsid w:val="00A9251F"/>
    <w:rsid w:val="00A9316D"/>
    <w:rsid w:val="00A97C80"/>
    <w:rsid w:val="00AB4B51"/>
    <w:rsid w:val="00AF5AD9"/>
    <w:rsid w:val="00B07B96"/>
    <w:rsid w:val="00B10683"/>
    <w:rsid w:val="00B10CC7"/>
    <w:rsid w:val="00B21CEF"/>
    <w:rsid w:val="00B400C6"/>
    <w:rsid w:val="00B565A6"/>
    <w:rsid w:val="00B62458"/>
    <w:rsid w:val="00B7519A"/>
    <w:rsid w:val="00B8687E"/>
    <w:rsid w:val="00BD33EE"/>
    <w:rsid w:val="00BE64BD"/>
    <w:rsid w:val="00C60F0C"/>
    <w:rsid w:val="00C67843"/>
    <w:rsid w:val="00C805C9"/>
    <w:rsid w:val="00CA1679"/>
    <w:rsid w:val="00CB0748"/>
    <w:rsid w:val="00CE5D84"/>
    <w:rsid w:val="00D15EAE"/>
    <w:rsid w:val="00D318C7"/>
    <w:rsid w:val="00D31C0A"/>
    <w:rsid w:val="00D33D63"/>
    <w:rsid w:val="00D65D1D"/>
    <w:rsid w:val="00D77C54"/>
    <w:rsid w:val="00D80897"/>
    <w:rsid w:val="00D83653"/>
    <w:rsid w:val="00D90138"/>
    <w:rsid w:val="00DB5D1C"/>
    <w:rsid w:val="00DD299D"/>
    <w:rsid w:val="00DF63E3"/>
    <w:rsid w:val="00E00DCA"/>
    <w:rsid w:val="00E23796"/>
    <w:rsid w:val="00E73F76"/>
    <w:rsid w:val="00EB1749"/>
    <w:rsid w:val="00EB4AC5"/>
    <w:rsid w:val="00EF1360"/>
    <w:rsid w:val="00EF3220"/>
    <w:rsid w:val="00F1589D"/>
    <w:rsid w:val="00F23FB6"/>
    <w:rsid w:val="00F62CD2"/>
    <w:rsid w:val="00F65F7A"/>
    <w:rsid w:val="00F80811"/>
    <w:rsid w:val="00F94155"/>
    <w:rsid w:val="00FA3077"/>
    <w:rsid w:val="00FB2D3D"/>
    <w:rsid w:val="00FD2EF7"/>
    <w:rsid w:val="00FF0A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D560E"/>
  <w15:docId w15:val="{A90B7530-C834-4FB0-B125-005C9EAD6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D31C0A"/>
    <w:rPr>
      <w:rFonts w:cs="Arial"/>
      <w:bCs/>
      <w:iCs/>
      <w:szCs w:val="28"/>
      <w:lang w:val="es-ES" w:eastAsia="es-ES"/>
    </w:rPr>
  </w:style>
  <w:style w:type="character" w:customStyle="1" w:styleId="Ttulo3Car">
    <w:name w:val="Título 3 Car"/>
    <w:basedOn w:val="Fuentedeprrafopredeter"/>
    <w:link w:val="Ttulo3"/>
    <w:semiHidden/>
    <w:rsid w:val="00D31C0A"/>
    <w:rPr>
      <w:rFonts w:ascii="Arial" w:hAnsi="Arial" w:cs="Arial"/>
      <w:b/>
      <w:bCs/>
      <w:sz w:val="26"/>
      <w:szCs w:val="26"/>
      <w:lang w:val="es-ES" w:eastAsia="es-ES"/>
    </w:rPr>
  </w:style>
  <w:style w:type="character" w:customStyle="1" w:styleId="Ttulo4Car">
    <w:name w:val="Título 4 Car"/>
    <w:basedOn w:val="Fuentedeprrafopredeter"/>
    <w:link w:val="Ttulo4"/>
    <w:semiHidden/>
    <w:rsid w:val="00D31C0A"/>
    <w:rPr>
      <w:b/>
      <w:bCs/>
      <w:sz w:val="28"/>
      <w:szCs w:val="28"/>
      <w:lang w:val="es-ES" w:eastAsia="es-ES"/>
    </w:rPr>
  </w:style>
  <w:style w:type="character" w:customStyle="1" w:styleId="Ttulo5Car">
    <w:name w:val="Título 5 Car"/>
    <w:basedOn w:val="Fuentedeprrafopredeter"/>
    <w:link w:val="Ttulo5"/>
    <w:semiHidden/>
    <w:rsid w:val="00D31C0A"/>
    <w:rPr>
      <w:b/>
      <w:bCs/>
      <w:i/>
      <w:iCs/>
      <w:sz w:val="26"/>
      <w:szCs w:val="26"/>
      <w:lang w:val="es-ES" w:eastAsia="es-ES"/>
    </w:rPr>
  </w:style>
  <w:style w:type="character" w:customStyle="1" w:styleId="Ttulo6Car">
    <w:name w:val="Título 6 Car"/>
    <w:basedOn w:val="Fuentedeprrafopredeter"/>
    <w:link w:val="Ttulo6"/>
    <w:semiHidden/>
    <w:rsid w:val="00D31C0A"/>
    <w:rPr>
      <w:b/>
      <w:bCs/>
      <w:sz w:val="22"/>
      <w:szCs w:val="22"/>
      <w:lang w:val="es-ES" w:eastAsia="es-ES"/>
    </w:rPr>
  </w:style>
  <w:style w:type="character" w:customStyle="1" w:styleId="Ttulo7Car">
    <w:name w:val="Título 7 Car"/>
    <w:basedOn w:val="Fuentedeprrafopredeter"/>
    <w:link w:val="Ttulo7"/>
    <w:semiHidden/>
    <w:rsid w:val="00D31C0A"/>
    <w:rPr>
      <w:sz w:val="24"/>
      <w:szCs w:val="24"/>
      <w:lang w:val="es-ES" w:eastAsia="es-ES"/>
    </w:rPr>
  </w:style>
  <w:style w:type="character" w:customStyle="1" w:styleId="Ttulo8Car">
    <w:name w:val="Título 8 Car"/>
    <w:basedOn w:val="Fuentedeprrafopredeter"/>
    <w:link w:val="Ttulo8"/>
    <w:semiHidden/>
    <w:rsid w:val="00D31C0A"/>
    <w:rPr>
      <w:i/>
      <w:iCs/>
      <w:sz w:val="24"/>
      <w:szCs w:val="24"/>
      <w:lang w:val="es-ES" w:eastAsia="es-ES"/>
    </w:rPr>
  </w:style>
  <w:style w:type="character" w:customStyle="1" w:styleId="Ttulo9Car">
    <w:name w:val="Título 9 Car"/>
    <w:basedOn w:val="Fuentedeprrafopredeter"/>
    <w:link w:val="Ttulo9"/>
    <w:semiHidden/>
    <w:rsid w:val="00D31C0A"/>
    <w:rPr>
      <w:rFonts w:ascii="Arial" w:hAnsi="Arial" w:cs="Arial"/>
      <w:sz w:val="22"/>
      <w:szCs w:val="22"/>
      <w:lang w:val="es-ES" w:eastAsia="es-ES"/>
    </w:rPr>
  </w:style>
  <w:style w:type="character" w:styleId="Ttulodellibro">
    <w:name w:val="Book Title"/>
    <w:basedOn w:val="Fuentedeprrafopredeter"/>
    <w:uiPriority w:val="33"/>
    <w:semiHidden/>
    <w:rsid w:val="00D31C0A"/>
    <w:rPr>
      <w:b/>
      <w:bCs/>
      <w:smallCaps/>
      <w:spacing w:val="5"/>
    </w:rPr>
  </w:style>
  <w:style w:type="character" w:styleId="Refdecomentario">
    <w:name w:val="annotation reference"/>
    <w:basedOn w:val="Fuentedeprrafopredeter"/>
    <w:uiPriority w:val="99"/>
    <w:semiHidden/>
    <w:unhideWhenUsed/>
    <w:rsid w:val="00D31C0A"/>
    <w:rPr>
      <w:sz w:val="16"/>
      <w:szCs w:val="16"/>
    </w:rPr>
  </w:style>
  <w:style w:type="paragraph" w:styleId="Textocomentario">
    <w:name w:val="annotation text"/>
    <w:basedOn w:val="Normal"/>
    <w:link w:val="TextocomentarioCar"/>
    <w:uiPriority w:val="99"/>
    <w:semiHidden/>
    <w:unhideWhenUsed/>
    <w:rsid w:val="00D31C0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31C0A"/>
    <w:rPr>
      <w:lang w:val="en-GB" w:eastAsia="en-US"/>
    </w:rPr>
  </w:style>
  <w:style w:type="paragraph" w:styleId="Asuntodelcomentario">
    <w:name w:val="annotation subject"/>
    <w:basedOn w:val="Textocomentario"/>
    <w:next w:val="Textocomentario"/>
    <w:link w:val="AsuntodelcomentarioCar"/>
    <w:uiPriority w:val="99"/>
    <w:semiHidden/>
    <w:unhideWhenUsed/>
    <w:rsid w:val="00D31C0A"/>
    <w:rPr>
      <w:b/>
      <w:bCs/>
    </w:rPr>
  </w:style>
  <w:style w:type="character" w:customStyle="1" w:styleId="AsuntodelcomentarioCar">
    <w:name w:val="Asunto del comentario Car"/>
    <w:basedOn w:val="TextocomentarioCar"/>
    <w:link w:val="Asuntodelcomentario"/>
    <w:uiPriority w:val="99"/>
    <w:semiHidden/>
    <w:rsid w:val="00D31C0A"/>
    <w:rPr>
      <w:b/>
      <w:bCs/>
      <w:lang w:val="en-GB" w:eastAsia="en-US"/>
    </w:rPr>
  </w:style>
  <w:style w:type="character" w:styleId="Mencinsinresolver">
    <w:name w:val="Unresolved Mention"/>
    <w:basedOn w:val="Fuentedeprrafopredeter"/>
    <w:uiPriority w:val="99"/>
    <w:semiHidden/>
    <w:unhideWhenUsed/>
    <w:rsid w:val="00D31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pilietis.lrv.l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askritiskas.lt/" TargetMode="External"/><Relationship Id="rId4" Type="http://schemas.openxmlformats.org/officeDocument/2006/relationships/webSettings" Target="webSettings.xml"/><Relationship Id="rId9" Type="http://schemas.openxmlformats.org/officeDocument/2006/relationships/hyperlink" Target="https://www.esaugumas.l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12701</Words>
  <Characters>74560</Characters>
  <Application>Microsoft Office Word</Application>
  <DocSecurity>0</DocSecurity>
  <Lines>12426</Lines>
  <Paragraphs>3635</Paragraphs>
  <ScaleCrop>false</ScaleCrop>
  <HeadingPairs>
    <vt:vector size="2" baseType="variant">
      <vt:variant>
        <vt:lpstr>Título</vt:lpstr>
      </vt:variant>
      <vt:variant>
        <vt:i4>1</vt:i4>
      </vt:variant>
    </vt:vector>
  </HeadingPairs>
  <TitlesOfParts>
    <vt:vector size="1" baseType="lpstr">
      <vt:lpstr>CRC/C/LTU/RQ/5-6</vt:lpstr>
    </vt:vector>
  </TitlesOfParts>
  <Company/>
  <LinksUpToDate>false</LinksUpToDate>
  <CharactersWithSpaces>83626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CRC/C/LTU/RQ/5-6</dc:title>
  <dc:subject/>
  <dc:creator>Marcel GONZALEZ-PEREZ</dc:creator>
  <cp:keywords/>
  <cp:lastModifiedBy>Marcel Gonzalez Perez</cp:lastModifiedBy>
  <cp:revision>2</cp:revision>
  <dcterms:created xsi:type="dcterms:W3CDTF">2023-12-15T13:10:00Z</dcterms:created>
  <dcterms:modified xsi:type="dcterms:W3CDTF">2023-12-15T13:10:00Z</dcterms:modified>
</cp:coreProperties>
</file>