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 июня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Румыния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Румынии (CEDAW/C/ROM/6).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рассказать о процессе подготовки шестого периодического до</w:t>
      </w:r>
      <w:r>
        <w:t>к</w:t>
      </w:r>
      <w:r>
        <w:t>лада Румынии. Укажите, какие государственные ведомства и учреждения уч</w:t>
      </w:r>
      <w:r>
        <w:t>а</w:t>
      </w:r>
      <w:r>
        <w:t>ствовали в этой работе, характер и масштабы их участия; а также проводились ли консультации с неправительственными организациями; утвержден ли до</w:t>
      </w:r>
      <w:r>
        <w:t>к</w:t>
      </w:r>
      <w:r>
        <w:t>лад правительством и выносился ли он на рассмотрение парламе</w:t>
      </w:r>
      <w:r>
        <w:t>н</w:t>
      </w:r>
      <w:r>
        <w:t>та.</w:t>
      </w:r>
    </w:p>
    <w:p w:rsidR="00000000" w:rsidRDefault="00000000">
      <w:pPr>
        <w:pStyle w:val="SingleTxt"/>
      </w:pPr>
      <w:r>
        <w:t>3.</w:t>
      </w:r>
      <w:r>
        <w:tab/>
        <w:t>В своих заключительных замечаниях от 2000 года</w:t>
      </w:r>
      <w:r>
        <w:rPr>
          <w:vertAlign w:val="superscript"/>
        </w:rPr>
        <w:t>1</w:t>
      </w:r>
      <w:r>
        <w:t xml:space="preserve"> Комитет призвал ра</w:t>
      </w:r>
      <w:r>
        <w:t>з</w:t>
      </w:r>
      <w:r>
        <w:t>работать целостную и комплексную политику осуществления Конвенции о л</w:t>
      </w:r>
      <w:r>
        <w:t>и</w:t>
      </w:r>
      <w:r>
        <w:t>квидации всех форм дискриминации в отношении женщин (приложение к р</w:t>
      </w:r>
      <w:r>
        <w:t>е</w:t>
      </w:r>
      <w:r>
        <w:t>золюции 34/180 Генеральной Ассамблеи) и обеспечения равенства между же</w:t>
      </w:r>
      <w:r>
        <w:t>н</w:t>
      </w:r>
      <w:r>
        <w:t>щинами и мужчинами, включая план контроля и оценки прогресса в этой о</w:t>
      </w:r>
      <w:r>
        <w:t>б</w:t>
      </w:r>
      <w:r>
        <w:t>ласти. Просьба представить информацию о шагах, предпринятых во исполн</w:t>
      </w:r>
      <w:r>
        <w:t>е</w:t>
      </w:r>
      <w:r>
        <w:t>ние этой рекомендации.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организационные механизмы и статус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В докладе отмечается, что в судебной практике встречается не так много дел, в которых стороны требовали бы обеспечения того или иного права, пр</w:t>
      </w:r>
      <w:r>
        <w:t>и</w:t>
      </w:r>
      <w:r>
        <w:t>знаваемого соответствующей международной конвенцией, а в тех делах, когда стороны выступают с подобным требованием, они, как правило, ссылаются на Европейскую конвенцию о защите прав человека</w:t>
      </w:r>
      <w:r>
        <w:rPr>
          <w:vertAlign w:val="superscript"/>
        </w:rPr>
        <w:t>2</w:t>
      </w:r>
      <w:r>
        <w:t>. В своих предыдущих з</w:t>
      </w:r>
      <w:r>
        <w:t>а</w:t>
      </w:r>
      <w:r>
        <w:t>ключительных замечаниях Комитет предложил правительству включить в его следующий доклад информацию о поданных в суды жалобах, основанных на положениях Конвенции, а также о тех или иных решениях судов, в которых имеется ссылка на Конвенцию</w:t>
      </w:r>
      <w:r>
        <w:rPr>
          <w:vertAlign w:val="superscript"/>
        </w:rPr>
        <w:t>3</w:t>
      </w:r>
      <w:r>
        <w:t>. Он также с озабоченностью отметил, что с</w:t>
      </w:r>
      <w:r>
        <w:t>у</w:t>
      </w:r>
      <w:r>
        <w:t>дебные органы не осведомлены о возможностях применения Конвенции в р</w:t>
      </w:r>
      <w:r>
        <w:t>а</w:t>
      </w:r>
      <w:r>
        <w:t>боте национальных судебных руководящих органов</w:t>
      </w:r>
      <w:r>
        <w:rPr>
          <w:vertAlign w:val="superscript"/>
        </w:rPr>
        <w:t>4</w:t>
      </w:r>
      <w:r>
        <w:t>. В докладе не содержится конкретной информации о том, подавали ли женщины, столкнувшиеся с ди</w:t>
      </w:r>
      <w:r>
        <w:t>с</w:t>
      </w:r>
      <w:r>
        <w:t>криминацией по признаку пола, какие</w:t>
      </w:r>
      <w:r>
        <w:noBreakHyphen/>
        <w:t>либо иски со ссылкой на положения Конвенции. Просьба дать пояснения по этому вопросу и, кроме того, предст</w:t>
      </w:r>
      <w:r>
        <w:t>а</w:t>
      </w:r>
      <w:r>
        <w:t>вить информацию о принятых мерах по обеспечению более широкого распр</w:t>
      </w:r>
      <w:r>
        <w:t>о</w:t>
      </w:r>
      <w:r>
        <w:t>странения Конвенции и повышению уровня осведомленности среди адвокатов, судей и широкой общественности.</w:t>
      </w:r>
    </w:p>
    <w:p w:rsidR="00000000" w:rsidRDefault="00000000">
      <w:pPr>
        <w:pStyle w:val="SingleTxt"/>
      </w:pPr>
      <w:r>
        <w:t>5.</w:t>
      </w:r>
      <w:r>
        <w:tab/>
        <w:t>В докладе сообщается, что парламент Румынии в законе № 48/2002 одо</w:t>
      </w:r>
      <w:r>
        <w:t>б</w:t>
      </w:r>
      <w:r>
        <w:t>рил чрезвычайный указ № 137/2000 о предупреждении всех форм дискримин</w:t>
      </w:r>
      <w:r>
        <w:t>а</w:t>
      </w:r>
      <w:r>
        <w:t>ции и наказании за их проявление. Просьба представить информацию о хара</w:t>
      </w:r>
      <w:r>
        <w:t>к</w:t>
      </w:r>
      <w:r>
        <w:t>тере этих правовых документов (указа или закона)</w:t>
      </w:r>
      <w:r>
        <w:rPr>
          <w:vertAlign w:val="superscript"/>
        </w:rPr>
        <w:t>5</w:t>
      </w:r>
      <w:r>
        <w:t>, их сфере применения и видах наказания, назначаемого в случае проявления дискриминации по пр</w:t>
      </w:r>
      <w:r>
        <w:t>и</w:t>
      </w:r>
      <w:r>
        <w:t>знаку пола.</w:t>
      </w:r>
    </w:p>
    <w:p w:rsidR="00000000" w:rsidRDefault="00000000">
      <w:pPr>
        <w:pStyle w:val="SingleTxt"/>
      </w:pPr>
      <w:r>
        <w:t>6.</w:t>
      </w:r>
      <w:r>
        <w:tab/>
        <w:t>Просьба рассказать о роли и функциях Национального совета по борьбе с дискриминацией, включая его компетенцию по рассмотрению случаев проя</w:t>
      </w:r>
      <w:r>
        <w:t>в</w:t>
      </w:r>
      <w:r>
        <w:t>ления (прямой и косвенной) дискриминации в отношении женщин в соответс</w:t>
      </w:r>
      <w:r>
        <w:t>т</w:t>
      </w:r>
      <w:r>
        <w:t>вии со статьей 1 Конвенции. Просьба представить также статистические да</w:t>
      </w:r>
      <w:r>
        <w:t>н</w:t>
      </w:r>
      <w:r>
        <w:t>ные о числе таких случаев и информацию о наказаниях, назначаемых за проя</w:t>
      </w:r>
      <w:r>
        <w:t>в</w:t>
      </w:r>
      <w:r>
        <w:t>ление такой дискриминации.</w:t>
      </w:r>
    </w:p>
    <w:p w:rsidR="00000000" w:rsidRDefault="00000000">
      <w:pPr>
        <w:pStyle w:val="SingleTxt"/>
      </w:pPr>
      <w:r>
        <w:t>7.</w:t>
      </w:r>
      <w:r>
        <w:tab/>
        <w:t>В мае 2002 года правительством был принят закон № 202 о равных во</w:t>
      </w:r>
      <w:r>
        <w:t>з</w:t>
      </w:r>
      <w:r>
        <w:t>можностях и равном обращении в отношении мужчин и женщин. Просьба с</w:t>
      </w:r>
      <w:r>
        <w:t>о</w:t>
      </w:r>
      <w:r>
        <w:t>общить о характере воздействия этого закона, включая предоставляемые им средства правовой защиты и любые случаи, когда женщины воспользовались положениями этого закона и предусмотренными в нем средствами правовой защиты.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указывается, что на основании закона № 197 от 2000 года о н</w:t>
      </w:r>
      <w:r>
        <w:t>а</w:t>
      </w:r>
      <w:r>
        <w:t>силии в семье и жестоком обращении с детьми в Уголовный кодекс были вн</w:t>
      </w:r>
      <w:r>
        <w:t>е</w:t>
      </w:r>
      <w:r>
        <w:t>сены изменения и дополнения, касающиеся насилия в семье. В нем также пр</w:t>
      </w:r>
      <w:r>
        <w:t>и</w:t>
      </w:r>
      <w:r>
        <w:t>влекается внимание к закону № 217 о предотвращении насилия в семье и бор</w:t>
      </w:r>
      <w:r>
        <w:t>ь</w:t>
      </w:r>
      <w:r>
        <w:t>бе с ним. Просьба представить подробную информацию об этих поправках и новом законе. В частности, поясните, предусмотрено ли законом № 217 неме</w:t>
      </w:r>
      <w:r>
        <w:t>д</w:t>
      </w:r>
      <w:r>
        <w:t>ленное предоставление женщинам, ставшим жертвами сексуального и дома</w:t>
      </w:r>
      <w:r>
        <w:t>ш</w:t>
      </w:r>
      <w:r>
        <w:t>него насилия таких средств правовой помощи, защиты и недопущения рецид</w:t>
      </w:r>
      <w:r>
        <w:t>и</w:t>
      </w:r>
      <w:r>
        <w:t>вов насилия, как судебные предписания, и обеспечивалась ли защита свидет</w:t>
      </w:r>
      <w:r>
        <w:t>е</w:t>
      </w:r>
      <w:r>
        <w:t>лей случаев насилия в семье, которые дав</w:t>
      </w:r>
      <w:r>
        <w:t>а</w:t>
      </w:r>
      <w:r>
        <w:t>ли показания в суде</w:t>
      </w:r>
      <w:r>
        <w:rPr>
          <w:vertAlign w:val="superscript"/>
        </w:rPr>
        <w:t>6</w:t>
      </w:r>
      <w:r>
        <w:t>.</w:t>
      </w:r>
    </w:p>
    <w:p w:rsidR="00000000" w:rsidRDefault="00000000">
      <w:pPr>
        <w:pStyle w:val="SingleTxt"/>
      </w:pPr>
      <w:r>
        <w:t>9.</w:t>
      </w:r>
      <w:r>
        <w:tab/>
        <w:t>В своем докладе (E/CN.4/2003/75/Add.1) Специальный докладчик по в</w:t>
      </w:r>
      <w:r>
        <w:t>о</w:t>
      </w:r>
      <w:r>
        <w:t>просу о насилии в отношении женщин, его причинах и последствиях отметила, что наличие в Уголовном кодексе положения о так называемом заключении брака в качестве компенсации за причиненный ущерб освобождает насильника от уголовной ответственности, если жертва изнасилования соглашается выйти за него замуж. Просьба пояснить, продолжает ли действовать такое положение, и в случае утвердительного ответа сообщите о мерах и сроках, предусмотре</w:t>
      </w:r>
      <w:r>
        <w:t>н</w:t>
      </w:r>
      <w:r>
        <w:t>ных для его исключения из Уголовного кодекса.</w:t>
      </w:r>
    </w:p>
    <w:p w:rsidR="00000000" w:rsidRDefault="00000000">
      <w:pPr>
        <w:pStyle w:val="SingleTxt"/>
      </w:pPr>
      <w:r>
        <w:t>10.</w:t>
      </w:r>
      <w:r>
        <w:tab/>
        <w:t>В своих предыдущих заключительных замечаниях Комитет призвал пр</w:t>
      </w:r>
      <w:r>
        <w:t>а</w:t>
      </w:r>
      <w:r>
        <w:t>вительство осуществлять сбор статистических данных с разбивкой по возра</w:t>
      </w:r>
      <w:r>
        <w:t>с</w:t>
      </w:r>
      <w:r>
        <w:t>тным категориям о случаях и формах насилия в отношении женщин, включая насилие в семье</w:t>
      </w:r>
      <w:r>
        <w:rPr>
          <w:vertAlign w:val="superscript"/>
        </w:rPr>
        <w:t>7</w:t>
      </w:r>
      <w:r>
        <w:t>. Просьба сообщить, были ли впоследствии приняты к</w:t>
      </w:r>
      <w:r>
        <w:t>а</w:t>
      </w:r>
      <w:r>
        <w:t>кие</w:t>
      </w:r>
      <w:r>
        <w:noBreakHyphen/>
        <w:t>либо меры по сбору таких данных.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В докладе сообщается о намерении принять конкретные стимулирующие меры, которые будут способствовать тому, чтобы работодатели принимали на работу окончивших курсы профессиональной подготовки лиц, которые в на</w:t>
      </w:r>
      <w:r>
        <w:t>и</w:t>
      </w:r>
      <w:r>
        <w:t>большей степени рискуют стать жертвами торговли людьми или стали жертв</w:t>
      </w:r>
      <w:r>
        <w:t>а</w:t>
      </w:r>
      <w:r>
        <w:t>ми такой торговли</w:t>
      </w:r>
      <w:r>
        <w:rPr>
          <w:vertAlign w:val="superscript"/>
        </w:rPr>
        <w:t>8</w:t>
      </w:r>
      <w:r>
        <w:t>. Просьба представить более подробную информацию о в</w:t>
      </w:r>
      <w:r>
        <w:t>и</w:t>
      </w:r>
      <w:r>
        <w:t>дах и последствиях принятых мер.</w:t>
      </w:r>
    </w:p>
    <w:p w:rsidR="00000000" w:rsidRDefault="00000000">
      <w:pPr>
        <w:pStyle w:val="SingleTxt"/>
      </w:pPr>
      <w:r>
        <w:t>12.</w:t>
      </w:r>
      <w:r>
        <w:tab/>
        <w:t>В статье 17 закона о борьбе с торговлей людьми предусмотрено предо</w:t>
      </w:r>
      <w:r>
        <w:t>с</w:t>
      </w:r>
      <w:r>
        <w:t>тавление жертвам торговли людьми, по их просьбе, физической защиты в ходе уголовного разбирательства. Просьба представить более подробную информ</w:t>
      </w:r>
      <w:r>
        <w:t>а</w:t>
      </w:r>
      <w:r>
        <w:t>цию о характере мер по защите, предусмотренных положениями этой статьи. В частности, поясните, обеспечивает ли правительство защиту жертв от возмо</w:t>
      </w:r>
      <w:r>
        <w:t>ж</w:t>
      </w:r>
      <w:r>
        <w:t>ного возмездия или запугивания после проведения расследования и предания суду правонарушителей, включая переселение жертв или предоставление им альтернативного места жительства, права на обращение с просьбой о получ</w:t>
      </w:r>
      <w:r>
        <w:t>е</w:t>
      </w:r>
      <w:r>
        <w:t>нии убежища в соответствующих случаях или права на социальное обеспеч</w:t>
      </w:r>
      <w:r>
        <w:t>е</w:t>
      </w:r>
      <w:r>
        <w:t>ние, и укажите количество дел, по которым была предоставлена такая з</w:t>
      </w:r>
      <w:r>
        <w:t>а</w:t>
      </w:r>
      <w:r>
        <w:t>щита.</w:t>
      </w:r>
    </w:p>
    <w:p w:rsidR="00000000" w:rsidRDefault="00000000">
      <w:pPr>
        <w:pStyle w:val="SingleTxt"/>
      </w:pPr>
      <w:r>
        <w:t>13.</w:t>
      </w:r>
      <w:r>
        <w:tab/>
        <w:t>Специальный докладчик по вопросу о торговле людьми, детской прост</w:t>
      </w:r>
      <w:r>
        <w:t>и</w:t>
      </w:r>
      <w:r>
        <w:t>туции и детской порнографии (E/CN.4/2005/78/Add.2) считает парадоксальным тот факт, что по законодательству Румынии девочки и женщины считаются жертвами только в том случае, если они были объектами международной то</w:t>
      </w:r>
      <w:r>
        <w:t>р</w:t>
      </w:r>
      <w:r>
        <w:t>говли людьми, а если они работают проститутками в своей стране, их считают правонарушителями. Произошли ли какие</w:t>
      </w:r>
      <w:r>
        <w:noBreakHyphen/>
        <w:t>либо изменения или были ли прин</w:t>
      </w:r>
      <w:r>
        <w:t>я</w:t>
      </w:r>
      <w:r>
        <w:t>ты какие</w:t>
      </w:r>
      <w:r>
        <w:noBreakHyphen/>
        <w:t>либо меры по обеспечению защиты детей, особенно девочек, и же</w:t>
      </w:r>
      <w:r>
        <w:t>н</w:t>
      </w:r>
      <w:r>
        <w:t>щин в соответствии с рекомендацией Комитета о том, чтобы правительство уделяло должное внимание ст</w:t>
      </w:r>
      <w:r>
        <w:t>а</w:t>
      </w:r>
      <w:r>
        <w:t>тье 6 Конвенции</w:t>
      </w:r>
      <w:r>
        <w:rPr>
          <w:vertAlign w:val="superscript"/>
        </w:rPr>
        <w:t>9</w:t>
      </w:r>
      <w:r>
        <w:t>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не содержится какой</w:t>
      </w:r>
      <w:r>
        <w:noBreakHyphen/>
        <w:t>либо информации в отношении статьи 10. Просьба указать, произошли ли какие</w:t>
      </w:r>
      <w:r>
        <w:noBreakHyphen/>
        <w:t>либо новые изменения после рассмотр</w:t>
      </w:r>
      <w:r>
        <w:t>е</w:t>
      </w:r>
      <w:r>
        <w:t>ния последнего доклада, или, в качестве альтернативы, представить обновле</w:t>
      </w:r>
      <w:r>
        <w:t>н</w:t>
      </w:r>
      <w:r>
        <w:t>ную информацию.</w:t>
      </w:r>
    </w:p>
    <w:p w:rsidR="00000000" w:rsidRDefault="00000000">
      <w:pPr>
        <w:pStyle w:val="SingleTxt"/>
      </w:pPr>
      <w:r>
        <w:t>15.</w:t>
      </w:r>
      <w:r>
        <w:tab/>
        <w:t>В своих предыдущих заключительных замечаниях Комитет рекомендовал правительству уделять приоритетное внимание сбору и пересмотру учебных материалов, пособий и планов, особенно для начальных и средних школ</w:t>
      </w:r>
      <w:r>
        <w:rPr>
          <w:vertAlign w:val="superscript"/>
        </w:rPr>
        <w:t>10</w:t>
      </w:r>
      <w:r>
        <w:t>. Просьба сообщить, проводило ли правительство такую деятельность, и пре</w:t>
      </w:r>
      <w:r>
        <w:t>д</w:t>
      </w:r>
      <w:r>
        <w:t>ставить информацию о полученных результатах.</w:t>
      </w:r>
    </w:p>
    <w:p w:rsidR="00000000" w:rsidRDefault="00000000">
      <w:pPr>
        <w:pStyle w:val="SingleTxt"/>
      </w:pPr>
      <w:r>
        <w:t>16.</w:t>
      </w:r>
      <w:r>
        <w:tab/>
        <w:t>Просьба представить информацию об усилиях, предпринятых правител</w:t>
      </w:r>
      <w:r>
        <w:t>ь</w:t>
      </w:r>
      <w:r>
        <w:t>ством с целью побуждения средств массовой информации к преодолению тр</w:t>
      </w:r>
      <w:r>
        <w:t>а</w:t>
      </w:r>
      <w:r>
        <w:t>диционного стереотипного представления образа женщин и пропагандиров</w:t>
      </w:r>
      <w:r>
        <w:t>а</w:t>
      </w:r>
      <w:r>
        <w:t>нию важного значения обеспечения равенства мужчин и женщин.</w:t>
      </w:r>
    </w:p>
    <w:p w:rsidR="00000000" w:rsidRDefault="00000000">
      <w:pPr>
        <w:pStyle w:val="SingleTxt"/>
      </w:pPr>
      <w:r>
        <w:t>17.</w:t>
      </w:r>
      <w:r>
        <w:tab/>
        <w:t>В своих предыдущих заключительных замечаниях Комитет выразил свою озабоченность в связи с высокими показателями неграмотности среди женщин в возрасте старше 50 лет и слишком большой разницей между показателями неграмотности среди городских и сельских женщин, а также высоким проце</w:t>
      </w:r>
      <w:r>
        <w:t>н</w:t>
      </w:r>
      <w:r>
        <w:t>том отсева девочек на уровне среднего образования</w:t>
      </w:r>
      <w:r>
        <w:rPr>
          <w:vertAlign w:val="superscript"/>
        </w:rPr>
        <w:t>11</w:t>
      </w:r>
      <w:r>
        <w:t>. Какие меры были прин</w:t>
      </w:r>
      <w:r>
        <w:t>я</w:t>
      </w:r>
      <w:r>
        <w:t>ты правительством для увеличения показателей грамотности среди женщин и сокращения процента отсева девочек из школ, включая женщин и девочек из числа рома? Просьба представить статистические данные по этому вопросу.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представленность на международном уровне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в связи с тем, что сохранение стереотипных подходов к роли же</w:t>
      </w:r>
      <w:r>
        <w:t>н</w:t>
      </w:r>
      <w:r>
        <w:t>щин и мужчин в семье получает свое отражение в низкой представленности женщин в директивных органах всех уровней и во всех областях. Комитет предложил правительству активизировать свои усилия по борьбе со стереоти</w:t>
      </w:r>
      <w:r>
        <w:t>п</w:t>
      </w:r>
      <w:r>
        <w:t>ными подходами и настоятельно рекомендовал применять временные спец</w:t>
      </w:r>
      <w:r>
        <w:t>и</w:t>
      </w:r>
      <w:r>
        <w:t>альные меры в соответствии с пунктом 1 статьи 4 Конвенции с целью увелич</w:t>
      </w:r>
      <w:r>
        <w:t>е</w:t>
      </w:r>
      <w:r>
        <w:t>ния числа женщин во всех органах управления, в том числе в правительстве и в парламенте</w:t>
      </w:r>
      <w:r>
        <w:rPr>
          <w:vertAlign w:val="superscript"/>
        </w:rPr>
        <w:t>12</w:t>
      </w:r>
      <w:r>
        <w:t>. Просьба сообщить, были ли приняты подобные меры, включая временные специальные меры, и если они были приняты, то с какими резул</w:t>
      </w:r>
      <w:r>
        <w:t>ь</w:t>
      </w:r>
      <w:r>
        <w:t>тат</w:t>
      </w:r>
      <w:r>
        <w:t>а</w:t>
      </w:r>
      <w:r>
        <w:t>ми.</w:t>
      </w:r>
    </w:p>
    <w:p w:rsidR="00000000" w:rsidRDefault="00000000">
      <w:pPr>
        <w:pStyle w:val="SingleTxt"/>
      </w:pPr>
      <w:r>
        <w:t>19.</w:t>
      </w:r>
      <w:r>
        <w:tab/>
        <w:t>Просьба представить статистические данные о представленности женщин в органах всех уровней судебной власти, местного управления, образовател</w:t>
      </w:r>
      <w:r>
        <w:t>ь</w:t>
      </w:r>
      <w:r>
        <w:t>ной системы и министерства иностранных дел.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рома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В своем докладе (E/CN.4/2005/51/Add.4) Специальный докладчик по в</w:t>
      </w:r>
      <w:r>
        <w:t>о</w:t>
      </w:r>
      <w:r>
        <w:t>просу о праве каждого человека на наивысший достижимый уровень физич</w:t>
      </w:r>
      <w:r>
        <w:t>е</w:t>
      </w:r>
      <w:r>
        <w:t>ского и психического здоровья упомянул Десятилетие интеграции народа рома (2005–2015 годы), которое проводится по инициативе Румынии и семи других стран Центральной и Юго-Восточной Европы, с тем чтобы ликвидировать ра</w:t>
      </w:r>
      <w:r>
        <w:t>з</w:t>
      </w:r>
      <w:r>
        <w:t>рыв в уровне благосостояния и условий жизни между народом рома и другими народами и разорвать порочный круг нищеты и социальной изоляции. Просьба представить информацию об уже принятых мерах по реализации целей и задач румынского плана действий на страновом уровне в отношении Десятилетия интеграции народа рома, в частности о мерах, конкретно направленных на женщин из числа рома.</w:t>
      </w:r>
    </w:p>
    <w:p w:rsidR="00000000" w:rsidRDefault="00000000">
      <w:pPr>
        <w:pStyle w:val="SingleTxt"/>
      </w:pPr>
      <w:r>
        <w:t>21.</w:t>
      </w:r>
      <w:r>
        <w:tab/>
        <w:t>Просьба представить статистические данные о положении женщин из числа рома и указать меры, которые были приняты с целью предотвращения их дискриминации в областях образования, здравоохранения, предоставления ж</w:t>
      </w:r>
      <w:r>
        <w:t>и</w:t>
      </w:r>
      <w:r>
        <w:t>лья, занятости, реституции собственности и осуществления социальных пр</w:t>
      </w:r>
      <w:r>
        <w:t>о</w:t>
      </w:r>
      <w:r>
        <w:t>грамм, а также меры по обеспечению защиты женщин из числа рома от всех видов насилия.</w:t>
      </w:r>
    </w:p>
    <w:p w:rsidR="00000000" w:rsidRDefault="00000000">
      <w:pPr>
        <w:pStyle w:val="SingleTxt"/>
      </w:pPr>
      <w:r>
        <w:t>22.</w:t>
      </w:r>
      <w:r>
        <w:tab/>
        <w:t>Какие существуют или разрабатываются программы по решению пробл</w:t>
      </w:r>
      <w:r>
        <w:t>е</w:t>
      </w:r>
      <w:r>
        <w:t>мы, связанной с отсутствием документов для женщин из числа рома, которые необходимы для получения доступа к услугам, обеспечивающим осуществл</w:t>
      </w:r>
      <w:r>
        <w:t>е</w:t>
      </w:r>
      <w:r>
        <w:t>ние основных гражданских, политических и социальных прав и касающимся, в частности выдачи свидетельств о рождении, удостоверений личности и па</w:t>
      </w:r>
      <w:r>
        <w:t>с</w:t>
      </w:r>
      <w:r>
        <w:t>портов?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Просьба представить обновленные статистические данные и анализ те</w:t>
      </w:r>
      <w:r>
        <w:t>н</w:t>
      </w:r>
      <w:r>
        <w:t>денций в области представленности женщин на рынке рабочей силы.</w:t>
      </w:r>
    </w:p>
    <w:p w:rsidR="00000000" w:rsidRDefault="00000000">
      <w:pPr>
        <w:pStyle w:val="SingleTxt"/>
      </w:pPr>
      <w:r>
        <w:t>24.</w:t>
      </w:r>
      <w:r>
        <w:tab/>
        <w:t>Сообщите подробные сведения о ситуации в области оказания социальной помощи лицам, не получающим пенсионных пособий, в частности пожилым нуждающимся женщинам и женщинам, не имеющим гражданства, а также о мерах, принятых по улучшению их положения.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В соответствии с просьбой Комитета, высказанной в его последних з</w:t>
      </w:r>
      <w:r>
        <w:t>а</w:t>
      </w:r>
      <w:r>
        <w:t>ключительных замечаниях, сообщите подробную информацию, касающуюся употребления женщинами табака, и статистические данные о злоупотреблении алкоголем, наркотиками и другими психотропными веществами</w:t>
      </w:r>
      <w:r>
        <w:rPr>
          <w:vertAlign w:val="superscript"/>
        </w:rPr>
        <w:t>13</w:t>
      </w:r>
      <w:r>
        <w:t>.</w:t>
      </w:r>
    </w:p>
    <w:p w:rsidR="00000000" w:rsidRDefault="00000000">
      <w:pPr>
        <w:pStyle w:val="SingleTxt"/>
      </w:pPr>
      <w:r>
        <w:t>26.</w:t>
      </w:r>
      <w:r>
        <w:tab/>
        <w:t>Просьба представить данные в разбивке по признаку пола, принадлежн</w:t>
      </w:r>
      <w:r>
        <w:t>о</w:t>
      </w:r>
      <w:r>
        <w:t>сти к меньшинствам и возрастным группам о масштабах распространения ВИЧ/СПИДа в стране, а также о динамике показателей инфицирования им. С</w:t>
      </w:r>
      <w:r>
        <w:t>о</w:t>
      </w:r>
      <w:r>
        <w:t>общите также о мерах, принятых с целью профилактики ВИЧ/СПИДа и борьбы с этим заболеванием, и укажите, учитывался ли гендерный аспект при разр</w:t>
      </w:r>
      <w:r>
        <w:t>а</w:t>
      </w:r>
      <w:r>
        <w:t>ботке т</w:t>
      </w:r>
      <w:r>
        <w:t>а</w:t>
      </w:r>
      <w:r>
        <w:t>ких мер.</w:t>
      </w:r>
    </w:p>
    <w:p w:rsidR="00000000" w:rsidRDefault="00000000">
      <w:pPr>
        <w:pStyle w:val="SingleTxt"/>
      </w:pPr>
      <w:r>
        <w:t>27.</w:t>
      </w:r>
      <w:r>
        <w:tab/>
        <w:t>В докладе отмечено, что коэффициент материнской смертности все еще «выше, чем в странах Европы»</w:t>
      </w:r>
      <w:r>
        <w:rPr>
          <w:vertAlign w:val="superscript"/>
        </w:rPr>
        <w:t>14</w:t>
      </w:r>
      <w:r>
        <w:t>. Расскажите о мерах, принятых с целью сн</w:t>
      </w:r>
      <w:r>
        <w:t>и</w:t>
      </w:r>
      <w:r>
        <w:t>жения уровня материнской смертности. Кроме того, просьба представить да</w:t>
      </w:r>
      <w:r>
        <w:t>н</w:t>
      </w:r>
      <w:r>
        <w:t>ные о показателях распространения анемии среди женщин и об усилиях, пре</w:t>
      </w:r>
      <w:r>
        <w:t>д</w:t>
      </w:r>
      <w:r>
        <w:t>принятых с целью борьбы с этим забол</w:t>
      </w:r>
      <w:r>
        <w:t>е</w:t>
      </w:r>
      <w:r>
        <w:t>ванием.</w:t>
      </w:r>
    </w:p>
    <w:p w:rsidR="00000000" w:rsidRDefault="00000000">
      <w:pPr>
        <w:pStyle w:val="SingleTxt"/>
      </w:pPr>
      <w:r>
        <w:t>28.</w:t>
      </w:r>
      <w:r>
        <w:tab/>
        <w:t>В докладе сообщается, что министерство здравоохранения в сотруднич</w:t>
      </w:r>
      <w:r>
        <w:t>е</w:t>
      </w:r>
      <w:r>
        <w:t>стве с национальными и международными организациями разработало наци</w:t>
      </w:r>
      <w:r>
        <w:t>о</w:t>
      </w:r>
      <w:r>
        <w:t>нальную стратегию пропаганды новых методов контрацепции</w:t>
      </w:r>
      <w:r>
        <w:rPr>
          <w:vertAlign w:val="superscript"/>
        </w:rPr>
        <w:t>15</w:t>
      </w:r>
      <w:r>
        <w:t>. Специальный докладчик по вопросу о праве каждого на наивысший достижимый уровень физического и психического здоровья, признавая, что эта стратегия предста</w:t>
      </w:r>
      <w:r>
        <w:t>в</w:t>
      </w:r>
      <w:r>
        <w:t>ляет собой существенный шаг вперед по пути укрепления сексуального и р</w:t>
      </w:r>
      <w:r>
        <w:t>е</w:t>
      </w:r>
      <w:r>
        <w:t>продуктивного здоровья, с озабоченностью отметил, что количество абортов по</w:t>
      </w:r>
      <w:r>
        <w:noBreakHyphen/>
        <w:t>прежнему является высоким, и предположил, что некоторые женщины, в</w:t>
      </w:r>
      <w:r>
        <w:t>е</w:t>
      </w:r>
      <w:r>
        <w:t>роятно, рассматривают аборт в качестве одного из способов планирования с</w:t>
      </w:r>
      <w:r>
        <w:t>е</w:t>
      </w:r>
      <w:r>
        <w:t>мьи (см. E/CN.4/2005/51/Add.4, пункт 44). Просьба представить информацию о любых препятствиях, с которыми сталкиваются женщины при получении до</w:t>
      </w:r>
      <w:r>
        <w:t>с</w:t>
      </w:r>
      <w:r>
        <w:t>тупа к услугам в области репродуктивного здоровья, в частности женщины из числа уязвимых или маргинализированных групп, такие, как женщины из сельской местности или из числа рома; о методах, предусмотренных в страт</w:t>
      </w:r>
      <w:r>
        <w:t>е</w:t>
      </w:r>
      <w:r>
        <w:t>гии для устранения этих препятствий; и о результатах ее проведения. Сообщ</w:t>
      </w:r>
      <w:r>
        <w:t>и</w:t>
      </w:r>
      <w:r>
        <w:t>те также обновленные данные о применении методов контрацепции и колич</w:t>
      </w:r>
      <w:r>
        <w:t>е</w:t>
      </w:r>
      <w:r>
        <w:t>стве або</w:t>
      </w:r>
      <w:r>
        <w:t>р</w:t>
      </w:r>
      <w:r>
        <w:t>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Просьба представить обновленную информацию о положении сельских женщин и укажите меры, принятые правительством для улучшения их доступа к медицинским услугам, образованию, занятости и участию в деятельности директивных органов всех уровней.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Браки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В своих предыдущих заключительных замечаниях Комитет выразил оз</w:t>
      </w:r>
      <w:r>
        <w:t>а</w:t>
      </w:r>
      <w:r>
        <w:t>боченность в связи с тем, что в Семейном кодексе установлен разный брачный возраст для юношей (18 лет) и девушек (16 лет, а в исключительных случаях — 15 лет)</w:t>
      </w:r>
      <w:r>
        <w:rPr>
          <w:vertAlign w:val="superscript"/>
        </w:rPr>
        <w:t>16</w:t>
      </w:r>
      <w:r>
        <w:t>. Аналогичная озабоченность была высказана Комитетом по правам ребенка в его предыдущих заключительных замечаниях</w:t>
      </w:r>
      <w:r>
        <w:rPr>
          <w:vertAlign w:val="superscript"/>
        </w:rPr>
        <w:t>17</w:t>
      </w:r>
      <w:r>
        <w:t>. Предприняло ли правительство какие-либо шаги с целью увеличения до 18 лет минимального брачн</w:t>
      </w:r>
      <w:r>
        <w:t>о</w:t>
      </w:r>
      <w:r>
        <w:t>го возраста для девушек?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Просьба рассказать о принятых мерах по распространению информации о Факультативном протоколе к Конвенции и оказанию содействия его примен</w:t>
      </w:r>
      <w:r>
        <w:t>е</w:t>
      </w:r>
      <w:r>
        <w:t>нию.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354"/>
        </w:tabs>
        <w:spacing w:after="240"/>
        <w:ind w:left="0" w:firstLine="0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rPr>
          <w:vertAlign w:val="superscript"/>
        </w:rPr>
        <w:tab/>
        <w:t>1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(A/55/38), часть вторая, пункт 300.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2</w:t>
      </w:r>
      <w:r>
        <w:tab/>
        <w:t>См. CEDAW/C/ROM/6, часть вторая, статья 2.1.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3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(A/55/38), часть вторая, пункт 305.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4</w:t>
      </w:r>
      <w:r>
        <w:tab/>
        <w:t>См. там же, пункт 304.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5</w:t>
      </w:r>
      <w:r>
        <w:tab/>
        <w:t>См. CEDAW/C/ROM/6, часть вторая, статья 2.3.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6</w:t>
      </w:r>
      <w:r>
        <w:tab/>
        <w:t>См. там же, статья 12.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7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(A/55/38), часть вторая, пункт 307.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8</w:t>
      </w:r>
      <w:r>
        <w:tab/>
        <w:t>См. CEDAW/C/ROM/6, часть вторая, статья 6 «Поддержка и защита потерпевших за рубежом и по возвращении на родину».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9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(A/55/38), пункт 309.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10</w:t>
      </w:r>
      <w:r>
        <w:tab/>
        <w:t>См. там же, пункт 302.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11</w:t>
      </w:r>
      <w:r>
        <w:tab/>
        <w:t>См. там же, пункт 310.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12</w:t>
      </w:r>
      <w:r>
        <w:tab/>
        <w:t>См. там же, пункты 301 и 302.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13</w:t>
      </w:r>
      <w:r>
        <w:tab/>
        <w:t>См. там же, пункт 315.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14</w:t>
      </w:r>
      <w:r>
        <w:tab/>
        <w:t>См. CEDAW/C/ROM/6, статья 12, программа № 6 «Гендерное равенство — всегда на повестке дня».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15</w:t>
      </w:r>
      <w:r>
        <w:tab/>
        <w:t>Там же.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16</w:t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пятая сессия, Дополнение № 38 </w:t>
      </w:r>
      <w:r>
        <w:t>(A/55/38), пункт 318.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17</w:t>
      </w:r>
      <w:r>
        <w:tab/>
        <w:t>См. CRC/C/15/Add.199, пункт 5.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20"/>
        </w:rPr>
      </w:pPr>
      <w:r>
        <w:rPr>
          <w:noProof/>
          <w:w w:val="100"/>
          <w:sz w:val="2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NO&gt;&gt;N0624192R&lt;&lt;ODS JOB NO&gt;&gt;</w:t>
      </w:r>
    </w:p>
    <w:p w:rsidR="00000000" w:rsidRDefault="00000000">
      <w:pPr>
        <w:pStyle w:val="CommentText"/>
      </w:pPr>
      <w:r>
        <w:t>&lt;&lt;ODS DOC SYMBOL1&gt;&gt;CEDAW/C/ROM/Q/6&lt;&lt;ODS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06-24192 (R)    060306    070306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*0624192*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CEDAW/C/ROM/Q/6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CEDAW/C/ROM/Q/6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/C/ROM/Q/6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3/2006 15:26:19"/>
    <w:docVar w:name="DocCategory" w:val="Doc"/>
    <w:docVar w:name="DocType" w:val="Final"/>
    <w:docVar w:name="JobNo" w:val="0624192R"/>
    <w:docVar w:name="OandT" w:val=" "/>
    <w:docVar w:name="Symbol1" w:val="CEDAW/C/ROM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7</Pages>
  <Words>2239</Words>
  <Characters>12767</Characters>
  <Application>Microsoft Office Word</Application>
  <DocSecurity>4</DocSecurity>
  <Lines>106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15678</CharactersWithSpaces>
  <SharedDoc>false</SharedDoc>
  <HLinks>
    <vt:vector size="6" baseType="variant">
      <vt:variant>
        <vt:i4>4522087</vt:i4>
      </vt:variant>
      <vt:variant>
        <vt:i4>32228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Taissia.Mitrofanova</dc:creator>
  <cp:keywords/>
  <dc:description/>
  <cp:lastModifiedBy>Olga.Filippova</cp:lastModifiedBy>
  <cp:revision>6</cp:revision>
  <cp:lastPrinted>2006-03-07T08:28:00Z</cp:lastPrinted>
  <dcterms:created xsi:type="dcterms:W3CDTF">2006-03-07T08:11:00Z</dcterms:created>
  <dcterms:modified xsi:type="dcterms:W3CDTF">2006-03-07T09:32:00Z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0624192R</vt:lpwstr>
  </property>
  <property fmtid="{D5CDD505-2E9C-101B-9397-08002B2CF9AE}" pid="5" name="Symbol1">
    <vt:lpwstr>CEDAW/C/ROM/Q/6</vt:lpwstr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Филиппова</vt:lpwstr>
  </property>
</Properties>
</file>