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C27697">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C27697" w:rsidP="00C27697">
            <w:pPr>
              <w:jc w:val="right"/>
            </w:pPr>
            <w:r w:rsidRPr="00C27697">
              <w:rPr>
                <w:sz w:val="40"/>
              </w:rPr>
              <w:t>CCPR</w:t>
            </w:r>
            <w:r>
              <w:t>/C/LBR/CO/1</w:t>
            </w:r>
          </w:p>
        </w:tc>
      </w:tr>
      <w:tr w:rsidR="002D5AAC" w:rsidRPr="007440FD"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C27697" w:rsidRDefault="00C27697" w:rsidP="00BC3629">
            <w:pPr>
              <w:spacing w:before="240"/>
              <w:rPr>
                <w:lang w:val="en-US"/>
              </w:rPr>
            </w:pPr>
            <w:r w:rsidRPr="00C27697">
              <w:rPr>
                <w:lang w:val="en-US"/>
              </w:rPr>
              <w:t>Distr.: General</w:t>
            </w:r>
          </w:p>
          <w:p w:rsidR="00C27697" w:rsidRPr="00C27697" w:rsidRDefault="00C27697" w:rsidP="00C27697">
            <w:pPr>
              <w:spacing w:line="240" w:lineRule="exact"/>
              <w:rPr>
                <w:lang w:val="en-US"/>
              </w:rPr>
            </w:pPr>
            <w:r w:rsidRPr="00C27697">
              <w:rPr>
                <w:lang w:val="en-US"/>
              </w:rPr>
              <w:t>27 August 2018</w:t>
            </w:r>
          </w:p>
          <w:p w:rsidR="00C27697" w:rsidRPr="00C27697" w:rsidRDefault="00C27697" w:rsidP="00C27697">
            <w:pPr>
              <w:spacing w:line="240" w:lineRule="exact"/>
              <w:rPr>
                <w:lang w:val="en-US"/>
              </w:rPr>
            </w:pPr>
            <w:r w:rsidRPr="00C27697">
              <w:rPr>
                <w:lang w:val="en-US"/>
              </w:rPr>
              <w:t>Russian</w:t>
            </w:r>
          </w:p>
          <w:p w:rsidR="00C27697" w:rsidRPr="00C27697" w:rsidRDefault="00C27697" w:rsidP="00C27697">
            <w:pPr>
              <w:spacing w:line="240" w:lineRule="exact"/>
              <w:rPr>
                <w:lang w:val="en-US"/>
              </w:rPr>
            </w:pPr>
            <w:r w:rsidRPr="00C27697">
              <w:rPr>
                <w:lang w:val="en-US"/>
              </w:rPr>
              <w:t>Original: English</w:t>
            </w:r>
          </w:p>
        </w:tc>
      </w:tr>
    </w:tbl>
    <w:p w:rsidR="00EC3D5C" w:rsidRPr="00BB5575" w:rsidRDefault="00EC3D5C" w:rsidP="00BB5575">
      <w:pPr>
        <w:spacing w:before="120"/>
        <w:rPr>
          <w:b/>
          <w:sz w:val="24"/>
          <w:szCs w:val="24"/>
        </w:rPr>
      </w:pPr>
      <w:r w:rsidRPr="00BB5575">
        <w:rPr>
          <w:b/>
          <w:sz w:val="24"/>
          <w:szCs w:val="24"/>
        </w:rPr>
        <w:t>Комитет по правам человека</w:t>
      </w:r>
    </w:p>
    <w:p w:rsidR="00EC3D5C" w:rsidRPr="00EC3D5C" w:rsidRDefault="00EC3D5C" w:rsidP="00BB5575">
      <w:pPr>
        <w:pStyle w:val="HChGR"/>
      </w:pPr>
      <w:r w:rsidRPr="00EC3D5C">
        <w:tab/>
      </w:r>
      <w:r w:rsidRPr="00EC3D5C">
        <w:tab/>
        <w:t>Заключительные замечания по первоначальному докладу Либерии</w:t>
      </w:r>
      <w:r w:rsidRPr="00BB5575">
        <w:rPr>
          <w:b w:val="0"/>
          <w:sz w:val="20"/>
        </w:rPr>
        <w:footnoteReference w:customMarkFollows="1" w:id="1"/>
        <w:t>*</w:t>
      </w:r>
    </w:p>
    <w:p w:rsidR="00EC3D5C" w:rsidRPr="00EC3D5C" w:rsidRDefault="00EC3D5C" w:rsidP="00EC3D5C">
      <w:pPr>
        <w:pStyle w:val="SingleTxtGR"/>
      </w:pPr>
      <w:r w:rsidRPr="00EC3D5C">
        <w:t>1.</w:t>
      </w:r>
      <w:r w:rsidRPr="00EC3D5C">
        <w:tab/>
        <w:t>Комитет рассмотрел первоначальный доклад Либерии (CCPR/C/LBR/1) на своих 3500-м и 3501-м заседаниях (CCPR/C/SR.3500 и 3501), состоявшихся 9 и 10 июля 2018 года. На своем 3519-м заседании, состоявшемся 23 июля 2018 года, он принял настоящие заключительные замечания.</w:t>
      </w:r>
    </w:p>
    <w:p w:rsidR="00EC3D5C" w:rsidRPr="00EC3D5C" w:rsidRDefault="00EC3D5C" w:rsidP="007D09CD">
      <w:pPr>
        <w:pStyle w:val="H1GR"/>
      </w:pPr>
      <w:r w:rsidRPr="00EC3D5C">
        <w:tab/>
        <w:t>A.</w:t>
      </w:r>
      <w:r w:rsidRPr="00EC3D5C">
        <w:tab/>
      </w:r>
      <w:r w:rsidRPr="00EC3D5C">
        <w:tab/>
        <w:t>Введение</w:t>
      </w:r>
    </w:p>
    <w:p w:rsidR="00EC3D5C" w:rsidRPr="00EC3D5C" w:rsidRDefault="00EC3D5C" w:rsidP="00EC3D5C">
      <w:pPr>
        <w:pStyle w:val="SingleTxtGR"/>
      </w:pPr>
      <w:r w:rsidRPr="00EC3D5C">
        <w:t>2.</w:t>
      </w:r>
      <w:r w:rsidRPr="00EC3D5C">
        <w:tab/>
        <w:t xml:space="preserve">Комитет приветствует первоначальный доклад Либерии, который был просрочен на 11 лет, и изложенную в нем информацию. Он выражает признательность за возможность завязать с высокопоставленной делегацией государства-участника конструктивный диалог о принимаемых государством-участником со вступления Пакта в силу мерах по осуществлению его положений. Комитет признателен государству-участнику за его письменные ответы (CCPR/C/LBR/Q/1/Add.1) на перечень вопросов (CCPR/C/LBR/Q/1), несмотря на их позднее представление, которые были дополнены устными ответами делегации, и за предоставленную ему в письменном виде дополнительную информацию. </w:t>
      </w:r>
    </w:p>
    <w:p w:rsidR="00EC3D5C" w:rsidRPr="00EC3D5C" w:rsidRDefault="00EC3D5C" w:rsidP="007D09CD">
      <w:pPr>
        <w:pStyle w:val="H1GR"/>
      </w:pPr>
      <w:r w:rsidRPr="00EC3D5C">
        <w:tab/>
        <w:t>B.</w:t>
      </w:r>
      <w:r w:rsidRPr="00EC3D5C">
        <w:tab/>
      </w:r>
      <w:r w:rsidRPr="00EC3D5C">
        <w:tab/>
        <w:t>Позитивные аспекты</w:t>
      </w:r>
    </w:p>
    <w:p w:rsidR="00EC3D5C" w:rsidRPr="00EC3D5C" w:rsidRDefault="00EC3D5C" w:rsidP="00EC3D5C">
      <w:pPr>
        <w:pStyle w:val="SingleTxtGR"/>
      </w:pPr>
      <w:r w:rsidRPr="00EC3D5C">
        <w:t>3.</w:t>
      </w:r>
      <w:r w:rsidRPr="00EC3D5C">
        <w:tab/>
        <w:t>Комитет приветствует надлежащее проведение президентских выборов в декабре 2017 года и мирную передачу власти между демократически избранными лидерами.</w:t>
      </w:r>
    </w:p>
    <w:p w:rsidR="00EC3D5C" w:rsidRPr="00EC3D5C" w:rsidRDefault="00EC3D5C" w:rsidP="00EC3D5C">
      <w:pPr>
        <w:pStyle w:val="SingleTxtGR"/>
      </w:pPr>
      <w:r w:rsidRPr="00EC3D5C">
        <w:t>4.</w:t>
      </w:r>
      <w:r w:rsidRPr="00EC3D5C">
        <w:tab/>
        <w:t>Комитет приветствует принятие государством-участником ряда законодательных мер, включая:</w:t>
      </w:r>
    </w:p>
    <w:p w:rsidR="00EC3D5C" w:rsidRPr="00EC3D5C" w:rsidRDefault="00EC3D5C" w:rsidP="00EC3D5C">
      <w:pPr>
        <w:pStyle w:val="SingleTxtGR"/>
      </w:pPr>
      <w:r w:rsidRPr="00EC3D5C">
        <w:tab/>
        <w:t>а)</w:t>
      </w:r>
      <w:r w:rsidRPr="00EC3D5C">
        <w:tab/>
        <w:t>Закон о Независимой национальной ко</w:t>
      </w:r>
      <w:r w:rsidR="007D09CD">
        <w:t>миссии по правам человека (2005 </w:t>
      </w:r>
      <w:r w:rsidRPr="00EC3D5C">
        <w:t>год);</w:t>
      </w:r>
    </w:p>
    <w:p w:rsidR="00EC3D5C" w:rsidRPr="00EC3D5C" w:rsidRDefault="00EC3D5C" w:rsidP="00EC3D5C">
      <w:pPr>
        <w:pStyle w:val="SingleTxtGR"/>
      </w:pPr>
      <w:r w:rsidRPr="00EC3D5C">
        <w:tab/>
        <w:t>b)</w:t>
      </w:r>
      <w:r w:rsidRPr="00EC3D5C">
        <w:tab/>
        <w:t xml:space="preserve">Закон о Комиссии по правовой реформе (2011 год); </w:t>
      </w:r>
    </w:p>
    <w:p w:rsidR="00EC3D5C" w:rsidRPr="00EC3D5C" w:rsidRDefault="00EC3D5C" w:rsidP="00EC3D5C">
      <w:pPr>
        <w:pStyle w:val="SingleTxtGR"/>
      </w:pPr>
      <w:r w:rsidRPr="00EC3D5C">
        <w:tab/>
        <w:t>с)</w:t>
      </w:r>
      <w:r w:rsidRPr="00EC3D5C">
        <w:tab/>
        <w:t>Закон о либерийском земельном управлении (2016 год).</w:t>
      </w:r>
    </w:p>
    <w:p w:rsidR="00EC3D5C" w:rsidRPr="00EC3D5C" w:rsidRDefault="00EC3D5C" w:rsidP="00EC3D5C">
      <w:pPr>
        <w:pStyle w:val="SingleTxtGR"/>
      </w:pPr>
      <w:r w:rsidRPr="00EC3D5C">
        <w:t>5.</w:t>
      </w:r>
      <w:r w:rsidRPr="00EC3D5C">
        <w:tab/>
        <w:t xml:space="preserve">Комитет также приветствует присоединение государства-участника к следующим международным инструментам: </w:t>
      </w:r>
    </w:p>
    <w:p w:rsidR="00EC3D5C" w:rsidRPr="00EC3D5C" w:rsidRDefault="00EC3D5C" w:rsidP="00EC3D5C">
      <w:pPr>
        <w:pStyle w:val="SingleTxtGR"/>
      </w:pPr>
      <w:r w:rsidRPr="00EC3D5C">
        <w:tab/>
        <w:t>а)</w:t>
      </w:r>
      <w:r w:rsidRPr="00EC3D5C">
        <w:tab/>
        <w:t xml:space="preserve">Конвенции против пыток и других жестоких, бесчеловечных или унижающих достоинство видов обращения и наказания – в 2004 году; </w:t>
      </w:r>
    </w:p>
    <w:p w:rsidR="00EC3D5C" w:rsidRPr="00EC3D5C" w:rsidRDefault="00EC3D5C" w:rsidP="00EC3D5C">
      <w:pPr>
        <w:pStyle w:val="SingleTxtGR"/>
      </w:pPr>
      <w:r w:rsidRPr="00EC3D5C">
        <w:lastRenderedPageBreak/>
        <w:tab/>
        <w:t>b)</w:t>
      </w:r>
      <w:r w:rsidRPr="00EC3D5C">
        <w:tab/>
        <w:t>Факультативному протоколу к Конвенции против пыток и других жестоких, бесчеловечных или унижающих достоинс</w:t>
      </w:r>
      <w:r w:rsidR="007D09CD">
        <w:t>тво видов обращения и наказания </w:t>
      </w:r>
      <w:r w:rsidRPr="00EC3D5C">
        <w:t xml:space="preserve">– в 2004 году; </w:t>
      </w:r>
    </w:p>
    <w:p w:rsidR="00EC3D5C" w:rsidRPr="00EC3D5C" w:rsidRDefault="00EC3D5C" w:rsidP="00EC3D5C">
      <w:pPr>
        <w:pStyle w:val="SingleTxtGR"/>
      </w:pPr>
      <w:r w:rsidRPr="00EC3D5C">
        <w:tab/>
        <w:t>с)</w:t>
      </w:r>
      <w:r w:rsidRPr="00EC3D5C">
        <w:tab/>
        <w:t xml:space="preserve">Международному пакту об экономических, социальных и культурных правах – в 2004 году; </w:t>
      </w:r>
    </w:p>
    <w:p w:rsidR="00EC3D5C" w:rsidRPr="00EC3D5C" w:rsidRDefault="00EC3D5C" w:rsidP="00EC3D5C">
      <w:pPr>
        <w:pStyle w:val="SingleTxtGR"/>
      </w:pPr>
      <w:r w:rsidRPr="00EC3D5C">
        <w:tab/>
        <w:t>d)</w:t>
      </w:r>
      <w:r w:rsidRPr="00EC3D5C">
        <w:tab/>
        <w:t xml:space="preserve">Международной конвенции о защите прав всех трудящихся-мигрантов и членов их семей – в 2004 году. </w:t>
      </w:r>
    </w:p>
    <w:p w:rsidR="00EC3D5C" w:rsidRPr="00EC3D5C" w:rsidRDefault="00EC3D5C" w:rsidP="00EC3D5C">
      <w:pPr>
        <w:pStyle w:val="SingleTxtGR"/>
      </w:pPr>
      <w:r w:rsidRPr="00EC3D5C">
        <w:tab/>
        <w:t>е)</w:t>
      </w:r>
      <w:r w:rsidRPr="00EC3D5C">
        <w:tab/>
        <w:t xml:space="preserve">Факультативному протоколу к Конвенции о правах ребенка, касающемуся участия детей в вооруженных конфликтах – в 2004 году; </w:t>
      </w:r>
    </w:p>
    <w:p w:rsidR="00EC3D5C" w:rsidRPr="00EC3D5C" w:rsidRDefault="00EC3D5C" w:rsidP="00EC3D5C">
      <w:pPr>
        <w:pStyle w:val="SingleTxtGR"/>
      </w:pPr>
      <w:r w:rsidRPr="00EC3D5C">
        <w:tab/>
        <w:t>f)</w:t>
      </w:r>
      <w:r w:rsidRPr="00EC3D5C">
        <w:tab/>
        <w:t>Факультативному протоколу к Конвенции о правах ребенка, касающемуся торговли детьми, детской проституции и детской порнографии,</w:t>
      </w:r>
      <w:r w:rsidR="007D09CD">
        <w:t xml:space="preserve"> – в 2004 </w:t>
      </w:r>
      <w:r w:rsidRPr="00EC3D5C">
        <w:t xml:space="preserve">году; </w:t>
      </w:r>
    </w:p>
    <w:p w:rsidR="00EC3D5C" w:rsidRPr="00EC3D5C" w:rsidRDefault="00EC3D5C" w:rsidP="00EC3D5C">
      <w:pPr>
        <w:pStyle w:val="SingleTxtGR"/>
      </w:pPr>
      <w:r w:rsidRPr="00EC3D5C">
        <w:tab/>
        <w:t>g)</w:t>
      </w:r>
      <w:r w:rsidRPr="00EC3D5C">
        <w:tab/>
        <w:t xml:space="preserve">второму Факультативному протоколу к Международному пакту о гражданских и политических правах, направленному на отмену смертной казни, – в 2005 году; </w:t>
      </w:r>
    </w:p>
    <w:p w:rsidR="00EC3D5C" w:rsidRPr="00EC3D5C" w:rsidRDefault="00EC3D5C" w:rsidP="00EC3D5C">
      <w:pPr>
        <w:pStyle w:val="SingleTxtGR"/>
      </w:pPr>
      <w:r w:rsidRPr="00EC3D5C">
        <w:tab/>
        <w:t>h)</w:t>
      </w:r>
      <w:r w:rsidRPr="00EC3D5C">
        <w:tab/>
        <w:t>Конвенции о правах инвалидов – в 2012 году.</w:t>
      </w:r>
    </w:p>
    <w:p w:rsidR="00EC3D5C" w:rsidRPr="00EC3D5C" w:rsidRDefault="00EC3D5C" w:rsidP="007D09CD">
      <w:pPr>
        <w:pStyle w:val="H1GR"/>
      </w:pPr>
      <w:r w:rsidRPr="00EC3D5C">
        <w:tab/>
        <w:t>C.</w:t>
      </w:r>
      <w:r w:rsidRPr="00EC3D5C">
        <w:tab/>
      </w:r>
      <w:r w:rsidRPr="00EC3D5C">
        <w:tab/>
        <w:t>Основные вопросы, вызывающие обеспокоенность, и рекомендации</w:t>
      </w:r>
    </w:p>
    <w:p w:rsidR="00EC3D5C" w:rsidRPr="00EC3D5C" w:rsidRDefault="00EC3D5C" w:rsidP="007D09CD">
      <w:pPr>
        <w:pStyle w:val="H23GR"/>
      </w:pPr>
      <w:r w:rsidRPr="00EC3D5C">
        <w:tab/>
      </w:r>
      <w:r w:rsidRPr="00EC3D5C">
        <w:tab/>
        <w:t xml:space="preserve">Конституционная и правовая структура </w:t>
      </w:r>
    </w:p>
    <w:p w:rsidR="00EC3D5C" w:rsidRPr="00EC3D5C" w:rsidRDefault="00EC3D5C" w:rsidP="00EC3D5C">
      <w:pPr>
        <w:pStyle w:val="SingleTxtGR"/>
      </w:pPr>
      <w:r w:rsidRPr="00EC3D5C">
        <w:t>6.</w:t>
      </w:r>
      <w:r w:rsidRPr="00EC3D5C">
        <w:tab/>
        <w:t xml:space="preserve">Отмечая, что государство-участник имеет дуалистическую правовую систему, Комитет испытывает озабоченность в связи с тем, что не все права, закрепленные в Пакте, адекватно инкорпорированы в отечественную правовую систему и поэтому не могут быть предметом ссылки в отечественных судах. Он также испытывает озабоченность в связи с тем, что определенное число положений Конституции и статутных и обычных законов все еще несовместимы с положениями Пакта, </w:t>
      </w:r>
      <w:r w:rsidR="006A692B">
        <w:t>например</w:t>
      </w:r>
      <w:r w:rsidRPr="00EC3D5C">
        <w:t xml:space="preserve"> положения касательно имущественных прав и приобретения гражданства, и в связи с хроническими расхождениями между разными источниками права, включая расхождения касательно минимального брачного возраста, полигамии и передачи гражданства детям (статья 2). </w:t>
      </w:r>
    </w:p>
    <w:p w:rsidR="00EC3D5C" w:rsidRPr="00EC3D5C" w:rsidRDefault="00EC3D5C" w:rsidP="00EC3D5C">
      <w:pPr>
        <w:pStyle w:val="SingleTxtGR"/>
        <w:rPr>
          <w:b/>
          <w:bCs/>
        </w:rPr>
      </w:pPr>
      <w:r w:rsidRPr="00EC3D5C">
        <w:t>7.</w:t>
      </w:r>
      <w:r w:rsidRPr="00EC3D5C">
        <w:tab/>
      </w:r>
      <w:r w:rsidRPr="00EC3D5C">
        <w:rPr>
          <w:b/>
          <w:bCs/>
        </w:rPr>
        <w:t>Государству-участнику следует:</w:t>
      </w:r>
      <w:r w:rsidRPr="00EC3D5C">
        <w:t xml:space="preserve"> </w:t>
      </w:r>
    </w:p>
    <w:p w:rsidR="00EC3D5C" w:rsidRPr="00EC3D5C" w:rsidRDefault="00EC3D5C" w:rsidP="00EC3D5C">
      <w:pPr>
        <w:pStyle w:val="SingleTxtGR"/>
        <w:rPr>
          <w:b/>
          <w:bCs/>
        </w:rPr>
      </w:pPr>
      <w:r w:rsidRPr="007D09CD">
        <w:rPr>
          <w:b/>
        </w:rPr>
        <w:tab/>
        <w:t>а)</w:t>
      </w:r>
      <w:r w:rsidRPr="00EC3D5C">
        <w:tab/>
      </w:r>
      <w:r w:rsidRPr="00EC3D5C">
        <w:rPr>
          <w:b/>
          <w:bCs/>
        </w:rPr>
        <w:t>предпринять все необходимые шаги с целью гарантировать, чтобы положения Пакта давали полный юридический эффект в его отечественной правовой системе, с тем чтобы они могли применяться отечественным судами или служить предметом ссылки в них;</w:t>
      </w:r>
      <w:r w:rsidRPr="00EC3D5C">
        <w:t xml:space="preserve"> </w:t>
      </w:r>
    </w:p>
    <w:p w:rsidR="00EC3D5C" w:rsidRPr="00EC3D5C" w:rsidRDefault="00EC3D5C" w:rsidP="00EC3D5C">
      <w:pPr>
        <w:pStyle w:val="SingleTxtGR"/>
        <w:rPr>
          <w:b/>
          <w:bCs/>
        </w:rPr>
      </w:pPr>
      <w:r w:rsidRPr="007D09CD">
        <w:rPr>
          <w:b/>
        </w:rPr>
        <w:tab/>
        <w:t>b)</w:t>
      </w:r>
      <w:r w:rsidRPr="007D09CD">
        <w:rPr>
          <w:b/>
        </w:rPr>
        <w:tab/>
      </w:r>
      <w:r w:rsidRPr="00EC3D5C">
        <w:rPr>
          <w:b/>
          <w:bCs/>
        </w:rPr>
        <w:t>обеспечить, чтобы Комиссия по правовой реформе ускорила пересмотр положений Конституции и статутных и обычных законов, которые несовместимы с Пактом, и гармонизовала законодательство государства-участника, дабы привести его в полное соответствие с Пактом.</w:t>
      </w:r>
      <w:r w:rsidRPr="00EC3D5C">
        <w:t xml:space="preserve"> </w:t>
      </w:r>
      <w:r w:rsidRPr="00EC3D5C">
        <w:rPr>
          <w:b/>
          <w:bCs/>
        </w:rPr>
        <w:t xml:space="preserve">Ему </w:t>
      </w:r>
      <w:r w:rsidR="006A692B" w:rsidRPr="00EC3D5C">
        <w:rPr>
          <w:b/>
          <w:bCs/>
        </w:rPr>
        <w:t xml:space="preserve">также </w:t>
      </w:r>
      <w:r w:rsidRPr="00EC3D5C">
        <w:rPr>
          <w:b/>
          <w:bCs/>
        </w:rPr>
        <w:t>следует подумать о присоединении к первому Факультативному протоколу к Пакту, который устанавливает механизм рассмотрения индивидуальных жалоб.</w:t>
      </w:r>
    </w:p>
    <w:p w:rsidR="00EC3D5C" w:rsidRPr="00EC3D5C" w:rsidRDefault="00EC3D5C" w:rsidP="007D09CD">
      <w:pPr>
        <w:pStyle w:val="H23GR"/>
      </w:pPr>
      <w:r w:rsidRPr="00EC3D5C">
        <w:tab/>
      </w:r>
      <w:r w:rsidRPr="00EC3D5C">
        <w:tab/>
        <w:t>Независимая национальная комиссия по правам человека</w:t>
      </w:r>
    </w:p>
    <w:p w:rsidR="00EC3D5C" w:rsidRPr="00EC3D5C" w:rsidRDefault="00EC3D5C" w:rsidP="00EC3D5C">
      <w:pPr>
        <w:pStyle w:val="SingleTxtGR"/>
      </w:pPr>
      <w:r w:rsidRPr="00EC3D5C">
        <w:t>8.</w:t>
      </w:r>
      <w:r w:rsidRPr="00EC3D5C">
        <w:tab/>
        <w:t>Комитет, отмечая, что в 2017 году Независимая национальная комиссия по правам человека была аккредитована Глобальным альянсом национальных правозащитных учреждений со статусом «А», по-прежнему испытывает озабоченность в связи со следующим: a) в связи с сообщаемым недофинансированием Комиссии, что сковывает ее функциональный потенциал; b) в связи с задержками с назначением членов Комиссии; и c) в связи с ограниченной квалификацией Комиссии в плане расследования нарушений прав человека (статья 2).</w:t>
      </w:r>
    </w:p>
    <w:p w:rsidR="00EC3D5C" w:rsidRPr="00EC3D5C" w:rsidRDefault="00EC3D5C" w:rsidP="00EC3D5C">
      <w:pPr>
        <w:pStyle w:val="SingleTxtGR"/>
      </w:pPr>
      <w:r w:rsidRPr="00EC3D5C">
        <w:t>9.</w:t>
      </w:r>
      <w:r w:rsidRPr="00EC3D5C">
        <w:tab/>
      </w:r>
      <w:r w:rsidRPr="00EC3D5C">
        <w:rPr>
          <w:b/>
          <w:bCs/>
        </w:rPr>
        <w:t>Государству-участнику следует укреплять людские и финансовые ресурсы, выделяемые Независимой национальной комиссии по правам человека, с тем чтобы позволить ей эффективно исполнять свои функции.</w:t>
      </w:r>
      <w:r w:rsidRPr="00EC3D5C">
        <w:t xml:space="preserve"> </w:t>
      </w:r>
      <w:r w:rsidRPr="00EC3D5C">
        <w:rPr>
          <w:b/>
          <w:bCs/>
        </w:rPr>
        <w:t xml:space="preserve">Ему также следует обеспечить, чтобы процесс назначения членов и Председателя </w:t>
      </w:r>
      <w:r w:rsidR="006A692B" w:rsidRPr="00EC3D5C">
        <w:rPr>
          <w:b/>
          <w:bCs/>
        </w:rPr>
        <w:t xml:space="preserve">Комиссии </w:t>
      </w:r>
      <w:r w:rsidRPr="00EC3D5C">
        <w:rPr>
          <w:b/>
          <w:bCs/>
        </w:rPr>
        <w:t>носил своевременный, инклюзивный и транспарентный характер.</w:t>
      </w:r>
      <w:r w:rsidRPr="00EC3D5C">
        <w:t xml:space="preserve"> </w:t>
      </w:r>
      <w:r w:rsidRPr="00EC3D5C">
        <w:rPr>
          <w:b/>
          <w:bCs/>
        </w:rPr>
        <w:t>Кроме того, государство-участник побуждается заручаться технической помощью со стороны Управления Верховного комиссара Организации Объединенных Наций по правам человека с целью совершенствования потенциала Комиссии по расследованию нарушений прав человека.</w:t>
      </w:r>
      <w:r w:rsidRPr="00EC3D5C">
        <w:t xml:space="preserve"> </w:t>
      </w:r>
    </w:p>
    <w:p w:rsidR="00EC3D5C" w:rsidRPr="00EC3D5C" w:rsidRDefault="00EC3D5C" w:rsidP="007D09CD">
      <w:pPr>
        <w:pStyle w:val="H23GR"/>
      </w:pPr>
      <w:r w:rsidRPr="00EC3D5C">
        <w:tab/>
      </w:r>
      <w:r w:rsidRPr="00EC3D5C">
        <w:tab/>
        <w:t xml:space="preserve">Безнаказанность и прошлые нарушения прав человека </w:t>
      </w:r>
    </w:p>
    <w:p w:rsidR="00EC3D5C" w:rsidRPr="00EC3D5C" w:rsidRDefault="00EC3D5C" w:rsidP="00EC3D5C">
      <w:pPr>
        <w:pStyle w:val="SingleTxtGR"/>
      </w:pPr>
      <w:r w:rsidRPr="00EC3D5C">
        <w:t>10.</w:t>
      </w:r>
      <w:r w:rsidRPr="00EC3D5C">
        <w:tab/>
        <w:t xml:space="preserve">Приветствуя создание в 2013 году Национальной программы в формате «палава-хат» с целью утверждения и укрепления прочного мира и согласия по всей стране, Комитет испытывает сожаление в связи с реализацией очень малого числа шагов по осуществлению основной массы рекомендаций, вынесенных в 2009 году Комиссией по установлению истины и примирению. Он с озабоченностью отмечает, что никто из предположительных исполнителей грубых нарушений прав человека и военных преступлений, упомянутых в докладе Комиссии, не был отдан под суд, а некоторые из этих индивидов занимают или занимали официальные руководящие посты, в том числе в правительстве. Он также с озабоченностью отмечает отсутствие всеобъемлющей программы компенсаций жертвам. Комитет испытывает озабоченность в связи с тем, что такая ситуация культивирует атмосферу безнаказанности и не способствует достижению правосудия переходного периода. Комитет отмечает предоставленную делегацией информацию относительно намерения нового правительства выпустить вскоре заявление о мерах, которые оно планирует принять по реализации доклада Комиссии (статьи 2, 6, 7 и 14). </w:t>
      </w:r>
    </w:p>
    <w:p w:rsidR="00EC3D5C" w:rsidRPr="00EC3D5C" w:rsidRDefault="00EC3D5C" w:rsidP="00EC3D5C">
      <w:pPr>
        <w:pStyle w:val="SingleTxtGR"/>
        <w:rPr>
          <w:b/>
          <w:bCs/>
        </w:rPr>
      </w:pPr>
      <w:r w:rsidRPr="00EC3D5C">
        <w:t>11.</w:t>
      </w:r>
      <w:r w:rsidRPr="00EC3D5C">
        <w:tab/>
      </w:r>
      <w:r w:rsidRPr="00EC3D5C">
        <w:rPr>
          <w:b/>
          <w:bCs/>
        </w:rPr>
        <w:t>Государству-участнику следует в приоритетном порядке наладить процедуру ответственности за прежние грубые нарушения прав человека и военные преступления, которая сообразовывалась бы с международными стандартами, в том числе касательно независимости и компетентности судебной системы;</w:t>
      </w:r>
      <w:r w:rsidRPr="00EC3D5C">
        <w:t xml:space="preserve"> </w:t>
      </w:r>
      <w:r w:rsidRPr="00EC3D5C">
        <w:rPr>
          <w:b/>
          <w:bCs/>
        </w:rPr>
        <w:t>доступа жертв к правосудию, надлежащих гарантий процессуального производства и справедливого судебного разбирательства;</w:t>
      </w:r>
      <w:r w:rsidRPr="00EC3D5C">
        <w:t xml:space="preserve"> </w:t>
      </w:r>
      <w:r w:rsidRPr="00EC3D5C">
        <w:rPr>
          <w:b/>
          <w:bCs/>
        </w:rPr>
        <w:t>и защиты свидетелей.</w:t>
      </w:r>
      <w:r w:rsidRPr="00EC3D5C">
        <w:t xml:space="preserve"> </w:t>
      </w:r>
      <w:r w:rsidRPr="00EC3D5C">
        <w:rPr>
          <w:b/>
          <w:bCs/>
        </w:rPr>
        <w:t>В частности, государству-участнику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обеспечить, чтобы все предположительные исполнители грубых нарушений прав человека и военных преступлений подверглись беспристрастному преследованию, а в случае установления их виновности и осуждению и наказанию соразмерно тяжести совершенных деяний вне зависимости от их статуса или любого отечественного законодательства об иммунитетах, и сместить с занимаемых официальных постов любых лиц, чья причастность к грубым на</w:t>
      </w:r>
      <w:r w:rsidR="006A692B">
        <w:rPr>
          <w:b/>
          <w:bCs/>
        </w:rPr>
        <w:t>рушениям прав человека и военным преступлениям</w:t>
      </w:r>
      <w:r w:rsidRPr="00BF2386">
        <w:rPr>
          <w:b/>
          <w:bCs/>
        </w:rPr>
        <w:t xml:space="preserve"> будет доказана;</w:t>
      </w:r>
    </w:p>
    <w:p w:rsidR="00EC3D5C" w:rsidRPr="00BF2386" w:rsidRDefault="00EC3D5C" w:rsidP="00EC3D5C">
      <w:pPr>
        <w:pStyle w:val="SingleTxtGR"/>
        <w:rPr>
          <w:b/>
          <w:bCs/>
        </w:rPr>
      </w:pPr>
      <w:r w:rsidRPr="00BF2386">
        <w:rPr>
          <w:b/>
        </w:rPr>
        <w:tab/>
        <w:t>b)</w:t>
      </w:r>
      <w:r w:rsidRPr="00BF2386">
        <w:rPr>
          <w:b/>
        </w:rPr>
        <w:tab/>
      </w:r>
      <w:r w:rsidRPr="00BF2386">
        <w:rPr>
          <w:b/>
          <w:bCs/>
        </w:rPr>
        <w:t>принять все необходимые меры с целью осуществления рекомендаций Комиссии по установлению истины и примирению и подумать об учреждении хорошо обеспеченного ресурсами органа в составе представителей правительства, Независимой национальной комиссии по правам человека и организаций гражданского общества для мониторинга осуществления таких рекомендаций;</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разработать и реализовать всеобъемлющую схему компенсаций всем жертвам грубых нарушений прав человека и военных преступлений;</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удвоить свои усилия с целью культивировать примирение и поддержание мира с участием жертв и их семей, а также организаций гражданского общества, активно добивающихся правосудия за прежние преступления.</w:t>
      </w:r>
    </w:p>
    <w:p w:rsidR="00EC3D5C" w:rsidRPr="00EC3D5C" w:rsidRDefault="00EC3D5C" w:rsidP="00BF2386">
      <w:pPr>
        <w:pStyle w:val="H23GR"/>
      </w:pPr>
      <w:r w:rsidRPr="00EC3D5C">
        <w:tab/>
      </w:r>
      <w:r w:rsidRPr="00EC3D5C">
        <w:tab/>
        <w:t>Чрезвычайное положение</w:t>
      </w:r>
    </w:p>
    <w:p w:rsidR="00EC3D5C" w:rsidRPr="00EC3D5C" w:rsidRDefault="00EC3D5C" w:rsidP="00EC3D5C">
      <w:pPr>
        <w:pStyle w:val="SingleTxtGR"/>
      </w:pPr>
      <w:r w:rsidRPr="00EC3D5C">
        <w:t>12.</w:t>
      </w:r>
      <w:r w:rsidRPr="00EC3D5C">
        <w:tab/>
        <w:t>Признавая тяжесть кризиса в связи с вирусом Эбола в августе 2014 года, Комитет испытывает сожаление в связи с тем, что государство-участник не информировало другие государства – участники Пакта через Генерального секретаря о положениях, от которых оно отступило в период объявленного чрезвычайного положения. Он также испытывает озабоченность в связи с утверждениями о том, что меры, принятые в тот период, в частности в отношении статей 12 и 19 Пакта, не вполне сообразовывались с мотивацией и сферой охвата статьи 4 (1) Пакта и зам</w:t>
      </w:r>
      <w:r w:rsidR="006A692B">
        <w:t>ечанием общего порядка № 29 (201</w:t>
      </w:r>
      <w:r w:rsidRPr="00EC3D5C">
        <w:t>1) Комитета об отступлении от положений Пакта в период чрезвычайного положения, и в связи с тем, что расследования по предполагаемым нарушениям прав человека, совершенным в период чрезвычайного положения, не отвечали международным стандартам (статьи</w:t>
      </w:r>
      <w:r w:rsidR="006A692B">
        <w:t xml:space="preserve"> 4</w:t>
      </w:r>
      <w:r w:rsidRPr="00EC3D5C">
        <w:t>, 6, 12 и 19).</w:t>
      </w:r>
    </w:p>
    <w:p w:rsidR="00EC3D5C" w:rsidRPr="00EC3D5C" w:rsidRDefault="00EC3D5C" w:rsidP="00EC3D5C">
      <w:pPr>
        <w:pStyle w:val="SingleTxtGR"/>
        <w:rPr>
          <w:b/>
          <w:bCs/>
        </w:rPr>
      </w:pPr>
      <w:r w:rsidRPr="00EC3D5C">
        <w:t>13.</w:t>
      </w:r>
      <w:r w:rsidRPr="00EC3D5C">
        <w:tab/>
      </w:r>
      <w:r w:rsidRPr="00EC3D5C">
        <w:rPr>
          <w:b/>
          <w:bCs/>
        </w:rPr>
        <w:t>Государству-участнику следует принять меры с целью:</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гарантировать, чтобы любой процесс отступления от Пакта соответствовал статье 4, и разработать с этой целью национальные руководящие принципы по реализации введения чрезвычайного положения;</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эффективно расследовать все утверждения о нарушениях прав человека, совершенных в период чрезвычайного положения 2014 года, дабы отдать исполнителей под суд и предоставить жертвам эффективные средства правовой защиты.</w:t>
      </w:r>
      <w:r w:rsidRPr="00BF2386">
        <w:rPr>
          <w:b/>
        </w:rPr>
        <w:t xml:space="preserve"> </w:t>
      </w:r>
    </w:p>
    <w:p w:rsidR="00EC3D5C" w:rsidRPr="00EC3D5C" w:rsidRDefault="00EC3D5C" w:rsidP="00BF2386">
      <w:pPr>
        <w:pStyle w:val="H23GR"/>
      </w:pPr>
      <w:r w:rsidRPr="00EC3D5C">
        <w:tab/>
      </w:r>
      <w:r w:rsidRPr="00EC3D5C">
        <w:tab/>
        <w:t>Определение терроризма</w:t>
      </w:r>
    </w:p>
    <w:p w:rsidR="00EC3D5C" w:rsidRPr="00EC3D5C" w:rsidRDefault="00EC3D5C" w:rsidP="00EC3D5C">
      <w:pPr>
        <w:pStyle w:val="SingleTxtGR"/>
      </w:pPr>
      <w:r w:rsidRPr="00EC3D5C">
        <w:t>14.</w:t>
      </w:r>
      <w:r w:rsidRPr="00EC3D5C">
        <w:tab/>
        <w:t>Комитет испытывает озабоченность в связи с неточным и чрезмерно расширительным определением терроризма в Уголовном кодексе государства-участника как преступления, караемого смертной казнью и квалифицируемого как преднамеренная или умышленная попытка причинить телесные повреждения или смерть другому лицу или группе лиц. Комитет испытывает особенную озабоченность в связи с используемой расплывчатой терминологией для определения элемента умысла (преступный умысел). Хотя Комитет отмечает, что по Закону 2008 года не было вынесено никаких обвинений, он по-прежнему испытывает озабоченность в связи с его потенциалом для злоупотреблений (статьи 6, 9 и 14).</w:t>
      </w:r>
    </w:p>
    <w:p w:rsidR="00EC3D5C" w:rsidRPr="00EC3D5C" w:rsidRDefault="00EC3D5C" w:rsidP="00EC3D5C">
      <w:pPr>
        <w:pStyle w:val="SingleTxtGR"/>
        <w:rPr>
          <w:b/>
          <w:bCs/>
        </w:rPr>
      </w:pPr>
      <w:r w:rsidRPr="00EC3D5C">
        <w:t>15.</w:t>
      </w:r>
      <w:r w:rsidRPr="00EC3D5C">
        <w:tab/>
      </w:r>
      <w:r w:rsidRPr="00EC3D5C">
        <w:rPr>
          <w:b/>
          <w:bCs/>
        </w:rPr>
        <w:t>Государству-участнику следует пересмотреть правовые положения о терроризме с целью обеспечить четкое и узкое определение актов терроризма в соответствии с международными стандартами, дабы ограничить законодательство, принятое в этом контексте, преступлениями, которые четко квалифицировались бы как акты терроризма.</w:t>
      </w:r>
      <w:r w:rsidRPr="00EC3D5C">
        <w:t xml:space="preserve"> </w:t>
      </w:r>
      <w:r w:rsidRPr="00EC3D5C">
        <w:rPr>
          <w:b/>
          <w:bCs/>
        </w:rPr>
        <w:t>Кроме того, государству-участнику следует обеспечить, чтобы лицам, подозреваемым либо обвиняемым в терроризме или смежных преступлениях, предоставлялись все правовые гарантии и чтобы любые ограничения их прав не были сопряжены с произволом, носили законный, необходимый и соразмерный характер и подлежали эффективному судебному надзору.</w:t>
      </w:r>
    </w:p>
    <w:p w:rsidR="00EC3D5C" w:rsidRPr="00EC3D5C" w:rsidRDefault="00EC3D5C" w:rsidP="00BF2386">
      <w:pPr>
        <w:pStyle w:val="H23GR"/>
      </w:pPr>
      <w:r w:rsidRPr="00EC3D5C">
        <w:tab/>
      </w:r>
      <w:r w:rsidRPr="00EC3D5C">
        <w:tab/>
        <w:t>Недискриминация</w:t>
      </w:r>
    </w:p>
    <w:p w:rsidR="00EC3D5C" w:rsidRPr="00EC3D5C" w:rsidRDefault="00EC3D5C" w:rsidP="00EC3D5C">
      <w:pPr>
        <w:pStyle w:val="SingleTxtGR"/>
      </w:pPr>
      <w:r w:rsidRPr="00EC3D5C">
        <w:t>16.</w:t>
      </w:r>
      <w:r w:rsidRPr="00EC3D5C">
        <w:tab/>
        <w:t>Отмечая, что принцип недискриминации закреплен в Конституции, Комитет испытывает сожаление в связи с отсутствием всеобъемлющего законодательства, обеспечивающего его эффективное осуществление. Он особенно испытывает озабоченность в связи с сообщениями о том, что со стигматизацией и фактической дискриминацией сталкиваются люди, принадлежащие к определенным группам, и в особенн</w:t>
      </w:r>
      <w:r w:rsidR="006A692B">
        <w:t>ости люди, живущие с ВИЧ/СПИДом;</w:t>
      </w:r>
      <w:r w:rsidRPr="00EC3D5C">
        <w:t xml:space="preserve"> люди, страдающие психосоциальными расстройствами, люди, пер</w:t>
      </w:r>
      <w:r w:rsidR="006A692B">
        <w:t>енесшие болезнь от вируса Эбола;</w:t>
      </w:r>
      <w:r w:rsidRPr="00EC3D5C">
        <w:t xml:space="preserve"> и люди с альбинизмом (статьи 2 и 26).</w:t>
      </w:r>
    </w:p>
    <w:p w:rsidR="00EC3D5C" w:rsidRPr="00EC3D5C" w:rsidRDefault="00EC3D5C" w:rsidP="00EC3D5C">
      <w:pPr>
        <w:pStyle w:val="SingleTxtGR"/>
        <w:rPr>
          <w:b/>
          <w:bCs/>
        </w:rPr>
      </w:pPr>
      <w:r w:rsidRPr="00EC3D5C">
        <w:t>17.</w:t>
      </w:r>
      <w:r w:rsidRPr="00EC3D5C">
        <w:tab/>
      </w:r>
      <w:r w:rsidRPr="00EC3D5C">
        <w:rPr>
          <w:b/>
          <w:bCs/>
        </w:rPr>
        <w:t>Государству-участнику следует:</w:t>
      </w:r>
      <w:r w:rsidRPr="00EC3D5C">
        <w:t xml:space="preserve"> </w:t>
      </w:r>
    </w:p>
    <w:p w:rsidR="00EC3D5C" w:rsidRPr="00EC3D5C" w:rsidRDefault="00EC3D5C" w:rsidP="00EC3D5C">
      <w:pPr>
        <w:pStyle w:val="SingleTxtGR"/>
        <w:rPr>
          <w:b/>
          <w:bCs/>
        </w:rPr>
      </w:pPr>
      <w:r w:rsidRPr="00EC3D5C">
        <w:tab/>
      </w:r>
      <w:r w:rsidRPr="007440FD">
        <w:rPr>
          <w:b/>
        </w:rPr>
        <w:t>а)</w:t>
      </w:r>
      <w:r w:rsidRPr="00EC3D5C">
        <w:tab/>
      </w:r>
      <w:r w:rsidRPr="00EC3D5C">
        <w:rPr>
          <w:b/>
          <w:bCs/>
        </w:rPr>
        <w:t>принять всеобъемлющее законодательство по борьбе с дискриминацией, которое содержало бы определение всех форм дискриминации и расширенный перечень запрещенных признаков дискриминации, включая национальное или этническое происхождение, религию, инвалидность, сексуальную ориентацию, гендерную идентичность и любой иной статус, и предоставлять в случае нарушений эффективные средства правовой защиты;</w:t>
      </w:r>
      <w:r w:rsidRPr="00EC3D5C">
        <w:t xml:space="preserve"> </w:t>
      </w:r>
    </w:p>
    <w:p w:rsidR="00EC3D5C" w:rsidRPr="00EC3D5C" w:rsidRDefault="00EC3D5C" w:rsidP="00EC3D5C">
      <w:pPr>
        <w:pStyle w:val="SingleTxtGR"/>
        <w:rPr>
          <w:b/>
          <w:bCs/>
        </w:rPr>
      </w:pPr>
      <w:r w:rsidRPr="00EC3D5C">
        <w:tab/>
      </w:r>
      <w:r w:rsidRPr="007440FD">
        <w:rPr>
          <w:b/>
        </w:rPr>
        <w:t>b)</w:t>
      </w:r>
      <w:r w:rsidRPr="00EC3D5C">
        <w:tab/>
      </w:r>
      <w:r w:rsidRPr="00EC3D5C">
        <w:rPr>
          <w:b/>
          <w:bCs/>
        </w:rPr>
        <w:t>проводить широкие просветительские и информационно-разъяснительные кампании, пропагандирующие равенство, терпимость и уважение к многообразию.</w:t>
      </w:r>
    </w:p>
    <w:p w:rsidR="00EC3D5C" w:rsidRPr="00EC3D5C" w:rsidRDefault="00EC3D5C" w:rsidP="00BF2386">
      <w:pPr>
        <w:pStyle w:val="H23GR"/>
      </w:pPr>
      <w:r w:rsidRPr="00EC3D5C">
        <w:tab/>
      </w:r>
      <w:r w:rsidRPr="00EC3D5C">
        <w:tab/>
        <w:t>Дискриминация по признакам сексуальной ориентации и гендерной идентичности</w:t>
      </w:r>
    </w:p>
    <w:p w:rsidR="00EC3D5C" w:rsidRPr="00EC3D5C" w:rsidRDefault="00EC3D5C" w:rsidP="00EC3D5C">
      <w:pPr>
        <w:pStyle w:val="SingleTxtGR"/>
      </w:pPr>
      <w:r w:rsidRPr="00EC3D5C">
        <w:t>18.</w:t>
      </w:r>
      <w:r w:rsidRPr="00EC3D5C">
        <w:tab/>
        <w:t>Комитет испытывает озабоченность в связи со следующим: а) в связи с криминализацией однополых отношений между взрослыми по взаимному согласию и попытками ужесточить наказания за однополые браки и запретить их; и b) в связи с сообщениями о том, что лесбиянки, геи, бисексуалы, трансгендеры и интерсексы стигматизируются и подвергаются фактической дискриминации в пользовании комплексом прав по причине их сексуальной ориентации и гендерной идентичности. Он также испытывает озабоченность в связи с тем, что лесбиянки, геи, бисексуалы, трансгендеры и интерсексы подвержены насилию, произвольным задержаниям и злоупотреблению властью со стороны полиции, и такое положение дел лишь усугубляется занижением отчетности и отсутствием эффективных расследований по случаям таких нарушений прав человека, будь то со стороны государства или негосударственных субъектов. Кроме того, Комитет выражает озабоченность в связи с сообщениями о притеснениях и репрессиях в отношении правозащитников и организаций, отстаивающих права лесбиянок, геев, бисексуалов, трансгендеров и интерсексов (статьи 2, 6, 7, 9, 20, 22 и 26).</w:t>
      </w:r>
    </w:p>
    <w:p w:rsidR="00EC3D5C" w:rsidRPr="00EC3D5C" w:rsidRDefault="00EC3D5C" w:rsidP="00EC3D5C">
      <w:pPr>
        <w:pStyle w:val="SingleTxtGR"/>
        <w:rPr>
          <w:b/>
          <w:bCs/>
        </w:rPr>
      </w:pPr>
      <w:r w:rsidRPr="00EC3D5C">
        <w:t>19.</w:t>
      </w:r>
      <w:r w:rsidRPr="00EC3D5C">
        <w:tab/>
      </w:r>
      <w:r w:rsidRPr="00EC3D5C">
        <w:rPr>
          <w:b/>
          <w:bCs/>
        </w:rPr>
        <w:t>Признавая многообразие нравственности и культур в международном отношении, Комитет напоминает, что государственные законы и практика должны всегда сообразовываться с принципами универсальности прав человека и недискриминации.</w:t>
      </w:r>
      <w:r w:rsidRPr="00EC3D5C">
        <w:t xml:space="preserve"> </w:t>
      </w:r>
      <w:r w:rsidRPr="00EC3D5C">
        <w:rPr>
          <w:b/>
          <w:bCs/>
        </w:rPr>
        <w:t>Государству-участнику следует в приоритетном порядке декриминализовать однополые сексуальные отношения между взрослыми по взаимному согласию и эксплицитно отвергать всякого рода социальную стигматизацию, дискриминацию или насилие в отношении индивидов по признакам их сексуальной ориентации или гендерной идентичности.</w:t>
      </w:r>
      <w:r w:rsidRPr="00EC3D5C">
        <w:t xml:space="preserve"> </w:t>
      </w:r>
      <w:r w:rsidRPr="00EC3D5C">
        <w:rPr>
          <w:b/>
          <w:bCs/>
        </w:rPr>
        <w:t>Ему следует также:</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устранить любые барьеры к пользованию правами лесбиянками, геями, бисексуалами, трансгендерами и интерсексами;</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облегчать жертвам доступ к правосудию, в том числе путем укрепления доверия между лесбиянками, геями, бисексуалами, трансгендерами и интерсексами и государственными ведомствами;</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обеспечить расследование, преследование и наказание любого акта насилия, продиктованного сексуальной ориентацией или гендерной идентичностью жертвы, и обеспечить системный сбор данных о таких актах;</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гарантировать на практике безопасность, а также права лесбиянок, геев, бисексуалов, трансгендеров и интерсексов, правозащитников и организаций на свободу выражения мнений, собраний и ассоциации;</w:t>
      </w:r>
      <w:r w:rsidRPr="00BF2386">
        <w:rPr>
          <w:b/>
        </w:rPr>
        <w:t xml:space="preserve"> </w:t>
      </w:r>
    </w:p>
    <w:p w:rsidR="00EC3D5C" w:rsidRPr="00BF2386" w:rsidRDefault="00EC3D5C" w:rsidP="00EC3D5C">
      <w:pPr>
        <w:pStyle w:val="SingleTxtGR"/>
        <w:rPr>
          <w:b/>
          <w:bCs/>
        </w:rPr>
      </w:pPr>
      <w:r w:rsidRPr="00BF2386">
        <w:rPr>
          <w:b/>
        </w:rPr>
        <w:tab/>
        <w:t>е)</w:t>
      </w:r>
      <w:r w:rsidRPr="00BF2386">
        <w:rPr>
          <w:b/>
        </w:rPr>
        <w:tab/>
      </w:r>
      <w:r w:rsidRPr="00BF2386">
        <w:rPr>
          <w:b/>
          <w:bCs/>
        </w:rPr>
        <w:t>проводить в консультации с представителями лесбиянок, геев, бисексуалов, трансгендеров и интерсексов и организациями гражданского общества просветительские кампании относительно недискриминации, инклюзивности и многообразия.</w:t>
      </w:r>
    </w:p>
    <w:p w:rsidR="00EC3D5C" w:rsidRPr="00EC3D5C" w:rsidRDefault="00EC3D5C" w:rsidP="00BF2386">
      <w:pPr>
        <w:pStyle w:val="H23GR"/>
      </w:pPr>
      <w:r w:rsidRPr="00EC3D5C">
        <w:tab/>
      </w:r>
      <w:r w:rsidRPr="00EC3D5C">
        <w:tab/>
        <w:t>Гендерное равенство</w:t>
      </w:r>
    </w:p>
    <w:p w:rsidR="00EC3D5C" w:rsidRPr="00EC3D5C" w:rsidRDefault="00EC3D5C" w:rsidP="00EC3D5C">
      <w:pPr>
        <w:pStyle w:val="SingleTxtGR"/>
      </w:pPr>
      <w:r w:rsidRPr="00EC3D5C">
        <w:t>20.</w:t>
      </w:r>
      <w:r w:rsidRPr="00EC3D5C">
        <w:tab/>
        <w:t>Приветствуя избрание женщины президентом Либерии на два срока и назначение двух женщин в Верховный суд и принимая к сведению усилия государства-участника по поощрению политического участия женщин, Комитет испытывает сожаление в связи с тем, что не был принят законопроект о позитивных действиях, который был бы нацелен на создание в рамках Палаты представителей 21</w:t>
      </w:r>
      <w:r w:rsidR="00BF2386">
        <w:t> </w:t>
      </w:r>
      <w:r w:rsidRPr="00EC3D5C">
        <w:t xml:space="preserve">избирательного округа в расчете женщин, молодежь и инвалидов. Он также испытывает озабоченность в связи с недопредставленностью женщин в публичных делах и на директивных постах, в том числе в судах низшей инстанции, и в связи с малым числом женских кандидатур на прошлых выборах, в особенности на местных выборах (статьи 2, 3 и 26). </w:t>
      </w:r>
    </w:p>
    <w:p w:rsidR="00EC3D5C" w:rsidRPr="00EC3D5C" w:rsidRDefault="00EC3D5C" w:rsidP="00EC3D5C">
      <w:pPr>
        <w:pStyle w:val="SingleTxtGR"/>
        <w:rPr>
          <w:b/>
          <w:bCs/>
        </w:rPr>
      </w:pPr>
      <w:r w:rsidRPr="00EC3D5C">
        <w:t>21.</w:t>
      </w:r>
      <w:r w:rsidRPr="00EC3D5C">
        <w:tab/>
      </w:r>
      <w:r w:rsidRPr="00EC3D5C">
        <w:rPr>
          <w:b/>
          <w:bCs/>
        </w:rPr>
        <w:t>Государству-участнику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наращивать</w:t>
      </w:r>
      <w:r w:rsidRPr="00BF2386">
        <w:rPr>
          <w:b/>
        </w:rPr>
        <w:t xml:space="preserve"> </w:t>
      </w:r>
      <w:r w:rsidRPr="00BF2386">
        <w:rPr>
          <w:b/>
          <w:bCs/>
        </w:rPr>
        <w:t>свои усилия по расширению участия и представленности женщин в публичных делах и на директивных постах, в том числе путем реализации всех необходимых шагов с целью обеспечить принятие законопроекта о позитивных действиях;</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устранять все прямые и косвенные препятствия к участию женщин в публичных делах и процессах принятия решений, предусмотрев, в частности, отмену регистрационного сбора в случае женщин-кандидатов и введение временных специальных мер;</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предпринять конкретные шаги по устранению гендерных предрассудков и стереотипов относительно ролей и обязанностей мужчин и женщин в семье и обществе.</w:t>
      </w:r>
      <w:r w:rsidRPr="00BF2386">
        <w:rPr>
          <w:b/>
        </w:rPr>
        <w:t xml:space="preserve"> </w:t>
      </w:r>
    </w:p>
    <w:p w:rsidR="00EC3D5C" w:rsidRPr="00EC3D5C" w:rsidRDefault="00EC3D5C" w:rsidP="00BF2386">
      <w:pPr>
        <w:pStyle w:val="H23GR"/>
      </w:pPr>
      <w:r w:rsidRPr="00EC3D5C">
        <w:tab/>
      </w:r>
      <w:r w:rsidRPr="00EC3D5C">
        <w:tab/>
        <w:t>Вредные виды практики</w:t>
      </w:r>
    </w:p>
    <w:p w:rsidR="00EC3D5C" w:rsidRPr="00EC3D5C" w:rsidRDefault="00EC3D5C" w:rsidP="00EC3D5C">
      <w:pPr>
        <w:pStyle w:val="SingleTxtGR"/>
      </w:pPr>
      <w:r w:rsidRPr="00EC3D5C">
        <w:t>22.</w:t>
      </w:r>
      <w:r w:rsidRPr="00EC3D5C">
        <w:tab/>
        <w:t>Комитет отмечает одногодичный президентский указ от 2018 года, который запрещает калечащие операции на женских половых органах у девочек в возрасте до 18 лет или у взрослых без их согласия. Однако он по-прежнему испытывает глубокую озабоченность в связи с тем, что эта практика, затрагивающая больше половины либерийских женщин и девочек, все еще не запрещена законом. Комитет также испытывает озабоченность в связи с ролью тайных обществ в увековечении этой практики калечащих операций на женских половых органах в своих инициационных ритуалах, в связи с сохраняющейся широкой распространенностью таких видов практики, как судебные ордалии и ритуальные убийства, и в связи с той безнаказанностью за такие акты, какой пользуются члены этих тайных обществ. Кроме того, он испытывает озабоченность в связи с тем, что потенциальные жертвы калечащих операций на женских половых органах, которые пытаются избежать такой практики, и реальные жертвы, которые раскрывают свой опыт столкновения с тайными обществами, а также правозащитники, ратующие против этой практики, подвергаются социальному отторжению, угрозам и репрессиям в сочетании с неадекватной реакцией полиции по их защите (статьи 2, 3, 6, 7, 24 и 26).</w:t>
      </w:r>
    </w:p>
    <w:p w:rsidR="00EC3D5C" w:rsidRPr="00EC3D5C" w:rsidRDefault="00EC3D5C" w:rsidP="00EC3D5C">
      <w:pPr>
        <w:pStyle w:val="SingleTxtGR"/>
        <w:rPr>
          <w:b/>
          <w:bCs/>
        </w:rPr>
      </w:pPr>
      <w:r w:rsidRPr="00EC3D5C">
        <w:t>23.</w:t>
      </w:r>
      <w:r w:rsidRPr="00EC3D5C">
        <w:tab/>
      </w:r>
      <w:r w:rsidRPr="00EC3D5C">
        <w:rPr>
          <w:b/>
          <w:bCs/>
        </w:rPr>
        <w:t>Государству-участнику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без дальнейших отлагательств принять и эффективно осуществлять законодательство, криминализующее все без исключения формы калечащих операций на женских половых органах;</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принять все необходимые меры по искоренению вредных видов практики, включая калечащие операции на женских половых органах, судебные ордалии и ритуальные убийства, и обеспечить, чтобы все утверждения и свидетельства относительно совершения таких практик, в том числе со стороны членов тайных обществ, эффективно расследовались, а предполагаемые исполнители преследовались и в случае осуждения наказывались адекватными санкциями;</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укреплять в консультации с женскими объединениями и соответствующими правозащитными организациями гражданского общества информационно-разъяснительные и просветительские программы по дискриминационным и долгосрочным пагубным последствиям калечащих операций на женских половых органах в числе прочих пагубных видов практики и обеспечивать адресную работу с общинами, где широко распространена такая практика, с тем чтобы добиться изменения менталитетов;</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принимать эффективные меры к тому, чтобы облегчать жертвам доступ к правосудию, и защищать их и их защитников от последствий или репрессий.</w:t>
      </w:r>
    </w:p>
    <w:p w:rsidR="00EC3D5C" w:rsidRPr="00EC3D5C" w:rsidRDefault="00EC3D5C" w:rsidP="00BF2386">
      <w:pPr>
        <w:pStyle w:val="H23GR"/>
      </w:pPr>
      <w:r w:rsidRPr="00EC3D5C">
        <w:tab/>
      </w:r>
      <w:r w:rsidRPr="00EC3D5C">
        <w:tab/>
        <w:t>Гендерное н</w:t>
      </w:r>
      <w:r w:rsidRPr="00EC3D5C">
        <w:rPr>
          <w:bCs/>
        </w:rPr>
        <w:t>асилие</w:t>
      </w:r>
      <w:r w:rsidRPr="00EC3D5C">
        <w:t xml:space="preserve"> </w:t>
      </w:r>
    </w:p>
    <w:p w:rsidR="00EC3D5C" w:rsidRPr="00EC3D5C" w:rsidRDefault="00EC3D5C" w:rsidP="00EC3D5C">
      <w:pPr>
        <w:pStyle w:val="SingleTxtGR"/>
      </w:pPr>
      <w:r w:rsidRPr="00EC3D5C">
        <w:t>24.</w:t>
      </w:r>
      <w:r w:rsidRPr="00EC3D5C">
        <w:tab/>
        <w:t>Комитет выражает озабоченность в связи с отсутствием правовой структуры, криминализующей все формы бытового насилия, которое распространено в государстве-участнике и испытывается в особенности женщинами и девочками и увековечивается сильными социально-культурными традициями. Комитет также испытывает озабоченность в связи с тем, что, несмотря на принимаемые меры по преодолению сексуального гендерного насилия, такие как принятие Закона об изнасиловании в 2005 году и создание Специального суда, Суда «Е», для рассмотрения дел о сексуальных правонарушениях в графствах Монтсеррадо и Нимба: а) Закон об изнасилованиях не криминализует супружеское изнасилование; b) несмотря на то, что в Либерии изнасилование является вторым самым распространенным зарегистрированным тяжким преступлением, остаются низкими показатели преследований и осуждений; и c) от подачи жалоб или от продолжения разбирательств против предполагаемых исполнителей потерпевших удерживает множество факторов, таких как социальная стигматизация, боязнь репрессалий и отсутствие доверия к государственным институтам (статьи 2, 3, 7 и 26).</w:t>
      </w:r>
    </w:p>
    <w:p w:rsidR="00EC3D5C" w:rsidRPr="00EC3D5C" w:rsidRDefault="00EC3D5C" w:rsidP="00EC3D5C">
      <w:pPr>
        <w:pStyle w:val="SingleTxtGR"/>
        <w:rPr>
          <w:b/>
          <w:bCs/>
        </w:rPr>
      </w:pPr>
      <w:r w:rsidRPr="00EC3D5C">
        <w:t>25.</w:t>
      </w:r>
      <w:r w:rsidRPr="00EC3D5C">
        <w:tab/>
      </w:r>
      <w:r w:rsidRPr="00EC3D5C">
        <w:rPr>
          <w:b/>
          <w:bCs/>
        </w:rPr>
        <w:t>Государству-участнику следует принять все необходимые меры по предотвращению и пресечению всех форм насилия в отношении женщин и девочек.</w:t>
      </w:r>
      <w:r w:rsidRPr="00EC3D5C">
        <w:t xml:space="preserve"> </w:t>
      </w:r>
      <w:r w:rsidRPr="00EC3D5C">
        <w:rPr>
          <w:b/>
          <w:bCs/>
        </w:rPr>
        <w:t>С этой целью ему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ввести и эффективно осуществлять законодательство, криминализующее все формы бытового насилия, включая супружеское изнасилование;</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эффективно расследовать все случаи насилия в отношении женщин и девочек, отдавать исполнителей под суд и в случае признания виновными</w:t>
      </w:r>
      <w:bookmarkStart w:id="0" w:name="_GoBack"/>
      <w:bookmarkEnd w:id="0"/>
      <w:r w:rsidRPr="00BF2386">
        <w:rPr>
          <w:b/>
          <w:bCs/>
        </w:rPr>
        <w:t xml:space="preserve"> наказывать их санкциями, соразмерным тяжести совершенных правонарушений;</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обеспечить, чтобы Специальный суд был наделен необходимыми финансовыми и людскими ресурсами и чтобы в окружных судах всех графств были созданы палаты по сексуальным преступлениям;</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продолжать реализацию общенациональных информационно-разъяснительных инициатив и мероприятий по подготовке государственных служащих, и особенно судей, прокуроров, полицейских работников и медицинского персонала, с тем чтобы они могли эффективно реагировать на все случаи гендерного насилия;</w:t>
      </w:r>
      <w:r w:rsidRPr="00BF2386">
        <w:rPr>
          <w:b/>
        </w:rPr>
        <w:t xml:space="preserve"> </w:t>
      </w:r>
    </w:p>
    <w:p w:rsidR="00EC3D5C" w:rsidRPr="00BF2386" w:rsidRDefault="00EC3D5C" w:rsidP="00EC3D5C">
      <w:pPr>
        <w:pStyle w:val="SingleTxtGR"/>
        <w:rPr>
          <w:b/>
          <w:bCs/>
        </w:rPr>
      </w:pPr>
      <w:r w:rsidRPr="00BF2386">
        <w:rPr>
          <w:b/>
        </w:rPr>
        <w:tab/>
        <w:t>е)</w:t>
      </w:r>
      <w:r w:rsidRPr="00BF2386">
        <w:rPr>
          <w:b/>
        </w:rPr>
        <w:tab/>
      </w:r>
      <w:r w:rsidRPr="00BF2386">
        <w:rPr>
          <w:b/>
          <w:bCs/>
        </w:rPr>
        <w:t>адресно работать в сотрудничестве с женскими объединениями и соответствующими организациями гражданского общества с общественностью и с общинными вождями в особенности с целью преодоления патриархальных устоев и глубоко укоренившихся стереотипов, которые увековечивают распространенность насилия в отношении женщин и девочек;</w:t>
      </w:r>
      <w:r w:rsidRPr="00BF2386">
        <w:rPr>
          <w:b/>
        </w:rPr>
        <w:t xml:space="preserve"> </w:t>
      </w:r>
    </w:p>
    <w:p w:rsidR="00EC3D5C" w:rsidRPr="00BF2386" w:rsidRDefault="00EC3D5C" w:rsidP="00EC3D5C">
      <w:pPr>
        <w:pStyle w:val="SingleTxtGR"/>
        <w:rPr>
          <w:b/>
          <w:bCs/>
        </w:rPr>
      </w:pPr>
      <w:r w:rsidRPr="00BF2386">
        <w:rPr>
          <w:b/>
        </w:rPr>
        <w:tab/>
        <w:t>f)</w:t>
      </w:r>
      <w:r w:rsidRPr="00BF2386">
        <w:rPr>
          <w:b/>
        </w:rPr>
        <w:tab/>
      </w:r>
      <w:r w:rsidRPr="00BF2386">
        <w:rPr>
          <w:b/>
          <w:bCs/>
        </w:rPr>
        <w:t>укреплять меры с целью облегчать жертвам доступ к правосудию и средствам защиты, включая безопасные дома и приюты по всей стране.</w:t>
      </w:r>
    </w:p>
    <w:p w:rsidR="00EC3D5C" w:rsidRPr="00EC3D5C" w:rsidRDefault="00EC3D5C" w:rsidP="00BF2386">
      <w:pPr>
        <w:pStyle w:val="H23GR"/>
      </w:pPr>
      <w:r w:rsidRPr="00EC3D5C">
        <w:tab/>
      </w:r>
      <w:r w:rsidRPr="00EC3D5C">
        <w:tab/>
        <w:t xml:space="preserve">Добровольное прерывание беременности </w:t>
      </w:r>
    </w:p>
    <w:p w:rsidR="00EC3D5C" w:rsidRPr="00EC3D5C" w:rsidRDefault="00EC3D5C" w:rsidP="00EC3D5C">
      <w:pPr>
        <w:pStyle w:val="SingleTxtGR"/>
      </w:pPr>
      <w:r w:rsidRPr="00EC3D5C">
        <w:t>26.</w:t>
      </w:r>
      <w:r w:rsidRPr="00EC3D5C">
        <w:tab/>
        <w:t xml:space="preserve">Комитет отмечает, что статья 16 (3) Уголовного кодекса криминализует добровольное прерывание беременности почти во всех случаях, кроме определенных обстоятельств, и добровольное прерывание беременности должны санкционировать двое врачей. Он испытывает озабоченность в связи со стигматизацией, с которой сопряжен поиск информации об услугах по безопасному аборту, и в связи с распространенностью небезопасных подпольных абортов, что зачастую приводит к материнской смертности. Он также испытывает озабоченность в связи с высокими показателями подростковой беременности в государстве-участнике, что обусловлено, в частности, ограниченным доступом к услугам в области сексуального и репродуктивного здоровья, включая контрацептивы, и к повозрастной информации и просвещению (статьи 2, 3, 6, 7, 17, 24 и 26). </w:t>
      </w:r>
    </w:p>
    <w:p w:rsidR="00EC3D5C" w:rsidRPr="00EC3D5C" w:rsidRDefault="00EC3D5C" w:rsidP="00EC3D5C">
      <w:pPr>
        <w:pStyle w:val="SingleTxtGR"/>
        <w:rPr>
          <w:b/>
          <w:bCs/>
        </w:rPr>
      </w:pPr>
      <w:r w:rsidRPr="00EC3D5C">
        <w:t>27.</w:t>
      </w:r>
      <w:r w:rsidRPr="00EC3D5C">
        <w:tab/>
      </w:r>
      <w:r w:rsidRPr="00EC3D5C">
        <w:rPr>
          <w:b/>
          <w:bCs/>
        </w:rPr>
        <w:t xml:space="preserve">Государству-участнику следует пересмотреть свои законы с целью гарантировать безопасный, легальный и эффективный доступ к абортам и устранить любые существующие </w:t>
      </w:r>
      <w:r w:rsidR="00BF2386">
        <w:rPr>
          <w:b/>
          <w:bCs/>
        </w:rPr>
        <w:t xml:space="preserve">барьеры, лишающие </w:t>
      </w:r>
      <w:r w:rsidRPr="00EC3D5C">
        <w:rPr>
          <w:b/>
          <w:bCs/>
        </w:rPr>
        <w:t>такого доступа, с целью не допустить, чтобы те, кто в этом нуждается, были вынуждены прибегать к подпольным абортам, которые могут поставить под угрозу их жизнь и здоровье.</w:t>
      </w:r>
      <w:r w:rsidRPr="00EC3D5C">
        <w:t xml:space="preserve"> </w:t>
      </w:r>
      <w:r w:rsidRPr="00EC3D5C">
        <w:rPr>
          <w:b/>
          <w:bCs/>
        </w:rPr>
        <w:t>Ему также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предотвращать стигматизацию женщин и девочек, стремящихся сделать аборт, и обеспечить, чтобы против них или поставщиков медицинских услуг, которые помогают им сделать это, не применялись уголовные санкции;</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обеспечить женщинам и мужчинам, и в особенности девочкам и мальчикам, доступ к добротной и доказательной информации и просвещению по сексуальному и репродуктивному здоровью и к широко</w:t>
      </w:r>
      <w:r w:rsidR="006A692B">
        <w:rPr>
          <w:b/>
          <w:bCs/>
        </w:rPr>
        <w:t>й</w:t>
      </w:r>
      <w:r w:rsidRPr="00BF2386">
        <w:rPr>
          <w:b/>
          <w:bCs/>
        </w:rPr>
        <w:t xml:space="preserve"> </w:t>
      </w:r>
      <w:r w:rsidR="006A692B">
        <w:rPr>
          <w:b/>
          <w:bCs/>
        </w:rPr>
        <w:t>номенклатуре</w:t>
      </w:r>
      <w:r w:rsidRPr="00BF2386">
        <w:rPr>
          <w:b/>
          <w:bCs/>
        </w:rPr>
        <w:t xml:space="preserve"> посильных методов контрацепции.</w:t>
      </w:r>
    </w:p>
    <w:p w:rsidR="00EC3D5C" w:rsidRPr="00EC3D5C" w:rsidRDefault="00EC3D5C" w:rsidP="00BF2386">
      <w:pPr>
        <w:pStyle w:val="H23GR"/>
      </w:pPr>
      <w:r w:rsidRPr="00EC3D5C">
        <w:tab/>
      </w:r>
      <w:r w:rsidRPr="00EC3D5C">
        <w:tab/>
        <w:t>Смертная казнь</w:t>
      </w:r>
    </w:p>
    <w:p w:rsidR="00EC3D5C" w:rsidRPr="00EC3D5C" w:rsidRDefault="00EC3D5C" w:rsidP="00EC3D5C">
      <w:pPr>
        <w:pStyle w:val="SingleTxtGR"/>
      </w:pPr>
      <w:r w:rsidRPr="00EC3D5C">
        <w:t>28.</w:t>
      </w:r>
      <w:r w:rsidRPr="00EC3D5C">
        <w:tab/>
        <w:t xml:space="preserve">Комитет приветствует подтверждение государством-участником в ходе диалога своей приверженности соблюдению международных обязательств в качестве государства – участника второго Факультативного протокола к Пакту и то обстоятельство, что с 2008 года смертная казнь уже не практикуется. Однако Комитет испытывает озабоченность в связи с тем, что, вопреки своим обязательствам в русле присоединения в 2005 году ко второму Факультативному протоколу, в 2008 году государство-участник вновь ввело смертную казнь в своем Уголовном кодексе и судьи продолжают выносить людям смертные приговоры. Он также испытывает озабоченность в связи с тем, что в случае определенных преступлений смертный приговор носит обязательный характер, и повторяет, что обязательный смертный приговор противоречит Пакту (статья 6). </w:t>
      </w:r>
    </w:p>
    <w:p w:rsidR="00EC3D5C" w:rsidRPr="00EC3D5C" w:rsidRDefault="00EC3D5C" w:rsidP="00EC3D5C">
      <w:pPr>
        <w:pStyle w:val="SingleTxtGR"/>
        <w:rPr>
          <w:b/>
          <w:bCs/>
        </w:rPr>
      </w:pPr>
      <w:r w:rsidRPr="00EC3D5C">
        <w:t>29.</w:t>
      </w:r>
      <w:r w:rsidRPr="00EC3D5C">
        <w:tab/>
      </w:r>
      <w:r w:rsidRPr="00EC3D5C">
        <w:rPr>
          <w:b/>
          <w:bCs/>
        </w:rPr>
        <w:t>Комитет напоминает, что присоединение ко второму Факультативному протоколу требует от государства-участника принять все необходимые меры к тому, чтобы упразднить смертную казнь в рамках своей юрисдикции и стать и по закону</w:t>
      </w:r>
      <w:r w:rsidR="006A692B">
        <w:rPr>
          <w:b/>
          <w:bCs/>
        </w:rPr>
        <w:t>,</w:t>
      </w:r>
      <w:r w:rsidRPr="00EC3D5C">
        <w:rPr>
          <w:b/>
          <w:bCs/>
        </w:rPr>
        <w:t xml:space="preserve"> и на практике страной, отменившей смертную казнь.</w:t>
      </w:r>
      <w:r w:rsidRPr="00EC3D5C">
        <w:t xml:space="preserve"> </w:t>
      </w:r>
      <w:r w:rsidRPr="00EC3D5C">
        <w:rPr>
          <w:b/>
          <w:bCs/>
        </w:rPr>
        <w:t>И поэтому государству-участнику следует исключить из своего законодательства любые положения, которые предусматривают смертную казнь, смягчить все существующие смертные приговоры и воздерживаться от проведения любых казней.</w:t>
      </w:r>
      <w:r w:rsidRPr="00EC3D5C">
        <w:t xml:space="preserve"> </w:t>
      </w:r>
    </w:p>
    <w:p w:rsidR="00EC3D5C" w:rsidRPr="00EC3D5C" w:rsidRDefault="00EC3D5C" w:rsidP="00BF2386">
      <w:pPr>
        <w:pStyle w:val="H23GR"/>
      </w:pPr>
      <w:r w:rsidRPr="00EC3D5C">
        <w:tab/>
      </w:r>
      <w:r w:rsidRPr="00EC3D5C">
        <w:tab/>
        <w:t>Поведение полицейских работников и чрезмерное применение силы</w:t>
      </w:r>
    </w:p>
    <w:p w:rsidR="00EC3D5C" w:rsidRPr="00EC3D5C" w:rsidRDefault="00EC3D5C" w:rsidP="00EC3D5C">
      <w:pPr>
        <w:pStyle w:val="SingleTxtGR"/>
      </w:pPr>
      <w:r w:rsidRPr="00EC3D5C">
        <w:t>30.</w:t>
      </w:r>
      <w:r w:rsidRPr="00EC3D5C">
        <w:tab/>
        <w:t>Комитет испытывает озабоченность в связи с утверждениями относительно</w:t>
      </w:r>
      <w:r w:rsidR="00BF2386">
        <w:t>: a) </w:t>
      </w:r>
      <w:r w:rsidRPr="00EC3D5C">
        <w:t xml:space="preserve">произвольных арестов и задержаний на срок свыше 48 часов без вероятных причин, в том числе за долговые и мелкие правонарушения, вопреки регламентам государства-участника; и b) чрезмерного применения силы полицейским службами, в частности в контексте разгона демонстрантов. Он также испытывает озабоченность в связи с сообщениями о том, что полицейские работники редко преследуются за такое поведение (статьи 2, 6, 7, 9 и 11). </w:t>
      </w:r>
    </w:p>
    <w:p w:rsidR="00EC3D5C" w:rsidRPr="00EC3D5C" w:rsidRDefault="00EC3D5C" w:rsidP="00EC3D5C">
      <w:pPr>
        <w:pStyle w:val="SingleTxtGR"/>
        <w:rPr>
          <w:b/>
          <w:bCs/>
        </w:rPr>
      </w:pPr>
      <w:r w:rsidRPr="00EC3D5C">
        <w:t>31.</w:t>
      </w:r>
      <w:r w:rsidRPr="00EC3D5C">
        <w:tab/>
      </w:r>
      <w:r w:rsidRPr="00EC3D5C">
        <w:rPr>
          <w:b/>
          <w:bCs/>
        </w:rPr>
        <w:t>Государству-участнику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обеспечить, чтобы полицейские работники строго соблюдали нормативный 48-часовой срок задержания;</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обеспечить, чтобы задержание не использовалось за долговые и мелкие правонарушения или в качестве средства профилактики и чтобы лица, лишенные свободы, имели доступ к экстренному средству правовой защиты, дабы оспорить законность задержания;</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обеспечить, чтобы принципы необходимости и соразмерности при применении силы получили адекватное отражение в законодательстве и директивах государства-участника в русле Основных принципов применения силы и огнестрельного оружия должностными лицами по поддержанию правопорядка;</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интенсифицировать проведение подготовки правоохранительного персонала по применению силы и повышать осведомленность среди судей, прокуроров и адвокатов;</w:t>
      </w:r>
      <w:r w:rsidRPr="00BF2386">
        <w:rPr>
          <w:b/>
        </w:rPr>
        <w:t xml:space="preserve"> </w:t>
      </w:r>
    </w:p>
    <w:p w:rsidR="00EC3D5C" w:rsidRPr="00BF2386" w:rsidRDefault="00EC3D5C" w:rsidP="00EC3D5C">
      <w:pPr>
        <w:pStyle w:val="SingleTxtGR"/>
        <w:rPr>
          <w:b/>
          <w:bCs/>
        </w:rPr>
      </w:pPr>
      <w:r w:rsidRPr="00BF2386">
        <w:rPr>
          <w:b/>
        </w:rPr>
        <w:tab/>
        <w:t>е)</w:t>
      </w:r>
      <w:r w:rsidRPr="00BF2386">
        <w:rPr>
          <w:b/>
        </w:rPr>
        <w:tab/>
      </w:r>
      <w:r w:rsidRPr="00BF2386">
        <w:rPr>
          <w:b/>
          <w:bCs/>
        </w:rPr>
        <w:t>обеспечить, чтобы все случаи произвольного задержания и ареста, а также чрезмерного применения силы полицией оперативно, беспристрастно и эффективно расследовались и чтобы все виновники привлекались к ответственности, а жертвам предоставлялись эффективные средства правовой защиты.</w:t>
      </w:r>
    </w:p>
    <w:p w:rsidR="00EC3D5C" w:rsidRPr="00EC3D5C" w:rsidRDefault="00EC3D5C" w:rsidP="00BF2386">
      <w:pPr>
        <w:pStyle w:val="H23GR"/>
      </w:pPr>
      <w:r w:rsidRPr="00EC3D5C">
        <w:tab/>
      </w:r>
      <w:r w:rsidRPr="00EC3D5C">
        <w:tab/>
        <w:t xml:space="preserve">Торговля людьми и принудительный труд </w:t>
      </w:r>
    </w:p>
    <w:p w:rsidR="00EC3D5C" w:rsidRPr="00EC3D5C" w:rsidRDefault="00EC3D5C" w:rsidP="00EC3D5C">
      <w:pPr>
        <w:pStyle w:val="SingleTxtGR"/>
      </w:pPr>
      <w:r w:rsidRPr="00EC3D5C">
        <w:t>32.</w:t>
      </w:r>
      <w:r w:rsidRPr="00EC3D5C">
        <w:tab/>
        <w:t>Комитет приветствует принимаемые государством-участником меры по борьбе с торговлей людьми. Однако он по-прежнему испытывает озабоченность: а) в связи с распространенностью торговли людьми, и в частности внутренней торговли женщинами и детьми в целях экономической и сексуальной эксплуатации; b) в связи со слабым осуществлением Закона о запрещении торговли людьми (2005 года) в сочетании с крайне низким числом преследований и осуждений, а также в связи со снисходительными санкциями, назначаемыми торговцам людьми; и c) в связи с предоставляемой жертвам торговли людьми недостаточной поддержкой, и в частности в связи с отсутствием подведомственных правительству приютов, предназначенных для защиты таких жертв. Комитет также испытывает озабоченность в связи с сообщениями о том, что дети подвергаются принудительному труду, в особенности в качестве уличных торговцев, попрошаек и домашней прислуги, и наихудшим формам детского труда, в особенности при производстве каучука и в горных отраслях (статьи 7, 8 и 24).</w:t>
      </w:r>
    </w:p>
    <w:p w:rsidR="00EC3D5C" w:rsidRPr="00EC3D5C" w:rsidRDefault="00EC3D5C" w:rsidP="00EC3D5C">
      <w:pPr>
        <w:pStyle w:val="SingleTxtGR"/>
        <w:rPr>
          <w:b/>
          <w:bCs/>
        </w:rPr>
      </w:pPr>
      <w:r w:rsidRPr="00EC3D5C">
        <w:t>33.</w:t>
      </w:r>
      <w:r w:rsidRPr="00EC3D5C">
        <w:tab/>
      </w:r>
      <w:r w:rsidRPr="00EC3D5C">
        <w:rPr>
          <w:b/>
          <w:bCs/>
        </w:rPr>
        <w:t>Государству-участнику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 xml:space="preserve">строго реализовывать свою внутреннюю правовую структуру в связи с торговлей людьми, и в особенности Закон о запрещении торговли людьми, и в то же время подумать о корректировке правовых санкций, изложенных в Законе, с тем чтобы они были соразмерны тяжести таких правонарушений, </w:t>
      </w:r>
      <w:r w:rsidR="006A692B">
        <w:rPr>
          <w:b/>
          <w:bCs/>
        </w:rPr>
        <w:t xml:space="preserve">и </w:t>
      </w:r>
      <w:r w:rsidRPr="00BF2386">
        <w:rPr>
          <w:b/>
          <w:bCs/>
        </w:rPr>
        <w:t>наращивать необходимые ресурсы с целью эффективного осуществления Национального плана действий по борьбе с торговлей людьми на 2014–2019 годы;</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обеспечить надлежащее расследование предположительных случаев торговли людьми и с этой целью выделять Отделу полиции по защите женщин и детей, который занимается расследованием дел о торговле людьми, достаточные финансовые, людские и технические ресурсы;</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быстро привлекать к ответственности предполагаемых исполнителей и в случае их осуждения наказывать их адекватными санкциями;</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удвоить свои усилия по выявлению жертв и предоставлять им полную компенсацию, надлежащую защиту и помощь, в том числе путем учреждения национального механизма на предмет курирования жертв и улучшения их доступа к безопасным домам и приютам;</w:t>
      </w:r>
      <w:r w:rsidRPr="00BF2386">
        <w:rPr>
          <w:b/>
        </w:rPr>
        <w:t xml:space="preserve"> </w:t>
      </w:r>
    </w:p>
    <w:p w:rsidR="00EC3D5C" w:rsidRPr="00BF2386" w:rsidRDefault="00EC3D5C" w:rsidP="00EC3D5C">
      <w:pPr>
        <w:pStyle w:val="SingleTxtGR"/>
        <w:rPr>
          <w:b/>
          <w:bCs/>
        </w:rPr>
      </w:pPr>
      <w:r w:rsidRPr="00BF2386">
        <w:rPr>
          <w:b/>
        </w:rPr>
        <w:tab/>
        <w:t>е)</w:t>
      </w:r>
      <w:r w:rsidRPr="00BF2386">
        <w:rPr>
          <w:b/>
        </w:rPr>
        <w:tab/>
      </w:r>
      <w:r w:rsidRPr="00BF2386">
        <w:rPr>
          <w:b/>
          <w:bCs/>
        </w:rPr>
        <w:t>принять все необходимые меры по ликвидации принудительного труда и всех форм эксплуатации детского труда, в особенности при производстве каучука и в горных отраслях;</w:t>
      </w:r>
      <w:r w:rsidRPr="00BF2386">
        <w:rPr>
          <w:b/>
        </w:rPr>
        <w:t xml:space="preserve"> </w:t>
      </w:r>
      <w:r w:rsidRPr="00BF2386">
        <w:rPr>
          <w:b/>
          <w:bCs/>
        </w:rPr>
        <w:t>эффективно осуществлять Национальный план действий по борьбе с наихудшими формами детского труда;</w:t>
      </w:r>
      <w:r w:rsidRPr="00BF2386">
        <w:rPr>
          <w:b/>
        </w:rPr>
        <w:t xml:space="preserve"> </w:t>
      </w:r>
      <w:r w:rsidRPr="00BF2386">
        <w:rPr>
          <w:b/>
          <w:bCs/>
        </w:rPr>
        <w:t>и, где необходимо, правоприменять положения Уголовного кодекса – относительно принудительного труда и положения Закона о детях – относительно обязательного начального образования в качестве способа предотвратить привлечение детей к наихудшим формам детского труда.</w:t>
      </w:r>
      <w:r w:rsidRPr="00BF2386">
        <w:rPr>
          <w:b/>
        </w:rPr>
        <w:t xml:space="preserve"> </w:t>
      </w:r>
    </w:p>
    <w:p w:rsidR="00EC3D5C" w:rsidRPr="00EC3D5C" w:rsidRDefault="00EC3D5C" w:rsidP="00BF2386">
      <w:pPr>
        <w:pStyle w:val="H23GR"/>
      </w:pPr>
      <w:r w:rsidRPr="00EC3D5C">
        <w:tab/>
      </w:r>
      <w:r w:rsidRPr="00EC3D5C">
        <w:tab/>
        <w:t>Условия содержания в тюрьмах</w:t>
      </w:r>
    </w:p>
    <w:p w:rsidR="00EC3D5C" w:rsidRPr="00EC3D5C" w:rsidRDefault="00EC3D5C" w:rsidP="00EC3D5C">
      <w:pPr>
        <w:pStyle w:val="SingleTxtGR"/>
      </w:pPr>
      <w:r w:rsidRPr="00EC3D5C">
        <w:t>34.</w:t>
      </w:r>
      <w:r w:rsidRPr="00EC3D5C">
        <w:tab/>
        <w:t>Комитет испытывает озабоченность в связи с тем, что, несмотря на усилия государства-участника по преодолению тюремной переполненности, в том числе за счет Программы выездных заседаний мировых судов в графстве Монтсеррадо и за счет расширения юрисдикции магистратских судов,</w:t>
      </w:r>
      <w:r w:rsidR="008F6F94">
        <w:t xml:space="preserve"> условия содержания под стражей</w:t>
      </w:r>
      <w:r w:rsidR="008F6F94">
        <w:br/>
      </w:r>
      <w:r w:rsidRPr="00EC3D5C">
        <w:t>по-прежнему носят весьма тяжкий и суровый характер. Переполненность ощутима почти во всех пенитенциарных заведениях, усугубляясь большой численностью лиц, находящихся в предварительном заключении, причем некоторые их них содержатся там длительные сроки. Он также испытывает озабоченность в связи с ненормальными условиями с точки зрения доступа заключенных к медицинскому обслуживанию, санитарии и питанию (статьи 7 и 10).</w:t>
      </w:r>
    </w:p>
    <w:p w:rsidR="00EC3D5C" w:rsidRPr="00EC3D5C" w:rsidRDefault="00EC3D5C" w:rsidP="00EC3D5C">
      <w:pPr>
        <w:pStyle w:val="SingleTxtGR"/>
        <w:rPr>
          <w:b/>
          <w:bCs/>
        </w:rPr>
      </w:pPr>
      <w:r w:rsidRPr="00EC3D5C">
        <w:t>35.</w:t>
      </w:r>
      <w:r w:rsidRPr="00EC3D5C">
        <w:tab/>
      </w:r>
      <w:r w:rsidRPr="00EC3D5C">
        <w:rPr>
          <w:b/>
          <w:bCs/>
        </w:rPr>
        <w:t>Государству-участнику следует крепить свои усилия по существенному улучшения условий содержания под стражей за счет следующего:</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наращивать масштабы работы по Программе выездных заседаний мировых судов во всех местах содержания под стражей;</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эффективно осуществлять меры по сокращению переполненности, в особенности за счет поощрения альтернатив заключению, таких как освобождение под залог и домашний арест;</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обеспечить использование предварительного заключения сугубо в качестве исключительной меры, в соответствии со статьей 9 Пакта;</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возобновить строительство новой тюрьмы в Чизманбурге и по мере необходимости строительство или реновацию других таких заведений.</w:t>
      </w:r>
      <w:r w:rsidRPr="00BF2386">
        <w:rPr>
          <w:b/>
        </w:rPr>
        <w:t xml:space="preserve"> </w:t>
      </w:r>
      <w:r w:rsidRPr="00BF2386">
        <w:rPr>
          <w:b/>
          <w:bCs/>
        </w:rPr>
        <w:t>Ему также следует ограждать право всех лиц, лишенных свободы, на гуманное и достойное обращение и обеспечивать, чтобы условия заключения во всех заведениях для лиц, лишенных свободы, отвечали Минимальным стандартным правилам обращения с заключенными (Правила Нельсона Манделы), и в том числе тем из них, которые касаются разделения заключенных и доступа к медико-санитарному обслуживанию, санитарии и питанию.</w:t>
      </w:r>
      <w:r w:rsidRPr="00BF2386">
        <w:rPr>
          <w:b/>
        </w:rPr>
        <w:t xml:space="preserve"> </w:t>
      </w:r>
    </w:p>
    <w:p w:rsidR="00EC3D5C" w:rsidRPr="00EC3D5C" w:rsidRDefault="00EC3D5C" w:rsidP="00BF2386">
      <w:pPr>
        <w:pStyle w:val="H23GR"/>
      </w:pPr>
      <w:r w:rsidRPr="00EC3D5C">
        <w:tab/>
      </w:r>
      <w:r w:rsidRPr="00EC3D5C">
        <w:tab/>
        <w:t>Отправление правосудия и справедливое судебное разбирательство</w:t>
      </w:r>
    </w:p>
    <w:p w:rsidR="00EC3D5C" w:rsidRPr="00EC3D5C" w:rsidRDefault="00EC3D5C" w:rsidP="00EC3D5C">
      <w:pPr>
        <w:pStyle w:val="SingleTxtGR"/>
      </w:pPr>
      <w:r w:rsidRPr="00EC3D5C">
        <w:t>36.</w:t>
      </w:r>
      <w:r w:rsidRPr="00EC3D5C">
        <w:tab/>
        <w:t>Комитет испытывает озабоченность в связи со значительным числом накопившихся нерассмотренных судебных дел, что оборачивается продолжительными сроками предварительного заключения большого числа людей и тюремной переполненностью. Это следует отнести, в частности, на счет н</w:t>
      </w:r>
      <w:r w:rsidR="006A692B">
        <w:t>ехватки судей, прокуроров и казе</w:t>
      </w:r>
      <w:r w:rsidRPr="00EC3D5C">
        <w:t>нных защитников, а также предполагаемой коррупции в рамках судебной системы. Он также испытывает озабоченность в связи с вызовами для независимости судебной системы, и в частности в связи с теми из них, которые кроются в статьях 71 и 97 Конституции, и, отмечая информацию, предоставленную делегацией, Комитет по-прежнему испытывает озабоченность в связи с сообщениями о прошлых попытках вмешательства исполнительной власти в назначение или смещение судей. Комитет также испытывает озабоченность в связи с отсутствием в государстве-участнике системы правовой помощи и в связи с тем, что не предоставляются все гарантии надлежащего процесса, в особенности в отношении права быть судимым без неоправданной задержки и права на бесплатные устные переводческие услуги (статьи 2, 9 и 14).</w:t>
      </w:r>
    </w:p>
    <w:p w:rsidR="00EC3D5C" w:rsidRPr="00EC3D5C" w:rsidRDefault="00EC3D5C" w:rsidP="00EC3D5C">
      <w:pPr>
        <w:pStyle w:val="SingleTxtGR"/>
        <w:rPr>
          <w:b/>
          <w:bCs/>
        </w:rPr>
      </w:pPr>
      <w:r w:rsidRPr="00EC3D5C">
        <w:t>37.</w:t>
      </w:r>
      <w:r w:rsidRPr="00EC3D5C">
        <w:tab/>
      </w:r>
      <w:r w:rsidRPr="00EC3D5C">
        <w:rPr>
          <w:b/>
          <w:bCs/>
        </w:rPr>
        <w:t>Государству-участнику следует продолжать усилия по реформированию системы юстиции и обеспечивать, чтобы все судебные разбирательства проводились с полным соблюдением гарантий надлежащего процесса, изложенных в статье 14 Пакта.</w:t>
      </w:r>
      <w:r w:rsidRPr="00EC3D5C">
        <w:t xml:space="preserve"> </w:t>
      </w:r>
      <w:r w:rsidRPr="00EC3D5C">
        <w:rPr>
          <w:b/>
          <w:bCs/>
        </w:rPr>
        <w:t>В частности, ему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эффективно решать проблему, связанную с накоплением нерассмотренных судебных дел, в том числе за счет укрепления финансовых ресурсов, выделяемых судебной системе, и увеличения резерва подгото</w:t>
      </w:r>
      <w:r w:rsidR="006A692B">
        <w:rPr>
          <w:b/>
          <w:bCs/>
        </w:rPr>
        <w:t>вленных судей, прокуроров и казе</w:t>
      </w:r>
      <w:r w:rsidRPr="00BF2386">
        <w:rPr>
          <w:b/>
          <w:bCs/>
        </w:rPr>
        <w:t>нных защитников и сокращения регистрационных сборов с адвокатов;</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принять меры по обузданию коррупционных явлений в рамках судебной системы и обеспечить надлежащее применение дисциплинарных процедур в отношении аморальных судей и магистратов;</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ускорить процесс пересмотра положений Конституции, которые неблагоприятно сказываются на независимости судебной власти, и обеспечить, чтобы назначение, повышение и смещение судей было совместимо с независимостью судебной власти и было свободно от вторжения исполнительной вести власти;</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создать адекватно обеспеченную ресурсами систему правовой помощи и гарантировать, чтобы бесплатная правовая помощь предоставлялась своевременным образом во всех случаях, когда того требуют интересы правосудия;</w:t>
      </w:r>
      <w:r w:rsidRPr="00BF2386">
        <w:rPr>
          <w:b/>
        </w:rPr>
        <w:t xml:space="preserve"> </w:t>
      </w:r>
    </w:p>
    <w:p w:rsidR="00EC3D5C" w:rsidRPr="00BF2386" w:rsidRDefault="00EC3D5C" w:rsidP="00EC3D5C">
      <w:pPr>
        <w:pStyle w:val="SingleTxtGR"/>
        <w:rPr>
          <w:b/>
          <w:bCs/>
        </w:rPr>
      </w:pPr>
      <w:r w:rsidRPr="00BF2386">
        <w:rPr>
          <w:b/>
        </w:rPr>
        <w:tab/>
        <w:t>е)</w:t>
      </w:r>
      <w:r w:rsidRPr="00BF2386">
        <w:rPr>
          <w:b/>
        </w:rPr>
        <w:tab/>
      </w:r>
      <w:r w:rsidRPr="00BF2386">
        <w:rPr>
          <w:b/>
          <w:bCs/>
        </w:rPr>
        <w:t>обеспечить право на справедливое судебное разбирательство без неоправданной задержки;</w:t>
      </w:r>
      <w:r w:rsidRPr="00BF2386">
        <w:rPr>
          <w:b/>
        </w:rPr>
        <w:t xml:space="preserve"> </w:t>
      </w:r>
    </w:p>
    <w:p w:rsidR="00EC3D5C" w:rsidRPr="00BF2386" w:rsidRDefault="00EC3D5C" w:rsidP="00EC3D5C">
      <w:pPr>
        <w:pStyle w:val="SingleTxtGR"/>
        <w:rPr>
          <w:b/>
          <w:bCs/>
        </w:rPr>
      </w:pPr>
      <w:r w:rsidRPr="00BF2386">
        <w:rPr>
          <w:b/>
        </w:rPr>
        <w:tab/>
        <w:t>f)</w:t>
      </w:r>
      <w:r w:rsidRPr="00BF2386">
        <w:rPr>
          <w:b/>
        </w:rPr>
        <w:tab/>
      </w:r>
      <w:r w:rsidRPr="00BF2386">
        <w:rPr>
          <w:b/>
          <w:bCs/>
        </w:rPr>
        <w:t>обеспечивать бесплатный устный перевод всем подсудимым, которые не понимают языка, используемого в суде, или не говорят на нем.</w:t>
      </w:r>
    </w:p>
    <w:p w:rsidR="00EC3D5C" w:rsidRPr="00EC3D5C" w:rsidRDefault="00EC3D5C" w:rsidP="00BF2386">
      <w:pPr>
        <w:pStyle w:val="H23GR"/>
      </w:pPr>
      <w:r w:rsidRPr="00EC3D5C">
        <w:tab/>
      </w:r>
      <w:r w:rsidRPr="00EC3D5C">
        <w:tab/>
        <w:t xml:space="preserve">Просители убежища и беженцы </w:t>
      </w:r>
    </w:p>
    <w:p w:rsidR="00EC3D5C" w:rsidRPr="00EC3D5C" w:rsidRDefault="00EC3D5C" w:rsidP="00EC3D5C">
      <w:pPr>
        <w:pStyle w:val="SingleTxtGR"/>
      </w:pPr>
      <w:r w:rsidRPr="00EC3D5C">
        <w:t>38.</w:t>
      </w:r>
      <w:r w:rsidRPr="00EC3D5C">
        <w:tab/>
        <w:t xml:space="preserve">Комитет испытывает озабоченность в связи с отсутствием применимой правовой структуры для апатридов, несмотря на прежние попытки включить такие положения в Закон о беженцах 1993 года. Комитет также испытывает озабоченность в связи с утверждениями о том, что не всегда соблюдается принцип невыдворения, хотя он и отражен в законодательстве государства-участника (статьи 2, 6, 7, 10 и 13). </w:t>
      </w:r>
    </w:p>
    <w:p w:rsidR="00EC3D5C" w:rsidRPr="00EC3D5C" w:rsidRDefault="00EC3D5C" w:rsidP="00EC3D5C">
      <w:pPr>
        <w:pStyle w:val="SingleTxtGR"/>
        <w:rPr>
          <w:b/>
          <w:bCs/>
        </w:rPr>
      </w:pPr>
      <w:r w:rsidRPr="00EC3D5C">
        <w:t>39.</w:t>
      </w:r>
      <w:r w:rsidRPr="00EC3D5C">
        <w:tab/>
      </w:r>
      <w:r w:rsidRPr="00EC3D5C">
        <w:rPr>
          <w:b/>
          <w:bCs/>
        </w:rPr>
        <w:t>Государству-участнику следует предпринять реформу Закона о беженцах за счет, в частности, инкорпорации положений об апатридах, с тем чтобы учредить эффективную процедуру установления безгражданства.</w:t>
      </w:r>
      <w:r w:rsidRPr="00EC3D5C">
        <w:t xml:space="preserve"> </w:t>
      </w:r>
      <w:r w:rsidRPr="00EC3D5C">
        <w:rPr>
          <w:b/>
          <w:bCs/>
        </w:rPr>
        <w:t>Ему также следует строго правоприменять абсолютное запрещение выдворения, обеспечив, чтобы беженцы и просители убежища не депортировались в страну, где имеются существенные основания полагать, что имеет место реальный риск непоправимого ущерба, как изложено в статьях 6 и 7 Пакта.</w:t>
      </w:r>
    </w:p>
    <w:p w:rsidR="00EC3D5C" w:rsidRPr="00EC3D5C" w:rsidRDefault="00EC3D5C" w:rsidP="00BF2386">
      <w:pPr>
        <w:pStyle w:val="H23GR"/>
      </w:pPr>
      <w:r w:rsidRPr="00EC3D5C">
        <w:tab/>
      </w:r>
      <w:r w:rsidRPr="00EC3D5C">
        <w:tab/>
        <w:t xml:space="preserve">Свобода выражения мнений </w:t>
      </w:r>
    </w:p>
    <w:p w:rsidR="00EC3D5C" w:rsidRPr="00EC3D5C" w:rsidRDefault="00EC3D5C" w:rsidP="00EC3D5C">
      <w:pPr>
        <w:pStyle w:val="SingleTxtGR"/>
      </w:pPr>
      <w:r w:rsidRPr="00EC3D5C">
        <w:t>40.</w:t>
      </w:r>
      <w:r w:rsidRPr="00EC3D5C">
        <w:tab/>
        <w:t xml:space="preserve">Отмечая открытость государства-участника и приверженность президента в отношении свободы выражения мнений, Комитет испытывает озабоченность в связи с наличием в Уголовном кодексе государства-участника положений о диффамации и клевете, которые используются для подавления инакомыслия и наказания заявлений представителей СМИ. Комитет также испытывает озабоченность в связи со случаями произвольного закрытия средств массовой информации, а также в связи с инцидентами, сопряженными с нападениями на журналистов и ненадлежащим вторжением в их работу (статьи 2, 6, 7 и 19). </w:t>
      </w:r>
    </w:p>
    <w:p w:rsidR="00EC3D5C" w:rsidRPr="00EC3D5C" w:rsidRDefault="00EC3D5C" w:rsidP="00EC3D5C">
      <w:pPr>
        <w:pStyle w:val="SingleTxtGR"/>
        <w:rPr>
          <w:b/>
          <w:bCs/>
        </w:rPr>
      </w:pPr>
      <w:r w:rsidRPr="00EC3D5C">
        <w:t>41.</w:t>
      </w:r>
      <w:r w:rsidRPr="00EC3D5C">
        <w:tab/>
      </w:r>
      <w:r w:rsidRPr="00EC3D5C">
        <w:rPr>
          <w:b/>
          <w:bCs/>
        </w:rPr>
        <w:t>В свете замечания общего порядка № 34 (2011) Комитета о свободе мнений и их выражения государству-участнику следует обеспечить, чтобы любое ограничение на деятельность СМИ строго соблюдало статью 19 (3) Пакта.</w:t>
      </w:r>
      <w:r w:rsidRPr="00EC3D5C">
        <w:t xml:space="preserve"> </w:t>
      </w:r>
      <w:r w:rsidRPr="00EC3D5C">
        <w:rPr>
          <w:b/>
          <w:bCs/>
        </w:rPr>
        <w:t>Государству-участнику следует ускорить введение законопроекта, декриминализующего диффамацию и клевету в отношении не только президента, но и любого представителя правительства, и обеспечить, чтобы законы о диффамации не служили средством удушения свободы слова.</w:t>
      </w:r>
      <w:r w:rsidRPr="00EC3D5C">
        <w:t xml:space="preserve"> </w:t>
      </w:r>
      <w:r w:rsidRPr="00EC3D5C">
        <w:rPr>
          <w:b/>
          <w:bCs/>
        </w:rPr>
        <w:t>Ему также следует защищать журналистов и средства массовой информации от любого рода неправомерн</w:t>
      </w:r>
      <w:r w:rsidR="006A692B">
        <w:rPr>
          <w:b/>
          <w:bCs/>
        </w:rPr>
        <w:t>ых вторжений</w:t>
      </w:r>
      <w:r w:rsidRPr="00EC3D5C">
        <w:rPr>
          <w:b/>
          <w:bCs/>
        </w:rPr>
        <w:t>, притеснений и посягательств, оперативно расследовать все такие посягательства и призывать виновников к ответу.</w:t>
      </w:r>
      <w:r w:rsidRPr="00EC3D5C">
        <w:t xml:space="preserve"> </w:t>
      </w:r>
      <w:r w:rsidRPr="00EC3D5C">
        <w:rPr>
          <w:b/>
          <w:bCs/>
        </w:rPr>
        <w:t>Наконец, государству-участнику следует ускорить учреждение независимого вещательного регулятора и включить в свой следующий периодический доклад справку о его деятельности.</w:t>
      </w:r>
      <w:r w:rsidRPr="00EC3D5C">
        <w:t xml:space="preserve"> </w:t>
      </w:r>
    </w:p>
    <w:p w:rsidR="00EC3D5C" w:rsidRPr="00EC3D5C" w:rsidRDefault="00EC3D5C" w:rsidP="00BF2386">
      <w:pPr>
        <w:pStyle w:val="H23GR"/>
      </w:pPr>
      <w:r w:rsidRPr="00EC3D5C">
        <w:tab/>
      </w:r>
      <w:r w:rsidRPr="00EC3D5C">
        <w:tab/>
        <w:t xml:space="preserve">Права ребенка </w:t>
      </w:r>
    </w:p>
    <w:p w:rsidR="00EC3D5C" w:rsidRPr="00EC3D5C" w:rsidRDefault="00EC3D5C" w:rsidP="00EC3D5C">
      <w:pPr>
        <w:pStyle w:val="SingleTxtGR"/>
      </w:pPr>
      <w:r w:rsidRPr="00EC3D5C">
        <w:t>42.</w:t>
      </w:r>
      <w:r w:rsidRPr="00EC3D5C">
        <w:tab/>
        <w:t xml:space="preserve">Отмечая достигнутый в 2013 году рост регистрации рождений, </w:t>
      </w:r>
      <w:r w:rsidR="00BF2386">
        <w:t>Комитет</w:t>
      </w:r>
      <w:r w:rsidR="00BF2386">
        <w:br/>
      </w:r>
      <w:r w:rsidRPr="00EC3D5C">
        <w:t>по-прежнему испытывает озабоченность в связи с тем, что в государстве-участнике, и в частности в сельской местности, сохраняется низкий показатель регистрации рождений. Комитет также испытывает озабоченность в связи с тем, что еще не во всех структурах запрещены телесные наказания (статьи 2, 7, 16 и 24).</w:t>
      </w:r>
    </w:p>
    <w:p w:rsidR="00EC3D5C" w:rsidRPr="00EC3D5C" w:rsidRDefault="00EC3D5C" w:rsidP="00EC3D5C">
      <w:pPr>
        <w:pStyle w:val="SingleTxtGR"/>
        <w:rPr>
          <w:b/>
          <w:bCs/>
        </w:rPr>
      </w:pPr>
      <w:r w:rsidRPr="00EC3D5C">
        <w:t>43.</w:t>
      </w:r>
      <w:r w:rsidRPr="00EC3D5C">
        <w:tab/>
      </w:r>
      <w:r w:rsidRPr="00EC3D5C">
        <w:rPr>
          <w:b/>
          <w:bCs/>
        </w:rPr>
        <w:t>Государству-участнику следует наращивать свои усилия с целью добиться всеобщей регистрации рождений, с тем чтобы гарантировать пользование детьми правами по Пакту и избавить их от риска оказаться апатридами.</w:t>
      </w:r>
      <w:r w:rsidRPr="00EC3D5C">
        <w:t xml:space="preserve"> </w:t>
      </w:r>
      <w:r w:rsidRPr="00EC3D5C">
        <w:rPr>
          <w:b/>
          <w:bCs/>
        </w:rPr>
        <w:t>В частности, ему следует обеспечить доступ к бесплатной регистрации по всей стране и укреплять такой доступ в сельской местности, в том числе за счет использования мобильных регистрационных пунктов.</w:t>
      </w:r>
      <w:r w:rsidRPr="00EC3D5C">
        <w:t xml:space="preserve"> </w:t>
      </w:r>
      <w:r w:rsidRPr="00EC3D5C">
        <w:rPr>
          <w:b/>
          <w:bCs/>
        </w:rPr>
        <w:t>Государству-участнику следует принять практические меры, в том числе, где уместно, за счет законодательных мер, с тем чтобы положить конец применению телесных наказаний во всяких структурах.</w:t>
      </w:r>
    </w:p>
    <w:p w:rsidR="00EC3D5C" w:rsidRPr="00EC3D5C" w:rsidRDefault="00EC3D5C" w:rsidP="00BF2386">
      <w:pPr>
        <w:pStyle w:val="H23GR"/>
      </w:pPr>
      <w:r w:rsidRPr="00EC3D5C">
        <w:tab/>
      </w:r>
      <w:r w:rsidRPr="00EC3D5C">
        <w:tab/>
        <w:t xml:space="preserve">Участие в публичных делах </w:t>
      </w:r>
    </w:p>
    <w:p w:rsidR="00EC3D5C" w:rsidRPr="00EC3D5C" w:rsidRDefault="00EC3D5C" w:rsidP="00EC3D5C">
      <w:pPr>
        <w:pStyle w:val="SingleTxtGR"/>
      </w:pPr>
      <w:r w:rsidRPr="00EC3D5C">
        <w:t>44.</w:t>
      </w:r>
      <w:r w:rsidRPr="00EC3D5C">
        <w:tab/>
        <w:t>Комитет испытывает озабоченность в связи с ненадлежащими ограничениями, такими как ценность имущества, принадлежащего кандидатам, при баллотировке на публичные посты, а также в связи с ограничениями в праве на голосование, которые испытывают различные категории лиц, и в том числе лица, находящиеся в предварительном заключе</w:t>
      </w:r>
      <w:r w:rsidR="006A692B">
        <w:t>нии;</w:t>
      </w:r>
      <w:r w:rsidRPr="00EC3D5C">
        <w:t xml:space="preserve"> давнишние резиденты, которые не могу</w:t>
      </w:r>
      <w:r w:rsidR="006A692B">
        <w:t>т претендовать на натурализацию;</w:t>
      </w:r>
      <w:r w:rsidRPr="00EC3D5C">
        <w:t xml:space="preserve"> и лица, которым исполняется 18 лет в период между периодом регистрации избирателей и днем выборов. Он также испытывает озабоченность в связи с сообщаемыми трудностями, с которыми сталкиваются инвалиды в доступе к избирательным участкам, и в связи с ограниченностью ресурсов и независимости Национальной избирательной комиссии, что мешает ей эффективно разрешать споры в связи с выборами (статьи 2 и 25). </w:t>
      </w:r>
    </w:p>
    <w:p w:rsidR="00EC3D5C" w:rsidRPr="00EC3D5C" w:rsidRDefault="00EC3D5C" w:rsidP="00EC3D5C">
      <w:pPr>
        <w:pStyle w:val="SingleTxtGR"/>
        <w:rPr>
          <w:b/>
          <w:bCs/>
        </w:rPr>
      </w:pPr>
      <w:r w:rsidRPr="00EC3D5C">
        <w:t>45.</w:t>
      </w:r>
      <w:r w:rsidRPr="00EC3D5C">
        <w:tab/>
      </w:r>
      <w:r w:rsidRPr="00EC3D5C">
        <w:rPr>
          <w:b/>
          <w:bCs/>
        </w:rPr>
        <w:t>Государству-участнику следует:</w:t>
      </w:r>
      <w:r w:rsidRPr="00EC3D5C">
        <w:t xml:space="preserve"> </w:t>
      </w:r>
    </w:p>
    <w:p w:rsidR="00EC3D5C" w:rsidRPr="00BF2386" w:rsidRDefault="00EC3D5C" w:rsidP="00EC3D5C">
      <w:pPr>
        <w:pStyle w:val="SingleTxtGR"/>
        <w:rPr>
          <w:b/>
          <w:bCs/>
        </w:rPr>
      </w:pPr>
      <w:r w:rsidRPr="00BF2386">
        <w:rPr>
          <w:b/>
        </w:rPr>
        <w:tab/>
        <w:t>а)</w:t>
      </w:r>
      <w:r w:rsidRPr="00BF2386">
        <w:rPr>
          <w:b/>
        </w:rPr>
        <w:tab/>
      </w:r>
      <w:r w:rsidRPr="00BF2386">
        <w:rPr>
          <w:b/>
          <w:bCs/>
        </w:rPr>
        <w:t>устранить</w:t>
      </w:r>
      <w:r w:rsidRPr="00BF2386">
        <w:rPr>
          <w:b/>
        </w:rPr>
        <w:t xml:space="preserve"> </w:t>
      </w:r>
      <w:r w:rsidRPr="00BF2386">
        <w:rPr>
          <w:b/>
          <w:bCs/>
        </w:rPr>
        <w:t>ненадлежащие ограничения для баллотировки на публичные посты;</w:t>
      </w:r>
      <w:r w:rsidRPr="00BF2386">
        <w:rPr>
          <w:b/>
        </w:rPr>
        <w:t xml:space="preserve"> </w:t>
      </w:r>
    </w:p>
    <w:p w:rsidR="00EC3D5C" w:rsidRPr="00BF2386" w:rsidRDefault="00EC3D5C" w:rsidP="00EC3D5C">
      <w:pPr>
        <w:pStyle w:val="SingleTxtGR"/>
        <w:rPr>
          <w:b/>
          <w:bCs/>
        </w:rPr>
      </w:pPr>
      <w:r w:rsidRPr="00BF2386">
        <w:rPr>
          <w:b/>
        </w:rPr>
        <w:tab/>
        <w:t>b)</w:t>
      </w:r>
      <w:r w:rsidRPr="00BF2386">
        <w:rPr>
          <w:b/>
        </w:rPr>
        <w:tab/>
      </w:r>
      <w:r w:rsidRPr="00BF2386">
        <w:rPr>
          <w:b/>
          <w:bCs/>
        </w:rPr>
        <w:t>скорректировать законодательную структуру и принять процедуры с целью обеспечить, чтобы право на голосование могло осуществляться без дискриминации, в соответствии со статьей 25 Пакта;</w:t>
      </w:r>
      <w:r w:rsidRPr="00BF2386">
        <w:rPr>
          <w:b/>
        </w:rPr>
        <w:t xml:space="preserve"> </w:t>
      </w:r>
    </w:p>
    <w:p w:rsidR="00EC3D5C" w:rsidRPr="00BF2386" w:rsidRDefault="00EC3D5C" w:rsidP="00EC3D5C">
      <w:pPr>
        <w:pStyle w:val="SingleTxtGR"/>
        <w:rPr>
          <w:b/>
          <w:bCs/>
        </w:rPr>
      </w:pPr>
      <w:r w:rsidRPr="00BF2386">
        <w:rPr>
          <w:b/>
        </w:rPr>
        <w:tab/>
        <w:t>с)</w:t>
      </w:r>
      <w:r w:rsidRPr="00BF2386">
        <w:rPr>
          <w:b/>
        </w:rPr>
        <w:tab/>
      </w:r>
      <w:r w:rsidRPr="00BF2386">
        <w:rPr>
          <w:b/>
          <w:bCs/>
        </w:rPr>
        <w:t>устранить любые физические препятствия для доступа к избирательным участкам;</w:t>
      </w:r>
      <w:r w:rsidRPr="00BF2386">
        <w:rPr>
          <w:b/>
        </w:rPr>
        <w:t xml:space="preserve"> </w:t>
      </w:r>
    </w:p>
    <w:p w:rsidR="00EC3D5C" w:rsidRPr="00BF2386" w:rsidRDefault="00EC3D5C" w:rsidP="00EC3D5C">
      <w:pPr>
        <w:pStyle w:val="SingleTxtGR"/>
        <w:rPr>
          <w:b/>
          <w:bCs/>
        </w:rPr>
      </w:pPr>
      <w:r w:rsidRPr="00BF2386">
        <w:rPr>
          <w:b/>
        </w:rPr>
        <w:tab/>
        <w:t>d)</w:t>
      </w:r>
      <w:r w:rsidRPr="00BF2386">
        <w:rPr>
          <w:b/>
        </w:rPr>
        <w:tab/>
      </w:r>
      <w:r w:rsidRPr="00BF2386">
        <w:rPr>
          <w:b/>
          <w:bCs/>
        </w:rPr>
        <w:t>осуществить рекомендацию Комитета по пересмотру Конституции об учреждении избирательного суда, обеспеченного необходимыми ресурсами и подготовленными магистратами, что позволило бы ему своевременным образом эффективно разбирать споры в связи с выборами.</w:t>
      </w:r>
      <w:r w:rsidRPr="00BF2386">
        <w:rPr>
          <w:b/>
        </w:rPr>
        <w:t xml:space="preserve"> </w:t>
      </w:r>
    </w:p>
    <w:p w:rsidR="00EC3D5C" w:rsidRPr="00EC3D5C" w:rsidRDefault="00EC3D5C" w:rsidP="00BF2386">
      <w:pPr>
        <w:pStyle w:val="H23GR"/>
      </w:pPr>
      <w:r w:rsidRPr="00EC3D5C">
        <w:tab/>
      </w:r>
      <w:r w:rsidRPr="00EC3D5C">
        <w:tab/>
        <w:t xml:space="preserve">Исконные земли </w:t>
      </w:r>
    </w:p>
    <w:p w:rsidR="00EC3D5C" w:rsidRPr="00EC3D5C" w:rsidRDefault="00EC3D5C" w:rsidP="00EC3D5C">
      <w:pPr>
        <w:pStyle w:val="SingleTxtGR"/>
      </w:pPr>
      <w:r w:rsidRPr="00EC3D5C">
        <w:t>46.</w:t>
      </w:r>
      <w:r w:rsidRPr="00EC3D5C">
        <w:tab/>
        <w:t xml:space="preserve">Комитет отмечает предоставленную информацию относительно законопроекта о земельных правах, который призван, в частности, урегулировать статус исконных земель. Однако он по-прежнему испытывает озабоченность в связи с низкими темпами принятия законопроекта и в связи с тем обстоятельством, что между тем местные общины оказываются не в состоянии получить правовой титул </w:t>
      </w:r>
      <w:r w:rsidR="00BF2386">
        <w:t>на исконные земли. Он </w:t>
      </w:r>
      <w:r w:rsidRPr="00EC3D5C">
        <w:t>также испытывает озабоченность в связи с тем, что концессионные соглашения на исконные земли заключаются без предварительных консультаций с местными общинами; затронутым общинам не предоставляется компенсация, в том числе в виде предоставления альтернативных земель; и такими ситуациями, в том числе в ракурсе доступности, принадлежности и подконтрольности земель, непомерно затрагиваются женщины (статья 3, 26 и 27).</w:t>
      </w:r>
    </w:p>
    <w:p w:rsidR="00EC3D5C" w:rsidRPr="00EC3D5C" w:rsidRDefault="00EC3D5C" w:rsidP="00BF2386">
      <w:pPr>
        <w:pStyle w:val="SingleTxtGR"/>
        <w:pageBreakBefore/>
      </w:pPr>
      <w:r w:rsidRPr="00EC3D5C">
        <w:t>47.</w:t>
      </w:r>
      <w:r w:rsidRPr="00EC3D5C">
        <w:tab/>
      </w:r>
      <w:r w:rsidRPr="00EC3D5C">
        <w:rPr>
          <w:b/>
          <w:bCs/>
        </w:rPr>
        <w:t>Государству-участнику следует ускорить принятие законопроекта о земельных правах и обеспечить, чтобы он предусматривал равные земельные и имущественные права для женщин и мужчин, и устранить барьеры, ограничивающие применительно к женщинам доступность, использование, принадлежность и подконтрольность земель, в том числе в концессионных районах.</w:t>
      </w:r>
      <w:r w:rsidRPr="00EC3D5C">
        <w:t xml:space="preserve"> </w:t>
      </w:r>
      <w:r w:rsidRPr="00EC3D5C">
        <w:rPr>
          <w:b/>
          <w:bCs/>
        </w:rPr>
        <w:t>В частности, ему следует гарантировать по закону и на практике, чтобы до заключения концессионных соглашений проводились истинные консультации с членами местных общин, занимающих исконные земли, и в том числе с женщинами, с целью заручиться свободным, предварительным и осознанным согласием местных общин, и чтобы такие общины могли извлекать выгоду из девелоперских проектов, осуществляемых на их землях, и им была предоставлена адекватная компенсация.</w:t>
      </w:r>
      <w:r w:rsidRPr="00EC3D5C">
        <w:t xml:space="preserve"> </w:t>
      </w:r>
      <w:r w:rsidRPr="00EC3D5C">
        <w:rPr>
          <w:b/>
          <w:bCs/>
        </w:rPr>
        <w:t>Кроме того, государству-участнику следует обеспечить, чтобы частные компании, осуществляющие девелоперские проекты, реализовывали директивы в отношении корпоративной социальной ответственности, подкрепляемые эффективными механизмами мониторинга и подотчетности.</w:t>
      </w:r>
    </w:p>
    <w:p w:rsidR="00EC3D5C" w:rsidRPr="00EC3D5C" w:rsidRDefault="00EC3D5C" w:rsidP="00BF2386">
      <w:pPr>
        <w:pStyle w:val="H1GR"/>
      </w:pPr>
      <w:r w:rsidRPr="00EC3D5C">
        <w:tab/>
        <w:t>D.</w:t>
      </w:r>
      <w:r w:rsidRPr="00EC3D5C">
        <w:tab/>
        <w:t>Распространение информации и последующая деятельность</w:t>
      </w:r>
    </w:p>
    <w:p w:rsidR="00EC3D5C" w:rsidRPr="00EC3D5C" w:rsidRDefault="00EC3D5C" w:rsidP="00EC3D5C">
      <w:pPr>
        <w:pStyle w:val="SingleTxtGR"/>
      </w:pPr>
      <w:r w:rsidRPr="00EC3D5C">
        <w:t>48.</w:t>
      </w:r>
      <w:r w:rsidRPr="00EC3D5C">
        <w:tab/>
        <w:t>Государству-участнику следует произвести широкое распространение Пакта, своего первого периодического доклада, письменных ответов на перечень вопросов Комитета и настоящих заключительных замечаний с целью повышения осведомленности о правах, закрепленных в Пакте, среди судебных, законодательных и административных ведомств, гражданского общества и действующих в стране неправительственных организаций и широкой общественности.</w:t>
      </w:r>
    </w:p>
    <w:p w:rsidR="00EC3D5C" w:rsidRPr="00EC3D5C" w:rsidRDefault="00EC3D5C" w:rsidP="00EC3D5C">
      <w:pPr>
        <w:pStyle w:val="SingleTxtGR"/>
      </w:pPr>
      <w:r w:rsidRPr="00EC3D5C">
        <w:t>49.</w:t>
      </w:r>
      <w:r w:rsidRPr="00EC3D5C">
        <w:tab/>
        <w:t>В соответствии с пунктом 5 правила 71 правил процедуры Комитета, государству-участнику предлагается предоставить к 27 июля 2020 года информацию об осуществлении рекомендаций, вынесенных Комитетом в пунктах 11 (безнаказанность и прошлые нарушения прав человека), 37 (отправление правосудия и справедливое судебное разбирательство) и 47 (исконные земли) выше.</w:t>
      </w:r>
    </w:p>
    <w:p w:rsidR="00381C24" w:rsidRDefault="00EC3D5C" w:rsidP="00EC3D5C">
      <w:pPr>
        <w:pStyle w:val="SingleTxtGR"/>
      </w:pPr>
      <w:r w:rsidRPr="00EC3D5C">
        <w:t>50.</w:t>
      </w:r>
      <w:r w:rsidRPr="00EC3D5C">
        <w:tab/>
        <w:t>Комитет просит государство-участник представить свой следующий периодический доклад к 27 июля 2022 года и включить в этот доклад конкретную обновленную информацию об осуществлении рекомендаций, вынесенных в настоящих заключительных замечаниях, и Пакта в целом. Комитет также просит государство-участник при подготовке доклада широко консультироваться с гражданским обществом и действующими в стране неправительственными организациями. В соответствии с резолюцией 68/268 Генеральной Ассамблеи, объем доклада не должен превышать 21 200 слов. В качестве альтернативы Комитет приглашает государство-участник дать к 27 июля 2019 года согласие на использование его упрощенной процедуры отчетности, по которой Комитет препровождает государству-участнику до представления его периодического доклада перечень вопросов. Ответы государства-участника на перечень вопросов будут представлять собой следующий периодический доклад, представляемый по статье 40 Пакта.</w:t>
      </w:r>
    </w:p>
    <w:p w:rsidR="00EC3D5C" w:rsidRPr="00EC3D5C" w:rsidRDefault="00EC3D5C" w:rsidP="00EC3D5C">
      <w:pPr>
        <w:pStyle w:val="SingleTxtGR"/>
        <w:spacing w:before="240" w:after="0"/>
        <w:jc w:val="center"/>
        <w:rPr>
          <w:u w:val="single"/>
        </w:rPr>
      </w:pPr>
      <w:r>
        <w:rPr>
          <w:u w:val="single"/>
        </w:rPr>
        <w:tab/>
      </w:r>
      <w:r>
        <w:rPr>
          <w:u w:val="single"/>
        </w:rPr>
        <w:tab/>
      </w:r>
      <w:r>
        <w:rPr>
          <w:u w:val="single"/>
        </w:rPr>
        <w:tab/>
      </w:r>
    </w:p>
    <w:sectPr w:rsidR="00EC3D5C" w:rsidRPr="00EC3D5C" w:rsidSect="00C2769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21D" w:rsidRPr="00A312BC" w:rsidRDefault="00BA221D" w:rsidP="00A312BC"/>
  </w:endnote>
  <w:endnote w:type="continuationSeparator" w:id="0">
    <w:p w:rsidR="00BA221D" w:rsidRPr="00A312BC" w:rsidRDefault="00BA22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697" w:rsidRPr="00C27697" w:rsidRDefault="00C27697">
    <w:pPr>
      <w:pStyle w:val="a8"/>
    </w:pPr>
    <w:r w:rsidRPr="00C27697">
      <w:rPr>
        <w:b/>
        <w:sz w:val="18"/>
      </w:rPr>
      <w:fldChar w:fldCharType="begin"/>
    </w:r>
    <w:r w:rsidRPr="00C27697">
      <w:rPr>
        <w:b/>
        <w:sz w:val="18"/>
      </w:rPr>
      <w:instrText xml:space="preserve"> PAGE  \* MERGEFORMAT </w:instrText>
    </w:r>
    <w:r w:rsidRPr="00C27697">
      <w:rPr>
        <w:b/>
        <w:sz w:val="18"/>
      </w:rPr>
      <w:fldChar w:fldCharType="separate"/>
    </w:r>
    <w:r w:rsidR="00F32F94">
      <w:rPr>
        <w:b/>
        <w:noProof/>
        <w:sz w:val="18"/>
      </w:rPr>
      <w:t>12</w:t>
    </w:r>
    <w:r w:rsidRPr="00C27697">
      <w:rPr>
        <w:b/>
        <w:sz w:val="18"/>
      </w:rPr>
      <w:fldChar w:fldCharType="end"/>
    </w:r>
    <w:r>
      <w:rPr>
        <w:b/>
        <w:sz w:val="18"/>
      </w:rPr>
      <w:tab/>
    </w:r>
    <w:r>
      <w:t>GE.18-14056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697" w:rsidRPr="00C27697" w:rsidRDefault="00C27697" w:rsidP="00C27697">
    <w:pPr>
      <w:pStyle w:val="a8"/>
      <w:tabs>
        <w:tab w:val="clear" w:pos="9639"/>
        <w:tab w:val="right" w:pos="9638"/>
      </w:tabs>
      <w:rPr>
        <w:b/>
        <w:sz w:val="18"/>
      </w:rPr>
    </w:pPr>
    <w:r>
      <w:t>GE.18-14056</w:t>
    </w:r>
    <w:r>
      <w:tab/>
    </w:r>
    <w:r w:rsidRPr="00C27697">
      <w:rPr>
        <w:b/>
        <w:sz w:val="18"/>
      </w:rPr>
      <w:fldChar w:fldCharType="begin"/>
    </w:r>
    <w:r w:rsidRPr="00C27697">
      <w:rPr>
        <w:b/>
        <w:sz w:val="18"/>
      </w:rPr>
      <w:instrText xml:space="preserve"> PAGE  \* MERGEFORMAT </w:instrText>
    </w:r>
    <w:r w:rsidRPr="00C27697">
      <w:rPr>
        <w:b/>
        <w:sz w:val="18"/>
      </w:rPr>
      <w:fldChar w:fldCharType="separate"/>
    </w:r>
    <w:r w:rsidR="00F32F94">
      <w:rPr>
        <w:b/>
        <w:noProof/>
        <w:sz w:val="18"/>
      </w:rPr>
      <w:t>13</w:t>
    </w:r>
    <w:r w:rsidRPr="00C276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27697" w:rsidRDefault="00C27697" w:rsidP="00C27697">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18-14056  (R)</w:t>
    </w:r>
    <w:r w:rsidR="00BB5575">
      <w:rPr>
        <w:lang w:val="en-US"/>
      </w:rPr>
      <w:t xml:space="preserve">  190918  200918</w:t>
    </w:r>
    <w:r>
      <w:br/>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sidRPr="00C27697">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LBR/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21D" w:rsidRPr="001075E9" w:rsidRDefault="00BA221D" w:rsidP="001075E9">
      <w:pPr>
        <w:tabs>
          <w:tab w:val="right" w:pos="2155"/>
        </w:tabs>
        <w:spacing w:after="80" w:line="240" w:lineRule="auto"/>
        <w:ind w:left="680"/>
        <w:rPr>
          <w:u w:val="single"/>
        </w:rPr>
      </w:pPr>
      <w:r>
        <w:rPr>
          <w:u w:val="single"/>
        </w:rPr>
        <w:tab/>
      </w:r>
    </w:p>
  </w:footnote>
  <w:footnote w:type="continuationSeparator" w:id="0">
    <w:p w:rsidR="00BA221D" w:rsidRDefault="00BA221D" w:rsidP="00407B78">
      <w:pPr>
        <w:tabs>
          <w:tab w:val="right" w:pos="2155"/>
        </w:tabs>
        <w:spacing w:after="80"/>
        <w:ind w:left="680"/>
        <w:rPr>
          <w:u w:val="single"/>
        </w:rPr>
      </w:pPr>
      <w:r>
        <w:rPr>
          <w:u w:val="single"/>
        </w:rPr>
        <w:tab/>
      </w:r>
    </w:p>
  </w:footnote>
  <w:footnote w:id="1">
    <w:p w:rsidR="00EC3D5C" w:rsidRPr="00415168" w:rsidRDefault="00EC3D5C" w:rsidP="00EC3D5C">
      <w:pPr>
        <w:pStyle w:val="ad"/>
      </w:pPr>
      <w:r>
        <w:tab/>
      </w:r>
      <w:r w:rsidRPr="00BB5575">
        <w:rPr>
          <w:sz w:val="20"/>
        </w:rPr>
        <w:t>*</w:t>
      </w:r>
      <w:r>
        <w:tab/>
        <w:t>Принято Комитетом на его 123-й сессии (2–27 июля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697" w:rsidRPr="00C27697" w:rsidRDefault="00F23B15">
    <w:pPr>
      <w:pStyle w:val="a5"/>
    </w:pPr>
    <w:fldSimple w:instr=" TITLE  \* MERGEFORMAT ">
      <w:r w:rsidR="00F32F94">
        <w:t>CCPR/C/LBR/CO/1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697" w:rsidRPr="00C27697" w:rsidRDefault="00F23B15" w:rsidP="00C27697">
    <w:pPr>
      <w:pStyle w:val="a5"/>
      <w:jc w:val="right"/>
    </w:pPr>
    <w:fldSimple w:instr=" TITLE  \* MERGEFORMAT ">
      <w:r w:rsidR="00F32F94">
        <w:t>CCPR/C/LBR/CO/1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21D"/>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5F161D"/>
    <w:rsid w:val="0060419F"/>
    <w:rsid w:val="006373BA"/>
    <w:rsid w:val="00666B97"/>
    <w:rsid w:val="00681A10"/>
    <w:rsid w:val="006A1ED8"/>
    <w:rsid w:val="006A692B"/>
    <w:rsid w:val="006C2031"/>
    <w:rsid w:val="006D461A"/>
    <w:rsid w:val="006F35EE"/>
    <w:rsid w:val="007021FF"/>
    <w:rsid w:val="00712895"/>
    <w:rsid w:val="007440FD"/>
    <w:rsid w:val="00757357"/>
    <w:rsid w:val="00791B9D"/>
    <w:rsid w:val="007D09CD"/>
    <w:rsid w:val="00825F8D"/>
    <w:rsid w:val="00834B71"/>
    <w:rsid w:val="0086445C"/>
    <w:rsid w:val="00894693"/>
    <w:rsid w:val="008A08D7"/>
    <w:rsid w:val="008B6909"/>
    <w:rsid w:val="008F6F94"/>
    <w:rsid w:val="00906890"/>
    <w:rsid w:val="00911BE4"/>
    <w:rsid w:val="00951972"/>
    <w:rsid w:val="009608F3"/>
    <w:rsid w:val="009918E2"/>
    <w:rsid w:val="009A24AC"/>
    <w:rsid w:val="00A14DA8"/>
    <w:rsid w:val="00A312BC"/>
    <w:rsid w:val="00A34D07"/>
    <w:rsid w:val="00A84021"/>
    <w:rsid w:val="00A84D35"/>
    <w:rsid w:val="00A917B3"/>
    <w:rsid w:val="00AB4B51"/>
    <w:rsid w:val="00AD6F87"/>
    <w:rsid w:val="00B10CC7"/>
    <w:rsid w:val="00B136DB"/>
    <w:rsid w:val="00B539E7"/>
    <w:rsid w:val="00B62458"/>
    <w:rsid w:val="00BA221D"/>
    <w:rsid w:val="00BB5575"/>
    <w:rsid w:val="00BC18B2"/>
    <w:rsid w:val="00BC3629"/>
    <w:rsid w:val="00BD33EE"/>
    <w:rsid w:val="00BF1A04"/>
    <w:rsid w:val="00BF2386"/>
    <w:rsid w:val="00C0177C"/>
    <w:rsid w:val="00C106D6"/>
    <w:rsid w:val="00C27697"/>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84FA2"/>
    <w:rsid w:val="00EA2C9F"/>
    <w:rsid w:val="00EA420E"/>
    <w:rsid w:val="00EC3D5C"/>
    <w:rsid w:val="00ED0BDA"/>
    <w:rsid w:val="00EF1360"/>
    <w:rsid w:val="00EF3220"/>
    <w:rsid w:val="00F23B15"/>
    <w:rsid w:val="00F32F94"/>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97185A2-8499-4EFB-952E-0FA47098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AD6F87"/>
    <w:rPr>
      <w:b/>
      <w:sz w:val="18"/>
      <w:lang w:val="en-GB" w:eastAsia="ru-RU"/>
    </w:rPr>
  </w:style>
  <w:style w:type="character" w:styleId="a7">
    <w:name w:val="page number"/>
    <w:aliases w:val="7_GR,7_G"/>
    <w:basedOn w:val="a0"/>
    <w:qFormat/>
    <w:rsid w:val="00AD6F87"/>
    <w:rPr>
      <w:rFonts w:ascii="Times New Roman" w:hAnsi="Times New Roman"/>
      <w:b/>
      <w:sz w:val="18"/>
    </w:rPr>
  </w:style>
  <w:style w:type="paragraph" w:styleId="a8">
    <w:name w:val="footer"/>
    <w:aliases w:val="3_GR,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AD6F87"/>
    <w:rPr>
      <w:sz w:val="16"/>
      <w:lang w:val="en-GB" w:eastAsia="ru-RU"/>
    </w:rPr>
  </w:style>
  <w:style w:type="character" w:styleId="aa">
    <w:name w:val="footnote reference"/>
    <w:aliases w:val="4_GR,4_G,Ref,de nota al pie,Footnote Reference Number,Footnote,callout,Footnote Refernece,Fußnotenzeichen_Raxen,BVI fnr,Fago Fußnotenzeichen,Footnotes refss,Style 10,ftref,16 Point,Superscript 6 Point,Footnote number,Endnote Text1,16 Poin"/>
    <w:basedOn w:val="a0"/>
    <w:link w:val="4GCharChar"/>
    <w:qFormat/>
    <w:rsid w:val="00AD6F87"/>
    <w:rPr>
      <w:rFonts w:ascii="Times New Roman" w:hAnsi="Times New Roman"/>
      <w:dstrike w:val="0"/>
      <w:sz w:val="18"/>
      <w:vertAlign w:val="superscript"/>
    </w:rPr>
  </w:style>
  <w:style w:type="character" w:styleId="ab">
    <w:name w:val="endnote reference"/>
    <w:aliases w:val="1_GR,1_G"/>
    <w:basedOn w:val="aa"/>
    <w:qFormat/>
    <w:rsid w:val="00AD6F87"/>
    <w:rPr>
      <w:rFonts w:ascii="Times New Roman" w:hAnsi="Times New Roman"/>
      <w:dstrike w:val="0"/>
      <w:sz w:val="18"/>
      <w:vertAlign w:val="superscript"/>
    </w:rPr>
  </w:style>
  <w:style w:type="table" w:styleId="ac">
    <w:name w:val="Table Grid"/>
    <w:basedOn w:val="a1"/>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single space,footnote text,Footnote reference,FA Fu,Footnote Text Char Char Char Char Char,Footnote Text Char Char Char Car,Footnote Text Char Char Char Car Car Car Car Car Car,Podrozdział"/>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1,Footnote Text Char Char Char Знак1,single space Знак1,footnote text Знак1,Footnote reference Знак1,FA Fu Знак1,Footnote Text Char Char Char Char Char Знак1,Footnote Text Char Char Char Car Знак1,Podrozdział Знак"/>
    <w:basedOn w:val="a0"/>
    <w:link w:val="ad"/>
    <w:rsid w:val="00AD6F87"/>
    <w:rPr>
      <w:sz w:val="18"/>
      <w:lang w:val="ru-RU" w:eastAsia="ru-RU"/>
    </w:rPr>
  </w:style>
  <w:style w:type="paragraph" w:styleId="af">
    <w:name w:val="endnote text"/>
    <w:aliases w:val="2_GR,2_G"/>
    <w:basedOn w:val="ad"/>
    <w:link w:val="af0"/>
    <w:qFormat/>
    <w:rsid w:val="00AD6F87"/>
  </w:style>
  <w:style w:type="character" w:customStyle="1" w:styleId="af0">
    <w:name w:val="Текст концевой сноски Знак"/>
    <w:aliases w:val="2_GR Знак,2_G Знак"/>
    <w:basedOn w:val="a0"/>
    <w:link w:val="af"/>
    <w:rsid w:val="00AD6F87"/>
    <w:rPr>
      <w:sz w:val="18"/>
      <w:lang w:val="ru-RU" w:eastAsia="ru-RU"/>
    </w:rPr>
  </w:style>
  <w:style w:type="character" w:customStyle="1" w:styleId="10">
    <w:name w:val="Заголовок 1 Знак"/>
    <w:aliases w:val="Table_GR Знак,Table_G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MG">
    <w:name w:val="_ H __M_G"/>
    <w:basedOn w:val="a"/>
    <w:next w:val="a"/>
    <w:rsid w:val="00EC3D5C"/>
    <w:pPr>
      <w:keepNext/>
      <w:keepLines/>
      <w:tabs>
        <w:tab w:val="right" w:pos="851"/>
      </w:tabs>
      <w:spacing w:before="240" w:after="240" w:line="360" w:lineRule="exact"/>
      <w:ind w:left="1134" w:right="1134" w:hanging="1134"/>
    </w:pPr>
    <w:rPr>
      <w:rFonts w:eastAsia="Times New Roman" w:cs="Times New Roman"/>
      <w:b/>
      <w:sz w:val="34"/>
      <w:szCs w:val="20"/>
      <w:lang w:val="en-GB"/>
    </w:rPr>
  </w:style>
  <w:style w:type="paragraph" w:customStyle="1" w:styleId="HChG">
    <w:name w:val="_ H _Ch_G"/>
    <w:basedOn w:val="a"/>
    <w:next w:val="a"/>
    <w:rsid w:val="00EC3D5C"/>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rsid w:val="00EC3D5C"/>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rsid w:val="00EC3D5C"/>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H4G">
    <w:name w:val="_ H_4_G"/>
    <w:basedOn w:val="a"/>
    <w:next w:val="a"/>
    <w:rsid w:val="00EC3D5C"/>
    <w:pPr>
      <w:keepNext/>
      <w:keepLines/>
      <w:tabs>
        <w:tab w:val="right" w:pos="851"/>
      </w:tabs>
      <w:spacing w:before="240" w:after="120" w:line="240" w:lineRule="exact"/>
      <w:ind w:left="1134" w:right="1134" w:hanging="1134"/>
    </w:pPr>
    <w:rPr>
      <w:rFonts w:eastAsia="Times New Roman" w:cs="Times New Roman"/>
      <w:i/>
      <w:szCs w:val="20"/>
      <w:lang w:val="en-GB"/>
    </w:rPr>
  </w:style>
  <w:style w:type="paragraph" w:customStyle="1" w:styleId="H56G">
    <w:name w:val="_ H_5/6_G"/>
    <w:basedOn w:val="a"/>
    <w:next w:val="a"/>
    <w:rsid w:val="00EC3D5C"/>
    <w:pPr>
      <w:keepNext/>
      <w:keepLines/>
      <w:tabs>
        <w:tab w:val="right" w:pos="851"/>
      </w:tabs>
      <w:spacing w:before="240" w:after="120" w:line="240" w:lineRule="exact"/>
      <w:ind w:left="1134" w:right="1134" w:hanging="1134"/>
    </w:pPr>
    <w:rPr>
      <w:rFonts w:eastAsia="Times New Roman" w:cs="Times New Roman"/>
      <w:szCs w:val="20"/>
      <w:lang w:val="en-GB"/>
    </w:rPr>
  </w:style>
  <w:style w:type="paragraph" w:customStyle="1" w:styleId="SingleTxtG">
    <w:name w:val="_ Single Txt_G"/>
    <w:basedOn w:val="a"/>
    <w:rsid w:val="00EC3D5C"/>
    <w:pPr>
      <w:spacing w:after="120"/>
      <w:ind w:left="1134" w:right="1134"/>
      <w:jc w:val="both"/>
    </w:pPr>
    <w:rPr>
      <w:rFonts w:eastAsia="SimSun" w:cs="Times New Roman"/>
      <w:szCs w:val="20"/>
      <w:lang w:val="en-GB" w:eastAsia="zh-CN"/>
    </w:rPr>
  </w:style>
  <w:style w:type="paragraph" w:customStyle="1" w:styleId="SLG">
    <w:name w:val="__S_L_G"/>
    <w:basedOn w:val="a"/>
    <w:next w:val="a"/>
    <w:rsid w:val="00EC3D5C"/>
    <w:pPr>
      <w:keepNext/>
      <w:keepLines/>
      <w:spacing w:before="240" w:after="240" w:line="580" w:lineRule="exact"/>
      <w:ind w:left="1134" w:right="1134"/>
    </w:pPr>
    <w:rPr>
      <w:rFonts w:eastAsia="Times New Roman" w:cs="Times New Roman"/>
      <w:b/>
      <w:sz w:val="56"/>
      <w:szCs w:val="20"/>
      <w:lang w:val="en-GB"/>
    </w:rPr>
  </w:style>
  <w:style w:type="paragraph" w:customStyle="1" w:styleId="SMG">
    <w:name w:val="__S_M_G"/>
    <w:basedOn w:val="a"/>
    <w:next w:val="a"/>
    <w:rsid w:val="00EC3D5C"/>
    <w:pPr>
      <w:keepNext/>
      <w:keepLines/>
      <w:spacing w:before="240" w:after="240" w:line="420" w:lineRule="exact"/>
      <w:ind w:left="1134" w:right="1134"/>
    </w:pPr>
    <w:rPr>
      <w:rFonts w:eastAsia="Times New Roman" w:cs="Times New Roman"/>
      <w:b/>
      <w:sz w:val="40"/>
      <w:szCs w:val="20"/>
      <w:lang w:val="en-GB"/>
    </w:rPr>
  </w:style>
  <w:style w:type="paragraph" w:customStyle="1" w:styleId="SSG">
    <w:name w:val="__S_S_G"/>
    <w:basedOn w:val="a"/>
    <w:next w:val="a"/>
    <w:rsid w:val="00EC3D5C"/>
    <w:pPr>
      <w:keepNext/>
      <w:keepLines/>
      <w:spacing w:before="240" w:after="240" w:line="300" w:lineRule="exact"/>
      <w:ind w:left="1134" w:right="1134"/>
    </w:pPr>
    <w:rPr>
      <w:rFonts w:eastAsia="Times New Roman" w:cs="Times New Roman"/>
      <w:b/>
      <w:sz w:val="28"/>
      <w:szCs w:val="20"/>
      <w:lang w:val="en-GB"/>
    </w:rPr>
  </w:style>
  <w:style w:type="paragraph" w:customStyle="1" w:styleId="XLargeG">
    <w:name w:val="__XLarge_G"/>
    <w:basedOn w:val="a"/>
    <w:next w:val="a"/>
    <w:rsid w:val="00EC3D5C"/>
    <w:pPr>
      <w:keepNext/>
      <w:keepLines/>
      <w:spacing w:before="240" w:after="240" w:line="420" w:lineRule="exact"/>
      <w:ind w:left="1134" w:right="1134"/>
    </w:pPr>
    <w:rPr>
      <w:rFonts w:eastAsia="Times New Roman" w:cs="Times New Roman"/>
      <w:b/>
      <w:sz w:val="40"/>
      <w:szCs w:val="20"/>
      <w:lang w:val="en-GB"/>
    </w:rPr>
  </w:style>
  <w:style w:type="paragraph" w:customStyle="1" w:styleId="Bullet1G">
    <w:name w:val="_Bullet 1_G"/>
    <w:basedOn w:val="a"/>
    <w:rsid w:val="00EC3D5C"/>
    <w:pPr>
      <w:numPr>
        <w:numId w:val="22"/>
      </w:numPr>
      <w:spacing w:after="120"/>
      <w:ind w:right="1134"/>
      <w:jc w:val="both"/>
    </w:pPr>
    <w:rPr>
      <w:rFonts w:eastAsia="Times New Roman" w:cs="Times New Roman"/>
      <w:szCs w:val="20"/>
      <w:lang w:val="en-GB"/>
    </w:rPr>
  </w:style>
  <w:style w:type="paragraph" w:customStyle="1" w:styleId="Bullet2G">
    <w:name w:val="_Bullet 2_G"/>
    <w:basedOn w:val="a"/>
    <w:rsid w:val="00EC3D5C"/>
    <w:pPr>
      <w:numPr>
        <w:numId w:val="23"/>
      </w:numPr>
      <w:spacing w:after="120"/>
      <w:ind w:right="1134"/>
      <w:jc w:val="both"/>
    </w:pPr>
    <w:rPr>
      <w:rFonts w:eastAsia="Times New Roman" w:cs="Times New Roman"/>
      <w:szCs w:val="20"/>
      <w:lang w:val="en-GB"/>
    </w:rPr>
  </w:style>
  <w:style w:type="paragraph" w:customStyle="1" w:styleId="ParaNoG">
    <w:name w:val="_ParaNo._G"/>
    <w:basedOn w:val="SingleTxtG"/>
    <w:rsid w:val="00EC3D5C"/>
    <w:pPr>
      <w:numPr>
        <w:numId w:val="24"/>
      </w:numPr>
    </w:pPr>
  </w:style>
  <w:style w:type="numbering" w:styleId="111111">
    <w:name w:val="Outline List 2"/>
    <w:basedOn w:val="a2"/>
    <w:semiHidden/>
    <w:rsid w:val="00EC3D5C"/>
    <w:pPr>
      <w:numPr>
        <w:numId w:val="26"/>
      </w:numPr>
    </w:pPr>
  </w:style>
  <w:style w:type="numbering" w:styleId="1ai">
    <w:name w:val="Outline List 1"/>
    <w:basedOn w:val="a2"/>
    <w:semiHidden/>
    <w:rsid w:val="00EC3D5C"/>
    <w:pPr>
      <w:numPr>
        <w:numId w:val="27"/>
      </w:numPr>
    </w:pPr>
  </w:style>
  <w:style w:type="character" w:customStyle="1" w:styleId="1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a0"/>
    <w:rsid w:val="00EC3D5C"/>
    <w:rPr>
      <w:rFonts w:ascii="Times New Roman" w:eastAsia="SimSun" w:hAnsi="Times New Roman" w:cs="Times New Roman"/>
      <w:sz w:val="18"/>
      <w:szCs w:val="20"/>
    </w:rPr>
  </w:style>
  <w:style w:type="character" w:customStyle="1" w:styleId="20">
    <w:name w:val="Заголовок 2 Знак"/>
    <w:basedOn w:val="a0"/>
    <w:link w:val="2"/>
    <w:semiHidden/>
    <w:rsid w:val="00EC3D5C"/>
    <w:rPr>
      <w:rFonts w:eastAsiaTheme="minorHAnsi" w:cs="Arial"/>
      <w:bCs/>
      <w:iCs/>
      <w:szCs w:val="28"/>
      <w:lang w:val="ru-RU" w:eastAsia="en-US"/>
    </w:rPr>
  </w:style>
  <w:style w:type="character" w:customStyle="1" w:styleId="30">
    <w:name w:val="Заголовок 3 Знак"/>
    <w:basedOn w:val="a0"/>
    <w:link w:val="3"/>
    <w:semiHidden/>
    <w:rsid w:val="00EC3D5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EC3D5C"/>
    <w:rPr>
      <w:rFonts w:eastAsiaTheme="minorHAnsi" w:cstheme="minorBidi"/>
      <w:b/>
      <w:bCs/>
      <w:sz w:val="28"/>
      <w:szCs w:val="28"/>
      <w:lang w:val="ru-RU" w:eastAsia="en-US"/>
    </w:rPr>
  </w:style>
  <w:style w:type="character" w:customStyle="1" w:styleId="50">
    <w:name w:val="Заголовок 5 Знак"/>
    <w:basedOn w:val="a0"/>
    <w:link w:val="5"/>
    <w:semiHidden/>
    <w:rsid w:val="00EC3D5C"/>
    <w:rPr>
      <w:rFonts w:eastAsiaTheme="minorHAnsi" w:cstheme="minorBidi"/>
      <w:b/>
      <w:bCs/>
      <w:i/>
      <w:iCs/>
      <w:sz w:val="26"/>
      <w:szCs w:val="26"/>
      <w:lang w:val="ru-RU" w:eastAsia="en-US"/>
    </w:rPr>
  </w:style>
  <w:style w:type="character" w:customStyle="1" w:styleId="60">
    <w:name w:val="Заголовок 6 Знак"/>
    <w:basedOn w:val="a0"/>
    <w:link w:val="6"/>
    <w:semiHidden/>
    <w:rsid w:val="00EC3D5C"/>
    <w:rPr>
      <w:rFonts w:eastAsiaTheme="minorHAnsi" w:cstheme="minorBidi"/>
      <w:b/>
      <w:bCs/>
      <w:sz w:val="22"/>
      <w:szCs w:val="22"/>
      <w:lang w:val="ru-RU" w:eastAsia="en-US"/>
    </w:rPr>
  </w:style>
  <w:style w:type="character" w:customStyle="1" w:styleId="70">
    <w:name w:val="Заголовок 7 Знак"/>
    <w:basedOn w:val="a0"/>
    <w:link w:val="7"/>
    <w:semiHidden/>
    <w:rsid w:val="00EC3D5C"/>
    <w:rPr>
      <w:rFonts w:eastAsiaTheme="minorHAnsi" w:cstheme="minorBidi"/>
      <w:sz w:val="24"/>
      <w:szCs w:val="24"/>
      <w:lang w:val="ru-RU" w:eastAsia="en-US"/>
    </w:rPr>
  </w:style>
  <w:style w:type="character" w:customStyle="1" w:styleId="80">
    <w:name w:val="Заголовок 8 Знак"/>
    <w:basedOn w:val="a0"/>
    <w:link w:val="8"/>
    <w:semiHidden/>
    <w:rsid w:val="00EC3D5C"/>
    <w:rPr>
      <w:rFonts w:eastAsiaTheme="minorHAnsi" w:cstheme="minorBidi"/>
      <w:i/>
      <w:iCs/>
      <w:sz w:val="24"/>
      <w:szCs w:val="24"/>
      <w:lang w:val="ru-RU" w:eastAsia="en-US"/>
    </w:rPr>
  </w:style>
  <w:style w:type="character" w:customStyle="1" w:styleId="90">
    <w:name w:val="Заголовок 9 Знак"/>
    <w:basedOn w:val="a0"/>
    <w:link w:val="9"/>
    <w:semiHidden/>
    <w:rsid w:val="00EC3D5C"/>
    <w:rPr>
      <w:rFonts w:ascii="Arial" w:eastAsiaTheme="minorHAnsi" w:hAnsi="Arial" w:cs="Arial"/>
      <w:sz w:val="22"/>
      <w:szCs w:val="22"/>
      <w:lang w:val="ru-RU" w:eastAsia="en-US"/>
    </w:rPr>
  </w:style>
  <w:style w:type="character" w:styleId="af3">
    <w:name w:val="Book Title"/>
    <w:basedOn w:val="a0"/>
    <w:uiPriority w:val="33"/>
    <w:rsid w:val="00EC3D5C"/>
    <w:rPr>
      <w:b/>
      <w:bCs/>
      <w:smallCaps/>
      <w:spacing w:val="5"/>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rsid w:val="00EC3D5C"/>
    <w:pPr>
      <w:suppressAutoHyphens w:val="0"/>
      <w:spacing w:after="160" w:line="240" w:lineRule="exact"/>
    </w:pPr>
    <w:rPr>
      <w:rFonts w:eastAsia="Times New Roman" w:cs="Times New Roman"/>
      <w:sz w:val="18"/>
      <w:szCs w:val="20"/>
      <w:vertAlign w:val="superscript"/>
      <w:lang w:val="es-ES" w:eastAsia="es-ES"/>
    </w:rPr>
  </w:style>
  <w:style w:type="paragraph" w:styleId="af4">
    <w:name w:val="annotation text"/>
    <w:basedOn w:val="a"/>
    <w:link w:val="af5"/>
    <w:uiPriority w:val="99"/>
    <w:semiHidden/>
    <w:unhideWhenUsed/>
    <w:rsid w:val="00EC3D5C"/>
    <w:pPr>
      <w:spacing w:line="240" w:lineRule="auto"/>
    </w:pPr>
    <w:rPr>
      <w:rFonts w:eastAsia="Times New Roman" w:cs="Times New Roman"/>
      <w:szCs w:val="20"/>
      <w:lang w:val="en-GB"/>
    </w:rPr>
  </w:style>
  <w:style w:type="character" w:customStyle="1" w:styleId="af5">
    <w:name w:val="Текст примечания Знак"/>
    <w:basedOn w:val="a0"/>
    <w:link w:val="af4"/>
    <w:uiPriority w:val="99"/>
    <w:semiHidden/>
    <w:rsid w:val="00EC3D5C"/>
    <w:rPr>
      <w:lang w:val="en-GB" w:eastAsia="en-US"/>
    </w:rPr>
  </w:style>
  <w:style w:type="character" w:styleId="af6">
    <w:name w:val="annotation reference"/>
    <w:basedOn w:val="a0"/>
    <w:uiPriority w:val="99"/>
    <w:semiHidden/>
    <w:unhideWhenUsed/>
    <w:rsid w:val="00EC3D5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5583</Words>
  <Characters>36014</Characters>
  <Application>Microsoft Office Word</Application>
  <DocSecurity>0</DocSecurity>
  <Lines>1385</Lines>
  <Paragraphs>945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CCPR/C/LBR/CO/1</vt:lpstr>
      <vt:lpstr>A/</vt:lpstr>
      <vt:lpstr>A/</vt:lpstr>
    </vt:vector>
  </TitlesOfParts>
  <Company>DCM</Company>
  <LinksUpToDate>false</LinksUpToDate>
  <CharactersWithSpaces>40652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CCPR/C/LBR/CO/1</dc:title>
  <dc:subject/>
  <dc:creator>Uliana ANTIPOVA</dc:creator>
  <cp:keywords/>
  <cp:lastModifiedBy>Generic TPSRUS2</cp:lastModifiedBy>
  <cp:revision>3</cp:revision>
  <cp:lastPrinted>2018-09-20T12:21:00Z</cp:lastPrinted>
  <dcterms:created xsi:type="dcterms:W3CDTF">2018-09-20T12:21:00Z</dcterms:created>
  <dcterms:modified xsi:type="dcterms:W3CDTF">2018-09-20T12:21:00Z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