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 w:type="dxa"/>
        <w:tblLayout w:type="fixed"/>
        <w:tblCellMar>
          <w:left w:w="0" w:type="dxa"/>
          <w:right w:w="0" w:type="dxa"/>
        </w:tblCellMar>
        <w:tblLook w:val="0000" w:firstRow="0" w:lastRow="0" w:firstColumn="0" w:lastColumn="0" w:noHBand="0" w:noVBand="0"/>
      </w:tblPr>
      <w:tblGrid>
        <w:gridCol w:w="1084"/>
        <w:gridCol w:w="5044"/>
        <w:gridCol w:w="2728"/>
      </w:tblGrid>
      <w:tr w:rsidR="00000000">
        <w:tblPrEx>
          <w:tblCellMar>
            <w:top w:w="0" w:type="dxa"/>
            <w:left w:w="0" w:type="dxa"/>
            <w:bottom w:w="0" w:type="dxa"/>
            <w:right w:w="0" w:type="dxa"/>
          </w:tblCellMar>
        </w:tblPrEx>
        <w:trPr>
          <w:cantSplit/>
        </w:trPr>
        <w:tc>
          <w:tcPr>
            <w:tcW w:w="6128" w:type="dxa"/>
            <w:gridSpan w:val="2"/>
            <w:tcBorders>
              <w:bottom w:val="single" w:sz="8" w:space="0" w:color="auto"/>
            </w:tcBorders>
            <w:vAlign w:val="bottom"/>
          </w:tcPr>
          <w:p w:rsidR="00000000" w:rsidRDefault="00000000">
            <w:pPr>
              <w:spacing w:after="120"/>
            </w:pPr>
            <w:commentRangeStart w:id="0"/>
            <w:r>
              <w:rPr>
                <w:b/>
              </w:rPr>
              <w:t xml:space="preserve">Организация </w:t>
            </w:r>
            <w:commentRangeEnd w:id="0"/>
            <w:r>
              <w:rPr>
                <w:rStyle w:val="CommentReference"/>
                <w:vanish/>
              </w:rPr>
              <w:commentReference w:id="0"/>
            </w:r>
            <w:r>
              <w:rPr>
                <w:b/>
              </w:rPr>
              <w:t>Объединенных Наций</w:t>
            </w:r>
          </w:p>
        </w:tc>
        <w:tc>
          <w:tcPr>
            <w:tcW w:w="2728" w:type="dxa"/>
            <w:tcBorders>
              <w:bottom w:val="single" w:sz="8" w:space="0" w:color="auto"/>
            </w:tcBorders>
          </w:tcPr>
          <w:p w:rsidR="00000000" w:rsidRDefault="00000000">
            <w:pPr>
              <w:spacing w:after="120"/>
              <w:jc w:val="right"/>
              <w:rPr>
                <w:lang w:val="en-US"/>
              </w:rPr>
            </w:pPr>
            <w:r>
              <w:rPr>
                <w:b/>
                <w:sz w:val="40"/>
                <w:lang w:val="en-US"/>
              </w:rPr>
              <w:t>CEDAW</w:t>
            </w:r>
            <w:r>
              <w:rPr>
                <w:lang w:val="en-US"/>
              </w:rPr>
              <w:t>/C/ECU/4-5</w:t>
            </w:r>
          </w:p>
        </w:tc>
      </w:tr>
      <w:tr w:rsidR="00000000">
        <w:tblPrEx>
          <w:tblCellMar>
            <w:top w:w="0" w:type="dxa"/>
            <w:left w:w="0" w:type="dxa"/>
            <w:bottom w:w="0" w:type="dxa"/>
            <w:right w:w="0" w:type="dxa"/>
          </w:tblCellMar>
        </w:tblPrEx>
        <w:tc>
          <w:tcPr>
            <w:tcW w:w="1084" w:type="dxa"/>
            <w:tcBorders>
              <w:top w:val="single" w:sz="8" w:space="0" w:color="auto"/>
              <w:bottom w:val="single" w:sz="12" w:space="0" w:color="auto"/>
            </w:tcBorders>
          </w:tcPr>
          <w:p w:rsidR="00000000" w:rsidRDefault="00000000">
            <w:pPr>
              <w:pStyle w:val="Header"/>
              <w:tabs>
                <w:tab w:val="clear" w:pos="4677"/>
                <w:tab w:val="clear" w:pos="9355"/>
              </w:tabs>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pt;height:39pt" fillcolor="window">
                  <v:imagedata r:id="rId8" o:title="Log-OOH"/>
                </v:shape>
              </w:pict>
            </w:r>
          </w:p>
        </w:tc>
        <w:tc>
          <w:tcPr>
            <w:tcW w:w="5044" w:type="dxa"/>
            <w:tcBorders>
              <w:top w:val="single" w:sz="8" w:space="0" w:color="auto"/>
              <w:bottom w:val="single" w:sz="12" w:space="0" w:color="auto"/>
            </w:tcBorders>
          </w:tcPr>
          <w:p w:rsidR="00000000" w:rsidRDefault="00000000">
            <w:pPr>
              <w:spacing w:before="120" w:after="840"/>
              <w:rPr>
                <w:b/>
                <w:sz w:val="28"/>
              </w:rPr>
            </w:pPr>
            <w:r>
              <w:rPr>
                <w:b/>
                <w:sz w:val="28"/>
              </w:rPr>
              <w:t>Конвенция о ликвидации</w:t>
            </w:r>
            <w:r>
              <w:rPr>
                <w:b/>
                <w:sz w:val="28"/>
              </w:rPr>
              <w:br/>
              <w:t>всех форм дискриминации</w:t>
            </w:r>
            <w:r>
              <w:rPr>
                <w:b/>
                <w:sz w:val="28"/>
              </w:rPr>
              <w:br/>
              <w:t>в отношении женщин</w:t>
            </w:r>
          </w:p>
          <w:p w:rsidR="00000000" w:rsidRDefault="00000000">
            <w:pPr>
              <w:spacing w:before="120"/>
            </w:pPr>
          </w:p>
        </w:tc>
        <w:tc>
          <w:tcPr>
            <w:tcW w:w="2728" w:type="dxa"/>
            <w:tcBorders>
              <w:top w:val="single" w:sz="8" w:space="0" w:color="auto"/>
              <w:bottom w:val="single" w:sz="12" w:space="0" w:color="auto"/>
            </w:tcBorders>
          </w:tcPr>
          <w:p w:rsidR="00000000" w:rsidRDefault="00000000">
            <w:pPr>
              <w:spacing w:before="160"/>
              <w:rPr>
                <w:lang w:val="en-US"/>
              </w:rPr>
            </w:pPr>
            <w:r>
              <w:rPr>
                <w:lang w:val="en-US"/>
              </w:rPr>
              <w:t>Distr.: General</w:t>
            </w:r>
          </w:p>
          <w:p w:rsidR="00000000" w:rsidRDefault="00000000">
            <w:pPr>
              <w:rPr>
                <w:lang w:val="en-US"/>
              </w:rPr>
            </w:pPr>
            <w:r>
              <w:rPr>
                <w:lang w:val="en-US"/>
              </w:rPr>
              <w:t>25 January 2002</w:t>
            </w:r>
          </w:p>
          <w:p w:rsidR="00000000" w:rsidRDefault="00000000">
            <w:pPr>
              <w:rPr>
                <w:lang w:val="en-US"/>
              </w:rPr>
            </w:pPr>
            <w:r>
              <w:rPr>
                <w:lang w:val="en-US"/>
              </w:rPr>
              <w:t>Russian</w:t>
            </w:r>
          </w:p>
          <w:p w:rsidR="00000000" w:rsidRDefault="00000000">
            <w:r>
              <w:rPr>
                <w:lang w:val="en-US"/>
              </w:rPr>
              <w:t>Original</w:t>
            </w:r>
            <w:r>
              <w:t xml:space="preserve">:  </w:t>
            </w:r>
            <w:r>
              <w:rPr>
                <w:lang w:val="en-US"/>
              </w:rPr>
              <w:t>Spanish</w:t>
            </w:r>
          </w:p>
        </w:tc>
      </w:tr>
    </w:tbl>
    <w:p w:rsidR="00000000" w:rsidRDefault="00000000">
      <w:pPr>
        <w:spacing w:before="120"/>
        <w:ind w:left="170" w:hanging="170"/>
      </w:pPr>
      <w:r>
        <w:t>КОМИТЕТ ПО ЛИКВИДАЦИИ ДИСКРИМИНАЦИИ</w:t>
      </w:r>
      <w:r>
        <w:br/>
        <w:t>В ОТНОШЕНИИ ЖЕНЩИН</w:t>
      </w:r>
    </w:p>
    <w:p w:rsidR="00000000" w:rsidRDefault="00000000"/>
    <w:p w:rsidR="00000000" w:rsidRDefault="00000000"/>
    <w:p w:rsidR="00000000" w:rsidRDefault="00000000"/>
    <w:p w:rsidR="00000000" w:rsidRDefault="00000000"/>
    <w:p w:rsidR="00000000" w:rsidRDefault="00000000">
      <w:pPr>
        <w:jc w:val="center"/>
        <w:rPr>
          <w:sz w:val="28"/>
        </w:rPr>
      </w:pPr>
      <w:r>
        <w:rPr>
          <w:sz w:val="28"/>
        </w:rPr>
        <w:t xml:space="preserve">Рассмотрение докладов, представленных государствами-участниками </w:t>
      </w:r>
      <w:r>
        <w:rPr>
          <w:sz w:val="28"/>
        </w:rPr>
        <w:br/>
        <w:t xml:space="preserve">в соответствии со статьей 18 </w:t>
      </w:r>
      <w:r>
        <w:rPr>
          <w:caps/>
          <w:sz w:val="28"/>
        </w:rPr>
        <w:t>к</w:t>
      </w:r>
      <w:r>
        <w:rPr>
          <w:sz w:val="28"/>
        </w:rPr>
        <w:t>онвенции о ликвидации всех форм дискриминации в отношении женщин</w:t>
      </w:r>
    </w:p>
    <w:p w:rsidR="00000000" w:rsidRDefault="00000000">
      <w:pPr>
        <w:rPr>
          <w:lang w:val="en-US"/>
        </w:rPr>
      </w:pPr>
    </w:p>
    <w:p w:rsidR="00000000" w:rsidRDefault="00000000">
      <w:pPr>
        <w:rPr>
          <w:lang w:val="en-US"/>
        </w:rPr>
      </w:pPr>
    </w:p>
    <w:p w:rsidR="00000000" w:rsidRDefault="00000000">
      <w:pPr>
        <w:pStyle w:val="Heading5"/>
      </w:pPr>
      <w:r>
        <w:t>Объединенные четвертый и пятый периодические доклады государств-участников</w:t>
      </w:r>
    </w:p>
    <w:p w:rsidR="00000000" w:rsidRDefault="00000000">
      <w:pPr>
        <w:jc w:val="center"/>
        <w:rPr>
          <w:u w:val="single"/>
        </w:rP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rPr>
          <w:rStyle w:val="FootnoteReference"/>
          <w:sz w:val="28"/>
        </w:rPr>
        <w:sectPr w:rsidR="00000000">
          <w:footerReference w:type="first" r:id="rId9"/>
          <w:pgSz w:w="12242" w:h="15842" w:code="1"/>
          <w:pgMar w:top="1418" w:right="1701" w:bottom="1701" w:left="1701" w:header="709" w:footer="907" w:gutter="0"/>
          <w:cols w:space="708"/>
          <w:titlePg/>
          <w:docGrid w:linePitch="360"/>
        </w:sectPr>
      </w:pPr>
      <w:r>
        <w:rPr>
          <w:sz w:val="28"/>
        </w:rPr>
        <w:t>Эквадор</w:t>
      </w:r>
      <w:r>
        <w:rPr>
          <w:rStyle w:val="FootnoteReference"/>
          <w:sz w:val="28"/>
        </w:rPr>
        <w:footnoteReference w:customMarkFollows="1" w:id="1"/>
        <w:t>*</w:t>
      </w:r>
    </w:p>
    <w:p w:rsidR="00000000" w:rsidRDefault="00000000">
      <w:pPr>
        <w:jc w:val="center"/>
        <w:rPr>
          <w:b/>
          <w:sz w:val="36"/>
        </w:rPr>
      </w:pPr>
      <w:r>
        <w:rPr>
          <w:b/>
          <w:sz w:val="36"/>
        </w:rPr>
        <w:t xml:space="preserve">КОНВЕНЦИЯ О ЛИКВИДАЦИИ </w:t>
      </w:r>
      <w:r>
        <w:rPr>
          <w:b/>
          <w:sz w:val="36"/>
        </w:rPr>
        <w:br/>
        <w:t>ВСЕХ ФОРМ ДИСКРИМИНАЦИИ</w:t>
      </w:r>
      <w:r>
        <w:rPr>
          <w:b/>
          <w:sz w:val="36"/>
        </w:rPr>
        <w:br/>
        <w:t>В ОТНОШЕНИИ ЖЕНЩИН</w:t>
      </w:r>
    </w:p>
    <w:p w:rsidR="00000000" w:rsidRDefault="00000000">
      <w:pPr>
        <w:jc w:val="center"/>
        <w:rPr>
          <w:b/>
          <w:sz w:val="36"/>
        </w:rPr>
      </w:pPr>
    </w:p>
    <w:p w:rsidR="00000000" w:rsidRDefault="00000000">
      <w:pPr>
        <w:jc w:val="center"/>
        <w:rPr>
          <w:b/>
          <w:sz w:val="36"/>
        </w:rPr>
      </w:pPr>
    </w:p>
    <w:p w:rsidR="00000000" w:rsidRDefault="00000000">
      <w:pPr>
        <w:jc w:val="center"/>
        <w:rPr>
          <w:b/>
          <w:sz w:val="36"/>
        </w:rPr>
      </w:pPr>
    </w:p>
    <w:p w:rsidR="00000000" w:rsidRDefault="00000000">
      <w:pPr>
        <w:jc w:val="center"/>
        <w:rPr>
          <w:b/>
          <w:sz w:val="36"/>
        </w:rPr>
      </w:pPr>
    </w:p>
    <w:p w:rsidR="00000000" w:rsidRDefault="00000000">
      <w:pPr>
        <w:jc w:val="center"/>
        <w:rPr>
          <w:b/>
          <w:sz w:val="36"/>
        </w:rPr>
      </w:pPr>
    </w:p>
    <w:p w:rsidR="00000000" w:rsidRDefault="00000000">
      <w:pPr>
        <w:jc w:val="center"/>
        <w:rPr>
          <w:b/>
          <w:sz w:val="48"/>
          <w:lang w:val="en-US"/>
        </w:rPr>
      </w:pPr>
      <w:r>
        <w:rPr>
          <w:b/>
          <w:sz w:val="48"/>
        </w:rPr>
        <w:t>ЭКВАДОР</w:t>
      </w:r>
    </w:p>
    <w:p w:rsidR="00000000" w:rsidRDefault="00000000">
      <w:pPr>
        <w:jc w:val="center"/>
        <w:rPr>
          <w:b/>
          <w:sz w:val="32"/>
          <w:lang w:val="en-US"/>
        </w:rPr>
      </w:pPr>
    </w:p>
    <w:p w:rsidR="00000000" w:rsidRDefault="00000000">
      <w:pPr>
        <w:jc w:val="center"/>
        <w:rPr>
          <w:b/>
          <w:sz w:val="32"/>
          <w:lang w:val="en-US"/>
        </w:rPr>
      </w:pPr>
    </w:p>
    <w:p w:rsidR="00000000" w:rsidRDefault="00000000">
      <w:pPr>
        <w:jc w:val="center"/>
        <w:rPr>
          <w:b/>
          <w:sz w:val="32"/>
          <w:lang w:val="en-US"/>
        </w:rPr>
      </w:pPr>
    </w:p>
    <w:p w:rsidR="00000000" w:rsidRDefault="00000000">
      <w:pPr>
        <w:jc w:val="center"/>
        <w:rPr>
          <w:b/>
          <w:sz w:val="32"/>
        </w:rPr>
      </w:pPr>
      <w:r>
        <w:rPr>
          <w:b/>
          <w:sz w:val="32"/>
        </w:rPr>
        <w:t xml:space="preserve">ОБЪЕДИНЕННЫЕ ЧЕТВЕРТЫЙ И ПЯТЫЙ ПЕРИОДИЧЕСКИЕ ДОКЛАДЫ </w:t>
      </w:r>
      <w:r>
        <w:rPr>
          <w:b/>
          <w:sz w:val="32"/>
        </w:rPr>
        <w:br/>
        <w:t>ГОСУДАРСТВ-УЧАСТНИКОВ</w:t>
      </w:r>
    </w:p>
    <w:p w:rsidR="00000000" w:rsidRDefault="00000000">
      <w:pPr>
        <w:jc w:val="center"/>
        <w:rPr>
          <w:b/>
          <w:sz w:val="32"/>
        </w:rPr>
      </w:pPr>
    </w:p>
    <w:p w:rsidR="00000000" w:rsidRDefault="00000000">
      <w:pPr>
        <w:jc w:val="center"/>
        <w:rPr>
          <w:b/>
          <w:sz w:val="32"/>
        </w:rPr>
      </w:pPr>
    </w:p>
    <w:p w:rsidR="00000000" w:rsidRDefault="00000000">
      <w:pPr>
        <w:spacing w:before="120"/>
        <w:jc w:val="center"/>
        <w:rPr>
          <w:b/>
          <w:sz w:val="32"/>
        </w:rPr>
      </w:pPr>
      <w:r>
        <w:rPr>
          <w:b/>
          <w:sz w:val="32"/>
        </w:rPr>
        <w:t xml:space="preserve">КОМИТЕТ ПО ЛИКВИДАЦИИ </w:t>
      </w:r>
      <w:r>
        <w:rPr>
          <w:b/>
          <w:sz w:val="32"/>
        </w:rPr>
        <w:br/>
        <w:t>ДИСКРИМИНАЦИИ</w:t>
      </w:r>
      <w:r>
        <w:rPr>
          <w:b/>
          <w:sz w:val="32"/>
        </w:rPr>
        <w:br/>
        <w:t>В ОТНОШЕНИИ ЖЕНЩИН</w:t>
      </w:r>
    </w:p>
    <w:p w:rsidR="00000000" w:rsidRDefault="00000000">
      <w:pPr>
        <w:jc w:val="center"/>
        <w:rPr>
          <w:b/>
          <w:lang w:val="en-US"/>
        </w:rPr>
      </w:pPr>
    </w:p>
    <w:p w:rsidR="00000000" w:rsidRDefault="00000000">
      <w:pPr>
        <w:jc w:val="center"/>
        <w:rPr>
          <w:b/>
          <w:lang w:val="en-US"/>
        </w:rPr>
      </w:pPr>
    </w:p>
    <w:p w:rsidR="00000000" w:rsidRDefault="00000000">
      <w:pPr>
        <w:jc w:val="center"/>
        <w:rPr>
          <w:b/>
          <w:lang w:val="en-US"/>
        </w:rPr>
      </w:pPr>
    </w:p>
    <w:p w:rsidR="00000000" w:rsidRDefault="00000000">
      <w:pPr>
        <w:pStyle w:val="BodyText2"/>
        <w:rPr>
          <w:caps w:val="0"/>
          <w:lang w:val="en-US"/>
        </w:rPr>
      </w:pPr>
      <w:r>
        <w:rPr>
          <w:caps w:val="0"/>
          <w:lang w:val="en-US"/>
        </w:rPr>
        <w:t>(1990–1998</w:t>
      </w:r>
      <w:r>
        <w:rPr>
          <w:caps w:val="0"/>
        </w:rPr>
        <w:t xml:space="preserve"> годы</w:t>
      </w:r>
      <w:r>
        <w:rPr>
          <w:caps w:val="0"/>
          <w:lang w:val="en-US"/>
        </w:rPr>
        <w:t>)</w:t>
      </w:r>
    </w:p>
    <w:p w:rsidR="00000000" w:rsidRDefault="00000000">
      <w:pPr>
        <w:jc w:val="center"/>
        <w:rPr>
          <w:b/>
          <w:lang w:val="en-US"/>
        </w:rPr>
      </w:pPr>
    </w:p>
    <w:p w:rsidR="00000000" w:rsidRDefault="00000000">
      <w:pPr>
        <w:jc w:val="center"/>
        <w:rPr>
          <w:b/>
          <w:lang w:val="en-US"/>
        </w:rPr>
      </w:pPr>
    </w:p>
    <w:p w:rsidR="00000000" w:rsidRDefault="00000000">
      <w:pPr>
        <w:jc w:val="center"/>
        <w:rPr>
          <w:b/>
          <w:lang w:val="en-US"/>
        </w:rPr>
      </w:pPr>
    </w:p>
    <w:p w:rsidR="00000000" w:rsidRDefault="00000000">
      <w:pPr>
        <w:jc w:val="center"/>
        <w:rPr>
          <w:b/>
          <w:lang w:val="en-US"/>
        </w:rPr>
      </w:pPr>
    </w:p>
    <w:p w:rsidR="00000000" w:rsidRDefault="00000000">
      <w:pPr>
        <w:jc w:val="center"/>
        <w:rPr>
          <w:b/>
          <w:lang w:val="en-US"/>
        </w:rPr>
      </w:pPr>
    </w:p>
    <w:p w:rsidR="00000000" w:rsidRDefault="00000000">
      <w:pPr>
        <w:jc w:val="center"/>
        <w:rPr>
          <w:b/>
        </w:rPr>
      </w:pPr>
    </w:p>
    <w:p w:rsidR="00000000" w:rsidRDefault="00000000">
      <w:pPr>
        <w:jc w:val="center"/>
        <w:rPr>
          <w:b/>
        </w:rPr>
      </w:pPr>
    </w:p>
    <w:p w:rsidR="00000000" w:rsidRDefault="00000000">
      <w:pPr>
        <w:pStyle w:val="Heading1"/>
        <w:rPr>
          <w:caps w:val="0"/>
        </w:rPr>
      </w:pPr>
      <w:r>
        <w:rPr>
          <w:caps w:val="0"/>
        </w:rPr>
        <w:t>Кито, декабрь 2001 года</w:t>
      </w:r>
    </w:p>
    <w:p w:rsidR="00000000" w:rsidRDefault="00000000">
      <w:pPr>
        <w:pStyle w:val="Heading1"/>
      </w:pPr>
      <w:r>
        <w:br w:type="page"/>
        <w:t>ВВЕДЕНИЕ</w:t>
      </w:r>
    </w:p>
    <w:p w:rsidR="00000000" w:rsidRDefault="00000000">
      <w:pPr>
        <w:pStyle w:val="BodyText"/>
      </w:pPr>
      <w:r>
        <w:t>1.</w:t>
      </w:r>
      <w:r>
        <w:tab/>
        <w:t>9</w:t>
      </w:r>
      <w:r>
        <w:rPr>
          <w:lang w:val="en-US"/>
        </w:rPr>
        <w:t> </w:t>
      </w:r>
      <w:r>
        <w:t>ноября 1981 года Республика Эквадор без каких-либо оговорок ратифицировала Конвенцию о ликвидации всех форм дискриминации в отношении женщин, которая была подписана 17 июля 1980 года.</w:t>
      </w:r>
    </w:p>
    <w:p w:rsidR="00000000" w:rsidRDefault="00000000">
      <w:pPr>
        <w:pStyle w:val="BodyText"/>
      </w:pPr>
      <w:r>
        <w:t>2.</w:t>
      </w:r>
      <w:r>
        <w:tab/>
        <w:t>В марте 1986 года Комитет по ликвидации дискриминации в отношении женщин рассмотрел первый доклад Эквадора в соответствии со статьей</w:t>
      </w:r>
      <w:r>
        <w:rPr>
          <w:lang w:val="en-US"/>
        </w:rPr>
        <w:t> </w:t>
      </w:r>
      <w:r>
        <w:t>18 Конвенции (</w:t>
      </w:r>
      <w:r>
        <w:rPr>
          <w:lang w:val="en-US"/>
        </w:rPr>
        <w:t>CEDAW</w:t>
      </w:r>
      <w:r>
        <w:t>/5/</w:t>
      </w:r>
      <w:r>
        <w:rPr>
          <w:lang w:val="en-US"/>
        </w:rPr>
        <w:t>Add</w:t>
      </w:r>
      <w:r>
        <w:t>.23). В январе 1994 года Комитет рассмотрел второй и третий периодические доклады Эквадора (</w:t>
      </w:r>
      <w:r>
        <w:rPr>
          <w:lang w:val="en-US"/>
        </w:rPr>
        <w:t>CEDAW</w:t>
      </w:r>
      <w:r>
        <w:t>/13/</w:t>
      </w:r>
      <w:r>
        <w:rPr>
          <w:lang w:val="en-US"/>
        </w:rPr>
        <w:t>Add</w:t>
      </w:r>
      <w:r>
        <w:t xml:space="preserve">.31 и </w:t>
      </w:r>
      <w:r>
        <w:rPr>
          <w:lang w:val="en-US"/>
        </w:rPr>
        <w:t>CEDAW</w:t>
      </w:r>
      <w:r>
        <w:t>/</w:t>
      </w:r>
      <w:r>
        <w:rPr>
          <w:lang w:val="en-US"/>
        </w:rPr>
        <w:t>ECU</w:t>
      </w:r>
      <w:r>
        <w:t>/3).</w:t>
      </w:r>
    </w:p>
    <w:p w:rsidR="00000000" w:rsidRDefault="00000000">
      <w:pPr>
        <w:pStyle w:val="BodyText"/>
      </w:pPr>
      <w:r>
        <w:t>3.</w:t>
      </w:r>
      <w:r>
        <w:tab/>
        <w:t>Настоящим правительство Эквадора имеет честь представить, в соответствии со статьей</w:t>
      </w:r>
      <w:r>
        <w:rPr>
          <w:lang w:val="en-US"/>
        </w:rPr>
        <w:t> </w:t>
      </w:r>
      <w:r>
        <w:t>18 и согласно основным направлениям, изложенным в документе</w:t>
      </w:r>
      <w:r>
        <w:rPr>
          <w:lang w:val="en-US"/>
        </w:rPr>
        <w:t> CEDAW</w:t>
      </w:r>
      <w:r>
        <w:t>/</w:t>
      </w:r>
      <w:r>
        <w:rPr>
          <w:lang w:val="en-US"/>
        </w:rPr>
        <w:t>C</w:t>
      </w:r>
      <w:r>
        <w:t>/7/</w:t>
      </w:r>
      <w:r>
        <w:rPr>
          <w:lang w:val="en-US"/>
        </w:rPr>
        <w:t>Rev</w:t>
      </w:r>
      <w:r>
        <w:t>.3, на рассмотрение Комитета четвертый и пятый периодические доклады о применении Конвенции за 1990–1998 годы.</w:t>
      </w:r>
    </w:p>
    <w:p w:rsidR="00000000" w:rsidRDefault="00000000">
      <w:pPr>
        <w:pStyle w:val="BodyText"/>
      </w:pPr>
      <w:r>
        <w:t>4.</w:t>
      </w:r>
      <w:r>
        <w:tab/>
        <w:t xml:space="preserve">Правительство Эквадора дополнительно представило Подготовительному комитету специальной сессии Генеральной Ассамблеи под названием "Женщины в 2000 году: равенство между мужчинами и женщинами, развитие и мир в </w:t>
      </w:r>
      <w:r>
        <w:rPr>
          <w:lang w:val="en-US"/>
        </w:rPr>
        <w:t>XXI</w:t>
      </w:r>
      <w:r>
        <w:t xml:space="preserve"> веке" доклад о применении Декларации и Плана действий, принятых на четвертой Всемирной конференции по положению женщин, которая состоялась в Пекине в 1995</w:t>
      </w:r>
      <w:r>
        <w:rPr>
          <w:lang w:val="en-US"/>
        </w:rPr>
        <w:t> </w:t>
      </w:r>
      <w:r>
        <w:t>году.</w:t>
      </w:r>
    </w:p>
    <w:p w:rsidR="00000000" w:rsidRDefault="00000000">
      <w:pPr>
        <w:pStyle w:val="BodyText"/>
      </w:pPr>
      <w:r>
        <w:t>5.</w:t>
      </w:r>
      <w:r>
        <w:tab/>
        <w:t>Относительно комментариев и рекомендаций, сделанных Комитетом по ликвидации дискриминации в отношении женщин в январе 1994 года, следует отметить, что ответы на высказанные замечания и обеспокоенность получили отражение в соответствующих разделах настоящего доклада, равно как и информация о принятых мерах. Вместе с тем ввиду важности или специфичности некоторых вопросов представляется уместным представить  их краткий обзор во вводном разделе.</w:t>
      </w:r>
    </w:p>
    <w:p w:rsidR="00000000" w:rsidRDefault="00000000">
      <w:pPr>
        <w:pStyle w:val="BodyText"/>
      </w:pPr>
      <w:r>
        <w:t>6.</w:t>
      </w:r>
      <w:r>
        <w:tab/>
        <w:t>Пункт</w:t>
      </w:r>
      <w:r>
        <w:rPr>
          <w:lang w:val="en-US"/>
        </w:rPr>
        <w:t> </w:t>
      </w:r>
      <w:r>
        <w:t xml:space="preserve">541 заключения Комитета относительно необходимости правовой реформы, направленной на ликвидацию дискриминации в отношении женщин и содействие улучшению их положения. Благодаря принятию </w:t>
      </w:r>
      <w:r>
        <w:rPr>
          <w:caps/>
        </w:rPr>
        <w:t>з</w:t>
      </w:r>
      <w:r>
        <w:t>акона № 043 от 18 августа 1989 года в Гражданский кодекс было внесено 81 изменение, в результате чего расширились правовые возможности женщин в отношении заключения брака, супружеских взаимоотношений, брачного контракта, обязанностей и прав супругов, родительских прав и прекращения брака.</w:t>
      </w:r>
    </w:p>
    <w:p w:rsidR="00000000" w:rsidRDefault="00000000">
      <w:pPr>
        <w:pStyle w:val="BodyText"/>
      </w:pPr>
      <w:r>
        <w:t>7.</w:t>
      </w:r>
      <w:r>
        <w:tab/>
        <w:t>Пункт</w:t>
      </w:r>
      <w:r>
        <w:rPr>
          <w:lang w:val="en-US"/>
        </w:rPr>
        <w:t> </w:t>
      </w:r>
      <w:r>
        <w:t xml:space="preserve">521, в котором представлены замечания Комитета в связи с отсутствием законов "позитивно дискриминационного характера" в интересах женщин. За последние годы были приняты такие законы, как </w:t>
      </w:r>
      <w:r>
        <w:rPr>
          <w:caps/>
        </w:rPr>
        <w:t>з</w:t>
      </w:r>
      <w:r>
        <w:t xml:space="preserve">акон о борьбе с насилием в отношении женщин, о детях и семье, </w:t>
      </w:r>
      <w:r>
        <w:rPr>
          <w:caps/>
        </w:rPr>
        <w:t>з</w:t>
      </w:r>
      <w:r>
        <w:t xml:space="preserve">акон о праве на труд и реформаторский </w:t>
      </w:r>
      <w:r>
        <w:rPr>
          <w:caps/>
        </w:rPr>
        <w:t>з</w:t>
      </w:r>
      <w:r>
        <w:t xml:space="preserve">акон о бесплатной медицинской помощи беременным, роженицам и новорожденным. </w:t>
      </w:r>
    </w:p>
    <w:p w:rsidR="00000000" w:rsidRDefault="00000000">
      <w:pPr>
        <w:pStyle w:val="BodyText"/>
      </w:pPr>
      <w:r>
        <w:t>8.</w:t>
      </w:r>
      <w:r>
        <w:tab/>
        <w:t>Пункт 542. В связи с замечанием относительно необходимости укрепления национальных механизмов защиты интересов женщин следует отметить, что правительственным декретом № 764 от 28 октября 1997 года был создан Национальный совет по делам женщин, имеющий статус автономного, социально ориентированного государственного учреждения, обладающего собственным штатом юристов, имуществом, а также финансовой и административной структурой. Он находится в подчинении у аппарата президента Республики и имеет главной целью координацию государственной политики в области гендерных проблем.</w:t>
      </w:r>
    </w:p>
    <w:p w:rsidR="00000000" w:rsidRDefault="00000000">
      <w:pPr>
        <w:pStyle w:val="BodyText"/>
      </w:pPr>
      <w:r>
        <w:t>9.</w:t>
      </w:r>
      <w:r>
        <w:tab/>
        <w:t>Пункт 544. Эквадор уделяет особое внимание проведению кампаний с целью предотвращения и осуждения актов насилия в отношении женщин. Помимо применения соответствующего закона государство поддерживает информационные кампании, а также создание комиссариатов по делам женщин – организаций, действующих при поддержке органов судебной власти, национальной полиции и неправительственных организаций.</w:t>
      </w:r>
    </w:p>
    <w:p w:rsidR="00000000" w:rsidRDefault="00000000">
      <w:pPr>
        <w:pStyle w:val="BodyText"/>
      </w:pPr>
      <w:r>
        <w:t>10.</w:t>
      </w:r>
      <w:r>
        <w:tab/>
        <w:t>Пункт</w:t>
      </w:r>
      <w:r>
        <w:rPr>
          <w:lang w:val="en-US"/>
        </w:rPr>
        <w:t> </w:t>
      </w:r>
      <w:r>
        <w:t>545. Об участии представителей гражданского общества и женских организаций в поисках решения проблем, связанных с бедностью и дискриминацией по признаку пола. В этом отношении эквадорское государство гарантирует широкое участие всех заинтересованных слоев общества. Национальный совет по делам женщин представляет собой такое государственное учреждение, к руководству которым привлечены представители гражданского общества.</w:t>
      </w:r>
    </w:p>
    <w:p w:rsidR="00000000" w:rsidRDefault="00000000">
      <w:pPr>
        <w:pStyle w:val="BodyText"/>
      </w:pPr>
      <w:r>
        <w:t>11.</w:t>
      </w:r>
      <w:r>
        <w:tab/>
        <w:t xml:space="preserve">Пункт 513. В отношении того, в какой степени Национальный конгресс уделяет внимание социальным и гендерным вопросам, следует отметить, что за последние годы парламентом был разработан и утвержден ряд законопроектов, регулирующих права граждан, как мужчин, так и женщин, на получение социальных выплат и определяющих институциональную роль учреждений, оказывающих подобные услуги, а также были ратифицированы международные соглашения о социальных правах и гарантиях. Помимо </w:t>
      </w:r>
      <w:r>
        <w:rPr>
          <w:caps/>
        </w:rPr>
        <w:t>п</w:t>
      </w:r>
      <w:r>
        <w:t>остоянной комиссии по вопросам труда и социальным проблемам, созданной в 80-е годы, с 1998 года были образованы комиссии Национального конгресса, ответственные за рассмотрение относящихся к социальной сфере вопросов: образование и культура; улучшение положения женщин, детей и семьи; а также проблемы коренного населения. Комиссии работают в тесном взаимодействии с представителями гражданского общества и получают поддержку последних.</w:t>
      </w:r>
    </w:p>
    <w:p w:rsidR="00000000" w:rsidRDefault="00000000">
      <w:pPr>
        <w:pStyle w:val="Heading1"/>
      </w:pPr>
      <w:r>
        <w:t xml:space="preserve">часть </w:t>
      </w:r>
      <w:r>
        <w:rPr>
          <w:lang w:val="en-US"/>
        </w:rPr>
        <w:t>I</w:t>
      </w:r>
    </w:p>
    <w:p w:rsidR="00000000" w:rsidRDefault="00000000">
      <w:pPr>
        <w:pStyle w:val="Heading2"/>
      </w:pPr>
      <w:r>
        <w:t>Территория и народонаселение</w:t>
      </w:r>
    </w:p>
    <w:p w:rsidR="00000000" w:rsidRDefault="00000000">
      <w:pPr>
        <w:pStyle w:val="BodyText"/>
      </w:pPr>
      <w:r>
        <w:t>12.</w:t>
      </w:r>
      <w:r>
        <w:tab/>
        <w:t>26 октября 1998 года в городе Бразилиа между Эквадором и Перу президентами двух стран был подписан акт и заключены соглашения между комиссиями, участвовавшими в переговорах, по вопросам территориальных разногласий. Работа по демаркации общей наземной границы была начата 17</w:t>
      </w:r>
      <w:r>
        <w:rPr>
          <w:lang w:val="en-US"/>
        </w:rPr>
        <w:t> </w:t>
      </w:r>
      <w:r>
        <w:t>января 1999 года в секторе Лагарточоча – Гуэби. После того как был установлен последний пограничный столб в секторах Кордильера-дель-Кондор и Кусумаса, президенты Эквадора и Перу, Джамиль Мауад и Альберто Фухимори, подписали Президентскую декларацию, официально оформившую завершение делимитации границы между Эквадором и Перу и вступление в силу договоров о мире.</w:t>
      </w:r>
    </w:p>
    <w:p w:rsidR="00000000" w:rsidRDefault="00000000">
      <w:pPr>
        <w:pStyle w:val="BodyText"/>
      </w:pPr>
      <w:r>
        <w:t>13.</w:t>
      </w:r>
      <w:r>
        <w:tab/>
        <w:t>Столица Эквадора – город Кито. В 1988 году были внесены изменения в политико-административное устройство страны – была образована провинция Орельяна, а в 1999 году – провинция Сукумбиос. В настоящее время Республика Эквадор делится на 22 провинции: 5 – в Косте, 10 – в Сьерре, 6 – в Орьенте и 1 – в районе Галапагосских островов.</w:t>
      </w:r>
    </w:p>
    <w:p w:rsidR="00000000" w:rsidRDefault="00000000">
      <w:pPr>
        <w:pStyle w:val="BodyText"/>
      </w:pPr>
      <w:r>
        <w:t>14.</w:t>
      </w:r>
      <w:r>
        <w:tab/>
        <w:t>В 1997 году численность населения составляла 11 936 858 человек, из которых 5 940 490 – женщины и 5 996 368 – мужчины. Согласно переписи населения 1990 года, численность жителей Эквадора составляла 9 648 189 человек, причем на долю женщин приходилось 4 851 777, то есть 50,3 процента. Согласно показателям 2000 года, в Эквадоре в этом году насчитывалось 12 592 480 жителей</w:t>
      </w:r>
      <w:r>
        <w:rPr>
          <w:rStyle w:val="FootnoteReference"/>
        </w:rPr>
        <w:footnoteReference w:id="2"/>
      </w:r>
      <w:r>
        <w:t>.</w:t>
      </w:r>
    </w:p>
    <w:p w:rsidR="00000000" w:rsidRDefault="00000000">
      <w:pPr>
        <w:pStyle w:val="BodyText"/>
      </w:pPr>
      <w:r>
        <w:t>15.</w:t>
      </w:r>
      <w:r>
        <w:tab/>
        <w:t>Как свидетельствуют данные за последние годы, общий показатель фертильности в Эквадоре снизился: в 1993 году он составлял 101,4 на 1000; в 1994 – 97,9; в 1995 – 92,8; в 1996 – 90,0; в 1997 – 87,7; в 1998 году – 84,7</w:t>
      </w:r>
      <w:r>
        <w:rPr>
          <w:rStyle w:val="FootnoteReference"/>
        </w:rPr>
        <w:footnoteReference w:id="3"/>
      </w:r>
      <w:r>
        <w:t>.</w:t>
      </w:r>
    </w:p>
    <w:p w:rsidR="00000000" w:rsidRDefault="00000000">
      <w:pPr>
        <w:pStyle w:val="BodyText"/>
      </w:pPr>
      <w:r>
        <w:t>16.</w:t>
      </w:r>
      <w:r>
        <w:tab/>
        <w:t>Уровень рождаемости в Эквадоре снизился: в 1990 году он составлял 25,7 на 1000 человек, а в 1997 – 22,8. Также снизился уровень смертности: в 1990 году он составлял 4,9 на 1000 человек, а в 1997 году – 4,4. Уровень смертности среди детей в возрасте до пяти лет в 1997 году составлял 5,5 на 1000 человек, а в 1998 году – 5,2</w:t>
      </w:r>
      <w:r>
        <w:rPr>
          <w:rStyle w:val="FootnoteReference"/>
        </w:rPr>
        <w:footnoteReference w:id="4"/>
      </w:r>
      <w:r>
        <w:t>. Несмотря на улучшение показателей рождаемости и смертности, последние еще не достигли оптимальной величины.</w:t>
      </w:r>
    </w:p>
    <w:p w:rsidR="00000000" w:rsidRDefault="00000000">
      <w:pPr>
        <w:pStyle w:val="BodyText"/>
      </w:pPr>
      <w:r>
        <w:t>17.</w:t>
      </w:r>
      <w:r>
        <w:tab/>
        <w:t xml:space="preserve">Согласно переписи населения, в 1990 году 45 процентов населения Эквадора проживали в сельских районах, и предполагается, что в начале </w:t>
      </w:r>
      <w:r>
        <w:rPr>
          <w:lang w:val="en-US"/>
        </w:rPr>
        <w:t>XXI</w:t>
      </w:r>
      <w:r>
        <w:t> века этот показатель снизится до 36 процентов.</w:t>
      </w:r>
    </w:p>
    <w:p w:rsidR="00000000" w:rsidRDefault="00000000">
      <w:pPr>
        <w:pStyle w:val="BodyText"/>
      </w:pPr>
      <w:r>
        <w:t>18.</w:t>
      </w:r>
      <w:r>
        <w:tab/>
        <w:t>К 1998 году в стране насчитывалось 465 860 женщин – глав домашних хозяйств (18,8 процента), из них 147 631 (15,1 процента) – в сельских районах и 318 229 (21,3 процента) – в городах. Среди лиц пожилого возраста семьи, состоящие из одного человека, представлены главным образом женщинами</w:t>
      </w:r>
      <w:r>
        <w:rPr>
          <w:rStyle w:val="FootnoteReference"/>
        </w:rPr>
        <w:footnoteReference w:id="5"/>
      </w:r>
      <w:r>
        <w:t>.</w:t>
      </w:r>
    </w:p>
    <w:p w:rsidR="00000000" w:rsidRDefault="00000000">
      <w:pPr>
        <w:pStyle w:val="BodyText"/>
      </w:pPr>
      <w:r>
        <w:t>19.</w:t>
      </w:r>
      <w:r>
        <w:tab/>
        <w:t>Официальный язык – испанский. Кечуа, шуар и другие местные языки официально закреплены за коренным населением. Государство гарантирует межкультурную и двуязычную систему образования, в которой в качестве основного используется язык соответствующей культуры, а испанский функционирует как язык межкультурного общения.</w:t>
      </w:r>
    </w:p>
    <w:p w:rsidR="00000000" w:rsidRDefault="00000000">
      <w:pPr>
        <w:pStyle w:val="BodyText"/>
      </w:pPr>
      <w:r>
        <w:t>20.</w:t>
      </w:r>
      <w:r>
        <w:tab/>
        <w:t>Пункт 11 статьи 23 Конституции Эквадора гарантирует "свободу совести, свободу вероисповедания, осуществляемого в индивидуальной или коллективной форме, публично или частным образом. Разрешается свободное отправление культа, за исключением ограничений, налагаемых законом в целях защиты разнообразия, плюрализма, безопасности и прав остальных граждан". Следует отметить, что религиозная принадлежность не фигурирует в качестве показателя национальной статистики.</w:t>
      </w:r>
    </w:p>
    <w:p w:rsidR="00000000" w:rsidRDefault="00000000">
      <w:pPr>
        <w:pStyle w:val="BodyText"/>
      </w:pPr>
      <w:r>
        <w:t>21.</w:t>
      </w:r>
      <w:r>
        <w:tab/>
        <w:t>С начала 80-х</w:t>
      </w:r>
      <w:r>
        <w:rPr>
          <w:lang w:val="en-US"/>
        </w:rPr>
        <w:t> </w:t>
      </w:r>
      <w:r>
        <w:t>годов экономическая жизнь страны характеризовалась стабилизацией, осуществлением структурных реформ, модернизацией государства, либерализацией экономики; в целом были созданы условия для выхода на международный рынок. Валовой внутренний продукт на душу населения, выраженный в долларах, за последние годы был следующим</w:t>
      </w:r>
      <w:r>
        <w:rPr>
          <w:rStyle w:val="FootnoteReference"/>
        </w:rPr>
        <w:footnoteReference w:id="6"/>
      </w:r>
      <w:r>
        <w:t>:</w:t>
      </w:r>
    </w:p>
    <w:p w:rsidR="00000000" w:rsidRDefault="00000000">
      <w:pPr>
        <w:pStyle w:val="BodyText"/>
        <w:tabs>
          <w:tab w:val="clear" w:pos="680"/>
          <w:tab w:val="left" w:pos="340"/>
          <w:tab w:val="left" w:pos="2268"/>
        </w:tabs>
        <w:spacing w:after="0"/>
      </w:pPr>
      <w:r>
        <w:sym w:font="Symbol" w:char="F0B7"/>
      </w:r>
      <w:r>
        <w:tab/>
        <w:t>1994 год</w:t>
      </w:r>
      <w:r>
        <w:tab/>
        <w:t>1504</w:t>
      </w:r>
    </w:p>
    <w:p w:rsidR="00000000" w:rsidRDefault="00000000">
      <w:pPr>
        <w:pStyle w:val="BodyText"/>
        <w:tabs>
          <w:tab w:val="clear" w:pos="680"/>
          <w:tab w:val="left" w:pos="340"/>
          <w:tab w:val="left" w:pos="2268"/>
        </w:tabs>
        <w:spacing w:after="0"/>
      </w:pPr>
      <w:r>
        <w:sym w:font="Symbol" w:char="F0B7"/>
      </w:r>
      <w:r>
        <w:tab/>
        <w:t>1995 год</w:t>
      </w:r>
      <w:r>
        <w:tab/>
        <w:t>1571</w:t>
      </w:r>
    </w:p>
    <w:p w:rsidR="00000000" w:rsidRDefault="00000000">
      <w:pPr>
        <w:pStyle w:val="BodyText"/>
        <w:tabs>
          <w:tab w:val="clear" w:pos="680"/>
          <w:tab w:val="left" w:pos="340"/>
          <w:tab w:val="left" w:pos="2268"/>
        </w:tabs>
        <w:spacing w:after="0"/>
      </w:pPr>
      <w:r>
        <w:sym w:font="Symbol" w:char="F0B7"/>
      </w:r>
      <w:r>
        <w:tab/>
        <w:t>1996 год</w:t>
      </w:r>
      <w:r>
        <w:tab/>
        <w:t>1638</w:t>
      </w:r>
    </w:p>
    <w:p w:rsidR="00000000" w:rsidRDefault="00000000">
      <w:pPr>
        <w:pStyle w:val="BodyText"/>
        <w:tabs>
          <w:tab w:val="clear" w:pos="680"/>
          <w:tab w:val="left" w:pos="340"/>
          <w:tab w:val="left" w:pos="2268"/>
        </w:tabs>
        <w:spacing w:after="0"/>
      </w:pPr>
      <w:r>
        <w:sym w:font="Symbol" w:char="F0B7"/>
      </w:r>
      <w:r>
        <w:tab/>
        <w:t>1997 год</w:t>
      </w:r>
      <w:r>
        <w:tab/>
        <w:t>1655</w:t>
      </w:r>
    </w:p>
    <w:p w:rsidR="00000000" w:rsidRDefault="00000000">
      <w:pPr>
        <w:pStyle w:val="BodyText"/>
        <w:tabs>
          <w:tab w:val="clear" w:pos="680"/>
          <w:tab w:val="left" w:pos="340"/>
          <w:tab w:val="left" w:pos="2268"/>
        </w:tabs>
      </w:pPr>
      <w:r>
        <w:sym w:font="Symbol" w:char="F0B7"/>
      </w:r>
      <w:r>
        <w:tab/>
        <w:t>1998 год</w:t>
      </w:r>
      <w:r>
        <w:tab/>
        <w:t>1612</w:t>
      </w:r>
    </w:p>
    <w:p w:rsidR="00000000" w:rsidRDefault="00000000">
      <w:pPr>
        <w:pStyle w:val="BodyText"/>
      </w:pPr>
      <w:r>
        <w:t>22.</w:t>
      </w:r>
      <w:r>
        <w:tab/>
        <w:t>В 1990–1997 годах экономический рост в стране составил 3 процента, в то время как в 1998 году были отмечены самые низкие темпы развития экономики Эквадора за последнее десятилетие и уровень прироста ВВП находился на отметке 0,4 процента</w:t>
      </w:r>
      <w:r>
        <w:rPr>
          <w:rStyle w:val="FootnoteReference"/>
        </w:rPr>
        <w:footnoteReference w:id="7"/>
      </w:r>
      <w:r>
        <w:t>.</w:t>
      </w:r>
    </w:p>
    <w:p w:rsidR="00000000" w:rsidRDefault="00000000">
      <w:pPr>
        <w:pStyle w:val="BodyText"/>
      </w:pPr>
      <w:r>
        <w:t>23.</w:t>
      </w:r>
      <w:r>
        <w:tab/>
        <w:t>В рамках деятельности в области здравоохранения характерны показатели доступа к питьевой воде: в 1993 году этот показатель составил 59,2 процента, причем в городах – 75,0 процента и в сельских районах – 27,5 процента. В 1996 году показатель доступа к питьевой воде составил 69,7 процента в среднем по стране, причем в городах – 81,5 процента и 50,9 процента – в сельских районах</w:t>
      </w:r>
      <w:r>
        <w:rPr>
          <w:rStyle w:val="FootnoteReference"/>
        </w:rPr>
        <w:footnoteReference w:id="8"/>
      </w:r>
      <w:r>
        <w:t>.</w:t>
      </w:r>
    </w:p>
    <w:p w:rsidR="00000000" w:rsidRDefault="00000000">
      <w:pPr>
        <w:pStyle w:val="Heading2"/>
        <w:spacing w:before="600"/>
      </w:pPr>
      <w:r>
        <w:t>политическое устройство</w:t>
      </w:r>
    </w:p>
    <w:p w:rsidR="00000000" w:rsidRDefault="00000000">
      <w:pPr>
        <w:pStyle w:val="BodyText"/>
      </w:pPr>
      <w:r>
        <w:t>24.</w:t>
      </w:r>
      <w:r>
        <w:tab/>
        <w:t>Функционирование государства обеспечивается законодательной, исполни</w:t>
      </w:r>
      <w:r>
        <w:softHyphen/>
        <w:t>тельной и судебной ветвями власти и контролируется административными и выборными органами. Законодательные функции осуществляет Национальный конгресс, находящийся в Кито.</w:t>
      </w:r>
    </w:p>
    <w:p w:rsidR="00000000" w:rsidRDefault="00000000">
      <w:pPr>
        <w:pStyle w:val="BodyText"/>
      </w:pPr>
      <w:r>
        <w:t>25.</w:t>
      </w:r>
      <w:r>
        <w:tab/>
        <w:t>В состав Конгресса входят по два депутата от каждой провинции, а также по одному депутату от 200 тыс. жителей или от фракции, набравшей более 150 тыс. голосов. Срок полномочий Национального конгресса составляет четыре года. Работой Национального конгресса руководят председатель и два его заместителя, которые избираются каждые два года и пользуются парламентским иммунитетом в период выполнения своих функций. В 1998 году на 20 депутатов национального парламента приходилось 4 женщины, а на 102 депутата выборных провинциальных органов – 12 женщин</w:t>
      </w:r>
      <w:r>
        <w:rPr>
          <w:rStyle w:val="FootnoteReference"/>
        </w:rPr>
        <w:footnoteReference w:id="9"/>
      </w:r>
      <w:r>
        <w:t>.</w:t>
      </w:r>
    </w:p>
    <w:p w:rsidR="00000000" w:rsidRDefault="00000000">
      <w:pPr>
        <w:pStyle w:val="BodyText"/>
      </w:pPr>
      <w:r>
        <w:t>26.</w:t>
      </w:r>
      <w:r>
        <w:tab/>
        <w:t>Исполнительная власть осуществляется президентом Республики, который является главой государства и правительства и несет ответственность за работу государственной администрации. Срок президентских полномочий составляет четыре года. Исполнительная власть осуществляется также вице-президентом Республики и государственными министрами.</w:t>
      </w:r>
    </w:p>
    <w:p w:rsidR="00000000" w:rsidRDefault="00000000">
      <w:pPr>
        <w:pStyle w:val="BodyText"/>
      </w:pPr>
      <w:r>
        <w:t>27.</w:t>
      </w:r>
      <w:r>
        <w:tab/>
        <w:t>К органам судебной власти относятся Верховный суд, суды различных инстанций, установленные Конституцией и законом, а также Национальный совет судебных органов. Конституцией предусматривается назначение мировых судей и учреждение должностей Народного защитника и Уполномоченного по защите прав женщин и детей, в обязанности которых входит разрешение конфликтов между лицами, общинами или соседями на основе равенства и справедливости.</w:t>
      </w:r>
    </w:p>
    <w:p w:rsidR="00000000" w:rsidRDefault="00000000">
      <w:pPr>
        <w:pStyle w:val="BodyText"/>
      </w:pPr>
      <w:r>
        <w:t>28.</w:t>
      </w:r>
      <w:r>
        <w:tab/>
        <w:t>Генеральная счетная палата, Генеральная прокуратура (орган надзора), Государственное министерство (следственный орган), Комиссия по гражданскому контролю за коррупцией и надзору представляют собой контролирующие органы, установленные Конституцией.</w:t>
      </w:r>
    </w:p>
    <w:p w:rsidR="00000000" w:rsidRDefault="00000000">
      <w:pPr>
        <w:pStyle w:val="BodyText"/>
      </w:pPr>
      <w:r>
        <w:t>29.</w:t>
      </w:r>
      <w:r>
        <w:tab/>
        <w:t>Комиссия гражданского контроля за коррупцией является юридическим лицом, которому государство делегировало свои полномочия, и действует от имени граждан страны в целях искоренения коррупции, принимает заявления о предположительно незаконных деяниях, совершенных в государственных учреждениях, и обладает прерогативой требовать  соответствующего расследования, осуждения и наказания.</w:t>
      </w:r>
    </w:p>
    <w:p w:rsidR="00000000" w:rsidRDefault="00000000">
      <w:pPr>
        <w:pStyle w:val="BodyText"/>
      </w:pPr>
      <w:r>
        <w:t>30.</w:t>
      </w:r>
      <w:r>
        <w:tab/>
        <w:t>Верховный избирательный трибунал является органом, ответственным за организацию и проведение выборов и других избирательных мероприятий, включая те из них, которые связаны с назначением представителей в международные выборные органы, если последнее установлено международными соглашениями.</w:t>
      </w:r>
    </w:p>
    <w:p w:rsidR="00000000" w:rsidRDefault="00000000">
      <w:pPr>
        <w:pStyle w:val="Heading2"/>
        <w:spacing w:before="600"/>
      </w:pPr>
      <w:r>
        <w:t>Общие нормативные рамки защиты прав человека</w:t>
      </w:r>
    </w:p>
    <w:p w:rsidR="00000000" w:rsidRDefault="00000000">
      <w:pPr>
        <w:pStyle w:val="BodyText"/>
      </w:pPr>
      <w:r>
        <w:t>31.</w:t>
      </w:r>
      <w:r>
        <w:tab/>
        <w:t>10 августа 1998 года вступила в силу новая Конституция Эквадора, закрепившая основные принципы защиты и развития прав человека на основе равенства и недискриминации.</w:t>
      </w:r>
    </w:p>
    <w:p w:rsidR="00000000" w:rsidRDefault="00000000">
      <w:pPr>
        <w:pStyle w:val="BodyText"/>
      </w:pPr>
      <w:r>
        <w:t>32.</w:t>
      </w:r>
      <w:r>
        <w:tab/>
        <w:t>В области программ содействия развитию культуры на основе принципов недискриминации, развития и защиты прав человека в начале 1998 года Министерство иностранных дел возглавило процесс разработки первого Национального плана защиты прав человека, в котором приняли участие многие организации гражданского общества, включая представителей организаций по защите интересов женщин, детей и подростков. План вступил в силу в качестве закона Республики посредством принятия правительственного декрета № 1527 от 18 июня 1998 года. Его официальный текст составлен на испанском языке и на кечуа.</w:t>
      </w:r>
    </w:p>
    <w:p w:rsidR="00000000" w:rsidRDefault="00000000">
      <w:pPr>
        <w:pStyle w:val="BodyText"/>
      </w:pPr>
      <w:r>
        <w:t>33.</w:t>
      </w:r>
      <w:r>
        <w:tab/>
        <w:t>В Национальном плане предусматривается проведение государственной политики при участии руководящих органов страны и граждан. Для его претворения в жизнь было разработано 16 оперативных планов, в осуществлении которых участвуют 540 общественных организаций страны. Данные оперативные планы направлены на защиту экономических, социальных и культурных прав, коллективных прав и прав человека  по отдельным группам населения, как, например, план защиты прав женщин. Для обеспечения эффективности данного документа, который позволит женщинам Эквадора полнее осуществлять свои права человека, план разрабатывался совместно с заинтересованными государственными учреждениями и гражданским обществом при содействии примерно 50 первичных организаций, НПО, профсоюзов, женских профессиональных ассоциаций, представителей основных направлений эквадорского движения женщин и учреждений, содействующих защите прав женщин или применяющих в своей работе гендерный подход.</w:t>
      </w:r>
    </w:p>
    <w:p w:rsidR="00000000" w:rsidRDefault="00000000">
      <w:pPr>
        <w:pStyle w:val="BodyText"/>
      </w:pPr>
      <w:r>
        <w:t>34.</w:t>
      </w:r>
      <w:r>
        <w:tab/>
        <w:t>В целях контроля за осуществлением прав человека в новой Конституции предусмотрено учреждение Конституционного суда и института Народного защитника, являющихся самостоятельными, публичными и общенациональными инстанциями. В рамках ведомства Народного защитника с 1998 года работает аппарат Уполномоченного по защите интересов женщин и детей, отстаивающего гендерный подход и защищающего гражданские права детей и подростков.</w:t>
      </w:r>
    </w:p>
    <w:p w:rsidR="00000000" w:rsidRDefault="00000000">
      <w:pPr>
        <w:pStyle w:val="Heading2"/>
        <w:spacing w:before="600"/>
      </w:pPr>
      <w:r>
        <w:t>Информация и ее распространение</w:t>
      </w:r>
    </w:p>
    <w:p w:rsidR="00000000" w:rsidRDefault="00000000">
      <w:pPr>
        <w:pStyle w:val="BodyText"/>
      </w:pPr>
      <w:r>
        <w:t>35.</w:t>
      </w:r>
      <w:r>
        <w:tab/>
        <w:t>Общенациональные организации по развитию и защите прав человека регулярно распространяют различные документы на национальном и международном уровнях в соответствии со сферой своей компетенции. Например, Национальный совет по делам женщин опубликовал следующие документы: Конвенцию о ликвидации всех форм дискриминации в отношении женщин; Межамериканскую конвенцию о предупреждении, наказании и искоренении насилия в отношении женщин; План равенства возможностей: 1996–2000 годы; "Конституция дает тебе права – теперь ты не одинока"; Закон о борьбе с насилием в отношении женщин и семьи; Венскую декларацию и Платформу действий; закон о внесении изменений в Закон о бесплатной медицинской помощи беременным, роженицам и новорожденным и т. п.</w:t>
      </w:r>
    </w:p>
    <w:p w:rsidR="00000000" w:rsidRDefault="00000000">
      <w:pPr>
        <w:pStyle w:val="BodyText"/>
      </w:pPr>
      <w:r>
        <w:t>36.</w:t>
      </w:r>
      <w:r>
        <w:tab/>
        <w:t>Министерство иностранных дел, со своей стороны, опубликовало на испанском языке и кечуа Национальный план защиты прав человека и Оперативный план защиты прав человека.</w:t>
      </w:r>
    </w:p>
    <w:p w:rsidR="00000000" w:rsidRDefault="00000000">
      <w:pPr>
        <w:pStyle w:val="Heading1"/>
        <w:spacing w:before="0" w:after="320"/>
      </w:pPr>
      <w:r>
        <w:t>Часть II</w:t>
      </w:r>
    </w:p>
    <w:p w:rsidR="00000000" w:rsidRDefault="00000000">
      <w:pPr>
        <w:pStyle w:val="Heading2"/>
        <w:spacing w:after="220"/>
      </w:pPr>
      <w:r>
        <w:t>Конкретная информация, ОТНОСЯЩАЯСЯ К ОСУЩЕСТВЛЕНИЮ статЕЙ Конвенции</w:t>
      </w:r>
    </w:p>
    <w:p w:rsidR="00000000" w:rsidRDefault="00000000">
      <w:pPr>
        <w:pStyle w:val="Heading3"/>
        <w:spacing w:after="220"/>
        <w:rPr>
          <w:caps/>
        </w:rPr>
      </w:pPr>
      <w:r>
        <w:rPr>
          <w:caps/>
        </w:rPr>
        <w:t>Статьи 1, 2 и 3</w:t>
      </w:r>
    </w:p>
    <w:p w:rsidR="00000000" w:rsidRDefault="00000000">
      <w:pPr>
        <w:pStyle w:val="Heading4"/>
        <w:spacing w:after="220"/>
      </w:pPr>
      <w:r>
        <w:t>СТАТЬЯ 1</w:t>
      </w:r>
    </w:p>
    <w:p w:rsidR="00000000" w:rsidRDefault="00000000">
      <w:pPr>
        <w:pStyle w:val="BodyText"/>
        <w:tabs>
          <w:tab w:val="left" w:pos="1361"/>
        </w:tabs>
        <w:spacing w:after="220"/>
        <w:ind w:left="680"/>
        <w:rPr>
          <w:i/>
        </w:rPr>
      </w:pPr>
      <w:r>
        <w:rPr>
          <w:i/>
        </w:rPr>
        <w:t>Для целей настоящей Конвенции понятие "дискриминация в отношении женщин" означает любое различие, исключение или ограничение по признаку пола, которое направлено на ослабление или сводит на нет признание, пользование или осуществление женщинами, независимо от их семейного положения, на основе равноправия мужчин и женщин, прав человека и основных свобод в политической, экономической, социальной, культурной, гражданской или любой другой области.</w:t>
      </w:r>
    </w:p>
    <w:p w:rsidR="00000000" w:rsidRDefault="00000000">
      <w:pPr>
        <w:pStyle w:val="Heading4"/>
        <w:spacing w:after="220"/>
      </w:pPr>
      <w:r>
        <w:t>СТАТЬЯ 2</w:t>
      </w:r>
    </w:p>
    <w:p w:rsidR="00000000" w:rsidRDefault="00000000">
      <w:pPr>
        <w:pStyle w:val="BodyText"/>
        <w:tabs>
          <w:tab w:val="clear" w:pos="680"/>
          <w:tab w:val="left" w:pos="1361"/>
        </w:tabs>
        <w:spacing w:after="220"/>
        <w:ind w:left="680"/>
        <w:rPr>
          <w:i/>
        </w:rPr>
      </w:pPr>
      <w:r>
        <w:rPr>
          <w:i/>
        </w:rPr>
        <w:t xml:space="preserve">Государства-участники осуждают дискриминацию в отношении женщин </w:t>
      </w:r>
      <w:r>
        <w:rPr>
          <w:i/>
        </w:rPr>
        <w:br/>
        <w:t>во всех ее формах, соглашаются безотлагательно всеми соответствующими способами проводить политику ликвидации дискриминации в отношении женщин и с этой целью обязуются:</w:t>
      </w:r>
    </w:p>
    <w:p w:rsidR="00000000" w:rsidRDefault="00000000">
      <w:pPr>
        <w:pStyle w:val="-"/>
      </w:pPr>
      <w:r>
        <w:t>а)</w:t>
      </w:r>
      <w:r>
        <w:tab/>
        <w:t>включить принцип равноправия мужчин и женщин в свои национальные конституции или другое соответствующее законодательство, если это еще не было сделано, и обеспечить с помощью закона и других соответствующих средств практическое осуществление этого принципа;</w:t>
      </w:r>
    </w:p>
    <w:p w:rsidR="00000000" w:rsidRDefault="00000000">
      <w:pPr>
        <w:pStyle w:val="-"/>
      </w:pPr>
      <w:r>
        <w:t>b)</w:t>
      </w:r>
      <w:r>
        <w:tab/>
        <w:t>принимать соответствующие законодательные и другие меры, включая санкции, там, где это необходимо, запрещающие всякую дискриминацию в отношении женщин;</w:t>
      </w:r>
    </w:p>
    <w:p w:rsidR="00000000" w:rsidRDefault="00000000">
      <w:pPr>
        <w:pStyle w:val="-"/>
      </w:pPr>
      <w:r>
        <w:t>с)</w:t>
      </w:r>
      <w:r>
        <w:tab/>
        <w:t>установить юридическую защиту прав женщин на равной основе с мужчинами и обеспечить с помощью компетентных национальных судов и других государственных учреждений эффективную защиту женщин против любого акта дискриминации;</w:t>
      </w:r>
    </w:p>
    <w:p w:rsidR="00000000" w:rsidRDefault="00000000">
      <w:pPr>
        <w:pStyle w:val="-"/>
      </w:pPr>
      <w:r>
        <w:t>d)</w:t>
      </w:r>
      <w:r>
        <w:tab/>
        <w:t>воздерживаться от совершения каких-либо дискриминационных актов или действий в отношении женщин и гарантировать, что государственные органы и учреждения будут действовать в соответствии с этим обязательством;</w:t>
      </w:r>
    </w:p>
    <w:p w:rsidR="00000000" w:rsidRDefault="00000000">
      <w:pPr>
        <w:pStyle w:val="-"/>
      </w:pPr>
      <w:r>
        <w:t>е)</w:t>
      </w:r>
      <w:r>
        <w:tab/>
        <w:t>принимать все соответствующие меры для ликвидации дискриминации в отношении женщин со стороны какого-либо лица, организации или предприятия;</w:t>
      </w:r>
    </w:p>
    <w:p w:rsidR="00000000" w:rsidRDefault="00000000">
      <w:pPr>
        <w:pStyle w:val="-"/>
      </w:pPr>
      <w:r>
        <w:t>f)</w:t>
      </w:r>
      <w:r>
        <w:tab/>
        <w:t>принимать все соответствующие меры, включая законодательные, для изменения или отмены действующих законов, постановлений, обычаев и практики, которые представляют собой дискриминацию в отношении женщин;</w:t>
      </w:r>
    </w:p>
    <w:p w:rsidR="00000000" w:rsidRDefault="00000000">
      <w:pPr>
        <w:pStyle w:val="BodyText"/>
        <w:tabs>
          <w:tab w:val="clear" w:pos="680"/>
          <w:tab w:val="left" w:pos="1021"/>
        </w:tabs>
        <w:ind w:left="340" w:hanging="340"/>
        <w:rPr>
          <w:i/>
          <w:color w:val="000000"/>
        </w:rPr>
      </w:pPr>
      <w:r>
        <w:rPr>
          <w:i/>
          <w:color w:val="000000"/>
        </w:rPr>
        <w:t>g)</w:t>
      </w:r>
      <w:r>
        <w:rPr>
          <w:i/>
          <w:color w:val="000000"/>
        </w:rPr>
        <w:tab/>
        <w:t>отменить все положения своего уголовного законодательства, которые представляют собой дискриминацию в отношении женщин.</w:t>
      </w:r>
    </w:p>
    <w:p w:rsidR="00000000" w:rsidRDefault="00000000">
      <w:pPr>
        <w:pStyle w:val="Heading4"/>
      </w:pPr>
      <w:r>
        <w:t>СТАТЬЯ 3</w:t>
      </w:r>
    </w:p>
    <w:p w:rsidR="00000000" w:rsidRDefault="00000000">
      <w:pPr>
        <w:pStyle w:val="BodyText"/>
        <w:tabs>
          <w:tab w:val="left" w:pos="1361"/>
        </w:tabs>
        <w:ind w:left="680" w:hanging="680"/>
        <w:rPr>
          <w:color w:val="000000"/>
        </w:rPr>
      </w:pPr>
      <w:r>
        <w:rPr>
          <w:i/>
          <w:color w:val="000000"/>
          <w:lang w:val="en-US"/>
        </w:rPr>
        <w:tab/>
      </w:r>
      <w:r>
        <w:rPr>
          <w:i/>
          <w:color w:val="000000"/>
        </w:rPr>
        <w:t>Государства-участники принимают во всех областях, и в частности в политической, социальной, экономической и культурной областях, все соответствующие меры, включая законодательные, для обеспечения всестороннего развития и прогресса женщин, с тем чтобы гарантировать им осуществление и пользование правами человека и основными свободами на основе равенства с мужчинами.</w:t>
      </w:r>
    </w:p>
    <w:p w:rsidR="00000000" w:rsidRDefault="00000000">
      <w:pPr>
        <w:pStyle w:val="BodyText"/>
        <w:rPr>
          <w:color w:val="000000"/>
        </w:rPr>
      </w:pPr>
      <w:r>
        <w:rPr>
          <w:color w:val="000000"/>
        </w:rPr>
        <w:t>37.</w:t>
      </w:r>
      <w:r>
        <w:rPr>
          <w:color w:val="000000"/>
        </w:rPr>
        <w:tab/>
        <w:t>Политическая конституция Эквадора 1979 года, равно как и ныне действующая Конституция, вступившая в силу 10</w:t>
      </w:r>
      <w:r>
        <w:t> </w:t>
      </w:r>
      <w:r>
        <w:rPr>
          <w:color w:val="000000"/>
        </w:rPr>
        <w:t>августа 1998 года, закрепляют равенство мужчин и женщин перед законом. В нынешней Конституции провозглашается: "Все граждане признаются равными и пользуются равными правами, свободами и возможностями, независимо от своего рождения, возраста, пола, цвета кожи, социального положения, языка, религии, политической принадлежности, материального положения, сексуальной ориентации, состояния здоровья, наличия инвалидности или каких-либо иных отличий".</w:t>
      </w:r>
    </w:p>
    <w:p w:rsidR="00000000" w:rsidRDefault="00000000">
      <w:pPr>
        <w:pStyle w:val="BodyText"/>
      </w:pPr>
      <w:r>
        <w:t>38.</w:t>
      </w:r>
      <w:r>
        <w:tab/>
        <w:t>Начиная с 1998 года межведомственными комитетами, образованными Национальным советом по делам женщин (КОНАМУ), а также специалистами Национального института статистики и переписи населения (ИНЕК), были предприняты усилия по учету гендерного подхода при подготовке будущих переписей. Кроме того, благодаря сотрудничеству указанных национальных ведомств была разработана Комплексная система социальных показателей Эквадора (СИИСЕ), которая включает две системы – СИМУХЕРЕС и СИНИНЬЕС, куда со всей страны поступает статистическая информация с учетом гендерного подхода и положения детей.</w:t>
      </w:r>
    </w:p>
    <w:p w:rsidR="00000000" w:rsidRDefault="00000000">
      <w:pPr>
        <w:pStyle w:val="BodyText"/>
      </w:pPr>
      <w:r>
        <w:t>39.</w:t>
      </w:r>
      <w:r>
        <w:tab/>
        <w:t>В гражданской сфере для принятия на себя обязательств, связанных с распоряжением семейным имуществом, глава семьи обязан заручиться письменным разрешением супруга. В противном случае брачный контракт не будет заключен или потеряет юридическую силу ввиду невыполнения указанного правового требования. Вместе с тем следует отметить, что по статистике главой семьи в большинстве случаев являются мужчины.</w:t>
      </w:r>
    </w:p>
    <w:p w:rsidR="00000000" w:rsidRDefault="00000000">
      <w:pPr>
        <w:pStyle w:val="BodyText"/>
      </w:pPr>
      <w:r>
        <w:t>40.</w:t>
      </w:r>
      <w:r>
        <w:tab/>
        <w:t>В соответствии с новой Конституцией государство должно содействовать соблюдению прав человека на основе недискриминации.</w:t>
      </w:r>
    </w:p>
    <w:p w:rsidR="00000000" w:rsidRDefault="00000000">
      <w:pPr>
        <w:pStyle w:val="BodyText"/>
      </w:pPr>
      <w:r>
        <w:t>41.</w:t>
      </w:r>
      <w:r>
        <w:tab/>
        <w:t>Статья 17 Конституции гласит: "Государство гарантирует всем жителям без какой-либо дискриминации свободное и эффективное осуществление прав человека, установленных в настоящей Конституции, а также в декларациях, договорах, соглашениях и других действующих международных документах. Посредством постоянных и временных планов и программ предусматривается принятие мер по обеспечению эффективного осуществления указанных прав".</w:t>
      </w:r>
    </w:p>
    <w:p w:rsidR="00000000" w:rsidRDefault="00000000">
      <w:pPr>
        <w:pStyle w:val="BodyText"/>
        <w:spacing w:after="200"/>
      </w:pPr>
      <w:r>
        <w:t>42.</w:t>
      </w:r>
      <w:r>
        <w:tab/>
        <w:t>За последние годы возросло участие женщин в политической жизни страны. На выборах в Национальную ассамблею 1997 года, членами которой была разработана новая Конституция, от женского движения были выдвинуты единые кандидатуры, а число кандидатов-женщин было самым большим за всю историю выборов в стране. В целом в работе Национальной ассамблеи приняли участие всенародно избранные граждане обоего пола, благодаря самоотверженной и многолетней работе которых в таких сферах, как охрана окружающей среды, гендерное равенство, социальная справедливость, многокультурная идентичность, права человека, уважение к различиям, борьба с бедностью и коррупцией, развитие прав граждан в экономической, социальной и культурной областях, сохранение демократической системы и т. п., стало возможным включить данные понятия в Политическую хартию.</w:t>
      </w:r>
    </w:p>
    <w:p w:rsidR="00000000" w:rsidRDefault="00000000">
      <w:pPr>
        <w:pStyle w:val="BodyText"/>
        <w:spacing w:after="200"/>
      </w:pPr>
      <w:r>
        <w:t>43.</w:t>
      </w:r>
      <w:r>
        <w:tab/>
        <w:t xml:space="preserve">11 декабря 1995 года в "Рехистро офисиаль" (ежедневном правительственном бюллетене) № 839 был опубликован </w:t>
      </w:r>
      <w:r>
        <w:rPr>
          <w:caps/>
        </w:rPr>
        <w:t>з</w:t>
      </w:r>
      <w:r>
        <w:t>акон о борьбе с насилием в отношении женщин и семьи, в котором физическое, психологическое и сексуальное насилие в отношении женщин и семьи квалифицируется как преступление и устанавливается соответствующее наказание, а также предусматриваются меры по защите жертв насилия в семье.</w:t>
      </w:r>
    </w:p>
    <w:p w:rsidR="00000000" w:rsidRDefault="00000000">
      <w:pPr>
        <w:pStyle w:val="BodyText"/>
        <w:spacing w:after="200"/>
      </w:pPr>
      <w:r>
        <w:t>44.</w:t>
      </w:r>
      <w:r>
        <w:tab/>
        <w:t>Закон о борьбе с насилием в отношении женщин и семьи содержит очень важные положения. Так, в нем устанавливается, что имеют силу закона ратифицированные Эквадором международные документы по вопросам предотвращения насилия в отношении женщин и наказания за него. Основными принципами Закона являются бесплатный характер помощи, ее доступность, быстрое предоставление помощи и соблюдение конфиденциальности. Осуществление Закона находится в юрисдикции судов по делам семьи, комиссаров по делам женщин и семьи, интендантов, национальных комиссаров и представителей центральной власти в округах,  а также судей и судов по уголовным делам. В соответствии с Законом были созданы комиссариаты по делам женщин, которые специализируются на предупреждении случаев насилия в семье.</w:t>
      </w:r>
    </w:p>
    <w:p w:rsidR="00000000" w:rsidRDefault="00000000">
      <w:pPr>
        <w:pStyle w:val="BodyText"/>
        <w:spacing w:after="200"/>
      </w:pPr>
      <w:r>
        <w:t>45.</w:t>
      </w:r>
      <w:r>
        <w:tab/>
        <w:t xml:space="preserve">Согласно Закону, сотрудники Национальной полиции, следователи Государственного министерства и медицинские работники государственных или частных больниц и поликлиник, получившие информацию о случаях насилия, обязаны сообщить о них не позднее чем через 48 часов; в противном случае им будет предъявлено обвинение в укрывательстве. Кроме того, полиция обязана оказать пострадавшей женщине помощь, предоставить ей защиту и, в качестве превентивной меры, перевести в место, удаленное от местонахождения правонарушителя. </w:t>
      </w:r>
    </w:p>
    <w:p w:rsidR="00000000" w:rsidRDefault="00000000">
      <w:pPr>
        <w:pStyle w:val="BodyText"/>
        <w:spacing w:after="200"/>
      </w:pPr>
      <w:r>
        <w:t>46.</w:t>
      </w:r>
      <w:r>
        <w:tab/>
        <w:t>Меры по предоставлению защиты, установленные настоящим Законом, являются одним из важнейших достижений в деле защиты жертв насилия в семье. Данные меры применяются немедленно и предусматривают такие действия, как удаление правонарушителя из жилища, возвращение жертвы домой, запрет на появление правонарушителя по месту работы потерпевшей.</w:t>
      </w:r>
    </w:p>
    <w:p w:rsidR="00000000" w:rsidRDefault="00000000">
      <w:pPr>
        <w:pStyle w:val="BodyText"/>
        <w:spacing w:after="200"/>
      </w:pPr>
      <w:r>
        <w:t>47.</w:t>
      </w:r>
      <w:r>
        <w:tab/>
        <w:t xml:space="preserve">Законом предусматривается возможность насильственного вторжения в жилище, если это представляется необходимым в целях осуществления мер по защите в тех случаях, когда следует освободить потерпевшую или членов семьи, насильственно удерживаемых правонарушителем, вывести последнего из жилища, а также если тот вооружен или находится в состоянии алкогольного или наркотического опьянения, под воздействием одурманивающих или психотропных веществ, если он совершил нападение на женщину либо поставлена под угрозу физическая, психологическая или сексуальная безопасность других членов семьи. </w:t>
      </w:r>
    </w:p>
    <w:p w:rsidR="00000000" w:rsidRDefault="00000000">
      <w:pPr>
        <w:pStyle w:val="BodyText"/>
        <w:spacing w:after="200"/>
      </w:pPr>
      <w:r>
        <w:t>48.</w:t>
      </w:r>
      <w:r>
        <w:tab/>
        <w:t>Кроме того, в Законе о борьбе с насилием в отношении женщин и семьи не признаются никакие привилегии, поэтому никто не может избежать наказания.</w:t>
      </w:r>
    </w:p>
    <w:p w:rsidR="00000000" w:rsidRDefault="00000000">
      <w:pPr>
        <w:pStyle w:val="BodyText"/>
        <w:spacing w:after="200"/>
      </w:pPr>
      <w:r>
        <w:t>49.</w:t>
      </w:r>
      <w:r>
        <w:tab/>
        <w:t>В целях обеспечения реализации прав человека были учреждены Конституционный суд и институт Народного защитника, которые являются независимыми государственными общенациональными ведомствами, созданными в соответствии с Конституцией. В рамках института Народного защитника действует аппарат Уполномоченного по защите интересов женщин и детей, который был учрежден 29 ноября 1998 года. Уполномоченный осуществляет свою деятельность на основе гендерного подхода и соблюдения гражданских прав детей и подростков и обладает теми же полномочиями, что и Народный защитник.</w:t>
      </w:r>
    </w:p>
    <w:p w:rsidR="00000000" w:rsidRDefault="00000000">
      <w:pPr>
        <w:pStyle w:val="BodyText"/>
        <w:spacing w:after="200"/>
      </w:pPr>
      <w:r>
        <w:t>50.</w:t>
      </w:r>
      <w:r>
        <w:tab/>
        <w:t>В 1995 году в городе Кито было создано Управление Национальной полиции по защите прав женщин (ОДМУ). Этот орган располагает персоналом, прошедшим специальную подготовку по вопросам сексуального насилия и прав человека. В его задачи входит выполнение распоряжений комиссариатов по делам женщин и семьи.</w:t>
      </w:r>
    </w:p>
    <w:p w:rsidR="00000000" w:rsidRDefault="00000000">
      <w:pPr>
        <w:pStyle w:val="BodyText"/>
        <w:spacing w:after="200"/>
      </w:pPr>
      <w:r>
        <w:t>51.</w:t>
      </w:r>
      <w:r>
        <w:tab/>
        <w:t>Во втором разделе Закона о борьбе с насилием в отношении женщин и семьи Национальному управлению по делам женщин (в настоящее время – Национальному совету по делам женщин) предоставлено право определять политику, координировать действия и разрабатывать планы и программы, направленные на предотвращение и искоренение насилия в отношении женщин и семьи. Кроме того, с 1995 года реализуются программа профессиональной подготовки судей и прокуроров, программы профессиональной подготовки, мониторинга и оценки для комиссариатов по делам семьи, программа профессиональной подготовки работников местных органов правосудия, а также информационные кампании по вопросам прав женщин. В целях достижения равенства в осуществлении прав и обеспечения неотвратимости наказания за совершение насилия в отношении женщин реализуется проект внедрения гендерного подхода в учебные программы юридических факультетов в одиннадцати университетах страны. В рамках КОНАМУ была создана и действует во всех комиссариатах по делам женщин и семьи система сбора данных о заявлениях, касающихся случаев насилия в семье.</w:t>
      </w:r>
    </w:p>
    <w:p w:rsidR="00000000" w:rsidRDefault="00000000">
      <w:pPr>
        <w:pStyle w:val="BodyText"/>
        <w:spacing w:after="200"/>
      </w:pPr>
      <w:r>
        <w:t>52.</w:t>
      </w:r>
      <w:r>
        <w:tab/>
        <w:t>Согласно положениям Закона № 103, в обязанности Национального совета по делам женщин (КОНАМУ) входит создание общежитий, приютов, центров реабилитации для членов пострадавших семей. Кроме того, в целях искоренения насилия достигнуто соглашение о планировании, организации и осуществлении просветительской деятельности для отцов и матерей – членов семьи. К настоящему времени было создано два общежития в Кито, приют ИННФА (Национального института по проблемам детства и семьи) для женщин, подвергшихся жестокому обращению, и приют СЕПАМ (Народного центра помощи женщинам). КОНАМУ оказывает поддержку работе приюта для женщин, подвергшихся жестокому обращению, который находится в городе Тена, провинция Напо.</w:t>
      </w:r>
    </w:p>
    <w:p w:rsidR="00000000" w:rsidRDefault="00000000">
      <w:pPr>
        <w:pStyle w:val="BodyText"/>
      </w:pPr>
      <w:r>
        <w:t>53.</w:t>
      </w:r>
      <w:r>
        <w:tab/>
        <w:t>Женские организации, специализирующиеся на вопросах насилия на сексуальной почве, выступают в качестве консультативных органов при комиссариатах по делам женщин и семьи в соответствии с направленностью деятельности данных организаций. Они также представляют КОНАМУ проекты создания центров по оказанию комплексной юридической помощи и приютов, в которых предоставляется медицинская и юридическая помощь.</w:t>
      </w:r>
    </w:p>
    <w:p w:rsidR="00000000" w:rsidRDefault="00000000">
      <w:pPr>
        <w:pStyle w:val="BodyText"/>
      </w:pPr>
      <w:r>
        <w:t>54.</w:t>
      </w:r>
      <w:r>
        <w:tab/>
        <w:t>В рамках гражданского общества, главным образом женскими организациями, были разработаны и проведены информационные кампании по вопросам прав женщин, профессиональной подготовки в области правоприменения, оказания профессиональной помощи при оказании юридической поддержки и получения дополнительных ресурсов для соответствующих комиссариатов.</w:t>
      </w:r>
    </w:p>
    <w:p w:rsidR="00000000" w:rsidRDefault="00000000">
      <w:pPr>
        <w:pStyle w:val="BodyText"/>
      </w:pPr>
      <w:r>
        <w:t>55.</w:t>
      </w:r>
      <w:r>
        <w:tab/>
        <w:t>В информационных кампаниях по вопросам прав женщин основное внимание обращается на еще сохраняющиеся традиции рассматривать насилие в семье как частное дело.</w:t>
      </w:r>
    </w:p>
    <w:p w:rsidR="00000000" w:rsidRDefault="00000000">
      <w:pPr>
        <w:pStyle w:val="BodyText"/>
      </w:pPr>
      <w:r>
        <w:t>56.</w:t>
      </w:r>
      <w:r>
        <w:tab/>
        <w:t>Недостаток материальных средств составляет для государства главное препятствие для массового распространения политики и программ борьбы с дискриминацией по признаку пола, а также для создания комиссариатов по делам женщин, равно как и государственных и частных центров оказания помощи.</w:t>
      </w:r>
    </w:p>
    <w:p w:rsidR="00000000" w:rsidRDefault="00000000">
      <w:pPr>
        <w:pStyle w:val="BodyText"/>
      </w:pPr>
      <w:r>
        <w:t>57.</w:t>
      </w:r>
      <w:r>
        <w:tab/>
        <w:t>На протяжении восьми лет, охватываемых докладом, было отмечено возросшее  участие женщин во всех сферах жизни страны: в бизнесе, политике, науке и образовании. Усиление женского присутствия привело к ослаблению мачистских настроений и укрепило женские организации в различных областях. В настоящее время ввиду активного участия женщин в жизни гражданского общества защита их интересов входит в задачи государственных и частных организаций.</w:t>
      </w:r>
    </w:p>
    <w:p w:rsidR="00000000" w:rsidRDefault="00000000">
      <w:pPr>
        <w:pStyle w:val="BodyText"/>
      </w:pPr>
      <w:r>
        <w:t>58.</w:t>
      </w:r>
      <w:r>
        <w:tab/>
        <w:t>Несмотря на то что дискриминационное отношение к женщинам все еще сохраняется в частной жизни, в общественной жизни оно стало проявляться меньше. С 1990 года отмечается растущее вовлечение девочек в систему образования всех уровней. В 1996–1997 годах были зарегистрированы следующие показатели: дошкольным образованием были охвачены 52,8 процента всех мальчиков соответствующего возраста и 53,38 процента девочек; начальным образованием – 66,16 процента мальчиков и 64,95 процента девочек; средним образованием – 28,62 процента мальчиков и 29,72 процента девочек</w:t>
      </w:r>
      <w:r>
        <w:rPr>
          <w:rStyle w:val="FootnoteReference"/>
        </w:rPr>
        <w:footnoteReference w:id="10"/>
      </w:r>
      <w:r>
        <w:t>.</w:t>
      </w:r>
    </w:p>
    <w:p w:rsidR="00000000" w:rsidRDefault="00000000">
      <w:pPr>
        <w:pStyle w:val="BodyText"/>
      </w:pPr>
      <w:r>
        <w:t>59.</w:t>
      </w:r>
      <w:r>
        <w:tab/>
        <w:t>Согласно статье 41 Конституции Эквадора, учреждается специальный орган для разработки и осуществления политики по достижению равенства возможностей мужчин и женщин. С указанной статьей тесно связана статья 254 Конституции о системе планирования, в которой устанавливаются постоянные социально-экономические цели национального масштаба. При этом необходимо учитывать воздействие принимаемых мер и таких факторов, как возраст, этно-культурная принадлежность, местные и региональные особенности, а также гендерный подход.</w:t>
      </w:r>
    </w:p>
    <w:p w:rsidR="00000000" w:rsidRDefault="00000000">
      <w:pPr>
        <w:pStyle w:val="BodyText"/>
      </w:pPr>
      <w:r>
        <w:t>60.</w:t>
      </w:r>
      <w:r>
        <w:tab/>
        <w:t>Национальный совет по делам женщин (КОНАМУ) разработал План равенства возможностей на 1996–2000 годы, целью которого является содействие равенству между мужчинами и женщинами. План охватывает 11 приоритетных областей: борьба с бедностью, образование и профессиональная подготовка, здравоохранение, борьба с насилием, экономика, участие в осуществлении власти и принятии решений, защита прав человека, развитие средств коммуникации, охрана окружающей среды, защита интересов девочек и содействие созданию институциональных механизмов мониторинга и оценки осуществления Плана равенства возможностей.</w:t>
      </w:r>
    </w:p>
    <w:p w:rsidR="00000000" w:rsidRDefault="00000000">
      <w:pPr>
        <w:pStyle w:val="BodyText"/>
      </w:pPr>
      <w:r>
        <w:t>61.</w:t>
      </w:r>
      <w:r>
        <w:tab/>
        <w:t>В области образования в рамках реформирования школьных программ была реализована учебная программа профессиональной подготовки инспекторов Министерства образования с целью развития начального образования на недискриминационной основе.</w:t>
      </w:r>
    </w:p>
    <w:p w:rsidR="00000000" w:rsidRDefault="00000000">
      <w:pPr>
        <w:pStyle w:val="BodyText"/>
      </w:pPr>
      <w:r>
        <w:t>62.</w:t>
      </w:r>
      <w:r>
        <w:tab/>
        <w:t>В процессе модернизации государства, начатого в 1993 году, Национальное управление по делам женщин (</w:t>
      </w:r>
      <w:r>
        <w:rPr>
          <w:caps/>
        </w:rPr>
        <w:t>динаму</w:t>
      </w:r>
      <w:r>
        <w:t>), а затем Национальный совет по делам женщин (КОНАМУ) содействовали проведению различных мероприятий в целях организации в рамках Министерства образования сети учреждений в защиту гендерного равенства.</w:t>
      </w:r>
    </w:p>
    <w:p w:rsidR="00000000" w:rsidRDefault="00000000">
      <w:pPr>
        <w:pStyle w:val="BodyText"/>
      </w:pPr>
      <w:r>
        <w:t>63.</w:t>
      </w:r>
      <w:r>
        <w:tab/>
        <w:t>Другим направлением деятельности в области образования были разработка и реализация, во взаимодействии со Службой профессиональной подготовки (СЕКАП) Плана равенства возможностей в области профессионального образования.</w:t>
      </w:r>
    </w:p>
    <w:p w:rsidR="00000000" w:rsidRDefault="00000000">
      <w:pPr>
        <w:pStyle w:val="BodyText"/>
        <w:spacing w:after="360"/>
      </w:pPr>
      <w:r>
        <w:t>64.</w:t>
      </w:r>
      <w:r>
        <w:tab/>
        <w:t>В целях объединения усилий в реализации политики в социальной сфере План равенства возможностей предусматривает участие различных государственных учреждений при содействии КОНАМУ и неправительственных организаций, осуществляющих деятельность по улучшению положения женщин.</w:t>
      </w:r>
    </w:p>
    <w:p w:rsidR="00000000" w:rsidRDefault="00000000">
      <w:pPr>
        <w:pStyle w:val="Heading3"/>
        <w:spacing w:before="240"/>
      </w:pPr>
      <w:r>
        <w:t>СТАТЬЯ  4</w:t>
      </w:r>
    </w:p>
    <w:p w:rsidR="00000000" w:rsidRDefault="00000000">
      <w:pPr>
        <w:pStyle w:val="BodyText"/>
        <w:ind w:left="680" w:hanging="680"/>
        <w:rPr>
          <w:i/>
        </w:rPr>
      </w:pPr>
      <w:r>
        <w:rPr>
          <w:i/>
        </w:rPr>
        <w:t>1.</w:t>
      </w:r>
      <w:r>
        <w:rPr>
          <w:i/>
        </w:rPr>
        <w:tab/>
        <w:t>Принятие государствами-участниками временных специальных мер, направленных на ускорение установления фактического равенства между мужчинами и женщинами, не считается, как это определяется настоящей Конвенцией, дискриминационным, однако оно ни в коей мере не должно влечь за собой сохранение неравноправных или дифференцированных стандартов; эти меры должны быть отменены, когда будут достигнуты цели равенства возможностей и равноправного отношения.</w:t>
      </w:r>
    </w:p>
    <w:p w:rsidR="00000000" w:rsidRDefault="00000000">
      <w:pPr>
        <w:pStyle w:val="BodyText"/>
        <w:ind w:left="680" w:hanging="680"/>
        <w:rPr>
          <w:i/>
          <w:color w:val="000000"/>
        </w:rPr>
      </w:pPr>
      <w:r>
        <w:rPr>
          <w:i/>
          <w:color w:val="000000"/>
        </w:rPr>
        <w:t>2.</w:t>
      </w:r>
      <w:r>
        <w:rPr>
          <w:i/>
          <w:color w:val="000000"/>
        </w:rPr>
        <w:tab/>
        <w:t>Принятие государствами-участниками специальных мер, направленных на охрану материнства, включая меры, содержащиеся в настоящей Конвенции, не считается дискриминационным.</w:t>
      </w:r>
    </w:p>
    <w:p w:rsidR="00000000" w:rsidRDefault="00000000">
      <w:pPr>
        <w:pStyle w:val="BodyText"/>
      </w:pPr>
      <w:r>
        <w:t>65.</w:t>
      </w:r>
      <w:r>
        <w:tab/>
        <w:t>В действующей Конституции, в статьях 47 и 54 раздела "Об уязвимых группах населения"  главы "Об экономических, социальных и культурных правах", приоритетное внимание уделяется детям и подросткам обоего пола, беременным женщинам и инвалидам, а также лицам, которые подвергаются опасности, жертвам насилия в семье, жестокого обращения с детьми и стихийных бедствий.</w:t>
      </w:r>
    </w:p>
    <w:p w:rsidR="00000000" w:rsidRDefault="00000000">
      <w:pPr>
        <w:pStyle w:val="BodyText"/>
      </w:pPr>
      <w:r>
        <w:t>66.</w:t>
      </w:r>
      <w:r>
        <w:tab/>
        <w:t>Эквадорское законодательство предусматривает охрану материнства. Трудовой кодекс, Закон о социальном обеспечении и Закон об охране права на труд, а также законодательство в области охраны материнства предусматривают право беременной женщины на работу и получение пособий по беременности и уходу за ребенком.</w:t>
      </w:r>
    </w:p>
    <w:p w:rsidR="00000000" w:rsidRDefault="00000000">
      <w:pPr>
        <w:pStyle w:val="BodyText"/>
      </w:pPr>
      <w:r>
        <w:t>67.</w:t>
      </w:r>
      <w:r>
        <w:tab/>
        <w:t>Закон о внесении изменений в Закон о бесплатной медицинской помощи беременным, роженицам и новорожденным, который был опубликован в № 381 "Рехистро офисиаль" от 10 августа 1998 года, устанавливает право на бесплатную качественную медицинскую помощь во время беременности, родов и в послеродовой период, а также доступ к программам содействия сексуальному и репродуктивному здоровью.</w:t>
      </w:r>
    </w:p>
    <w:p w:rsidR="00000000" w:rsidRDefault="00000000">
      <w:pPr>
        <w:pStyle w:val="BodyText"/>
      </w:pPr>
      <w:r>
        <w:t>68.</w:t>
      </w:r>
      <w:r>
        <w:tab/>
        <w:t>В № 124 "Рехистро офисиаль" от 6 февраля 1997 года был обнародован Закон об охране права женщин на труд, содержащий меры позитивно дискриминационного характера в отношении изменений, внесенных в Закон о политических партиях, в Органический закон о судебной власти и в Трудовой кодекс.</w:t>
      </w:r>
    </w:p>
    <w:p w:rsidR="00000000" w:rsidRDefault="00000000">
      <w:pPr>
        <w:pStyle w:val="BodyText"/>
      </w:pPr>
      <w:r>
        <w:t>69.</w:t>
      </w:r>
      <w:r>
        <w:tab/>
        <w:t>Статья 2 Закона об охране права на труд запрещает Верховному избирательному трибуналу регистрировать списки из нескольких кандидатов, если они включают менее 20 процентов женщин среди основных кандидатур и 20 процентов – среди дополнительных. По данным Верховного избирательного трибунала, в соответствии с отчетами провинциальных избирательных трибуналов страны данный закон соблюдался без каких-либо препятствий во всех провинциях Эквадора. Во время двух избирательных кампаний, которые были проведены 30 ноября 1997 года (выборы представителей в Национальную ассамблею) и 31 мая 1998 года (всеобщие выборы президента и вице-президента Республики, депутатов национального и провинциальных парламентов, провинциальных и муниципальных советников), процент участвовавших женщин соответствовал положениям законодательства.</w:t>
      </w:r>
    </w:p>
    <w:p w:rsidR="00000000" w:rsidRDefault="00000000">
      <w:pPr>
        <w:pStyle w:val="BodyText"/>
      </w:pPr>
      <w:r>
        <w:t>70.</w:t>
      </w:r>
      <w:r>
        <w:tab/>
        <w:t>Закон об охране права на труд устанавливает, что в состав Верховных судов должно входить не менее 20 процентов женщин в качестве судейских чиновников и не менее 20 процентов – в качестве судей, нотариусов, регистраторов и т. п. Следует отметить, что данный закон выполняется в отношении должностей судейских чиновников, судей, нотариусов, регистраторов, секретарей, вспомогательного персонала и даже советников. Так как замещение юридических должностей производится на основе открытого конкурса и с учетом личных и профессиональных качеств претендентов, в некоторых случаях не удалось достичь требуемого законом процента из-за недостатка женщин среди претендентов.</w:t>
      </w:r>
    </w:p>
    <w:p w:rsidR="00000000" w:rsidRDefault="00000000">
      <w:pPr>
        <w:pStyle w:val="BodyText"/>
      </w:pPr>
      <w:r>
        <w:t>71.</w:t>
      </w:r>
      <w:r>
        <w:tab/>
        <w:t xml:space="preserve">В статье 4 вышеупомянутого </w:t>
      </w:r>
      <w:r>
        <w:rPr>
          <w:caps/>
        </w:rPr>
        <w:t>з</w:t>
      </w:r>
      <w:r>
        <w:t xml:space="preserve">акона отмечается, что женщины, работающие в частном секторе, могут обращаться с жалобами к инспектору или заместителю инспектора по труду для их рассмотрения и разрешения. С момента вступления </w:t>
      </w:r>
      <w:r>
        <w:rPr>
          <w:caps/>
        </w:rPr>
        <w:t>з</w:t>
      </w:r>
      <w:r>
        <w:t xml:space="preserve">акона в силу были реализованы программы по распространению информации о правах, предусмотренных данным </w:t>
      </w:r>
      <w:r>
        <w:rPr>
          <w:caps/>
        </w:rPr>
        <w:t>з</w:t>
      </w:r>
      <w:r>
        <w:t>аконом.</w:t>
      </w:r>
    </w:p>
    <w:p w:rsidR="00000000" w:rsidRDefault="00000000">
      <w:pPr>
        <w:pStyle w:val="BodyText"/>
      </w:pPr>
      <w:r>
        <w:t>72.</w:t>
      </w:r>
      <w:r>
        <w:tab/>
        <w:t>В общеправовых рамках законодательства Эквадора министерствами внутренних дел и полиции, сельского хозяйства, здравоохранения, образования и социального обеспечения реализуются различные планы в целях улучшения положения женщин, как, например, так называемые "опорные пункты улучшения положения женщин", деятельность которых координируется КОНАМУ.</w:t>
      </w:r>
    </w:p>
    <w:p w:rsidR="00000000" w:rsidRDefault="00000000">
      <w:pPr>
        <w:pStyle w:val="BodyText"/>
      </w:pPr>
      <w:r>
        <w:t>73.</w:t>
      </w:r>
      <w:r>
        <w:tab/>
        <w:t>Удалось достичь концентрации усилий гражданского общества, различных женских движений, представителей государственных учреждений, обладающих правом принятия решений. В 1998 году были созданы Двусторонние комиссии для осуществления Политической программы женских движений, которая включает План равенства возможностей, разработанный КОНАМУ.</w:t>
      </w:r>
    </w:p>
    <w:p w:rsidR="00000000" w:rsidRDefault="00000000">
      <w:pPr>
        <w:pStyle w:val="BodyText"/>
      </w:pPr>
      <w:r>
        <w:t xml:space="preserve">74. </w:t>
      </w:r>
      <w:r>
        <w:tab/>
        <w:t>Выполнение программы содействия грудному вскармливанию новорожденных получило импульс благодаря инициативе "Больницы – друзья ребенка и матери". С 1992 по август 1997 года было сертифицировано 96 больниц из 141 отобранной, а инициатива распространилась на местные лечебные учреждения и на медицинский диспансер Института социального обеспечения (ИЭСС). Вместе с тем охват пренатальным контролем и родовспоможением в стационарах продолжает оставаться низким относительно общей численности населения.</w:t>
      </w:r>
    </w:p>
    <w:p w:rsidR="00000000" w:rsidRDefault="00000000">
      <w:pPr>
        <w:pStyle w:val="BodyText"/>
        <w:spacing w:after="360"/>
      </w:pPr>
      <w:r>
        <w:t xml:space="preserve">75. </w:t>
      </w:r>
      <w:r>
        <w:tab/>
        <w:t>В результате финансового кризиса, который охватил страну в 90-е годы, несмотря на создание Национального совета по содействию грудному вскармливанию, было ограничено выполнение Закона о содействии и развитии грудного вскармливания (обнародован в ноябре 1995 года) и программ развития практик грудного вскармливания (КОНАЛМА).</w:t>
      </w:r>
    </w:p>
    <w:p w:rsidR="00000000" w:rsidRDefault="00000000">
      <w:pPr>
        <w:pStyle w:val="Heading3"/>
        <w:spacing w:before="120"/>
      </w:pPr>
      <w:r>
        <w:t>СТАТЬЯ 5</w:t>
      </w:r>
    </w:p>
    <w:p w:rsidR="00000000" w:rsidRDefault="00000000">
      <w:pPr>
        <w:pStyle w:val="BodyText"/>
        <w:jc w:val="center"/>
        <w:rPr>
          <w:i/>
        </w:rPr>
      </w:pPr>
      <w:r>
        <w:rPr>
          <w:i/>
        </w:rPr>
        <w:t>Государства-участники принимают все соответствующие меры с целью:</w:t>
      </w:r>
    </w:p>
    <w:p w:rsidR="00000000" w:rsidRDefault="00000000">
      <w:pPr>
        <w:pStyle w:val="BodyText"/>
        <w:ind w:left="397" w:hanging="397"/>
        <w:rPr>
          <w:i/>
        </w:rPr>
      </w:pPr>
      <w:r>
        <w:rPr>
          <w:i/>
          <w:color w:val="000000"/>
        </w:rPr>
        <w:t>а)</w:t>
      </w:r>
      <w:r>
        <w:rPr>
          <w:i/>
          <w:color w:val="000000"/>
        </w:rPr>
        <w:tab/>
        <w:t>изменить социальные и культурные модели поведения мужчин и женщин с целью достижения искоренения предрассудков и упразднения обычаев и всей прочей практики, которые основаны на идее неполноценности или превосходства одного из полов или стереотипности роли мужчин и женщин;</w:t>
      </w:r>
    </w:p>
    <w:p w:rsidR="00000000" w:rsidRDefault="00000000">
      <w:pPr>
        <w:pStyle w:val="BodyText"/>
        <w:ind w:left="397" w:hanging="397"/>
        <w:rPr>
          <w:i/>
        </w:rPr>
      </w:pPr>
      <w:r>
        <w:rPr>
          <w:i/>
          <w:color w:val="000000"/>
          <w:lang w:val="en-US"/>
        </w:rPr>
        <w:t>b</w:t>
      </w:r>
      <w:r>
        <w:rPr>
          <w:i/>
          <w:color w:val="000000"/>
        </w:rPr>
        <w:t>)</w:t>
      </w:r>
      <w:r>
        <w:rPr>
          <w:i/>
          <w:color w:val="000000"/>
        </w:rPr>
        <w:tab/>
        <w:t>обеспечить, чтобы семейное воспитание включало в себя правильное понимание материнства как социальной функции и признание общей ответственности мужчин и женщин за воспитание и развитие своих детей при условии, что во всех случаях интересы детей являются преобладающими.</w:t>
      </w:r>
      <w:r>
        <w:rPr>
          <w:i/>
        </w:rPr>
        <w:t xml:space="preserve"> </w:t>
      </w:r>
    </w:p>
    <w:p w:rsidR="00000000" w:rsidRDefault="00000000">
      <w:pPr>
        <w:pStyle w:val="BodyText"/>
      </w:pPr>
      <w:r>
        <w:t>76.</w:t>
      </w:r>
      <w:r>
        <w:tab/>
        <w:t>В статье 37 Политической конституции устанавливается: "Государство признает и охраняет семью как основную ячейку общества и обеспечивает условия для полного достижения ею своих целей. Семья образуется в результате юридического и фактического брака и основывается на равенстве прав и возможностей ее членов. Государство обеспечивает охрану брачного союза, материнства и семейного имущества. Оно также оказывает помощь женщинам, которые являются главой семьи. Брачный союз основан на свободном согласии заключивших его лиц и на равенстве прав, обязанностей и правовых возможностей супругов".</w:t>
      </w:r>
    </w:p>
    <w:p w:rsidR="00000000" w:rsidRDefault="00000000">
      <w:pPr>
        <w:pStyle w:val="BodyText"/>
      </w:pPr>
      <w:r>
        <w:t>77.</w:t>
      </w:r>
      <w:r>
        <w:tab/>
        <w:t>В тексте Конституции предусмотрено содействие всестороннему развитию детей и подростков обоего пола как субъектов права. В соответствии со статьей 50 государство обязано принимать меры, необходимые для обеспечения благополучия детей и подростков в различных сферах. Важно подчеркнуть, что поставлена цель обеспечить защиту детей от негативного влияния средств массовой информации, распространяющих или пропагандирующих насилие, расовую дискриминацию, дискриминацию по признаку пола либо навязывающих ложные ценности (пункт 3 статьи 23, статьи 40, 41, 49 и 50 Политической конституции).</w:t>
      </w:r>
    </w:p>
    <w:p w:rsidR="00000000" w:rsidRDefault="00000000">
      <w:pPr>
        <w:pStyle w:val="BodyText"/>
      </w:pPr>
      <w:r>
        <w:t>78.</w:t>
      </w:r>
      <w:r>
        <w:tab/>
        <w:t>Совет по развитию народностей и народов Эквадора (КОДЕНПЭ)</w:t>
      </w:r>
      <w:r>
        <w:rPr>
          <w:rStyle w:val="FootnoteReference"/>
        </w:rPr>
        <w:footnoteReference w:id="11"/>
      </w:r>
      <w:r>
        <w:t xml:space="preserve"> осуществляет информационные программы по вопросам прав человека и прав женщин – представительниц коренного населения. В указанных целях им было проведено несколько семинаров-практикумов в округе Хенераль Моралес, в кантоне Сускаль, в округах Чонтамарка и Жуд провинции Каньяр.</w:t>
      </w:r>
    </w:p>
    <w:p w:rsidR="00000000" w:rsidRDefault="00000000">
      <w:pPr>
        <w:pStyle w:val="BodyText"/>
      </w:pPr>
      <w:r>
        <w:t>79.</w:t>
      </w:r>
      <w:r>
        <w:tab/>
        <w:t>Правительство страны стремится привлечь внимание средств информации к проблеме прав человека.  Положительным результатом этих усилий стало то, что в городе Гуаякиль был создан телевизионный канал, пропагандирующий защиту прав человека. КОНАМУ при содействии Национальной ассоциации телевизионных каналов размещает рекламные материалы, посвященные гендерному равенству.</w:t>
      </w:r>
    </w:p>
    <w:p w:rsidR="00000000" w:rsidRDefault="00000000">
      <w:pPr>
        <w:pStyle w:val="BodyText"/>
      </w:pPr>
      <w:r>
        <w:t>80.</w:t>
      </w:r>
      <w:r>
        <w:tab/>
        <w:t>В стране с этническим и культурным многообразием, где сильны сексистские обычаи и традиции, изменение менталитета происходит с трудом. Положение женщин и соотвествующая переоценка ценностей зависят от географического региона и культурной среды. Так, женщины – представительницы коренного населения обычно больше, чем мужчины, уделяют внимание семье и больше участвуют в удовлетворении ее повседневных потребностей. Женщины растят детей, но в то же время их обязанностью являются сельскохозяйственные работы и обеспечение прожиточного минимума семьи и родственников через различные механизмы, например благодаря доступу к производственным кредитам.</w:t>
      </w:r>
    </w:p>
    <w:p w:rsidR="00000000" w:rsidRDefault="00000000">
      <w:pPr>
        <w:pStyle w:val="BodyText"/>
      </w:pPr>
      <w:r>
        <w:t>81.</w:t>
      </w:r>
      <w:r>
        <w:tab/>
        <w:t>С другой стороны, несмотря на то что в средствах массовой информации работает много женщин, необходимо еще многое сделать, для того чтобы изменить подход к анализу, концепции и представлению новостей и других программ, транслируемых различными СМИ и главным образом телевидением.</w:t>
      </w:r>
    </w:p>
    <w:p w:rsidR="00000000" w:rsidRDefault="00000000">
      <w:pPr>
        <w:pStyle w:val="BodyText"/>
      </w:pPr>
      <w:r>
        <w:t>82.</w:t>
      </w:r>
      <w:r>
        <w:tab/>
        <w:t>В стране еще сохраняется практика объявления о вакансиях и найма на работу с уточнением пола, что особенно характерно для работы домашней прислуги. Национальный институт по проблемам занятости (ИНЕМ) использует в качестве источника статистики данные Национального института статистики и переписи населения (ИНЕК). Согласно статистическим данным, в период 1990–1997 годов доля женщин, работавших в качестве домашней прислуги, составила 13 процентов от общего числа экономически активного населения страны. Такое же число женщин работало секретарями и помощниками руководителей.</w:t>
      </w:r>
    </w:p>
    <w:p w:rsidR="00000000" w:rsidRDefault="00000000">
      <w:pPr>
        <w:pStyle w:val="BodyText"/>
      </w:pPr>
      <w:r>
        <w:t>83.</w:t>
      </w:r>
      <w:r>
        <w:tab/>
        <w:t>КОНАМУ, неправительственные организации и органы по международному сотрудничеству взяли на себя задачу разработки, планирования и реализации различных мероприятий, направленных на искоренение гендерных стереотипов, посредством  организации кампаний, учреждения премий средствам массовой информации и проведения конкурсов, которые призваны содействовать коллективному осмыслению этой проблемы.</w:t>
      </w:r>
    </w:p>
    <w:p w:rsidR="00000000" w:rsidRDefault="00000000">
      <w:pPr>
        <w:pStyle w:val="BodyText"/>
      </w:pPr>
      <w:r>
        <w:t>84.</w:t>
      </w:r>
      <w:r>
        <w:tab/>
        <w:t>С 1996 года по настоящее время Национальное управление по делам женщин (ДИНАМУ), именуемое ныне КОНАМУ,  Министерство образования и культуры и другие государственные учреждения  ведут активную работу по включению гендерного подхода в учебные планы и по изменению стереотипов в школьных учебниках. В рамках законодательной власти образована рабочая группа, в задачи которой входит учет гендерного подхода в Общем законе об образовании. К этой работе подключены государственные учреждения и НПО, опирающиеся на поддержку со стороны Комиссии по делам женщин, детей, молодежи и семьи Национального конгресса. К настоящему времени Министерством образования разработан Национальный план применения закона о половом воспитании, с тем чтобы учитывать его в учебных планах и программах различных уровней обучения.</w:t>
      </w:r>
    </w:p>
    <w:p w:rsidR="00000000" w:rsidRDefault="00000000">
      <w:pPr>
        <w:pStyle w:val="BodyText"/>
        <w:spacing w:after="360"/>
      </w:pPr>
      <w:r>
        <w:t>85.</w:t>
      </w:r>
      <w:r>
        <w:tab/>
        <w:t>В целях искоренения предрассудков и укоренившейся практики в рамках Программы содействия работающим молодым людям, которая является государственным документом, разработанным на основе специальной программы Центрального банка Эквадора, по телевидению демонстрируются клипы с целью распространения понятия "демократия", основанного на равенстве девочек, мальчиков и подростков обоих полов, для раскрытия значения взаимной ответственности в семье и для искоренения всех еще бытующих стереотипов относительно роли женщин и мужчин.</w:t>
      </w:r>
    </w:p>
    <w:p w:rsidR="00000000" w:rsidRDefault="00000000">
      <w:pPr>
        <w:pStyle w:val="Heading3"/>
      </w:pPr>
      <w:r>
        <w:t>СТАТЬЯ  6</w:t>
      </w:r>
    </w:p>
    <w:p w:rsidR="00000000" w:rsidRDefault="00000000">
      <w:pPr>
        <w:pStyle w:val="BodyText"/>
        <w:ind w:left="680" w:hanging="680"/>
        <w:rPr>
          <w:i/>
        </w:rPr>
      </w:pPr>
      <w:r>
        <w:rPr>
          <w:i/>
          <w:color w:val="000000"/>
        </w:rPr>
        <w:tab/>
        <w:t>Государства-участники принимают все соответствующие меры, включая законодательные, для пресечения всех видов торговли женщинами и эксплуатации проституции женщин.</w:t>
      </w:r>
    </w:p>
    <w:p w:rsidR="00000000" w:rsidRDefault="00000000">
      <w:pPr>
        <w:pStyle w:val="BodyText"/>
      </w:pPr>
      <w:r>
        <w:t>86.</w:t>
      </w:r>
      <w:r>
        <w:tab/>
        <w:t>В статье 50 и в пункте 2 статьи 23 Конституции предусматривается государственная защита детей и подростков в отношении пресечения торговли несовершеннолетними, проституции, порнографии, сексуальной эксплуатации и т. п.</w:t>
      </w:r>
    </w:p>
    <w:p w:rsidR="00000000" w:rsidRDefault="00000000">
      <w:pPr>
        <w:pStyle w:val="BodyText"/>
      </w:pPr>
      <w:r>
        <w:t>87.</w:t>
      </w:r>
      <w:r>
        <w:tab/>
        <w:t>В разделе Уголовного кодекса, посвященного преступлениям на сексуальной почве, содержится глава "О растлении несовершеннолетних, сутенерстве и публичном оскорблении нравственности". Следует отметить, что в 1998 году резолюцией Конституционного суда было отменено действие статей Уголовного кодекса, в которых гомосексуализм квалифицируется и преследуется как уголовное преступление (статьи 521, 522, 523, 525 и 526 Уголовного кодекса).</w:t>
      </w:r>
    </w:p>
    <w:p w:rsidR="00000000" w:rsidRDefault="00000000">
      <w:pPr>
        <w:pStyle w:val="BodyText"/>
        <w:spacing w:after="200"/>
      </w:pPr>
      <w:r>
        <w:t>88.</w:t>
      </w:r>
      <w:r>
        <w:tab/>
        <w:t>Из указанных статей следует, что проституция находится под запретом. Однако в том же Уголовном кодексе в неявной форме признается ее существование, когда устанавливается наказание для лиц, содействующих проституции, "если только это лицо не является управляющим дома терпимости, организованного им на основании положений, определенных властями для такого типа домов".</w:t>
      </w:r>
    </w:p>
    <w:p w:rsidR="00000000" w:rsidRDefault="00000000">
      <w:pPr>
        <w:pStyle w:val="BodyText"/>
        <w:spacing w:after="200"/>
      </w:pPr>
      <w:r>
        <w:t>89.</w:t>
      </w:r>
      <w:r>
        <w:tab/>
        <w:t>В отношении процента женщин, инфицированных ВИЧ/СПИДом, в зарегистрированных случаях этот показатель одинаков для женщин, занимающихся и не занимающихся проституцией. Также одинаков процент инфицированных в разбивке по возрасту: из зарегистрированных случаев возраст в первой группе колеблется от 18 до 23 лет, а во второй группе – от 22 до 27 лет. Опасность заражения сохраняется в отношениях как с клиентами, так и с постоянными партнерами.</w:t>
      </w:r>
    </w:p>
    <w:p w:rsidR="00000000" w:rsidRDefault="00000000">
      <w:pPr>
        <w:pStyle w:val="BodyText"/>
        <w:spacing w:after="200"/>
      </w:pPr>
      <w:r>
        <w:t>90.</w:t>
      </w:r>
      <w:r>
        <w:tab/>
        <w:t>В среднем в Эквадоре в 1998 году один ВИЧ/СПИД-инфицированный приходился на 6 тыс. жителей. В некоторых местах (например, провинции Эль-Оро), согласно оценкам, число инфицированных удваивается каждые 3 года. Как свидетельствуют зарегистрированные случаи (1994 год), соотношение между инфицированными мужчинами и женщинами составляет 7:1, причем, согласно оценкам, к 2000 году это соотношение составит 1:1</w:t>
      </w:r>
      <w:r>
        <w:rPr>
          <w:rStyle w:val="FootnoteReference"/>
        </w:rPr>
        <w:footnoteReference w:id="12"/>
      </w:r>
      <w:r>
        <w:t xml:space="preserve">. </w:t>
      </w:r>
    </w:p>
    <w:p w:rsidR="00000000" w:rsidRDefault="00000000">
      <w:pPr>
        <w:pStyle w:val="BodyText"/>
        <w:spacing w:after="200"/>
      </w:pPr>
      <w:r>
        <w:t>91.</w:t>
      </w:r>
      <w:r>
        <w:tab/>
        <w:t>В период 1984–1998 годов всего было отмечено 1850 случаев заражения, причем число заболевших СПИДом составило 921, а инфицированных – 929 человек. Что касается групп риска, то на первом месте находятся гетеросексуалы, за которыми следуют гомосексуалисты, бисексуалы, лица с неопределенной сексуальной ориентацией и на последнем месте – проститутки. Наиболее высокое число случаев заболевания СПИДом и ВИЧ-инфицированных отмечено в провинциях Гуаяс, Пичинча, Манаби, Асуай, Эль-Оро, Лос-Риос</w:t>
      </w:r>
      <w:r>
        <w:rPr>
          <w:rStyle w:val="FootnoteReference"/>
        </w:rPr>
        <w:footnoteReference w:id="13"/>
      </w:r>
      <w:r>
        <w:t>.</w:t>
      </w:r>
    </w:p>
    <w:p w:rsidR="00000000" w:rsidRDefault="00000000">
      <w:pPr>
        <w:pStyle w:val="BodyText"/>
        <w:spacing w:after="200"/>
      </w:pPr>
      <w:r>
        <w:t>92.</w:t>
      </w:r>
      <w:r>
        <w:tab/>
        <w:t>В 1990–1998 годах не проводилось исследований по вопросам сексуального насилия и детской проституции. В июне 1996 года Межведомственный комитет [Детский фонд Организации Объединенных Наций (ЮНИСЕФ), Панамериканская организация здравоохранения (ПАОЗ), Международное движение в защиту детей – Эквадор, Фонд беспризорных детей] выдвинул предложение о проведении серии мероприятий в целях предупреждения сексуальной эксплуатации детей и несовершеннолетних обоего пола, а также мужчин и женщин. Это предложение не было реализовано из-за нехватки материальных ресурсов.</w:t>
      </w:r>
    </w:p>
    <w:p w:rsidR="00000000" w:rsidRDefault="00000000">
      <w:pPr>
        <w:pStyle w:val="BodyText"/>
        <w:spacing w:after="200"/>
      </w:pPr>
      <w:r>
        <w:t>93.</w:t>
      </w:r>
      <w:r>
        <w:tab/>
        <w:t>Положение женщин, занимающихся проституцией, изучено недостаточно. По оценкам, проституция возрастает постоянно, в том числе среди несовершеннолетних, несмотря на помощь различных государственных и частных учреждений, например министерств здравоохранения и социального обеспечения, которые содействуют проведению профилактических осмотров и оказанию медицинской помощи проституткам в центрах медицинской помощи, работающих при поддержке неправительственных организаций.</w:t>
      </w:r>
    </w:p>
    <w:p w:rsidR="00000000" w:rsidRDefault="00000000">
      <w:pPr>
        <w:pStyle w:val="BodyText"/>
        <w:spacing w:after="0"/>
      </w:pPr>
      <w:r>
        <w:t>94.</w:t>
      </w:r>
      <w:r>
        <w:tab/>
        <w:t>Около 33 процентов от общего числа женщин, занимающихся проституцией, проходят профилактические осмотры, организуемые Министерством здравоохра</w:t>
      </w:r>
      <w:r>
        <w:softHyphen/>
        <w:t>нения. Такие периодические осмотры включают консультацию гинеколога и анализы на ЗППП/СПИД, что в какой-то степени защищает их здоровье</w:t>
      </w:r>
      <w:r>
        <w:rPr>
          <w:rStyle w:val="FootnoteReference"/>
        </w:rPr>
        <w:footnoteReference w:id="14"/>
      </w:r>
      <w:r>
        <w:t>.</w:t>
      </w:r>
    </w:p>
    <w:p w:rsidR="00000000" w:rsidRDefault="00000000">
      <w:pPr>
        <w:pStyle w:val="BodyText"/>
        <w:spacing w:after="200"/>
      </w:pPr>
      <w:r>
        <w:t>95.</w:t>
      </w:r>
      <w:r>
        <w:tab/>
        <w:t>С 1998 года осуществляется проект "Предупреждение ВИЧ/СПИДа у женщин, занимающихся проституцией", в котором участвуют такие учреждения, как Эквадорская федерация помощи здравоохранению, фонд "Надежда", Министерство социального обеспечения, Управление коммуникации Министерства здравоохранения, ассоциация "За благополучие свободной женщины" (Санто-Доминго-де-Лос-Колорадос), ассоциация "Первое августа" (Гуаяс), Ассоциация независимых женщин "22 июня" (Мачала), Ассоциация в защиту женщин (Кито).</w:t>
      </w:r>
    </w:p>
    <w:p w:rsidR="00000000" w:rsidRDefault="00000000">
      <w:pPr>
        <w:pStyle w:val="BodyText"/>
        <w:spacing w:after="200"/>
      </w:pPr>
      <w:r>
        <w:t>96.</w:t>
      </w:r>
      <w:r>
        <w:tab/>
        <w:t>По инициативе организации "Феминистки за независимость" был создан первый Женский трибунал в защиту сексуальных прав с целью рассмотрения случаев нарушения указанных прав и создания прецедентов их обжалования в компетентных органах и придания им юридической силы. Целью данного трибунала является оказание поддержки демократической практике включения сексуальных прав в гражданские права женщин и девочек Эквадора.</w:t>
      </w:r>
    </w:p>
    <w:p w:rsidR="00000000" w:rsidRDefault="00000000">
      <w:pPr>
        <w:pStyle w:val="BodyText"/>
        <w:spacing w:after="200"/>
      </w:pPr>
      <w:r>
        <w:t>97.</w:t>
      </w:r>
      <w:r>
        <w:tab/>
        <w:t>В ходе разработки Национального плана защиты прав человека в 1998 году гомосексуалисты и группы трансвеститов подготовили раздел, в котором предусматривается ликвидация все еще существующих преград для соблюдения их прав человека, например преследование со стороны полиции или общественное осуждение. Многочисленные организации гомосексуалистов участвуют в осуществлении программ, направленных на улучшение их условий жизни и на решение государством таких социальных проблем, как СПИД.</w:t>
      </w:r>
    </w:p>
    <w:p w:rsidR="00000000" w:rsidRDefault="00000000">
      <w:pPr>
        <w:pStyle w:val="BodyText"/>
        <w:spacing w:after="200"/>
      </w:pPr>
      <w:r>
        <w:t>98.</w:t>
      </w:r>
      <w:r>
        <w:tab/>
        <w:t>Необходимо признать, что одной из главных проблем государства является состояние экономики. По этой причине не удалось выполнить ряд  комплексных и системных программ информационного и просветительского характера, направленных на эту группу населения и особым образом учитывающих гендерный подход. Профилактические программы, предназначенные для проституток, обычно ограничиваются раздачей презервативов.</w:t>
      </w:r>
    </w:p>
    <w:p w:rsidR="00000000" w:rsidRDefault="00000000">
      <w:pPr>
        <w:pStyle w:val="BodyText"/>
        <w:spacing w:after="200"/>
      </w:pPr>
      <w:r>
        <w:t>99.</w:t>
      </w:r>
      <w:r>
        <w:tab/>
        <w:t>В стране действуют соответствующие попечительские учреждения, которые находятся в ведении Министерства социального обеспечения, однако их недостаточно для того, чтобы решить все проблемы, связанные с проституцией и сексуальной эксплуатацией детей. Женский профессиональный институт "Буэн пастор", расположенный в столичном округе Кито, занимается защитой девочек и несовершеннолетних. В 1998 году институтом была оказана помощь следующим категориям населения:</w:t>
      </w:r>
    </w:p>
    <w:p w:rsidR="00000000" w:rsidRDefault="00000000">
      <w:pPr>
        <w:pStyle w:val="BodyText"/>
        <w:numPr>
          <w:ilvl w:val="1"/>
          <w:numId w:val="26"/>
        </w:numPr>
        <w:spacing w:after="0"/>
      </w:pPr>
      <w:r>
        <w:t>20 девочкам, беременным и/или имеющим детей;</w:t>
      </w:r>
    </w:p>
    <w:p w:rsidR="00000000" w:rsidRDefault="00000000">
      <w:pPr>
        <w:pStyle w:val="BodyText"/>
        <w:numPr>
          <w:ilvl w:val="1"/>
          <w:numId w:val="26"/>
        </w:numPr>
        <w:spacing w:after="0"/>
      </w:pPr>
      <w:r>
        <w:t>33 девочкам, которые нюхают кокаин или употребляют его в виде таблеток либо пасты. При этом есть основания считать, что 10 процентов девочек употребляют наркотики постоянно;</w:t>
      </w:r>
    </w:p>
    <w:p w:rsidR="00000000" w:rsidRDefault="00000000">
      <w:pPr>
        <w:pStyle w:val="BodyText"/>
        <w:numPr>
          <w:ilvl w:val="1"/>
          <w:numId w:val="26"/>
        </w:numPr>
        <w:spacing w:after="0"/>
      </w:pPr>
      <w:r>
        <w:t>66 девочкам, употребляющим алкоголь, причем 50 процентов из них являются алкоголичками;</w:t>
      </w:r>
    </w:p>
    <w:p w:rsidR="00000000" w:rsidRDefault="00000000">
      <w:pPr>
        <w:pStyle w:val="BodyText"/>
        <w:numPr>
          <w:ilvl w:val="0"/>
          <w:numId w:val="23"/>
        </w:numPr>
        <w:spacing w:after="0"/>
      </w:pPr>
      <w:r>
        <w:t>18 девочкам – жертвам насилия; и</w:t>
      </w:r>
    </w:p>
    <w:p w:rsidR="00000000" w:rsidRDefault="00000000">
      <w:pPr>
        <w:pStyle w:val="BodyText"/>
        <w:numPr>
          <w:ilvl w:val="0"/>
          <w:numId w:val="23"/>
        </w:numPr>
      </w:pPr>
      <w:r>
        <w:t>40 девочкам – жертвам сексуального преследования</w:t>
      </w:r>
      <w:r>
        <w:rPr>
          <w:rStyle w:val="FootnoteReference"/>
        </w:rPr>
        <w:footnoteReference w:id="15"/>
      </w:r>
      <w:r>
        <w:t>.</w:t>
      </w:r>
    </w:p>
    <w:p w:rsidR="00000000" w:rsidRDefault="00000000">
      <w:pPr>
        <w:pStyle w:val="BodyText"/>
      </w:pPr>
      <w:r>
        <w:t>100.</w:t>
      </w:r>
      <w:r>
        <w:tab/>
        <w:t>Следует отметить, что мы не располагаем данными относительно проституции среди гомосексуалистов и трансвеститов, которые после отмены положений, признававших гомосексуализм уголовным преступлением, открыто участвуют в работе организаций, защищающих их права в качестве сексуальных меньшинств, которые в настоящее время называются  меньшинствами "сексуальной ориентации и идентичности".</w:t>
      </w:r>
    </w:p>
    <w:p w:rsidR="00000000" w:rsidRDefault="00000000">
      <w:pPr>
        <w:pStyle w:val="BodyText"/>
      </w:pPr>
      <w:r>
        <w:t>101.</w:t>
      </w:r>
      <w:r>
        <w:tab/>
        <w:t>Около 15 процентов от общего числа эквадорских женщин, занимающихся проституцией, объединены в ассоциации. Деятельность, выдвигаемые требования и задачи этих ассоциаций направлены главным образом на борьбу за свои права как личностей, на оказание взаимной помощи, проявление  женской солидарности и т. п.</w:t>
      </w:r>
    </w:p>
    <w:p w:rsidR="00000000" w:rsidRDefault="00000000">
      <w:pPr>
        <w:pStyle w:val="BodyText"/>
      </w:pPr>
      <w:r>
        <w:t>102.</w:t>
      </w:r>
      <w:r>
        <w:tab/>
        <w:t>Наличие формальных и неформальных групп, которые работают в центрах помощи проституткам как на национальном уровне, так и в провинциях, обеспечивает уважение прав этих женщин. Проекты возвращения на достойную работу, пусть даже незначительные по охвату, позволяют женщинам, которые получили от них помощь, восстановить самоуважение и материальную независимость.</w:t>
      </w:r>
    </w:p>
    <w:p w:rsidR="00000000" w:rsidRDefault="00000000">
      <w:pPr>
        <w:pStyle w:val="BodyText"/>
      </w:pPr>
      <w:r>
        <w:t>103.</w:t>
      </w:r>
      <w:r>
        <w:tab/>
        <w:t>В декабре 1997 года было создано Национальное управление специальной полиции для детей и подростков обоего пола. Это технический и административный орган, предназначенный для осуществления полицией действий и мероприятий по предупреждению и расследованию случаев нарушения прав детей и подростков обоего пола или угрозы их нарушения, а также для соответствующего вмешательства.</w:t>
      </w:r>
    </w:p>
    <w:p w:rsidR="00000000" w:rsidRDefault="00000000">
      <w:pPr>
        <w:pStyle w:val="BodyText"/>
        <w:spacing w:after="360"/>
      </w:pPr>
      <w:r>
        <w:t>104.</w:t>
      </w:r>
      <w:r>
        <w:tab/>
        <w:t>В феврале 1998 года Главное управление образования Национальной полиции, Международное движение в защиту детей – Эквадор и "Рада Барнен" (Швеция) при содействии Национального института по проблемам детства и семьи (ИННФА) и ЮНИСЕФ реализовали для Национальной полиции Эквадора программу профессиональной подготовки по социальным вопросам, проблемам прав детей и подростков обоего пола и по соответствующим положениям эквадорского законодательства. Одним из главных пунктов программы была проблема сексуальной эксплуатации.</w:t>
      </w:r>
    </w:p>
    <w:p w:rsidR="00000000" w:rsidRDefault="00000000">
      <w:pPr>
        <w:pStyle w:val="Heading3"/>
      </w:pPr>
      <w:r>
        <w:t>СТАТЬЯ  7</w:t>
      </w:r>
    </w:p>
    <w:p w:rsidR="00000000" w:rsidRDefault="00000000">
      <w:pPr>
        <w:pStyle w:val="BodyText"/>
        <w:ind w:left="680" w:hanging="680"/>
        <w:rPr>
          <w:i/>
        </w:rPr>
      </w:pPr>
      <w:r>
        <w:rPr>
          <w:i/>
          <w:color w:val="000000"/>
        </w:rPr>
        <w:tab/>
        <w:t>Государства-участники принимают все соответствующие меры по ликвидации дискриминации в отношении женщин в политической и общественной жизни страны и, в частности, обеспечивают женщинам на равных условиях с мужчинами право:</w:t>
      </w:r>
    </w:p>
    <w:p w:rsidR="00000000" w:rsidRDefault="00000000">
      <w:pPr>
        <w:pStyle w:val="BodyText"/>
        <w:spacing w:after="120"/>
        <w:ind w:left="397" w:hanging="397"/>
        <w:rPr>
          <w:i/>
        </w:rPr>
      </w:pPr>
      <w:r>
        <w:rPr>
          <w:i/>
          <w:color w:val="000000"/>
        </w:rPr>
        <w:t>а)</w:t>
      </w:r>
      <w:r>
        <w:rPr>
          <w:i/>
          <w:color w:val="000000"/>
        </w:rPr>
        <w:tab/>
        <w:t>голосовать на всех выборах и публичных референдумах и избираться во все публично избираемые органы;</w:t>
      </w:r>
    </w:p>
    <w:p w:rsidR="00000000" w:rsidRDefault="00000000">
      <w:pPr>
        <w:pStyle w:val="BodyText"/>
        <w:spacing w:after="120"/>
        <w:ind w:left="397" w:hanging="397"/>
        <w:rPr>
          <w:i/>
        </w:rPr>
      </w:pPr>
      <w:r>
        <w:rPr>
          <w:i/>
          <w:color w:val="000000"/>
          <w:lang w:val="en-US"/>
        </w:rPr>
        <w:t>b</w:t>
      </w:r>
      <w:r>
        <w:rPr>
          <w:i/>
          <w:color w:val="000000"/>
        </w:rPr>
        <w:t>)</w:t>
      </w:r>
      <w:r>
        <w:rPr>
          <w:i/>
          <w:color w:val="000000"/>
        </w:rPr>
        <w:tab/>
        <w:t>участвовать в формулировании и осуществлении политики правительства и занимать государственные посты, а также осуществлять все государственные функции на всех уровнях государственного управления;</w:t>
      </w:r>
    </w:p>
    <w:p w:rsidR="00000000" w:rsidRDefault="00000000">
      <w:pPr>
        <w:pStyle w:val="BodyText"/>
        <w:spacing w:after="200"/>
        <w:ind w:left="397" w:hanging="397"/>
        <w:rPr>
          <w:i/>
        </w:rPr>
      </w:pPr>
      <w:r>
        <w:rPr>
          <w:i/>
          <w:color w:val="000000"/>
        </w:rPr>
        <w:t>с)</w:t>
      </w:r>
      <w:r>
        <w:rPr>
          <w:i/>
          <w:color w:val="000000"/>
        </w:rPr>
        <w:tab/>
        <w:t>принимать участие в деятельности неправительственных организаций и ассоциаций, занимающихся проблемами общественной и политической жизни страны.</w:t>
      </w:r>
    </w:p>
    <w:p w:rsidR="00000000" w:rsidRDefault="00000000">
      <w:pPr>
        <w:pStyle w:val="BodyText"/>
        <w:spacing w:after="200"/>
      </w:pPr>
      <w:r>
        <w:t>105.</w:t>
      </w:r>
      <w:r>
        <w:tab/>
        <w:t>Политическая конституция Республики Эквадор в статье 99 устанавливает порядок избрания высших руководителей страны. В статье 102 провозглашается равное участие женщин и мужчин в качестве кандидатов на выборах. Временное положение 17 действующей Конституции предписывает обязательное наличие 20 процентов женщин в избирательных списках. Согласно данным Верховного избирательного трибунала, выполнение указанного положения не вызывает проблем ни в одной провинции Эквадора.</w:t>
      </w:r>
    </w:p>
    <w:p w:rsidR="00000000" w:rsidRDefault="00000000">
      <w:pPr>
        <w:pStyle w:val="BodyText"/>
        <w:spacing w:after="200"/>
      </w:pPr>
      <w:r>
        <w:t>106.</w:t>
      </w:r>
      <w:r>
        <w:tab/>
        <w:t>В последнее время состоялись две избирательные кампании – 30 ноября 1997 года (выборы представителей в Национальную ассамблею) и 31 мая 1998 года (всеобщие выборы президента и вице-президента, депутатов национального и провинциальных парламентов, провинциальных и муниципальных советников).</w:t>
      </w:r>
    </w:p>
    <w:p w:rsidR="00000000" w:rsidRDefault="00000000">
      <w:pPr>
        <w:pStyle w:val="BodyText"/>
        <w:spacing w:after="200"/>
      </w:pPr>
      <w:r>
        <w:t>107.</w:t>
      </w:r>
      <w:r>
        <w:tab/>
        <w:t>В 1998 году представленность женщин в органах судебной власти была следующей: на должностях председателей верховных судов – 5 процентов; судейских чиновников верховных судов – 9,4 процента; судейских чиновников районных судов – 6,1 процента; председателей судов по уголовным делам – 6,1 процента; членов уголовного суда – 13,4 процента; народных защитников – 18,2 процента; работников судов низшей инстанции по гражданским делам – 13,8 процента; работников судов низшей инстанции по делам найма жилых помещений – 55,6 процента; работников судов низшей инстанции по уголовным делам – 10,7 процента; работников судов низшей инстанции по вопросам трудового законодательства – 35,5 процента; работников транспортных судов низшей инстанции – 13,5 процента</w:t>
      </w:r>
      <w:r>
        <w:rPr>
          <w:rStyle w:val="FootnoteReference"/>
        </w:rPr>
        <w:footnoteReference w:id="16"/>
      </w:r>
      <w:r>
        <w:t>.</w:t>
      </w:r>
    </w:p>
    <w:p w:rsidR="00000000" w:rsidRDefault="00000000">
      <w:pPr>
        <w:pStyle w:val="BodyText"/>
        <w:spacing w:after="200"/>
      </w:pPr>
      <w:r>
        <w:t>108.</w:t>
      </w:r>
      <w:r>
        <w:tab/>
        <w:t>В отношении кадров для государственных должностей в 1990–1998 годах контрольно-административные функции исполнял Национальный секретариат административного развития (СЕНДА). В процессе реорганизации органов государственного управления, которая проводилась при правительстве д-ра Джамиля Мауада Витта (10 августа 1998 года), это ведомство было упразднено и создано Бюро гражданской службы и институционального развития (ОССИДИ). В отношении назначений в органах государственной власти дискриминации по гендерному признаку не существует. Назначения производятся согласно положениям Закона о государственной службе и административной карьере.</w:t>
      </w:r>
    </w:p>
    <w:p w:rsidR="00000000" w:rsidRDefault="00000000">
      <w:pPr>
        <w:pStyle w:val="BodyText"/>
        <w:spacing w:after="200"/>
      </w:pPr>
      <w:r>
        <w:t>109.</w:t>
      </w:r>
      <w:r>
        <w:tab/>
        <w:t>В целях систематизации оценки производительности труда персонала и обеспечения его нейтрального отношения к гендерным проблемам в главе XII "Об оценке службы" Закона о государственной службе и административной карьере устанавливается: "В целях повышения производительности труда государственных служащих в Национальном управлении персонала существует и действует система ежегодной оценки работы".</w:t>
      </w:r>
    </w:p>
    <w:p w:rsidR="00000000" w:rsidRDefault="00000000">
      <w:pPr>
        <w:pStyle w:val="BodyText"/>
      </w:pPr>
      <w:r>
        <w:t>110.</w:t>
      </w:r>
      <w:r>
        <w:tab/>
        <w:t>Пять крупнейших профсоюзных центров страны в своих периодических докладах сообщают, что женщины активно участвуют в их работе.</w:t>
      </w:r>
    </w:p>
    <w:p w:rsidR="00000000" w:rsidRDefault="00000000">
      <w:pPr>
        <w:pStyle w:val="BodyText"/>
        <w:spacing w:after="200"/>
      </w:pPr>
      <w:r>
        <w:t>111.</w:t>
      </w:r>
      <w:r>
        <w:tab/>
        <w:t>Закон об охране права на труд, принятый 6 февраля 1997 года и обнародованный в № 124 "Рехистро офисиаль", предусматривает меры позитивно дискриминационного характера.</w:t>
      </w:r>
    </w:p>
    <w:p w:rsidR="00000000" w:rsidRDefault="00000000">
      <w:pPr>
        <w:pStyle w:val="BodyText"/>
        <w:spacing w:after="200"/>
      </w:pPr>
      <w:r>
        <w:t>112.</w:t>
      </w:r>
      <w:r>
        <w:tab/>
        <w:t>Ввиду отсутствия системы ротации и квот, устанавливаемых для каждой провинции, применение Закона не позволило на последних выборах в конгресс (май 1998 года) увеличить представительство женщин в парламенте, несмотря на то что на данный момент оно было самым высоким за всю историю (16 женщин-депутатов на национальном и провинциальном уровнях).</w:t>
      </w:r>
    </w:p>
    <w:p w:rsidR="00000000" w:rsidRDefault="00000000">
      <w:pPr>
        <w:pStyle w:val="BodyText"/>
        <w:spacing w:after="200"/>
      </w:pPr>
      <w:r>
        <w:t>113.</w:t>
      </w:r>
      <w:r>
        <w:tab/>
        <w:t>Несмотря на низкий уровень представленности женщин на высших должностях, связанных с принятием решений, 90-е годы отмечены появлением женщин в государственной сфере. В правительствах, которые работали с 1990 года, была по крайней мере одна женщина-министр. Женщины занимали также посты представителей национального правительства на местах и должности мэров. В 1998 году, когда женщины заняли министерские посты (финансов, образования, туризма и окружающей среды), следует особо выделить тот факт, что женщина – министр финансов впервые стала также министром внутренних дел и полиции; женщины получили влиятельные должности в области экономического планирования и в определении направлений государственной политики.</w:t>
      </w:r>
    </w:p>
    <w:p w:rsidR="00000000" w:rsidRDefault="00000000">
      <w:pPr>
        <w:pStyle w:val="BodyText"/>
        <w:spacing w:after="200"/>
      </w:pPr>
      <w:r>
        <w:t>114.</w:t>
      </w:r>
      <w:r>
        <w:tab/>
        <w:t>В рамках этого процесса на последних президентских выборах впервые в истории в качестве кандидатов были выдвинуты две женщины; одна из них ранее была вице-президентом Республики и возглавляла собственное движение, а другая представляла одну из партий, которая в последние 20 лет, с момента восстановления демократии, постоянно присутствовала на политической арене. Ни одна из них не набрала более 5 процентов голосов.</w:t>
      </w:r>
    </w:p>
    <w:p w:rsidR="00000000" w:rsidRDefault="00000000">
      <w:pPr>
        <w:pStyle w:val="BodyText"/>
        <w:spacing w:after="200"/>
      </w:pPr>
      <w:r>
        <w:t>115.</w:t>
      </w:r>
      <w:r>
        <w:tab/>
        <w:t>Другой характерной чертой периода с 1990 года по настоящее время является тот факт, что в предвыборной борьбе участвуют движения, образованные скорее по секторальным интересам, чем по политической идеологии. Участие представителей коренного населения и женщин являются показательным примером этой тенденции. Оба движения получили места в парламенте, а их представители заняли министерские посты.</w:t>
      </w:r>
    </w:p>
    <w:p w:rsidR="00000000" w:rsidRDefault="00000000">
      <w:pPr>
        <w:pStyle w:val="BodyText"/>
        <w:spacing w:after="200"/>
      </w:pPr>
      <w:r>
        <w:t>116.</w:t>
      </w:r>
      <w:r>
        <w:tab/>
        <w:t>В 1998–2000 годах впервые женщина – представитель коренного населения стала вице-председателем Национального конгресса.</w:t>
      </w:r>
    </w:p>
    <w:p w:rsidR="00000000" w:rsidRDefault="00000000">
      <w:pPr>
        <w:pStyle w:val="BodyText"/>
        <w:spacing w:after="200"/>
      </w:pPr>
      <w:r>
        <w:t>117.</w:t>
      </w:r>
      <w:r>
        <w:tab/>
        <w:t>В 1998 году 27 процентов высших должностей исполнительной власти были представлены женщинами в ранге государственных министров. Представляет также интерес тот факт, что впервые женщина заняла высшую должность Генерального прокурора Республики, причем Генеральная прокуратора является ведомством, независимым от других ветвей власти. Кроме того, женщины возглавляют службы заместителя Уполномоченного по защите интересов женщин и детей и Уполномоченного по защите прав потребителей.</w:t>
      </w:r>
    </w:p>
    <w:p w:rsidR="00000000" w:rsidRDefault="00000000">
      <w:pPr>
        <w:pStyle w:val="BodyText"/>
      </w:pPr>
      <w:r>
        <w:t>118.</w:t>
      </w:r>
      <w:r>
        <w:tab/>
        <w:t>В 1998 году были созданы важные для внутриполитического развития органы: Специальная антикоррупционная комиссия и Специальная комиссии по конституционным реформам, причем процент работающих в них женщин значителен. В негосударственной сфере растет число женщин, которые занимают руководящие посты в частных предприятиях, неправительственных организациях, торгово-промышленных палатах и профсоюзных объединениях.</w:t>
      </w:r>
    </w:p>
    <w:p w:rsidR="00000000" w:rsidRDefault="00000000">
      <w:pPr>
        <w:pStyle w:val="Heading3"/>
        <w:rPr>
          <w:caps/>
        </w:rPr>
      </w:pPr>
      <w:r>
        <w:rPr>
          <w:caps/>
        </w:rPr>
        <w:t>Статья  8</w:t>
      </w:r>
    </w:p>
    <w:p w:rsidR="00000000" w:rsidRDefault="00000000">
      <w:pPr>
        <w:autoSpaceDE w:val="0"/>
        <w:autoSpaceDN w:val="0"/>
        <w:adjustRightInd w:val="0"/>
        <w:spacing w:after="240" w:line="260" w:lineRule="exact"/>
        <w:ind w:left="709"/>
        <w:jc w:val="both"/>
        <w:rPr>
          <w:rFonts w:ascii="Arial" w:hAnsi="Arial"/>
          <w:i/>
          <w:color w:val="000000"/>
          <w:sz w:val="22"/>
        </w:rPr>
      </w:pPr>
      <w:r>
        <w:rPr>
          <w:rFonts w:ascii="Arial" w:hAnsi="Arial"/>
          <w:i/>
          <w:color w:val="000000"/>
          <w:sz w:val="22"/>
        </w:rPr>
        <w:t>Государства-участники принимают все соответствующие меры, чтобы обеспечить женщинам возможность на равных условиях с мужчинами и без какой-либо дискриминации представлять свои правительства на международном уровне и участвовать в работе международных организаций.</w:t>
      </w:r>
    </w:p>
    <w:p w:rsidR="00000000" w:rsidRDefault="00000000">
      <w:pPr>
        <w:autoSpaceDE w:val="0"/>
        <w:autoSpaceDN w:val="0"/>
        <w:adjustRightInd w:val="0"/>
        <w:spacing w:after="220" w:line="260" w:lineRule="exact"/>
        <w:jc w:val="both"/>
        <w:rPr>
          <w:rFonts w:ascii="Arial" w:hAnsi="Arial"/>
          <w:sz w:val="22"/>
        </w:rPr>
      </w:pPr>
      <w:r>
        <w:rPr>
          <w:rFonts w:ascii="Arial" w:hAnsi="Arial"/>
          <w:sz w:val="22"/>
        </w:rPr>
        <w:t>119.</w:t>
      </w:r>
      <w:r>
        <w:rPr>
          <w:rFonts w:ascii="Arial" w:hAnsi="Arial"/>
          <w:sz w:val="22"/>
        </w:rPr>
        <w:tab/>
        <w:t>Согласно Органическому закону о дипломатической службе, не существует дискриминации в отношении принятия на дипломатическую работу. Процесс отбора будущих дипломатов является открытым и осуществляется на национальном уровне.</w:t>
      </w:r>
    </w:p>
    <w:p w:rsidR="00000000" w:rsidRDefault="00000000">
      <w:pPr>
        <w:autoSpaceDE w:val="0"/>
        <w:autoSpaceDN w:val="0"/>
        <w:adjustRightInd w:val="0"/>
        <w:spacing w:after="220" w:line="260" w:lineRule="exact"/>
        <w:jc w:val="both"/>
        <w:rPr>
          <w:rFonts w:ascii="Arial" w:hAnsi="Arial"/>
          <w:sz w:val="22"/>
        </w:rPr>
      </w:pPr>
      <w:r>
        <w:rPr>
          <w:rFonts w:ascii="Arial" w:hAnsi="Arial"/>
          <w:sz w:val="22"/>
        </w:rPr>
        <w:t>120.</w:t>
      </w:r>
      <w:r>
        <w:rPr>
          <w:rFonts w:ascii="Arial" w:hAnsi="Arial"/>
          <w:sz w:val="22"/>
        </w:rPr>
        <w:tab/>
        <w:t>Важно отметить, что 27 мая 1987 года была открыта Дипломатическая академия имени Антонио</w:t>
      </w:r>
      <w:r>
        <w:rPr>
          <w:rFonts w:ascii="Arial" w:hAnsi="Arial"/>
          <w:sz w:val="22"/>
          <w:lang w:val="en-US"/>
        </w:rPr>
        <w:t> </w:t>
      </w:r>
      <w:r>
        <w:rPr>
          <w:rFonts w:ascii="Arial" w:hAnsi="Arial"/>
          <w:sz w:val="22"/>
        </w:rPr>
        <w:t>Х.</w:t>
      </w:r>
      <w:r>
        <w:rPr>
          <w:rFonts w:ascii="Arial" w:hAnsi="Arial"/>
          <w:sz w:val="22"/>
          <w:lang w:val="en-US"/>
        </w:rPr>
        <w:t> </w:t>
      </w:r>
      <w:r>
        <w:rPr>
          <w:rFonts w:ascii="Arial" w:hAnsi="Arial"/>
          <w:sz w:val="22"/>
        </w:rPr>
        <w:t>Кеведо с целью оптимизации управленческого потенциала эквадорской дипломатической службы посредством совершенствования образования и специальной подготовки ее работников. Дипломатическая академия, ответственная за организацию набора, отбора, зачисления, контроля и оценки профессорско-преподавательского состава и абитуриентов, обеспечивает квалифицированную подготовку молодых специалистов в дипломатической сфере на основе недискриминации.</w:t>
      </w:r>
    </w:p>
    <w:p w:rsidR="00000000" w:rsidRDefault="00000000">
      <w:pPr>
        <w:autoSpaceDE w:val="0"/>
        <w:autoSpaceDN w:val="0"/>
        <w:adjustRightInd w:val="0"/>
        <w:spacing w:after="220" w:line="260" w:lineRule="exact"/>
        <w:jc w:val="both"/>
        <w:rPr>
          <w:rFonts w:ascii="Arial" w:hAnsi="Arial"/>
          <w:color w:val="000000"/>
          <w:sz w:val="22"/>
        </w:rPr>
      </w:pPr>
      <w:r>
        <w:rPr>
          <w:rFonts w:ascii="Arial" w:hAnsi="Arial"/>
          <w:color w:val="000000"/>
          <w:sz w:val="22"/>
        </w:rPr>
        <w:t>121.</w:t>
      </w:r>
      <w:r>
        <w:rPr>
          <w:rFonts w:ascii="Arial" w:hAnsi="Arial"/>
          <w:color w:val="000000"/>
          <w:sz w:val="22"/>
        </w:rPr>
        <w:tab/>
        <w:t xml:space="preserve">В целях содействия расширению круга претендентов приемные экзамены проводятся как в столице Республики, так и в городе Гуаякиль, если это представляется возможным. По окончании экзаменов производится отбор группы специалистов, которые для получения ранга третьего секретаря дипломатической службы должны пройти курс профессиональной подготовки в Дипломатической академии Эквадора имени </w:t>
      </w:r>
      <w:r>
        <w:rPr>
          <w:rFonts w:ascii="Arial" w:hAnsi="Arial"/>
          <w:sz w:val="22"/>
        </w:rPr>
        <w:t>Антонио Х. Кеведо, а также соответствующую практику.</w:t>
      </w:r>
    </w:p>
    <w:p w:rsidR="00000000" w:rsidRDefault="00000000">
      <w:pPr>
        <w:autoSpaceDE w:val="0"/>
        <w:autoSpaceDN w:val="0"/>
        <w:adjustRightInd w:val="0"/>
        <w:spacing w:after="220" w:line="260" w:lineRule="exact"/>
        <w:jc w:val="both"/>
        <w:rPr>
          <w:rFonts w:ascii="Arial" w:hAnsi="Arial"/>
          <w:color w:val="000000"/>
          <w:sz w:val="22"/>
        </w:rPr>
      </w:pPr>
      <w:r>
        <w:rPr>
          <w:rFonts w:ascii="Arial" w:hAnsi="Arial"/>
          <w:color w:val="000000"/>
          <w:sz w:val="22"/>
        </w:rPr>
        <w:t>122.</w:t>
      </w:r>
      <w:r>
        <w:rPr>
          <w:rFonts w:ascii="Arial" w:hAnsi="Arial"/>
          <w:color w:val="000000"/>
          <w:sz w:val="22"/>
        </w:rPr>
        <w:tab/>
        <w:t>В наборе 1989–1990 годов, который насчитывал 14</w:t>
      </w:r>
      <w:r>
        <w:rPr>
          <w:rFonts w:ascii="Arial" w:hAnsi="Arial"/>
          <w:sz w:val="22"/>
        </w:rPr>
        <w:t> </w:t>
      </w:r>
      <w:r>
        <w:rPr>
          <w:rFonts w:ascii="Arial" w:hAnsi="Arial"/>
          <w:color w:val="000000"/>
          <w:sz w:val="22"/>
        </w:rPr>
        <w:t>человек, было 5</w:t>
      </w:r>
      <w:r>
        <w:rPr>
          <w:rFonts w:ascii="Arial" w:hAnsi="Arial"/>
          <w:sz w:val="22"/>
        </w:rPr>
        <w:t> </w:t>
      </w:r>
      <w:r>
        <w:rPr>
          <w:rFonts w:ascii="Arial" w:hAnsi="Arial"/>
          <w:color w:val="000000"/>
          <w:sz w:val="22"/>
        </w:rPr>
        <w:t>женщин. В наборе 1990–1992 годов из 12 студентов, поступивших на дипломатическую службу, также было 5 женщин. В 1992–1993 годах в числе 12 поступивших была 1 женщина. В 1993 году на учебу в Академию поступили 2 женщины, в 1995–1997 годах – 5 женщин, в 1997–1998 годах среди 9 поступивших на учебу в Дипломатическую академию было 6 женщин</w:t>
      </w:r>
      <w:r>
        <w:rPr>
          <w:rStyle w:val="FootnoteReference"/>
          <w:rFonts w:ascii="Arial" w:hAnsi="Arial"/>
          <w:color w:val="000000"/>
          <w:sz w:val="22"/>
        </w:rPr>
        <w:footnoteReference w:id="17"/>
      </w:r>
      <w:r>
        <w:rPr>
          <w:rFonts w:ascii="Arial" w:hAnsi="Arial"/>
          <w:color w:val="000000"/>
          <w:sz w:val="22"/>
        </w:rPr>
        <w:t>.</w:t>
      </w:r>
    </w:p>
    <w:p w:rsidR="00000000" w:rsidRDefault="00000000">
      <w:pPr>
        <w:autoSpaceDE w:val="0"/>
        <w:autoSpaceDN w:val="0"/>
        <w:adjustRightInd w:val="0"/>
        <w:spacing w:after="240" w:line="260" w:lineRule="exact"/>
        <w:jc w:val="both"/>
        <w:rPr>
          <w:rFonts w:ascii="Arial" w:hAnsi="Arial"/>
          <w:color w:val="000000"/>
          <w:sz w:val="22"/>
        </w:rPr>
      </w:pPr>
      <w:r>
        <w:rPr>
          <w:rFonts w:ascii="Arial" w:hAnsi="Arial"/>
          <w:color w:val="000000"/>
          <w:sz w:val="22"/>
        </w:rPr>
        <w:t>123.</w:t>
      </w:r>
      <w:r>
        <w:rPr>
          <w:rFonts w:ascii="Arial" w:hAnsi="Arial"/>
          <w:color w:val="000000"/>
          <w:sz w:val="22"/>
        </w:rPr>
        <w:tab/>
        <w:t>В 1990 году в ранге посла были 2 женщины, 1 женщина – в ранге посланника, 3 женщины – в ранге советника, 6 женщин – первых секретарей, 10 женщин – вторых секретарей, 6 женщин – третьих секретарей. В 1998 году в ранге посла были 4 женщины, причем одна из них работала заместителем секретаря по делам международных организаций, 4 женщины – в ранге посланника, 8 женщин – в ранге советника, 9 женщин – первых секретарей, 8 женщин – вторых секретарей и 10 женщин – третьих секретарей</w:t>
      </w:r>
      <w:r>
        <w:rPr>
          <w:rStyle w:val="FootnoteReference"/>
          <w:rFonts w:ascii="Arial" w:hAnsi="Arial"/>
          <w:color w:val="000000"/>
          <w:sz w:val="22"/>
        </w:rPr>
        <w:footnoteReference w:id="18"/>
      </w:r>
      <w:r>
        <w:rPr>
          <w:rFonts w:ascii="Arial" w:hAnsi="Arial"/>
          <w:color w:val="000000"/>
          <w:sz w:val="22"/>
        </w:rPr>
        <w:t>.</w:t>
      </w:r>
    </w:p>
    <w:p w:rsidR="00000000" w:rsidRDefault="00000000">
      <w:pPr>
        <w:autoSpaceDE w:val="0"/>
        <w:autoSpaceDN w:val="0"/>
        <w:adjustRightInd w:val="0"/>
        <w:spacing w:after="240" w:line="260" w:lineRule="exact"/>
        <w:jc w:val="both"/>
        <w:rPr>
          <w:rFonts w:ascii="Arial" w:hAnsi="Arial"/>
          <w:color w:val="000000"/>
          <w:sz w:val="22"/>
        </w:rPr>
      </w:pPr>
      <w:r>
        <w:rPr>
          <w:rFonts w:ascii="Arial" w:hAnsi="Arial"/>
          <w:color w:val="000000"/>
          <w:sz w:val="22"/>
        </w:rPr>
        <w:t>124.</w:t>
      </w:r>
      <w:r>
        <w:rPr>
          <w:rFonts w:ascii="Arial" w:hAnsi="Arial"/>
          <w:color w:val="000000"/>
          <w:sz w:val="22"/>
        </w:rPr>
        <w:tab/>
        <w:t>Несмотря на то что в законодательстве отсутствует дискриминация и женщина имеет равные с мужчинами возможности поступить на дипломатическую службу, следует отметить, что по причинам культурного характера, вследствие влияния традиций и по семейным обстоятельствам женщине труднее сочетать личную жизнь с профессиональной в этой области.</w:t>
      </w:r>
    </w:p>
    <w:p w:rsidR="00000000" w:rsidRDefault="00000000">
      <w:pPr>
        <w:autoSpaceDE w:val="0"/>
        <w:autoSpaceDN w:val="0"/>
        <w:adjustRightInd w:val="0"/>
        <w:spacing w:after="240" w:line="260" w:lineRule="exact"/>
        <w:jc w:val="both"/>
        <w:rPr>
          <w:rFonts w:ascii="Arial" w:hAnsi="Arial"/>
          <w:color w:val="000000"/>
          <w:sz w:val="22"/>
        </w:rPr>
      </w:pPr>
      <w:r>
        <w:rPr>
          <w:rFonts w:ascii="Arial" w:hAnsi="Arial"/>
          <w:color w:val="000000"/>
          <w:sz w:val="22"/>
        </w:rPr>
        <w:t>125.</w:t>
      </w:r>
      <w:r>
        <w:rPr>
          <w:rFonts w:ascii="Arial" w:hAnsi="Arial"/>
          <w:color w:val="000000"/>
          <w:sz w:val="22"/>
        </w:rPr>
        <w:tab/>
        <w:t>В 1989 году доля женщин на дипломатической службе составила 7,1 процента.</w:t>
      </w:r>
    </w:p>
    <w:p w:rsidR="00000000" w:rsidRDefault="00000000">
      <w:pPr>
        <w:autoSpaceDE w:val="0"/>
        <w:autoSpaceDN w:val="0"/>
        <w:adjustRightInd w:val="0"/>
        <w:spacing w:after="240" w:line="260" w:lineRule="exact"/>
        <w:jc w:val="both"/>
        <w:rPr>
          <w:rFonts w:ascii="Arial" w:hAnsi="Arial"/>
          <w:color w:val="000000"/>
          <w:sz w:val="22"/>
        </w:rPr>
      </w:pPr>
      <w:r>
        <w:rPr>
          <w:rFonts w:ascii="Arial" w:hAnsi="Arial"/>
          <w:color w:val="000000"/>
          <w:sz w:val="22"/>
        </w:rPr>
        <w:t>126.</w:t>
      </w:r>
      <w:r>
        <w:rPr>
          <w:rFonts w:ascii="Arial" w:hAnsi="Arial"/>
          <w:color w:val="000000"/>
          <w:sz w:val="22"/>
        </w:rPr>
        <w:tab/>
        <w:t>В 1998 году 50 процентов обучавшихся по специальности "дипломатия" были женщины. В 1994 году из 69 послов были 3 женщины (4 процента). В этом же году из 305 дипломатических работников было 45 женщин (15 процентов). Из 35 консульских работников было 6 женщин (18 процентов).</w:t>
      </w:r>
    </w:p>
    <w:p w:rsidR="00000000" w:rsidRDefault="00000000">
      <w:pPr>
        <w:pStyle w:val="Heading3"/>
        <w:rPr>
          <w:caps/>
        </w:rPr>
      </w:pPr>
      <w:r>
        <w:rPr>
          <w:caps/>
        </w:rPr>
        <w:t>Статья  9</w:t>
      </w:r>
    </w:p>
    <w:p w:rsidR="00000000" w:rsidRDefault="00000000">
      <w:pPr>
        <w:pStyle w:val="BodyTextIndent3"/>
      </w:pPr>
      <w:r>
        <w:t>1.</w:t>
      </w:r>
      <w:r>
        <w:tab/>
        <w:t>Государства-участники предоставляют женщинам равные с мужчинами права в отношении приобретения, изменения или сохранения гражданства. Они, в частности, обеспечивают, что ни вступление в брак с иностранцем, ни изменение гражданства мужа во время брака не влекут за собой автоматического изменения гражданства жены, не превращают ее в лицо без гражданства и не могут заставить ее принять гражданство мужа.</w:t>
      </w:r>
    </w:p>
    <w:p w:rsidR="00000000" w:rsidRDefault="00000000">
      <w:pPr>
        <w:autoSpaceDE w:val="0"/>
        <w:autoSpaceDN w:val="0"/>
        <w:adjustRightInd w:val="0"/>
        <w:spacing w:after="240" w:line="260" w:lineRule="exact"/>
        <w:ind w:left="397" w:hanging="397"/>
        <w:jc w:val="both"/>
        <w:rPr>
          <w:rFonts w:ascii="Arial" w:hAnsi="Arial"/>
          <w:i/>
          <w:color w:val="000000"/>
          <w:sz w:val="22"/>
        </w:rPr>
      </w:pPr>
      <w:r>
        <w:rPr>
          <w:rFonts w:ascii="Arial" w:hAnsi="Arial"/>
          <w:i/>
          <w:color w:val="000000"/>
          <w:sz w:val="22"/>
        </w:rPr>
        <w:t>2.</w:t>
      </w:r>
      <w:r>
        <w:rPr>
          <w:rFonts w:ascii="Arial" w:hAnsi="Arial"/>
          <w:i/>
          <w:color w:val="000000"/>
          <w:sz w:val="22"/>
        </w:rPr>
        <w:tab/>
        <w:t>Государства-участники предоставляют женщинам равные с мужчинами права в отношении гражданства их детей.</w:t>
      </w:r>
    </w:p>
    <w:p w:rsidR="00000000" w:rsidRDefault="00000000">
      <w:pPr>
        <w:pStyle w:val="BodyText3"/>
        <w:spacing w:after="240" w:line="260" w:lineRule="exact"/>
        <w:jc w:val="both"/>
        <w:rPr>
          <w:rFonts w:ascii="Arial" w:hAnsi="Arial"/>
          <w:sz w:val="22"/>
        </w:rPr>
      </w:pPr>
      <w:r>
        <w:rPr>
          <w:rFonts w:ascii="Arial" w:hAnsi="Arial"/>
          <w:sz w:val="22"/>
        </w:rPr>
        <w:t>127.</w:t>
      </w:r>
      <w:r>
        <w:rPr>
          <w:rFonts w:ascii="Arial" w:hAnsi="Arial"/>
          <w:sz w:val="22"/>
        </w:rPr>
        <w:tab/>
        <w:t>В соответствии со статьями 6, 7, 8, 9 и 10 Конституции Республики не существует дискриминации по гендерному признаку в отношении права на сохранение эквадорского гражданства или на получение иного гражданства.</w:t>
      </w:r>
    </w:p>
    <w:p w:rsidR="00000000" w:rsidRDefault="00000000">
      <w:pPr>
        <w:pStyle w:val="BodyText3"/>
        <w:spacing w:after="240" w:line="260" w:lineRule="exact"/>
        <w:jc w:val="both"/>
        <w:rPr>
          <w:rFonts w:ascii="Arial" w:hAnsi="Arial"/>
          <w:sz w:val="22"/>
        </w:rPr>
      </w:pPr>
      <w:r>
        <w:rPr>
          <w:rFonts w:ascii="Arial" w:hAnsi="Arial"/>
          <w:sz w:val="22"/>
        </w:rPr>
        <w:t>128.</w:t>
      </w:r>
      <w:r>
        <w:rPr>
          <w:rFonts w:ascii="Arial" w:hAnsi="Arial"/>
          <w:sz w:val="22"/>
        </w:rPr>
        <w:tab/>
        <w:t xml:space="preserve">Этот вопрос рассматривается также в статьях 57 и 58 Гражданского кодекса, в которых определяются местожительство и гражданство супругов. В </w:t>
      </w:r>
      <w:r>
        <w:rPr>
          <w:rFonts w:ascii="Arial" w:hAnsi="Arial"/>
          <w:caps/>
          <w:sz w:val="22"/>
        </w:rPr>
        <w:t>з</w:t>
      </w:r>
      <w:r>
        <w:rPr>
          <w:rFonts w:ascii="Arial" w:hAnsi="Arial"/>
          <w:sz w:val="22"/>
        </w:rPr>
        <w:t>аконе о натурализации признается равенство женщин и мужчин в том, что касается приобретения гражданства.</w:t>
      </w:r>
    </w:p>
    <w:p w:rsidR="00000000" w:rsidRDefault="00000000">
      <w:pPr>
        <w:pStyle w:val="BodyText3"/>
        <w:spacing w:after="240" w:line="260" w:lineRule="exact"/>
        <w:jc w:val="both"/>
        <w:rPr>
          <w:rFonts w:ascii="Arial" w:hAnsi="Arial"/>
          <w:sz w:val="22"/>
        </w:rPr>
      </w:pPr>
      <w:r>
        <w:rPr>
          <w:rFonts w:ascii="Arial" w:hAnsi="Arial"/>
          <w:sz w:val="22"/>
        </w:rPr>
        <w:t>129.</w:t>
      </w:r>
      <w:r>
        <w:rPr>
          <w:rFonts w:ascii="Arial" w:hAnsi="Arial"/>
          <w:sz w:val="22"/>
        </w:rPr>
        <w:tab/>
        <w:t>В настоящее время благодаря изменениям, которые были внесены в Гражданский кодекс в 1989 году и в соответствии с которыми упраздняется обязанность жены проживать по месту жительства мужа, супруги по взаимному согласию решают вопрос о выборе места проживания, даже если речь идет о браках между гражданами Эквадора и иностранцами.</w:t>
      </w:r>
    </w:p>
    <w:p w:rsidR="00000000" w:rsidRDefault="00000000">
      <w:pPr>
        <w:pStyle w:val="BodyText3"/>
        <w:spacing w:after="240" w:line="260" w:lineRule="exact"/>
        <w:jc w:val="both"/>
        <w:rPr>
          <w:rFonts w:ascii="Arial" w:hAnsi="Arial"/>
          <w:sz w:val="22"/>
        </w:rPr>
      </w:pPr>
      <w:r>
        <w:rPr>
          <w:rFonts w:ascii="Arial" w:hAnsi="Arial"/>
          <w:sz w:val="22"/>
        </w:rPr>
        <w:t>130.</w:t>
      </w:r>
      <w:r>
        <w:rPr>
          <w:rFonts w:ascii="Arial" w:hAnsi="Arial"/>
          <w:sz w:val="22"/>
        </w:rPr>
        <w:tab/>
        <w:t>Действующая Конституция отменила статью 19 Закона о натурализации, согласно которой, "если эквадорец натурализовался в другой стране и вследствие этого получил другое гражданство, его жена и несовершеннолетние дети также теряли первоначальное гражданство, сохраняя право на его восстановление, соответственно, после расторжения брака или по достижении совершеннолетия".</w:t>
      </w:r>
    </w:p>
    <w:p w:rsidR="00000000" w:rsidRDefault="00000000">
      <w:pPr>
        <w:pStyle w:val="Heading3"/>
        <w:rPr>
          <w:caps/>
        </w:rPr>
      </w:pPr>
      <w:r>
        <w:rPr>
          <w:caps/>
        </w:rPr>
        <w:t>Статья  10</w:t>
      </w:r>
    </w:p>
    <w:p w:rsidR="00000000" w:rsidRDefault="00000000">
      <w:pPr>
        <w:shd w:val="clear" w:color="auto" w:fill="FFFFFF"/>
        <w:autoSpaceDE w:val="0"/>
        <w:autoSpaceDN w:val="0"/>
        <w:adjustRightInd w:val="0"/>
        <w:spacing w:after="240" w:line="260" w:lineRule="exact"/>
        <w:ind w:left="709"/>
        <w:jc w:val="both"/>
        <w:rPr>
          <w:rFonts w:ascii="Arial" w:hAnsi="Arial"/>
          <w:i/>
          <w:sz w:val="22"/>
        </w:rPr>
      </w:pPr>
      <w:r>
        <w:rPr>
          <w:rFonts w:ascii="Arial" w:hAnsi="Arial"/>
          <w:i/>
          <w:color w:val="000000"/>
          <w:sz w:val="22"/>
        </w:rPr>
        <w:t>Государства-участники принимают все соответствующие меры для того, чтобы ликвидировать дискриминацию в отношении женщин, с тем чтобы обеспечить им равные права с мужчинами в области образования и, в частности, обеспечить на основе равенства мужчин и женщин:</w:t>
      </w:r>
    </w:p>
    <w:p w:rsidR="00000000" w:rsidRDefault="00000000">
      <w:pPr>
        <w:shd w:val="clear" w:color="auto" w:fill="FFFFFF"/>
        <w:autoSpaceDE w:val="0"/>
        <w:autoSpaceDN w:val="0"/>
        <w:adjustRightInd w:val="0"/>
        <w:spacing w:line="260" w:lineRule="exact"/>
        <w:ind w:left="397" w:hanging="397"/>
        <w:jc w:val="both"/>
        <w:rPr>
          <w:rFonts w:ascii="Arial" w:hAnsi="Arial"/>
          <w:i/>
          <w:sz w:val="22"/>
        </w:rPr>
      </w:pPr>
      <w:r>
        <w:rPr>
          <w:rFonts w:ascii="Arial" w:hAnsi="Arial"/>
          <w:i/>
          <w:color w:val="000000"/>
          <w:sz w:val="22"/>
        </w:rPr>
        <w:t>а)</w:t>
      </w:r>
      <w:r>
        <w:rPr>
          <w:rFonts w:ascii="Arial" w:hAnsi="Arial"/>
          <w:i/>
          <w:color w:val="000000"/>
          <w:sz w:val="22"/>
        </w:rPr>
        <w:tab/>
        <w:t>одинаковые условия для ориентации и выбора профессии или специальности, для доступа к образованию и получению дипломов в учебных заведениях всех категорий как в сельских, так и в городских районах; это равенство обеспечивается в дошкольном, общем, специальном и высшем техническом образовании, а также во всех видах профессиональной подготовки;</w:t>
      </w:r>
    </w:p>
    <w:p w:rsidR="00000000" w:rsidRDefault="00000000">
      <w:pPr>
        <w:shd w:val="clear" w:color="auto" w:fill="FFFFFF"/>
        <w:autoSpaceDE w:val="0"/>
        <w:autoSpaceDN w:val="0"/>
        <w:adjustRightInd w:val="0"/>
        <w:spacing w:line="260" w:lineRule="exact"/>
        <w:ind w:left="397" w:hanging="397"/>
        <w:jc w:val="both"/>
        <w:rPr>
          <w:rFonts w:ascii="Arial" w:hAnsi="Arial"/>
          <w:i/>
          <w:sz w:val="22"/>
        </w:rPr>
      </w:pPr>
      <w:r>
        <w:rPr>
          <w:rFonts w:ascii="Arial" w:hAnsi="Arial"/>
          <w:i/>
          <w:color w:val="000000"/>
          <w:sz w:val="22"/>
          <w:lang w:val="en-US"/>
        </w:rPr>
        <w:t>b</w:t>
      </w:r>
      <w:r>
        <w:rPr>
          <w:rFonts w:ascii="Arial" w:hAnsi="Arial"/>
          <w:i/>
          <w:color w:val="000000"/>
          <w:sz w:val="22"/>
        </w:rPr>
        <w:t>)</w:t>
      </w:r>
      <w:r>
        <w:rPr>
          <w:rFonts w:ascii="Arial" w:hAnsi="Arial"/>
          <w:i/>
          <w:color w:val="000000"/>
          <w:sz w:val="22"/>
        </w:rPr>
        <w:tab/>
        <w:t>доступ к одинаковым программам обучения, одинаковым экзаменам, преподавательскому составу одинаковой квалификации, школьным помещениям и оборудованию равного качества;</w:t>
      </w:r>
    </w:p>
    <w:p w:rsidR="00000000" w:rsidRDefault="00000000">
      <w:pPr>
        <w:shd w:val="clear" w:color="auto" w:fill="FFFFFF"/>
        <w:autoSpaceDE w:val="0"/>
        <w:autoSpaceDN w:val="0"/>
        <w:adjustRightInd w:val="0"/>
        <w:spacing w:line="260" w:lineRule="exact"/>
        <w:ind w:left="397" w:hanging="397"/>
        <w:jc w:val="both"/>
        <w:rPr>
          <w:rFonts w:ascii="Arial" w:hAnsi="Arial"/>
          <w:i/>
          <w:sz w:val="22"/>
        </w:rPr>
      </w:pPr>
      <w:r>
        <w:rPr>
          <w:rFonts w:ascii="Arial" w:hAnsi="Arial"/>
          <w:i/>
          <w:color w:val="000000"/>
          <w:sz w:val="22"/>
        </w:rPr>
        <w:t>с)</w:t>
      </w:r>
      <w:r>
        <w:rPr>
          <w:rFonts w:ascii="Arial" w:hAnsi="Arial"/>
          <w:i/>
          <w:color w:val="000000"/>
          <w:sz w:val="22"/>
        </w:rPr>
        <w:tab/>
        <w:t>устранение любой стереотипной концепции роли мужчин и женщин на всех уровнях и во всех формах обучения путем поощрения совместного обучения и других видов обучения, которые будут содействовать достижению этой цели, и, в частности, путем пересмотра учебных пособий и школьных программ и адаптации методов обучения;</w:t>
      </w:r>
    </w:p>
    <w:p w:rsidR="00000000" w:rsidRDefault="00000000">
      <w:pPr>
        <w:shd w:val="clear" w:color="auto" w:fill="FFFFFF"/>
        <w:autoSpaceDE w:val="0"/>
        <w:autoSpaceDN w:val="0"/>
        <w:adjustRightInd w:val="0"/>
        <w:spacing w:line="260" w:lineRule="exact"/>
        <w:ind w:left="397" w:hanging="397"/>
        <w:jc w:val="both"/>
        <w:rPr>
          <w:rFonts w:ascii="Arial" w:hAnsi="Arial"/>
          <w:i/>
          <w:sz w:val="22"/>
        </w:rPr>
      </w:pPr>
      <w:r>
        <w:rPr>
          <w:rFonts w:ascii="Arial" w:hAnsi="Arial"/>
          <w:i/>
          <w:color w:val="000000"/>
          <w:sz w:val="22"/>
          <w:lang w:val="en-US"/>
        </w:rPr>
        <w:t>d</w:t>
      </w:r>
      <w:r>
        <w:rPr>
          <w:rFonts w:ascii="Arial" w:hAnsi="Arial"/>
          <w:i/>
          <w:color w:val="000000"/>
          <w:sz w:val="22"/>
        </w:rPr>
        <w:t>)</w:t>
      </w:r>
      <w:r>
        <w:rPr>
          <w:rFonts w:ascii="Arial" w:hAnsi="Arial"/>
          <w:i/>
          <w:color w:val="000000"/>
          <w:sz w:val="22"/>
        </w:rPr>
        <w:tab/>
        <w:t>одинаковые возможности получения стипендий и других пособий на образование;</w:t>
      </w:r>
    </w:p>
    <w:p w:rsidR="00000000" w:rsidRDefault="00000000">
      <w:pPr>
        <w:shd w:val="clear" w:color="auto" w:fill="FFFFFF"/>
        <w:autoSpaceDE w:val="0"/>
        <w:autoSpaceDN w:val="0"/>
        <w:adjustRightInd w:val="0"/>
        <w:spacing w:line="260" w:lineRule="exact"/>
        <w:ind w:left="397" w:hanging="397"/>
        <w:jc w:val="both"/>
        <w:rPr>
          <w:rFonts w:ascii="Arial" w:hAnsi="Arial"/>
          <w:i/>
          <w:sz w:val="22"/>
        </w:rPr>
      </w:pPr>
      <w:r>
        <w:rPr>
          <w:rFonts w:ascii="Arial" w:hAnsi="Arial"/>
          <w:i/>
          <w:color w:val="000000"/>
          <w:sz w:val="22"/>
          <w:lang w:val="en-US"/>
        </w:rPr>
        <w:t>e</w:t>
      </w:r>
      <w:r>
        <w:rPr>
          <w:rFonts w:ascii="Arial" w:hAnsi="Arial"/>
          <w:i/>
          <w:color w:val="000000"/>
          <w:sz w:val="22"/>
        </w:rPr>
        <w:t>)</w:t>
      </w:r>
      <w:r>
        <w:rPr>
          <w:rFonts w:ascii="Arial" w:hAnsi="Arial"/>
          <w:i/>
          <w:color w:val="000000"/>
          <w:sz w:val="22"/>
        </w:rPr>
        <w:tab/>
        <w:t>одинаковые возможности доступа к программам продолжения образования, включая программы распространения грамотности среди взрослых и программы функциональной грамотности, направленные, в частности, на сокращение как можно скорее любого разрыва в знаниях мужчин и женщин;</w:t>
      </w:r>
    </w:p>
    <w:p w:rsidR="00000000" w:rsidRDefault="00000000">
      <w:pPr>
        <w:shd w:val="clear" w:color="auto" w:fill="FFFFFF"/>
        <w:autoSpaceDE w:val="0"/>
        <w:autoSpaceDN w:val="0"/>
        <w:adjustRightInd w:val="0"/>
        <w:spacing w:line="260" w:lineRule="exact"/>
        <w:ind w:left="397" w:hanging="397"/>
        <w:jc w:val="both"/>
        <w:rPr>
          <w:rFonts w:ascii="Arial" w:hAnsi="Arial"/>
          <w:i/>
          <w:sz w:val="22"/>
        </w:rPr>
      </w:pPr>
      <w:r>
        <w:rPr>
          <w:rFonts w:ascii="Arial" w:hAnsi="Arial"/>
          <w:i/>
          <w:color w:val="000000"/>
          <w:sz w:val="22"/>
          <w:lang w:val="en-US"/>
        </w:rPr>
        <w:t>f</w:t>
      </w:r>
      <w:r>
        <w:rPr>
          <w:rFonts w:ascii="Arial" w:hAnsi="Arial"/>
          <w:i/>
          <w:color w:val="000000"/>
          <w:sz w:val="22"/>
        </w:rPr>
        <w:t>)</w:t>
      </w:r>
      <w:r>
        <w:rPr>
          <w:rFonts w:ascii="Arial" w:hAnsi="Arial"/>
          <w:i/>
          <w:color w:val="000000"/>
          <w:sz w:val="22"/>
        </w:rPr>
        <w:tab/>
        <w:t>сокращение числа девушек, не заканчивающих школы, и разработку программ для девушек и женщин, преждевременно покинувших школу;</w:t>
      </w:r>
    </w:p>
    <w:p w:rsidR="00000000" w:rsidRDefault="00000000">
      <w:pPr>
        <w:shd w:val="clear" w:color="auto" w:fill="FFFFFF"/>
        <w:autoSpaceDE w:val="0"/>
        <w:autoSpaceDN w:val="0"/>
        <w:adjustRightInd w:val="0"/>
        <w:spacing w:line="260" w:lineRule="exact"/>
        <w:ind w:left="397" w:hanging="397"/>
        <w:jc w:val="both"/>
        <w:rPr>
          <w:rFonts w:ascii="Arial" w:hAnsi="Arial"/>
          <w:i/>
          <w:sz w:val="22"/>
        </w:rPr>
      </w:pPr>
      <w:r>
        <w:rPr>
          <w:rFonts w:ascii="Arial" w:hAnsi="Arial"/>
          <w:i/>
          <w:color w:val="000000"/>
          <w:sz w:val="22"/>
          <w:lang w:val="en-US"/>
        </w:rPr>
        <w:t>g</w:t>
      </w:r>
      <w:r>
        <w:rPr>
          <w:rFonts w:ascii="Arial" w:hAnsi="Arial"/>
          <w:i/>
          <w:color w:val="000000"/>
          <w:sz w:val="22"/>
        </w:rPr>
        <w:t>)</w:t>
      </w:r>
      <w:r>
        <w:rPr>
          <w:rFonts w:ascii="Arial" w:hAnsi="Arial"/>
          <w:i/>
          <w:color w:val="000000"/>
          <w:sz w:val="22"/>
        </w:rPr>
        <w:tab/>
        <w:t>одинаковые возможности активно участвовать в занятиях спортом и физической подготовкой;</w:t>
      </w:r>
    </w:p>
    <w:p w:rsidR="00000000" w:rsidRDefault="00000000">
      <w:pPr>
        <w:shd w:val="clear" w:color="auto" w:fill="FFFFFF"/>
        <w:autoSpaceDE w:val="0"/>
        <w:autoSpaceDN w:val="0"/>
        <w:adjustRightInd w:val="0"/>
        <w:spacing w:after="240" w:line="260" w:lineRule="exact"/>
        <w:ind w:left="397" w:hanging="397"/>
        <w:jc w:val="both"/>
        <w:rPr>
          <w:rFonts w:ascii="Arial" w:hAnsi="Arial"/>
          <w:i/>
          <w:sz w:val="22"/>
        </w:rPr>
      </w:pPr>
      <w:r>
        <w:rPr>
          <w:rFonts w:ascii="Arial" w:hAnsi="Arial"/>
          <w:i/>
          <w:color w:val="000000"/>
          <w:sz w:val="22"/>
        </w:rPr>
        <w:t>h)</w:t>
      </w:r>
      <w:r>
        <w:rPr>
          <w:rFonts w:ascii="Arial" w:hAnsi="Arial"/>
          <w:i/>
          <w:color w:val="000000"/>
          <w:sz w:val="22"/>
        </w:rPr>
        <w:tab/>
        <w:t>доступ к специальной информации образовательного характера с целью содействия обеспечению здоровья и благосостояния семей, включая информацию и консультации о планировании размера семьи.</w:t>
      </w:r>
    </w:p>
    <w:p w:rsidR="00000000" w:rsidRDefault="00000000">
      <w:pPr>
        <w:pStyle w:val="BodyText"/>
        <w:tabs>
          <w:tab w:val="clear" w:pos="680"/>
        </w:tabs>
      </w:pPr>
      <w:r>
        <w:t>131.</w:t>
      </w:r>
      <w:r>
        <w:tab/>
        <w:t>В разделе восьмом "Об образовании" действующей Конституции устанавливаются ряд обязательств со стороны государства и обязанность родителей участвовать в воспитании и образовании. Основные реформы в этой области направлены на содействие государства в достижении гендерного равенства и поощрении совместного обучения. Государство гарантирует равенство возможностей в том, что касается доступа к высшему образованию и участия родителей в развитии образовательных процессов. На всех уровнях образования поощряется преподавание прав и обязанностей граждан Эквадора.</w:t>
      </w:r>
    </w:p>
    <w:p w:rsidR="00000000" w:rsidRDefault="00000000">
      <w:pPr>
        <w:spacing w:after="240" w:line="260" w:lineRule="exact"/>
        <w:jc w:val="both"/>
        <w:rPr>
          <w:rFonts w:ascii="Arial" w:hAnsi="Arial"/>
          <w:sz w:val="22"/>
        </w:rPr>
      </w:pPr>
      <w:r>
        <w:rPr>
          <w:rFonts w:ascii="Arial" w:hAnsi="Arial"/>
          <w:sz w:val="22"/>
        </w:rPr>
        <w:t>132.</w:t>
      </w:r>
      <w:r>
        <w:rPr>
          <w:rFonts w:ascii="Arial" w:hAnsi="Arial"/>
          <w:sz w:val="22"/>
        </w:rPr>
        <w:tab/>
        <w:t>В соответствии с резолюцией Министерства образования  и культуры №</w:t>
      </w:r>
      <w:r>
        <w:rPr>
          <w:rFonts w:ascii="Arial" w:hAnsi="Arial"/>
          <w:color w:val="000000"/>
          <w:sz w:val="22"/>
        </w:rPr>
        <w:t> </w:t>
      </w:r>
      <w:r>
        <w:rPr>
          <w:rFonts w:ascii="Arial" w:hAnsi="Arial"/>
          <w:sz w:val="22"/>
        </w:rPr>
        <w:t>1443 1996 года система образования была реформирована.</w:t>
      </w:r>
    </w:p>
    <w:p w:rsidR="00000000" w:rsidRDefault="00000000">
      <w:pPr>
        <w:spacing w:after="240" w:line="260" w:lineRule="exact"/>
        <w:jc w:val="both"/>
        <w:rPr>
          <w:rFonts w:ascii="Arial" w:hAnsi="Arial"/>
          <w:sz w:val="22"/>
        </w:rPr>
      </w:pPr>
      <w:r>
        <w:rPr>
          <w:rFonts w:ascii="Arial" w:hAnsi="Arial"/>
          <w:sz w:val="22"/>
        </w:rPr>
        <w:t>133.</w:t>
      </w:r>
      <w:r>
        <w:rPr>
          <w:rFonts w:ascii="Arial" w:hAnsi="Arial"/>
          <w:sz w:val="22"/>
        </w:rPr>
        <w:tab/>
        <w:t>Кроме того, Министерство образования и культуры в постановлении №</w:t>
      </w:r>
      <w:r>
        <w:rPr>
          <w:rFonts w:ascii="Arial" w:hAnsi="Arial"/>
          <w:color w:val="000000"/>
          <w:sz w:val="22"/>
        </w:rPr>
        <w:t> </w:t>
      </w:r>
      <w:r>
        <w:rPr>
          <w:rFonts w:ascii="Arial" w:hAnsi="Arial"/>
          <w:sz w:val="22"/>
        </w:rPr>
        <w:t>0118 от 31</w:t>
      </w:r>
      <w:r>
        <w:rPr>
          <w:rFonts w:ascii="Arial" w:hAnsi="Arial"/>
          <w:color w:val="000000"/>
          <w:sz w:val="22"/>
        </w:rPr>
        <w:t> </w:t>
      </w:r>
      <w:r>
        <w:rPr>
          <w:rFonts w:ascii="Arial" w:hAnsi="Arial"/>
          <w:sz w:val="22"/>
        </w:rPr>
        <w:t>августа 1993 года закрепило официальный статус модели межкультурного двуязычного образования и утвердило соответствующую учебную программу среднего образования.</w:t>
      </w:r>
    </w:p>
    <w:p w:rsidR="00000000" w:rsidRDefault="00000000">
      <w:pPr>
        <w:spacing w:after="240" w:line="260" w:lineRule="exact"/>
        <w:jc w:val="both"/>
        <w:rPr>
          <w:rFonts w:ascii="Arial" w:hAnsi="Arial"/>
          <w:sz w:val="22"/>
        </w:rPr>
      </w:pPr>
      <w:r>
        <w:rPr>
          <w:rFonts w:ascii="Arial" w:hAnsi="Arial"/>
          <w:sz w:val="22"/>
        </w:rPr>
        <w:t>134.</w:t>
      </w:r>
      <w:r>
        <w:rPr>
          <w:rFonts w:ascii="Arial" w:hAnsi="Arial"/>
          <w:sz w:val="22"/>
        </w:rPr>
        <w:tab/>
        <w:t>Благодаря созданию Управления по вопросам межкультурного двуязычного образования получило признание культурное и этническое многообразие страны, что способствовало использованию в процессе обучения языков всех народностей. В рамках межкультурной двуязычной образовательной программы с 1994 года были подготовлены учителя, как мужчины, так и женщины, из представителей коренного населения для преподавания на одном из десяти языков, сосуществующих в Эквадоре. В этой работе были достигнуты определенные успехи, однако предстоит еще многое сделать для ее завершения.</w:t>
      </w:r>
    </w:p>
    <w:p w:rsidR="00000000" w:rsidRDefault="00000000">
      <w:pPr>
        <w:spacing w:after="240" w:line="260" w:lineRule="exact"/>
        <w:jc w:val="both"/>
        <w:rPr>
          <w:rFonts w:ascii="Arial" w:hAnsi="Arial"/>
          <w:sz w:val="22"/>
        </w:rPr>
      </w:pPr>
      <w:r>
        <w:rPr>
          <w:rFonts w:ascii="Arial" w:hAnsi="Arial"/>
          <w:sz w:val="22"/>
        </w:rPr>
        <w:t>135.</w:t>
      </w:r>
      <w:r>
        <w:rPr>
          <w:rFonts w:ascii="Arial" w:hAnsi="Arial"/>
          <w:sz w:val="22"/>
        </w:rPr>
        <w:tab/>
        <w:t>По оценкам 1995 года, 6,5 процента сельского населения говорили только на кечуа и шуарском языке (языки коренного населения) или владели двумя языками. Почти каждый десятый житель сельских районов (9 процентов) жил в семье, в которой говорят на одном из языков коренного населения. Среди говорящих на кечуа или шуарском языке процент женщин немного выше, чем процент мужчин. Около 16 процентов женщин из числа коренного населения Сьерры говорят только на кечуа, в то время как среди мужчин лишь 3,5 процента владеют только одним языком.</w:t>
      </w:r>
    </w:p>
    <w:p w:rsidR="00000000" w:rsidRDefault="00000000">
      <w:pPr>
        <w:pStyle w:val="BodyText"/>
        <w:tabs>
          <w:tab w:val="clear" w:pos="680"/>
        </w:tabs>
      </w:pPr>
      <w:r>
        <w:t>136.</w:t>
      </w:r>
      <w:r>
        <w:tab/>
        <w:t>С 1990 года отмечается все возрастающее вовлечение женщин в образовательный процесс на разных уровнях, причем именно в этой области эквадорские женщины достигли за последние годы наибольшего прогресса. Эти достижения в значительной мере связаны с развитием государственной системы образования по всей стране, что позволило новым поколениям  получить начальное и среднее образование. Однако данные успехи не распространялись в равной степени на всех эквадорских девочек и женщин в связи с тем, что все еще сохраняются различия между женщинами, проживающими в городах и в сельских районах.</w:t>
      </w:r>
    </w:p>
    <w:p w:rsidR="00000000" w:rsidRDefault="00000000">
      <w:pPr>
        <w:spacing w:after="240" w:line="260" w:lineRule="exact"/>
        <w:jc w:val="both"/>
        <w:rPr>
          <w:rFonts w:ascii="Arial" w:hAnsi="Arial"/>
          <w:sz w:val="22"/>
        </w:rPr>
      </w:pPr>
      <w:r>
        <w:rPr>
          <w:rFonts w:ascii="Arial" w:hAnsi="Arial"/>
          <w:sz w:val="22"/>
        </w:rPr>
        <w:t>137.</w:t>
      </w:r>
      <w:r>
        <w:rPr>
          <w:rFonts w:ascii="Arial" w:hAnsi="Arial"/>
          <w:sz w:val="22"/>
        </w:rPr>
        <w:tab/>
        <w:t>Государство обеспечивает значительную часть финансирования образовательных учреждений в сельских районах. Так, в ведении государства находится 91,7 процента учебных заведений, 88,4 процента учителей и 92,1 процента учащихся сельских районов</w:t>
      </w:r>
      <w:r>
        <w:rPr>
          <w:rStyle w:val="FootnoteReference"/>
          <w:rFonts w:ascii="Arial" w:hAnsi="Arial"/>
          <w:sz w:val="22"/>
        </w:rPr>
        <w:footnoteReference w:id="19"/>
      </w:r>
      <w:r>
        <w:rPr>
          <w:rFonts w:ascii="Arial" w:hAnsi="Arial"/>
          <w:sz w:val="22"/>
        </w:rPr>
        <w:t>.</w:t>
      </w:r>
    </w:p>
    <w:p w:rsidR="00000000" w:rsidRDefault="00000000">
      <w:pPr>
        <w:spacing w:after="240" w:line="260" w:lineRule="exact"/>
        <w:jc w:val="both"/>
        <w:rPr>
          <w:rFonts w:ascii="Arial" w:hAnsi="Arial"/>
          <w:sz w:val="22"/>
        </w:rPr>
      </w:pPr>
      <w:r>
        <w:rPr>
          <w:rFonts w:ascii="Arial" w:hAnsi="Arial"/>
          <w:sz w:val="22"/>
        </w:rPr>
        <w:t>138.</w:t>
      </w:r>
      <w:r>
        <w:rPr>
          <w:rFonts w:ascii="Arial" w:hAnsi="Arial"/>
          <w:sz w:val="22"/>
        </w:rPr>
        <w:tab/>
        <w:t xml:space="preserve">В 1996 году Министерство образования приняло резолюцию № 1443, в соответствии с которой была введена новая организация системы образования. В настоящее время она включает 10-летнюю базовую школу, в рамках которой </w:t>
      </w:r>
      <w:r>
        <w:rPr>
          <w:rFonts w:ascii="Arial" w:hAnsi="Arial"/>
          <w:sz w:val="22"/>
        </w:rPr>
        <w:br/>
        <w:t>1-й класс соответствует дошкольному образованию (до реформы он был факультативным), 2-й–7-й классы – начальному образованию (ранее оно охватывало 1-й–6-й классы), 8-й–10-й классы – базовому циклу (раньше они назывались первый, второй и третий курсы); четырех- или шестилетний курс, дополняющий базовый цикл и позволяющий получить степень бакалавра (начиная с четвертого курса раньше осуществлялась специализация)</w:t>
      </w:r>
      <w:r>
        <w:rPr>
          <w:rStyle w:val="FootnoteReference"/>
          <w:rFonts w:ascii="Arial" w:hAnsi="Arial"/>
          <w:sz w:val="22"/>
        </w:rPr>
        <w:footnoteReference w:id="20"/>
      </w:r>
      <w:r>
        <w:rPr>
          <w:rFonts w:ascii="Arial" w:hAnsi="Arial"/>
          <w:sz w:val="22"/>
        </w:rPr>
        <w:t>.</w:t>
      </w:r>
    </w:p>
    <w:p w:rsidR="00000000" w:rsidRDefault="00000000">
      <w:pPr>
        <w:spacing w:after="240" w:line="260" w:lineRule="exact"/>
        <w:jc w:val="both"/>
        <w:rPr>
          <w:rFonts w:ascii="Arial" w:hAnsi="Arial"/>
          <w:sz w:val="22"/>
        </w:rPr>
      </w:pPr>
      <w:r>
        <w:rPr>
          <w:rFonts w:ascii="Arial" w:hAnsi="Arial"/>
          <w:sz w:val="22"/>
        </w:rPr>
        <w:t>139.</w:t>
      </w:r>
      <w:r>
        <w:rPr>
          <w:rFonts w:ascii="Arial" w:hAnsi="Arial"/>
          <w:sz w:val="22"/>
        </w:rPr>
        <w:tab/>
        <w:t>Изменение учебных планов является составной частью образовательной реформы и действует на всей территории страны. Эти изменения касаются как мужчин, так и женщин. К 1999 году около 95 процентов (139 809) учителей, как мужчин, так и женщин, прошли профессиональную подготовку по общим аспектам реформы. Еще предстоит завершить специальную профессиональную подготовку для работы в классах</w:t>
      </w:r>
      <w:r>
        <w:rPr>
          <w:rStyle w:val="FootnoteReference"/>
          <w:rFonts w:ascii="Arial" w:hAnsi="Arial"/>
          <w:sz w:val="22"/>
        </w:rPr>
        <w:footnoteReference w:id="21"/>
      </w:r>
      <w:r>
        <w:rPr>
          <w:rFonts w:ascii="Arial" w:hAnsi="Arial"/>
          <w:sz w:val="22"/>
        </w:rPr>
        <w:t xml:space="preserve">. </w:t>
      </w:r>
    </w:p>
    <w:p w:rsidR="00000000" w:rsidRDefault="00000000">
      <w:pPr>
        <w:spacing w:after="240" w:line="260" w:lineRule="exact"/>
        <w:jc w:val="both"/>
        <w:rPr>
          <w:rFonts w:ascii="Arial" w:hAnsi="Arial"/>
          <w:sz w:val="22"/>
        </w:rPr>
      </w:pPr>
      <w:r>
        <w:rPr>
          <w:rFonts w:ascii="Arial" w:hAnsi="Arial"/>
          <w:sz w:val="22"/>
        </w:rPr>
        <w:t>140.</w:t>
      </w:r>
      <w:r>
        <w:rPr>
          <w:rFonts w:ascii="Arial" w:hAnsi="Arial"/>
          <w:sz w:val="22"/>
        </w:rPr>
        <w:tab/>
        <w:t>В 90-е годы Министерством образования была разработана и реализована национальная программа школьного питания, в задачи которой входило содействие повышению качества и эффективности базового образования посредством распределения дополнительного питания среди мальчиков и девочек, проживающих в наиболее бедных районах, что способствовало повышению уровня усвоения знаний, а также служило стимулом для регулярного посещения школы.</w:t>
      </w:r>
    </w:p>
    <w:p w:rsidR="00000000" w:rsidRDefault="00000000">
      <w:pPr>
        <w:spacing w:after="240" w:line="260" w:lineRule="exact"/>
        <w:jc w:val="both"/>
        <w:rPr>
          <w:rFonts w:ascii="Arial" w:hAnsi="Arial"/>
          <w:sz w:val="22"/>
        </w:rPr>
      </w:pPr>
      <w:r>
        <w:rPr>
          <w:rFonts w:ascii="Arial" w:hAnsi="Arial"/>
          <w:sz w:val="22"/>
        </w:rPr>
        <w:t>141.</w:t>
      </w:r>
      <w:r>
        <w:rPr>
          <w:rFonts w:ascii="Arial" w:hAnsi="Arial"/>
          <w:sz w:val="22"/>
        </w:rPr>
        <w:tab/>
        <w:t>Чем старше возрастная группа, тем выше у нее показатель неграмотности, о чем свидетельствует III этап опроса по условиям жизни, проводившегося в 1998 году (ЭКВ-98). Так, в группе населения в возрасте от 5 до 24 лет доля неграмотных женского пола составляет 3 процента, а мужского пола – 2,7 процента. В возрастной группе 25–39 лет неграмотные женщины составляют 6,2 процента, а мужчины – 3,8 процента; в возрастной группе 40–64 лет неграмотными являются 19,4 процента женщин и 13,1 процента мужчин. Наиболее высокий уровень неграмотности отмечается у населения старше 65 лет: 42,7 процента женщин и 30,3 процента мужчин</w:t>
      </w:r>
      <w:r>
        <w:rPr>
          <w:rStyle w:val="FootnoteReference"/>
          <w:rFonts w:ascii="Arial" w:hAnsi="Arial"/>
          <w:sz w:val="22"/>
        </w:rPr>
        <w:footnoteReference w:id="22"/>
      </w:r>
      <w:r>
        <w:rPr>
          <w:rFonts w:ascii="Arial" w:hAnsi="Arial"/>
          <w:sz w:val="22"/>
        </w:rPr>
        <w:t>.</w:t>
      </w:r>
    </w:p>
    <w:p w:rsidR="00000000" w:rsidRDefault="00000000">
      <w:pPr>
        <w:spacing w:after="240" w:line="260" w:lineRule="exact"/>
        <w:jc w:val="both"/>
        <w:rPr>
          <w:rFonts w:ascii="Arial" w:hAnsi="Arial"/>
          <w:sz w:val="22"/>
        </w:rPr>
      </w:pPr>
      <w:r>
        <w:rPr>
          <w:rFonts w:ascii="Arial" w:hAnsi="Arial"/>
          <w:sz w:val="22"/>
        </w:rPr>
        <w:t>142.</w:t>
      </w:r>
      <w:r>
        <w:rPr>
          <w:rFonts w:ascii="Arial" w:hAnsi="Arial"/>
          <w:sz w:val="22"/>
        </w:rPr>
        <w:tab/>
        <w:t>Согласно данным опроса по условиям жизни, проводившегося в 1995 году (ЭКВ-95), средняя продолжительность школьного обучения по стране составляет 7 классов для женщин и 7,4 класса для мужчин; причем в городах для женщин этот показатель составляет 8,6 класса и для мужчин – 9,1 класса; а в сельских районах – для женщин 4,1 класса и для мужчин 4,7 класса</w:t>
      </w:r>
      <w:r>
        <w:rPr>
          <w:rStyle w:val="FootnoteReference"/>
          <w:rFonts w:ascii="Arial" w:hAnsi="Arial"/>
          <w:sz w:val="22"/>
        </w:rPr>
        <w:footnoteReference w:id="23"/>
      </w:r>
      <w:r>
        <w:rPr>
          <w:rFonts w:ascii="Arial" w:hAnsi="Arial"/>
          <w:sz w:val="22"/>
        </w:rPr>
        <w:t>.</w:t>
      </w:r>
    </w:p>
    <w:p w:rsidR="00000000" w:rsidRDefault="00000000">
      <w:pPr>
        <w:spacing w:after="240" w:line="260" w:lineRule="exact"/>
        <w:jc w:val="both"/>
        <w:rPr>
          <w:rFonts w:ascii="Arial" w:hAnsi="Arial"/>
          <w:sz w:val="22"/>
        </w:rPr>
      </w:pPr>
      <w:r>
        <w:rPr>
          <w:rFonts w:ascii="Arial" w:hAnsi="Arial"/>
          <w:sz w:val="22"/>
        </w:rPr>
        <w:t>143.</w:t>
      </w:r>
      <w:r>
        <w:rPr>
          <w:rFonts w:ascii="Arial" w:hAnsi="Arial"/>
          <w:sz w:val="22"/>
        </w:rPr>
        <w:tab/>
        <w:t>К 1998 году отсев мальчиков из школы был выше (4,7 процента), причем он наиболее высок в возрастной группе 6–17 лет; у девочек этот показатель составляет 2,4 процента. У женщин старше 25 лет отсев выше, чем у мужчин в той же возрастной группы (3,3 процента и 2,2 процента, соответственно)</w:t>
      </w:r>
      <w:r>
        <w:rPr>
          <w:rStyle w:val="FootnoteReference"/>
          <w:rFonts w:ascii="Arial" w:hAnsi="Arial"/>
          <w:sz w:val="22"/>
        </w:rPr>
        <w:footnoteReference w:id="24"/>
      </w:r>
      <w:r>
        <w:rPr>
          <w:rFonts w:ascii="Arial" w:hAnsi="Arial"/>
          <w:sz w:val="22"/>
        </w:rPr>
        <w:t xml:space="preserve">. </w:t>
      </w:r>
    </w:p>
    <w:p w:rsidR="00000000" w:rsidRDefault="00000000">
      <w:pPr>
        <w:spacing w:after="240" w:line="260" w:lineRule="exact"/>
        <w:jc w:val="both"/>
        <w:rPr>
          <w:rFonts w:ascii="Arial" w:hAnsi="Arial"/>
          <w:sz w:val="22"/>
        </w:rPr>
      </w:pPr>
      <w:r>
        <w:rPr>
          <w:rFonts w:ascii="Arial" w:hAnsi="Arial"/>
          <w:sz w:val="22"/>
        </w:rPr>
        <w:t>144.</w:t>
      </w:r>
      <w:r>
        <w:rPr>
          <w:rFonts w:ascii="Arial" w:hAnsi="Arial"/>
          <w:sz w:val="22"/>
        </w:rPr>
        <w:tab/>
        <w:t>В 1998 году второгодничество среди девочек в целом отмечалось реже, чем у мальчиков; согласно данным III этапа опроса по условиям жизни (ЭКВ-98), для девочек этот показатель составлял 5,6 процента, у мальчиков – 6,5 процента</w:t>
      </w:r>
      <w:r>
        <w:rPr>
          <w:rStyle w:val="FootnoteReference"/>
          <w:rFonts w:ascii="Arial" w:hAnsi="Arial"/>
          <w:sz w:val="22"/>
        </w:rPr>
        <w:footnoteReference w:id="25"/>
      </w:r>
      <w:r>
        <w:rPr>
          <w:rFonts w:ascii="Arial" w:hAnsi="Arial"/>
          <w:sz w:val="22"/>
        </w:rPr>
        <w:t>.</w:t>
      </w:r>
    </w:p>
    <w:p w:rsidR="00000000" w:rsidRDefault="00000000">
      <w:pPr>
        <w:spacing w:after="240" w:line="260" w:lineRule="exact"/>
        <w:jc w:val="both"/>
        <w:rPr>
          <w:rFonts w:ascii="Arial" w:hAnsi="Arial"/>
          <w:sz w:val="22"/>
        </w:rPr>
      </w:pPr>
      <w:r>
        <w:rPr>
          <w:rFonts w:ascii="Arial" w:hAnsi="Arial"/>
          <w:sz w:val="22"/>
        </w:rPr>
        <w:t>145.</w:t>
      </w:r>
      <w:r>
        <w:rPr>
          <w:rFonts w:ascii="Arial" w:hAnsi="Arial"/>
          <w:sz w:val="22"/>
        </w:rPr>
        <w:tab/>
        <w:t>Программа ликвидации неграмотности в целях повышения качества жизни крестьянок (ПРОКАЛМУК) осуществляется с 1993 года по инициативе КОНАМУ и дала хорошие результаты.</w:t>
      </w:r>
    </w:p>
    <w:p w:rsidR="00000000" w:rsidRDefault="00000000">
      <w:pPr>
        <w:spacing w:after="240" w:line="260" w:lineRule="exact"/>
        <w:jc w:val="both"/>
        <w:rPr>
          <w:rFonts w:ascii="Arial" w:hAnsi="Arial"/>
          <w:sz w:val="22"/>
        </w:rPr>
      </w:pPr>
      <w:r>
        <w:rPr>
          <w:rFonts w:ascii="Arial" w:hAnsi="Arial"/>
          <w:sz w:val="22"/>
        </w:rPr>
        <w:t>146.</w:t>
      </w:r>
      <w:r>
        <w:rPr>
          <w:rFonts w:ascii="Arial" w:hAnsi="Arial"/>
          <w:sz w:val="22"/>
        </w:rPr>
        <w:tab/>
        <w:t>С 1997 года КОНАМУ сотрудничает с Латиноамериканским факультетом общественных наук (ФЛАКСО) по осуществлению межинституционального соглашения, согласно которому это учебное заведение последипломного образования получает возможность включить в свои учебные программы исследования по всем аспектам гендерной проблематики. Кроме того, это позволяет проводить профессиональную подготовку государственных служащих на спецкурсах по вопросам институционализации гендерного подхода.</w:t>
      </w:r>
    </w:p>
    <w:p w:rsidR="00000000" w:rsidRDefault="00000000">
      <w:pPr>
        <w:spacing w:after="240" w:line="260" w:lineRule="exact"/>
        <w:jc w:val="both"/>
        <w:rPr>
          <w:rFonts w:ascii="Arial" w:hAnsi="Arial"/>
          <w:sz w:val="22"/>
        </w:rPr>
      </w:pPr>
      <w:r>
        <w:rPr>
          <w:rFonts w:ascii="Arial" w:hAnsi="Arial"/>
          <w:sz w:val="22"/>
        </w:rPr>
        <w:t>147.</w:t>
      </w:r>
      <w:r>
        <w:rPr>
          <w:rFonts w:ascii="Arial" w:hAnsi="Arial"/>
          <w:sz w:val="22"/>
        </w:rPr>
        <w:tab/>
        <w:t>Равным образом, некоторые университеты страны при поддержке и содействии международного сообщества и специальных центров реализуют пилотные программы по гендерным вопросам и по включению гендерной проблематики в университетские учебные планы.</w:t>
      </w:r>
    </w:p>
    <w:p w:rsidR="00000000" w:rsidRDefault="00000000">
      <w:pPr>
        <w:spacing w:after="240" w:line="260" w:lineRule="exact"/>
        <w:jc w:val="both"/>
        <w:rPr>
          <w:rFonts w:ascii="Arial" w:hAnsi="Arial"/>
          <w:sz w:val="22"/>
        </w:rPr>
      </w:pPr>
      <w:r>
        <w:rPr>
          <w:rFonts w:ascii="Arial" w:hAnsi="Arial"/>
          <w:sz w:val="22"/>
        </w:rPr>
        <w:t>148.</w:t>
      </w:r>
      <w:r>
        <w:rPr>
          <w:rFonts w:ascii="Arial" w:hAnsi="Arial"/>
          <w:sz w:val="22"/>
        </w:rPr>
        <w:tab/>
        <w:t>На уровне базового и среднего образования наиболее значимыми программами, которые осуществляются во исполнение решений различных управлений Министерства образования и КОНАМУ, являются следующие:</w:t>
      </w:r>
    </w:p>
    <w:p w:rsidR="00000000" w:rsidRDefault="00000000">
      <w:pPr>
        <w:spacing w:line="260" w:lineRule="exact"/>
        <w:ind w:left="397" w:hanging="397"/>
        <w:jc w:val="both"/>
        <w:rPr>
          <w:rFonts w:ascii="Arial" w:hAnsi="Arial"/>
          <w:sz w:val="22"/>
        </w:rPr>
      </w:pPr>
      <w:r>
        <w:rPr>
          <w:rFonts w:ascii="Arial" w:hAnsi="Arial"/>
          <w:sz w:val="22"/>
        </w:rPr>
        <w:sym w:font="Symbol" w:char="F0B7"/>
      </w:r>
      <w:r>
        <w:rPr>
          <w:rFonts w:ascii="Arial" w:hAnsi="Arial"/>
          <w:sz w:val="22"/>
        </w:rPr>
        <w:tab/>
        <w:t>Включение гендерной проблематики во все разделы учебных программ в рамках базового образования.</w:t>
      </w:r>
    </w:p>
    <w:p w:rsidR="00000000" w:rsidRDefault="00000000">
      <w:pPr>
        <w:spacing w:line="260" w:lineRule="exact"/>
        <w:ind w:left="397" w:hanging="397"/>
        <w:jc w:val="both"/>
        <w:rPr>
          <w:rFonts w:ascii="Arial" w:hAnsi="Arial"/>
          <w:sz w:val="22"/>
        </w:rPr>
      </w:pPr>
      <w:r>
        <w:rPr>
          <w:rFonts w:ascii="Arial" w:hAnsi="Arial"/>
          <w:sz w:val="22"/>
        </w:rPr>
        <w:sym w:font="Symbol" w:char="F0B7"/>
      </w:r>
      <w:r>
        <w:rPr>
          <w:rFonts w:ascii="Arial" w:hAnsi="Arial"/>
          <w:sz w:val="22"/>
        </w:rPr>
        <w:tab/>
        <w:t>Включение гендерной проблематики в учебные программы педагогического образования.</w:t>
      </w:r>
    </w:p>
    <w:p w:rsidR="00000000" w:rsidRDefault="00000000">
      <w:pPr>
        <w:spacing w:line="260" w:lineRule="exact"/>
        <w:ind w:left="397" w:hanging="397"/>
        <w:jc w:val="both"/>
        <w:rPr>
          <w:rFonts w:ascii="Arial" w:hAnsi="Arial"/>
          <w:sz w:val="22"/>
        </w:rPr>
      </w:pPr>
      <w:r>
        <w:rPr>
          <w:rFonts w:ascii="Arial" w:hAnsi="Arial"/>
          <w:sz w:val="22"/>
        </w:rPr>
        <w:sym w:font="Symbol" w:char="F0B7"/>
      </w:r>
      <w:r>
        <w:rPr>
          <w:rFonts w:ascii="Arial" w:hAnsi="Arial"/>
          <w:sz w:val="22"/>
        </w:rPr>
        <w:tab/>
        <w:t>Модель подготовки по гендерным вопросам для высших педагогических учебных заведений.</w:t>
      </w:r>
    </w:p>
    <w:p w:rsidR="00000000" w:rsidRDefault="00000000">
      <w:pPr>
        <w:spacing w:line="260" w:lineRule="exact"/>
        <w:ind w:left="397" w:hanging="397"/>
        <w:jc w:val="both"/>
        <w:rPr>
          <w:rFonts w:ascii="Arial" w:hAnsi="Arial"/>
          <w:sz w:val="22"/>
        </w:rPr>
      </w:pPr>
      <w:r>
        <w:rPr>
          <w:rFonts w:ascii="Arial" w:hAnsi="Arial"/>
          <w:sz w:val="22"/>
        </w:rPr>
        <w:sym w:font="Symbol" w:char="F0B7"/>
      </w:r>
      <w:r>
        <w:rPr>
          <w:rFonts w:ascii="Arial" w:hAnsi="Arial"/>
          <w:sz w:val="22"/>
        </w:rPr>
        <w:tab/>
        <w:t>Включение гендерного аспекта и соответствующая подготовка для осуществления полового воспитания в рамках реформирования учебных планов для получения степени бакалавра.</w:t>
      </w:r>
    </w:p>
    <w:p w:rsidR="00000000" w:rsidRDefault="00000000">
      <w:pPr>
        <w:pStyle w:val="BodyTextIndent"/>
      </w:pPr>
      <w:r>
        <w:sym w:font="Symbol" w:char="F0B7"/>
      </w:r>
      <w:r>
        <w:tab/>
        <w:t>Программа ликвидации неграмотности в целях повышения качества жизни крестьянок (ПРОКАЛМУК), осуществляемая с 1993 года. Эта программа, реализация которой была начата по инициативе ДИНАМУ, направлена на ликвидацию неграмотности и обучение приносящей доход деятельности женщин, проживающих в сельских районах.</w:t>
      </w:r>
    </w:p>
    <w:p w:rsidR="00000000" w:rsidRDefault="00000000">
      <w:pPr>
        <w:spacing w:after="240" w:line="260" w:lineRule="exact"/>
        <w:ind w:left="397" w:hanging="397"/>
        <w:jc w:val="both"/>
        <w:rPr>
          <w:rFonts w:ascii="Arial" w:hAnsi="Arial"/>
          <w:sz w:val="22"/>
        </w:rPr>
      </w:pPr>
      <w:r>
        <w:rPr>
          <w:rFonts w:ascii="Arial" w:hAnsi="Arial"/>
          <w:sz w:val="22"/>
        </w:rPr>
        <w:sym w:font="Symbol" w:char="F0B7"/>
      </w:r>
      <w:r>
        <w:rPr>
          <w:rFonts w:ascii="Arial" w:hAnsi="Arial"/>
          <w:sz w:val="22"/>
        </w:rPr>
        <w:tab/>
        <w:t>Учебная программа в целях искоренения сексистского подхода в системе образования.</w:t>
      </w:r>
    </w:p>
    <w:p w:rsidR="00000000" w:rsidRDefault="00000000">
      <w:pPr>
        <w:spacing w:after="240" w:line="260" w:lineRule="exact"/>
        <w:jc w:val="both"/>
        <w:rPr>
          <w:rFonts w:ascii="Arial" w:hAnsi="Arial"/>
          <w:sz w:val="22"/>
        </w:rPr>
      </w:pPr>
      <w:r>
        <w:rPr>
          <w:rFonts w:ascii="Arial" w:hAnsi="Arial"/>
          <w:sz w:val="22"/>
        </w:rPr>
        <w:t>149.</w:t>
      </w:r>
      <w:r>
        <w:rPr>
          <w:rFonts w:ascii="Arial" w:hAnsi="Arial"/>
          <w:sz w:val="22"/>
        </w:rPr>
        <w:tab/>
        <w:t>КОНАМУ входит в состав Национальной комиссии по применению Закона о половом воспитании, в задачи которой входит обеспечить включение гендерного аспекта в мероприятия, осуществляемые во исполнение данного Закона.</w:t>
      </w:r>
    </w:p>
    <w:p w:rsidR="00000000" w:rsidRDefault="00000000">
      <w:pPr>
        <w:spacing w:after="240" w:line="260" w:lineRule="exact"/>
        <w:jc w:val="both"/>
        <w:rPr>
          <w:rFonts w:ascii="Arial" w:hAnsi="Arial"/>
          <w:sz w:val="22"/>
        </w:rPr>
      </w:pPr>
      <w:r>
        <w:rPr>
          <w:rFonts w:ascii="Arial" w:hAnsi="Arial"/>
          <w:sz w:val="22"/>
        </w:rPr>
        <w:t>150.</w:t>
      </w:r>
      <w:r>
        <w:rPr>
          <w:rFonts w:ascii="Arial" w:hAnsi="Arial"/>
          <w:sz w:val="22"/>
        </w:rPr>
        <w:tab/>
        <w:t>КОНАМУ работает над тем, чтобы при применении данного Закона учитывались репродуктивные права и гендерный подход.</w:t>
      </w:r>
    </w:p>
    <w:p w:rsidR="00000000" w:rsidRDefault="00000000">
      <w:pPr>
        <w:spacing w:after="240" w:line="260" w:lineRule="exact"/>
        <w:jc w:val="both"/>
        <w:rPr>
          <w:rFonts w:ascii="Arial" w:hAnsi="Arial"/>
          <w:sz w:val="22"/>
        </w:rPr>
      </w:pPr>
      <w:r>
        <w:rPr>
          <w:rFonts w:ascii="Arial" w:hAnsi="Arial"/>
          <w:sz w:val="22"/>
        </w:rPr>
        <w:t>151.</w:t>
      </w:r>
      <w:r>
        <w:rPr>
          <w:rFonts w:ascii="Arial" w:hAnsi="Arial"/>
          <w:sz w:val="22"/>
        </w:rPr>
        <w:tab/>
        <w:t>На уровнях базового и среднего образования наиболее значимыми программами, реализация которых была начата в 90-е годы различными управлениями Министерства образования при содействии неправительственных организаций, являются следующие:</w:t>
      </w:r>
    </w:p>
    <w:p w:rsidR="00000000" w:rsidRDefault="00000000">
      <w:pPr>
        <w:spacing w:line="260" w:lineRule="exact"/>
        <w:ind w:left="397" w:hanging="397"/>
        <w:jc w:val="both"/>
        <w:rPr>
          <w:rFonts w:ascii="Arial" w:hAnsi="Arial"/>
          <w:sz w:val="22"/>
        </w:rPr>
      </w:pPr>
      <w:r>
        <w:rPr>
          <w:rFonts w:ascii="Arial" w:hAnsi="Arial"/>
          <w:sz w:val="22"/>
        </w:rPr>
        <w:sym w:font="Symbol" w:char="F0B7"/>
      </w:r>
      <w:r>
        <w:rPr>
          <w:rFonts w:ascii="Arial" w:hAnsi="Arial"/>
          <w:sz w:val="22"/>
        </w:rPr>
        <w:tab/>
        <w:t>Обеспечение дополнительного питания для учащихся начальных классов.</w:t>
      </w:r>
    </w:p>
    <w:p w:rsidR="00000000" w:rsidRDefault="00000000">
      <w:pPr>
        <w:pStyle w:val="BodyTextIndent"/>
      </w:pPr>
      <w:r>
        <w:sym w:font="Symbol" w:char="F0B7"/>
      </w:r>
      <w:r>
        <w:tab/>
        <w:t>Школьная программа по обучению жизненно важным умениям и навыкам.</w:t>
      </w:r>
    </w:p>
    <w:p w:rsidR="00000000" w:rsidRDefault="00000000">
      <w:pPr>
        <w:spacing w:after="240" w:line="260" w:lineRule="exact"/>
        <w:ind w:left="397" w:hanging="397"/>
        <w:jc w:val="both"/>
        <w:rPr>
          <w:rFonts w:ascii="Arial" w:hAnsi="Arial"/>
          <w:sz w:val="22"/>
        </w:rPr>
      </w:pPr>
      <w:r>
        <w:rPr>
          <w:rFonts w:ascii="Arial" w:hAnsi="Arial"/>
          <w:sz w:val="22"/>
        </w:rPr>
        <w:sym w:font="Symbol" w:char="F0B7"/>
      </w:r>
      <w:r>
        <w:rPr>
          <w:rFonts w:ascii="Arial" w:hAnsi="Arial"/>
          <w:sz w:val="22"/>
        </w:rPr>
        <w:tab/>
        <w:t>Программа охраны здоровья школьников.</w:t>
      </w:r>
    </w:p>
    <w:p w:rsidR="00000000" w:rsidRDefault="00000000">
      <w:pPr>
        <w:spacing w:after="240" w:line="260" w:lineRule="exact"/>
        <w:jc w:val="both"/>
        <w:rPr>
          <w:rFonts w:ascii="Arial" w:hAnsi="Arial"/>
          <w:sz w:val="22"/>
        </w:rPr>
      </w:pPr>
      <w:r>
        <w:rPr>
          <w:rFonts w:ascii="Arial" w:hAnsi="Arial"/>
          <w:sz w:val="22"/>
        </w:rPr>
        <w:t>152.</w:t>
      </w:r>
      <w:r>
        <w:rPr>
          <w:rFonts w:ascii="Arial" w:hAnsi="Arial"/>
          <w:sz w:val="22"/>
        </w:rPr>
        <w:tab/>
        <w:t>КОНАМУ подготовил, опубликовал и распространил 90 тыс. экземпляров руководства для учителей базовой школы "Гендерное равенство в школе".</w:t>
      </w:r>
    </w:p>
    <w:p w:rsidR="00000000" w:rsidRDefault="00000000">
      <w:pPr>
        <w:spacing w:after="240" w:line="260" w:lineRule="exact"/>
        <w:jc w:val="both"/>
        <w:rPr>
          <w:rFonts w:ascii="Arial" w:hAnsi="Arial"/>
          <w:sz w:val="22"/>
        </w:rPr>
      </w:pPr>
      <w:r>
        <w:rPr>
          <w:rFonts w:ascii="Arial" w:hAnsi="Arial"/>
          <w:sz w:val="22"/>
        </w:rPr>
        <w:t>153.</w:t>
      </w:r>
      <w:r>
        <w:rPr>
          <w:rFonts w:ascii="Arial" w:hAnsi="Arial"/>
          <w:sz w:val="22"/>
        </w:rPr>
        <w:tab/>
        <w:t>Кроме того, КОНАМУ разработал и реализовал образовательную программу "Гендерное равенство в школе", которая включает видеофильм, три модуля для учителей и книгу для руководителей учебных кружков, а также тренировочный материал по ее использованию и применению для руководителей учебных центров и учебных кружков.</w:t>
      </w:r>
    </w:p>
    <w:p w:rsidR="00000000" w:rsidRDefault="00000000">
      <w:pPr>
        <w:spacing w:after="240" w:line="260" w:lineRule="exact"/>
        <w:jc w:val="both"/>
        <w:rPr>
          <w:rFonts w:ascii="Arial" w:hAnsi="Arial"/>
          <w:sz w:val="22"/>
        </w:rPr>
      </w:pPr>
      <w:r>
        <w:rPr>
          <w:rFonts w:ascii="Arial" w:hAnsi="Arial"/>
          <w:sz w:val="22"/>
        </w:rPr>
        <w:t>154.</w:t>
      </w:r>
      <w:r>
        <w:rPr>
          <w:rFonts w:ascii="Arial" w:hAnsi="Arial"/>
          <w:sz w:val="22"/>
        </w:rPr>
        <w:tab/>
        <w:t xml:space="preserve">Реформирование учебных программ предусматривает изменения в преподавании различных учебных дисциплин. В учебные дисциплины включены и изучаются в качестве приоритетных такие основополагающие понятия, как общечеловеческие ценности, развитие интеллекта, экологическое и межкультурное образование. </w:t>
      </w:r>
    </w:p>
    <w:p w:rsidR="00000000" w:rsidRDefault="00000000">
      <w:pPr>
        <w:spacing w:after="240" w:line="260" w:lineRule="exact"/>
        <w:jc w:val="both"/>
        <w:rPr>
          <w:rFonts w:ascii="Arial" w:hAnsi="Arial"/>
          <w:sz w:val="22"/>
        </w:rPr>
      </w:pPr>
      <w:r>
        <w:rPr>
          <w:rFonts w:ascii="Arial" w:hAnsi="Arial"/>
          <w:sz w:val="22"/>
        </w:rPr>
        <w:t>155.</w:t>
      </w:r>
      <w:r>
        <w:rPr>
          <w:rFonts w:ascii="Arial" w:hAnsi="Arial"/>
          <w:sz w:val="22"/>
        </w:rPr>
        <w:tab/>
        <w:t>Демократизация образования способствовала тому, что стало утверждаться совместное (смешанное) обучение как метод ликвидации сексистских барьеров. В 1997 году число учебных заведений, в которых осуществлялось совместное обучение, достигло 22 997; имеются также 456 мужских и 781 женских учебных заведений. Эти цифры показывают, что 94,9 процента учебных заведений являются совместными, то есть в них обучаются лица как мужского пола, так и женского. На уровне среднего образования совместные учебные заведения составляют большинство (88 процентов), на втором месте находятся женские учебные заведения (7,9 процента)</w:t>
      </w:r>
      <w:r>
        <w:rPr>
          <w:rStyle w:val="FootnoteReference"/>
          <w:rFonts w:ascii="Arial" w:hAnsi="Arial"/>
          <w:sz w:val="22"/>
        </w:rPr>
        <w:footnoteReference w:id="26"/>
      </w:r>
      <w:r>
        <w:rPr>
          <w:rFonts w:ascii="Arial" w:hAnsi="Arial"/>
          <w:sz w:val="22"/>
        </w:rPr>
        <w:t>.</w:t>
      </w:r>
    </w:p>
    <w:p w:rsidR="00000000" w:rsidRDefault="00000000">
      <w:pPr>
        <w:spacing w:after="240" w:line="260" w:lineRule="exact"/>
        <w:jc w:val="both"/>
        <w:rPr>
          <w:rFonts w:ascii="Arial" w:hAnsi="Arial"/>
          <w:sz w:val="22"/>
        </w:rPr>
      </w:pPr>
      <w:r>
        <w:rPr>
          <w:rFonts w:ascii="Arial" w:hAnsi="Arial"/>
          <w:sz w:val="22"/>
        </w:rPr>
        <w:t>156.</w:t>
      </w:r>
      <w:r>
        <w:rPr>
          <w:rFonts w:ascii="Arial" w:hAnsi="Arial"/>
          <w:sz w:val="22"/>
        </w:rPr>
        <w:tab/>
        <w:t>В рамках межведомственной программы "Обмен практическим опытом по гендерным вопросам" проводится обмен мнениями и проектами по вопросам "Защита окружающей среды", "Профессиональная подготовка", "Образование", "Участие в политической жизни", "Лидерство" и "Приносящая доход деятельность". В целях содействия работающим молодым людям была издана книга "Путь к равенству" при активном участии 24 неправительственных организаций, политических движений и женских организаций.</w:t>
      </w:r>
    </w:p>
    <w:p w:rsidR="00000000" w:rsidRDefault="00000000">
      <w:pPr>
        <w:pStyle w:val="BodyText"/>
        <w:tabs>
          <w:tab w:val="clear" w:pos="680"/>
        </w:tabs>
      </w:pPr>
      <w:r>
        <w:t>157.</w:t>
      </w:r>
      <w:r>
        <w:tab/>
        <w:t>Одна из причин отсева из школы в сельских районах носит экономический характер. Чтобы выжить, семьям приходится использовать детскую рабочую силу; к тому же школа, как правило, не обучает предметам, связанным с приносящей доход деятельностью. Согласно имеющимся данным, после того как дети завершают базовое обучение, семьи оценивают важность обучения примерно одинаково в отношении как мальчиков, так и девочек.</w:t>
      </w:r>
    </w:p>
    <w:p w:rsidR="00000000" w:rsidRDefault="00000000">
      <w:pPr>
        <w:spacing w:after="240" w:line="260" w:lineRule="exact"/>
        <w:jc w:val="both"/>
        <w:rPr>
          <w:rFonts w:ascii="Arial" w:hAnsi="Arial"/>
          <w:sz w:val="22"/>
        </w:rPr>
      </w:pPr>
      <w:r>
        <w:rPr>
          <w:rFonts w:ascii="Arial" w:hAnsi="Arial"/>
          <w:sz w:val="22"/>
        </w:rPr>
        <w:t>158.</w:t>
      </w:r>
      <w:r>
        <w:rPr>
          <w:rFonts w:ascii="Arial" w:hAnsi="Arial"/>
          <w:sz w:val="22"/>
        </w:rPr>
        <w:tab/>
        <w:t>В 1994 году примерно пятая часть молодых женщин в возрасте от 15 до 19 лет (17,5 процента) были матерями или беременными. В сельских районах беременность несовершеннолетних часто приводит к ранним бракам. Следует отметить, что 21 процент сельских женщин моложе 19 лет были матерями или ждали ребенка. Чаще всего беременность несовершеннолетних отмечается в сельских районах Косты.</w:t>
      </w:r>
    </w:p>
    <w:p w:rsidR="00000000" w:rsidRDefault="00000000">
      <w:pPr>
        <w:spacing w:after="240" w:line="260" w:lineRule="exact"/>
        <w:jc w:val="both"/>
        <w:rPr>
          <w:rFonts w:ascii="Arial" w:hAnsi="Arial"/>
          <w:sz w:val="22"/>
        </w:rPr>
      </w:pPr>
      <w:r>
        <w:rPr>
          <w:rFonts w:ascii="Arial" w:hAnsi="Arial"/>
          <w:sz w:val="22"/>
        </w:rPr>
        <w:t>159.</w:t>
      </w:r>
      <w:r>
        <w:rPr>
          <w:rFonts w:ascii="Arial" w:hAnsi="Arial"/>
          <w:sz w:val="22"/>
        </w:rPr>
        <w:tab/>
        <w:t xml:space="preserve">Согласно оценкам, процент беременных несовершеннолетних, которые прекращали посещать учебные заведения, в том числе по причине беременности, весьма высок; замужество несовершеннолетних также является причиной прекращения учебы в школе. И хотя достаточной информации по данному вопросу не имеется, можно утверждать, что государство через КОНАМУ поощряет включение гендерного аспекта в учебные планы базового образования  и содействует тому, чтобы несовершеннолетние беременные продолжали обучение в школе в период беременности и после родов. </w:t>
      </w:r>
    </w:p>
    <w:p w:rsidR="00000000" w:rsidRDefault="00000000">
      <w:pPr>
        <w:spacing w:after="240" w:line="260" w:lineRule="exact"/>
        <w:jc w:val="both"/>
        <w:rPr>
          <w:rFonts w:ascii="Arial" w:hAnsi="Arial"/>
          <w:sz w:val="22"/>
        </w:rPr>
      </w:pPr>
      <w:r>
        <w:rPr>
          <w:rFonts w:ascii="Arial" w:hAnsi="Arial"/>
          <w:sz w:val="22"/>
        </w:rPr>
        <w:t>160.</w:t>
      </w:r>
      <w:r>
        <w:rPr>
          <w:rFonts w:ascii="Arial" w:hAnsi="Arial"/>
          <w:sz w:val="22"/>
        </w:rPr>
        <w:tab/>
        <w:t>В отношении высшего образования следует отметить, что распределение выпускников по университетским специальностям по-прежнему соответствует дифференциации ролей, существующей в обществе в целом и на рынке труда в частности. Для мужчин наиболее популярными специальностями являются те, которые традиционно считаются мужскими. Помимо философии и педагогического образования, для которых высокие показатели определяются главным образом наличием этих специальностей во всех университетах страны и благодаря льготам при поступлении и обучении, остальные специальности в порядке предпочтения распределяются следующим образом: право, медицина, управление, агрономия, экономика и все инженерные специальности.</w:t>
      </w:r>
    </w:p>
    <w:p w:rsidR="00000000" w:rsidRDefault="00000000">
      <w:pPr>
        <w:spacing w:after="240" w:line="260" w:lineRule="exact"/>
        <w:jc w:val="both"/>
        <w:rPr>
          <w:rFonts w:ascii="Arial" w:hAnsi="Arial"/>
          <w:sz w:val="22"/>
        </w:rPr>
      </w:pPr>
      <w:r>
        <w:rPr>
          <w:rFonts w:ascii="Arial" w:hAnsi="Arial"/>
          <w:sz w:val="22"/>
        </w:rPr>
        <w:t>161.</w:t>
      </w:r>
      <w:r>
        <w:rPr>
          <w:rFonts w:ascii="Arial" w:hAnsi="Arial"/>
          <w:sz w:val="22"/>
        </w:rPr>
        <w:tab/>
        <w:t>Женщины отдают предпочтение философии, филологии и педагогическому образованию. Основная масса женщин обучается именно по этим специальностям. С большим отрывом за ними следуют менеджмент (некоторые специальности в рамках этого цикла, например бухгалтерское дело и делопроизводство, считаются женскими профессиями). К указанным специальностям следует добавить такие традиционно женские специальности, как медсестра, врач, экономист, юрист, стоматолог, торговый менеджер, специалист по связям с общественностью, работник клинической или химической лаборатории.</w:t>
      </w:r>
    </w:p>
    <w:p w:rsidR="00000000" w:rsidRDefault="00000000">
      <w:pPr>
        <w:spacing w:after="240" w:line="260" w:lineRule="exact"/>
        <w:jc w:val="both"/>
        <w:rPr>
          <w:rFonts w:ascii="Arial" w:hAnsi="Arial"/>
          <w:sz w:val="22"/>
        </w:rPr>
      </w:pPr>
      <w:r>
        <w:rPr>
          <w:rFonts w:ascii="Arial" w:hAnsi="Arial"/>
          <w:sz w:val="22"/>
        </w:rPr>
        <w:t>162.</w:t>
      </w:r>
      <w:r>
        <w:rPr>
          <w:rFonts w:ascii="Arial" w:hAnsi="Arial"/>
          <w:sz w:val="22"/>
        </w:rPr>
        <w:tab/>
        <w:t>Массовая профессиональная подготовка женщин по специальностям, связанным с образованием, приводит к тому, что значительное число женщин работают в сфере образования в качестве учителей дошкольных классов, начальной и средней школ. Более половины учителей этих уровней являются женщинами.</w:t>
      </w:r>
    </w:p>
    <w:p w:rsidR="00000000" w:rsidRDefault="00000000">
      <w:pPr>
        <w:spacing w:after="240" w:line="260" w:lineRule="exact"/>
        <w:jc w:val="both"/>
        <w:rPr>
          <w:rFonts w:ascii="Arial" w:hAnsi="Arial"/>
          <w:sz w:val="22"/>
        </w:rPr>
      </w:pPr>
      <w:r>
        <w:rPr>
          <w:rFonts w:ascii="Arial" w:hAnsi="Arial"/>
          <w:sz w:val="22"/>
        </w:rPr>
        <w:t>163.</w:t>
      </w:r>
      <w:r>
        <w:rPr>
          <w:rFonts w:ascii="Arial" w:hAnsi="Arial"/>
          <w:sz w:val="22"/>
        </w:rPr>
        <w:tab/>
        <w:t>Одной из проблем, которая все еще сохраняется в Эквадоре, является неграмотность. Несмотря на значительное снижение уровня неграмотности и увеличение охвата школьным образованием, сохраняющееся неравенство проявляется по гендерному признаку и месту проживания. Так, в 1998 году уровень неграмотности в национальном масштабе составлял 12,1 процента для женщин и 8,35 процента для мужчин. В сельских районах неравенство увеличивается: уровень неграмотности среди женщин составляет 21,1 процента и мужчин – 14,8 процента</w:t>
      </w:r>
      <w:r>
        <w:rPr>
          <w:rStyle w:val="FootnoteReference"/>
          <w:rFonts w:ascii="Arial" w:hAnsi="Arial"/>
          <w:sz w:val="22"/>
        </w:rPr>
        <w:footnoteReference w:id="27"/>
      </w:r>
      <w:r>
        <w:rPr>
          <w:rFonts w:ascii="Arial" w:hAnsi="Arial"/>
          <w:sz w:val="22"/>
        </w:rPr>
        <w:t>.</w:t>
      </w:r>
    </w:p>
    <w:p w:rsidR="00000000" w:rsidRDefault="00000000">
      <w:pPr>
        <w:spacing w:after="240" w:line="260" w:lineRule="exact"/>
        <w:jc w:val="both"/>
        <w:rPr>
          <w:rFonts w:ascii="Arial" w:hAnsi="Arial"/>
          <w:sz w:val="22"/>
        </w:rPr>
      </w:pPr>
      <w:r>
        <w:rPr>
          <w:rFonts w:ascii="Arial" w:hAnsi="Arial"/>
          <w:sz w:val="22"/>
        </w:rPr>
        <w:t>164.</w:t>
      </w:r>
      <w:r>
        <w:rPr>
          <w:rFonts w:ascii="Arial" w:hAnsi="Arial"/>
          <w:sz w:val="22"/>
        </w:rPr>
        <w:tab/>
        <w:t>Следует отметить, что, согласно данным опроса по условиям жизни 1995 года, функциональная неграмотность характерна прежде всего для взрослых женщин; в городах она составляла 14 процентов для женщин и 11 процентов для мужчин, в то время как функционально неграмотными были 37 процентов женщин, проживающих в сельской местности. Среди проживающих в сельских районах женщин и мужчин из числа коренного населения этот показатель равнялся 32 процентам</w:t>
      </w:r>
      <w:r>
        <w:rPr>
          <w:rStyle w:val="FootnoteReference"/>
          <w:rFonts w:ascii="Arial" w:hAnsi="Arial"/>
          <w:sz w:val="22"/>
        </w:rPr>
        <w:footnoteReference w:id="28"/>
      </w:r>
      <w:r>
        <w:rPr>
          <w:rFonts w:ascii="Arial" w:hAnsi="Arial"/>
          <w:sz w:val="22"/>
        </w:rPr>
        <w:t>.</w:t>
      </w:r>
    </w:p>
    <w:p w:rsidR="00000000" w:rsidRDefault="00000000">
      <w:pPr>
        <w:spacing w:after="240" w:line="260" w:lineRule="exact"/>
        <w:jc w:val="both"/>
        <w:rPr>
          <w:rFonts w:ascii="Arial" w:hAnsi="Arial"/>
          <w:sz w:val="22"/>
        </w:rPr>
      </w:pPr>
      <w:r>
        <w:rPr>
          <w:rFonts w:ascii="Arial" w:hAnsi="Arial"/>
          <w:sz w:val="22"/>
        </w:rPr>
        <w:t>165.</w:t>
      </w:r>
      <w:r>
        <w:rPr>
          <w:rFonts w:ascii="Arial" w:hAnsi="Arial"/>
          <w:sz w:val="22"/>
        </w:rPr>
        <w:tab/>
        <w:t>Несмотря на помощь государства, образовательные услуги не в полной мере удовлетворяют общественный спрос на них и не отвечают потребностям развития страны. Сохраняется высокий процент сельских школ с одним учителем (5447 школ по стране). Кроме того, следует признать, что техническая оснащенность некоторых государственных школ не соответствует нормам; отсутствуют также необходимые санитарно-гигиенические условия и досуговые возможности как для мальчиков, так и для девочек, которые обеспечивали бы полноценную здоровую среду для физического и умственного развития.</w:t>
      </w:r>
    </w:p>
    <w:p w:rsidR="00000000" w:rsidRDefault="00000000">
      <w:pPr>
        <w:spacing w:after="240" w:line="260" w:lineRule="exact"/>
        <w:jc w:val="both"/>
        <w:rPr>
          <w:rFonts w:ascii="Arial" w:hAnsi="Arial"/>
          <w:sz w:val="22"/>
        </w:rPr>
      </w:pPr>
      <w:r>
        <w:rPr>
          <w:rFonts w:ascii="Arial" w:hAnsi="Arial"/>
          <w:sz w:val="22"/>
        </w:rPr>
        <w:t>166.</w:t>
      </w:r>
      <w:r>
        <w:rPr>
          <w:rFonts w:ascii="Arial" w:hAnsi="Arial"/>
          <w:sz w:val="22"/>
        </w:rPr>
        <w:tab/>
        <w:t>Наиболее существенно различия в качестве образования проявляются в том, как обстоит дело в городах и в сельских районах, с одной стороны, и в государственных и частных школах – с другой. Как показывает проверка школьной успеваемости АПРЕНДО, которая была проведена в 1996 году в рамках Комплексной системы социальных показателей Эквадора (СИИСЕ), на втором этапе базового образования, например, средняя успеваемость по испанскому языку у детей обоего пола из сельских районов на 43 процента ниже, чем в городских частных школах</w:t>
      </w:r>
      <w:r>
        <w:rPr>
          <w:rStyle w:val="FootnoteReference"/>
          <w:rFonts w:ascii="Arial" w:hAnsi="Arial"/>
          <w:sz w:val="22"/>
        </w:rPr>
        <w:footnoteReference w:id="29"/>
      </w:r>
      <w:r>
        <w:rPr>
          <w:rFonts w:ascii="Arial" w:hAnsi="Arial"/>
          <w:sz w:val="22"/>
        </w:rPr>
        <w:t xml:space="preserve">. </w:t>
      </w:r>
    </w:p>
    <w:p w:rsidR="00000000" w:rsidRDefault="00000000">
      <w:pPr>
        <w:pStyle w:val="Heading3"/>
        <w:rPr>
          <w:caps/>
        </w:rPr>
      </w:pPr>
      <w:r>
        <w:rPr>
          <w:caps/>
        </w:rPr>
        <w:t>Статья  11</w:t>
      </w:r>
    </w:p>
    <w:p w:rsidR="00000000" w:rsidRDefault="00000000">
      <w:pPr>
        <w:pStyle w:val="BodyTextIndent2"/>
        <w:ind w:left="397" w:hanging="397"/>
      </w:pPr>
      <w:r>
        <w:t>1.</w:t>
      </w:r>
      <w:r>
        <w:tab/>
        <w:t>Государства-участники принимают все соответствующие меры для ликвидации дискриминации в отношении женщин в области занятости, с тем чтобы обеспечить на основе равенства мужчин и женщин равные права, в частности:</w:t>
      </w:r>
    </w:p>
    <w:p w:rsidR="00000000" w:rsidRDefault="00000000">
      <w:pPr>
        <w:pStyle w:val="-"/>
      </w:pPr>
      <w:r>
        <w:t>а)</w:t>
      </w:r>
      <w:r>
        <w:tab/>
        <w:t>право на труд как неотъемлемое право всех людей;</w:t>
      </w:r>
    </w:p>
    <w:p w:rsidR="00000000" w:rsidRDefault="00000000">
      <w:pPr>
        <w:pStyle w:val="-"/>
      </w:pPr>
      <w:r>
        <w:rPr>
          <w:lang w:val="en-US"/>
        </w:rPr>
        <w:t>b</w:t>
      </w:r>
      <w:r>
        <w:t>)</w:t>
      </w:r>
      <w:r>
        <w:tab/>
        <w:t>право на одинаковые возможности при найме на работу, в том числе применение одинаковых критериев отбора при найме;</w:t>
      </w:r>
    </w:p>
    <w:p w:rsidR="00000000" w:rsidRDefault="00000000">
      <w:pPr>
        <w:pStyle w:val="-"/>
      </w:pPr>
      <w:r>
        <w:t>с)</w:t>
      </w:r>
      <w:r>
        <w:tab/>
        <w:t>право на свободный выбор профессии или рода работы, на продвижение в должности и гарантию занятости, а также на пользование всеми льготами и условиями работы, на получение профессиональной подготовки и переподготовки, включая ученичество, профессиональную подготовку повышенного уровня и регулярную переподготовку;</w:t>
      </w:r>
    </w:p>
    <w:p w:rsidR="00000000" w:rsidRDefault="00000000">
      <w:pPr>
        <w:pStyle w:val="-"/>
      </w:pPr>
      <w:r>
        <w:rPr>
          <w:lang w:val="en-US"/>
        </w:rPr>
        <w:t>d</w:t>
      </w:r>
      <w:r>
        <w:t>)</w:t>
      </w:r>
      <w:r>
        <w:tab/>
        <w:t>право на равное вознаграждение, включая получение льгот, на равные условия в отношении труда равной ценности, а также на равный подход к оценке качества работы;</w:t>
      </w:r>
    </w:p>
    <w:p w:rsidR="00000000" w:rsidRDefault="00000000">
      <w:pPr>
        <w:pStyle w:val="-"/>
      </w:pPr>
      <w:r>
        <w:t>е)</w:t>
      </w:r>
      <w:r>
        <w:tab/>
        <w:t>право на социальное обеспечение, в частности, в случае ухода на пенсию, безработицы, болезни, инвалидности, по старости и в других случаях потери трудоспособности, а также право на оплачиваемый отпуск;</w:t>
      </w:r>
    </w:p>
    <w:p w:rsidR="00000000" w:rsidRDefault="00000000">
      <w:pPr>
        <w:autoSpaceDE w:val="0"/>
        <w:autoSpaceDN w:val="0"/>
        <w:adjustRightInd w:val="0"/>
        <w:spacing w:after="240" w:line="260" w:lineRule="exact"/>
        <w:ind w:left="397" w:hanging="397"/>
        <w:jc w:val="both"/>
        <w:rPr>
          <w:rFonts w:ascii="Arial" w:hAnsi="Arial"/>
          <w:i/>
          <w:sz w:val="22"/>
        </w:rPr>
      </w:pPr>
      <w:r>
        <w:rPr>
          <w:rFonts w:ascii="Arial" w:hAnsi="Arial"/>
          <w:i/>
          <w:color w:val="000000"/>
          <w:sz w:val="22"/>
          <w:lang w:val="en-US"/>
        </w:rPr>
        <w:t>f</w:t>
      </w:r>
      <w:r>
        <w:rPr>
          <w:rFonts w:ascii="Arial" w:hAnsi="Arial"/>
          <w:i/>
          <w:color w:val="000000"/>
          <w:sz w:val="22"/>
        </w:rPr>
        <w:t>)</w:t>
      </w:r>
      <w:r>
        <w:rPr>
          <w:rFonts w:ascii="Arial" w:hAnsi="Arial"/>
          <w:i/>
          <w:color w:val="000000"/>
          <w:sz w:val="22"/>
        </w:rPr>
        <w:tab/>
        <w:t>право на охрану здоровья и безопасные условия труда, в том числе по сохранению функции продолжения рода.</w:t>
      </w:r>
    </w:p>
    <w:p w:rsidR="00000000" w:rsidRDefault="00000000">
      <w:pPr>
        <w:pStyle w:val="BodyTextIndent3"/>
        <w:spacing w:after="220"/>
      </w:pPr>
      <w:r>
        <w:t>2.</w:t>
      </w:r>
      <w:r>
        <w:tab/>
        <w:t>Для предупреждения дискриминации в отношении женщин по причине замужества или материнства и гарантирования им эффективного права на труд государства-участники принимают соответствующие меры для того, чтобы:</w:t>
      </w:r>
    </w:p>
    <w:p w:rsidR="00000000" w:rsidRDefault="00000000">
      <w:pPr>
        <w:pStyle w:val="-"/>
      </w:pPr>
      <w:r>
        <w:t>а)</w:t>
      </w:r>
      <w:r>
        <w:tab/>
        <w:t>запретить, под угрозой применения санкций, увольнение с работы на основании беременности или отпуска по беременности и родам или дискриминацию ввиду семейного положения при увольнении;</w:t>
      </w:r>
    </w:p>
    <w:p w:rsidR="00000000" w:rsidRDefault="00000000">
      <w:pPr>
        <w:pStyle w:val="-"/>
      </w:pPr>
      <w:r>
        <w:rPr>
          <w:lang w:val="en-US"/>
        </w:rPr>
        <w:t>b</w:t>
      </w:r>
      <w:r>
        <w:t>)</w:t>
      </w:r>
      <w:r>
        <w:tab/>
        <w:t>ввести оплачиваемые отпуска или отпуска с сопоставимыми социальными пособиями по беременности и родам без утраты прежнего места работы, старшинства или социальных пособий;</w:t>
      </w:r>
    </w:p>
    <w:p w:rsidR="00000000" w:rsidRDefault="00000000">
      <w:pPr>
        <w:pStyle w:val="-"/>
      </w:pPr>
      <w:r>
        <w:t>с)</w:t>
      </w:r>
      <w:r>
        <w:tab/>
        <w:t>поощрять предоставление необходимых дополнительных социальных услуг, с тем чтобы позволить родителям совмещать выполнение семейных обязанностей с трудовой деятельностью и участием в общественной жизни, в частности посредством создания и расширения сети учреждений по уходу за детьми;</w:t>
      </w:r>
    </w:p>
    <w:p w:rsidR="00000000" w:rsidRDefault="00000000">
      <w:pPr>
        <w:autoSpaceDE w:val="0"/>
        <w:autoSpaceDN w:val="0"/>
        <w:adjustRightInd w:val="0"/>
        <w:spacing w:after="200" w:line="260" w:lineRule="exact"/>
        <w:ind w:left="397" w:hanging="397"/>
        <w:jc w:val="both"/>
        <w:rPr>
          <w:rFonts w:ascii="Arial" w:hAnsi="Arial"/>
          <w:i/>
          <w:sz w:val="22"/>
        </w:rPr>
      </w:pPr>
      <w:r>
        <w:rPr>
          <w:rFonts w:ascii="Arial" w:hAnsi="Arial"/>
          <w:i/>
          <w:color w:val="000000"/>
          <w:sz w:val="22"/>
          <w:lang w:val="en-US"/>
        </w:rPr>
        <w:t>d</w:t>
      </w:r>
      <w:r>
        <w:rPr>
          <w:rFonts w:ascii="Arial" w:hAnsi="Arial"/>
          <w:i/>
          <w:color w:val="000000"/>
          <w:sz w:val="22"/>
        </w:rPr>
        <w:t>)</w:t>
      </w:r>
      <w:r>
        <w:rPr>
          <w:rFonts w:ascii="Arial" w:hAnsi="Arial"/>
          <w:i/>
          <w:color w:val="000000"/>
          <w:sz w:val="22"/>
        </w:rPr>
        <w:tab/>
        <w:t>обеспечивать женщинам особую защиту в период беременности на тех видах работ, вредность которых для их здоровья доказана.</w:t>
      </w:r>
    </w:p>
    <w:p w:rsidR="00000000" w:rsidRDefault="00000000">
      <w:pPr>
        <w:pStyle w:val="BodyTextIndent3"/>
        <w:spacing w:after="200"/>
      </w:pPr>
      <w:r>
        <w:t>3.</w:t>
      </w:r>
      <w:r>
        <w:tab/>
        <w:t>Законодательство, касающееся защиты прав, затрагиваемых в настоящей статье, периодически рассматривается в свете научно-технических знаний, а также пересматривается, отменяется или расширяется, насколько это необходимо.</w:t>
      </w:r>
    </w:p>
    <w:p w:rsidR="00000000" w:rsidRDefault="00000000">
      <w:pPr>
        <w:autoSpaceDE w:val="0"/>
        <w:autoSpaceDN w:val="0"/>
        <w:adjustRightInd w:val="0"/>
        <w:spacing w:after="200" w:line="260" w:lineRule="exact"/>
        <w:jc w:val="both"/>
        <w:rPr>
          <w:rFonts w:ascii="Arial" w:hAnsi="Arial"/>
          <w:sz w:val="22"/>
        </w:rPr>
      </w:pPr>
      <w:r>
        <w:rPr>
          <w:rFonts w:ascii="Arial" w:hAnsi="Arial"/>
          <w:sz w:val="22"/>
        </w:rPr>
        <w:t>167.</w:t>
      </w:r>
      <w:r>
        <w:rPr>
          <w:rFonts w:ascii="Arial" w:hAnsi="Arial"/>
          <w:sz w:val="22"/>
        </w:rPr>
        <w:tab/>
        <w:t>В статьи 35, 36 и 40 Политической конституции Эквадора были внесены важные изменения, касающиеся признания прав. Так, государство обязуется поощрять привлечение женщин к оплачиваемой работе на основе равенства прав и возможностей, гарантируя им равное вознаграждение за равный труд. Провозглашаются уважение трудовых и репродуктивных прав женщин, улучшение доступа к системам социального обеспечения и создание особой защиты для беременных и матерей в период кормления грудью, уважение к работающим женщинам, к женщинам, работающим в неформальном секторе и в кустарном производстве, к женщинам – главам семей и вдовам.</w:t>
      </w:r>
    </w:p>
    <w:p w:rsidR="00000000" w:rsidRDefault="00000000">
      <w:pPr>
        <w:autoSpaceDE w:val="0"/>
        <w:autoSpaceDN w:val="0"/>
        <w:adjustRightInd w:val="0"/>
        <w:spacing w:after="200" w:line="260" w:lineRule="exact"/>
        <w:jc w:val="both"/>
        <w:rPr>
          <w:rFonts w:ascii="Arial" w:hAnsi="Arial"/>
          <w:sz w:val="22"/>
        </w:rPr>
      </w:pPr>
      <w:r>
        <w:rPr>
          <w:rFonts w:ascii="Arial" w:hAnsi="Arial"/>
          <w:sz w:val="22"/>
        </w:rPr>
        <w:t>168.</w:t>
      </w:r>
      <w:r>
        <w:rPr>
          <w:rFonts w:ascii="Arial" w:hAnsi="Arial"/>
          <w:sz w:val="22"/>
        </w:rPr>
        <w:tab/>
        <w:t>Запрещается любая трудовая дискриминация в отношении женщин. Работа по дому, осуществляемая супругом или сожителем, должна учитываться и справедливо вознаграждаться в особых случаях, когда данный человек находится в неблагоприятных экономических условиях. Неоплачиваемая работа по дому признается производительным трудом.</w:t>
      </w:r>
    </w:p>
    <w:p w:rsidR="00000000" w:rsidRDefault="00000000">
      <w:pPr>
        <w:autoSpaceDE w:val="0"/>
        <w:autoSpaceDN w:val="0"/>
        <w:adjustRightInd w:val="0"/>
        <w:spacing w:after="200" w:line="260" w:lineRule="exact"/>
        <w:jc w:val="both"/>
        <w:rPr>
          <w:rFonts w:ascii="Arial" w:hAnsi="Arial"/>
          <w:sz w:val="22"/>
        </w:rPr>
      </w:pPr>
      <w:r>
        <w:rPr>
          <w:rFonts w:ascii="Arial" w:hAnsi="Arial"/>
          <w:sz w:val="22"/>
        </w:rPr>
        <w:t>169.</w:t>
      </w:r>
      <w:r>
        <w:rPr>
          <w:rFonts w:ascii="Arial" w:hAnsi="Arial"/>
          <w:sz w:val="22"/>
        </w:rPr>
        <w:tab/>
        <w:t>Государство также обязуется поощрять ответственное материнство и отцовство и следить за выполнением взаимных прав и обязанностей родителей и детей.</w:t>
      </w:r>
    </w:p>
    <w:p w:rsidR="00000000" w:rsidRDefault="00000000">
      <w:pPr>
        <w:pStyle w:val="BodyText"/>
        <w:tabs>
          <w:tab w:val="clear" w:pos="680"/>
        </w:tabs>
        <w:autoSpaceDE w:val="0"/>
        <w:autoSpaceDN w:val="0"/>
        <w:adjustRightInd w:val="0"/>
        <w:spacing w:after="120"/>
      </w:pPr>
      <w:r>
        <w:t>170.</w:t>
      </w:r>
      <w:r>
        <w:tab/>
        <w:t>Вышеуказанные положения представляют собой наиболее значимые завоевания новой Конституции, в которой установлены три важные задачи в отношении эквадорских женщин: а) выплата равноценной заработной платы за равный труд; b) дискриминация позитивного характера в связи с ее гендерной принадлежностью и уязвимостью; и с) признание неоплачиваемой работы по дому производительным трудом.</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171.</w:t>
      </w:r>
      <w:r>
        <w:rPr>
          <w:rFonts w:ascii="Arial" w:hAnsi="Arial"/>
          <w:sz w:val="22"/>
        </w:rPr>
        <w:tab/>
        <w:t>Эквадор, будучи членом Международной организации труда (МОТ), подписал конвенции об охране материнства (Конвенцию об охране материнства № 103 и Конвенцию о применении труда женщин на подземных работах в шахтах любого рода № 45). Кроме того, в законодательство были включены нормативные положения о недискриминации и поощрении равенства возможностей и отношения ко всем работающим, содержащимся в Конвенции о равном вознаграждении за труд равной ценности № 100 и в Конвенции относительно дискриминации в области труда и занятий № 111.</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172.</w:t>
      </w:r>
      <w:r>
        <w:rPr>
          <w:rFonts w:ascii="Arial" w:hAnsi="Arial"/>
          <w:sz w:val="22"/>
        </w:rPr>
        <w:tab/>
        <w:t>Эквадор также ратифицировал Конвенцию о минимальных нормах социального обеспечения № 102 и Конвенцию о равноправии в области социального обеспечения № 118.</w:t>
      </w:r>
    </w:p>
    <w:p w:rsidR="00000000" w:rsidRDefault="00000000">
      <w:pPr>
        <w:numPr>
          <w:ilvl w:val="0"/>
          <w:numId w:val="31"/>
        </w:numPr>
        <w:autoSpaceDE w:val="0"/>
        <w:autoSpaceDN w:val="0"/>
        <w:adjustRightInd w:val="0"/>
        <w:spacing w:after="240" w:line="260" w:lineRule="exact"/>
        <w:ind w:left="0" w:firstLine="0"/>
        <w:jc w:val="both"/>
        <w:rPr>
          <w:rFonts w:ascii="Arial" w:hAnsi="Arial"/>
          <w:sz w:val="22"/>
        </w:rPr>
      </w:pPr>
      <w:r>
        <w:rPr>
          <w:rFonts w:ascii="Arial" w:hAnsi="Arial"/>
          <w:sz w:val="22"/>
        </w:rPr>
        <w:t>Закон об обязательном социальном обеспечении, опубликованный в приложении к "Рехистро офисиаль" 8 сентября 1998 года, устанавливает виды социального обеспечения и выплаты, на которые имеют право соответствующие лица.</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174.</w:t>
      </w:r>
      <w:r>
        <w:rPr>
          <w:rFonts w:ascii="Arial" w:hAnsi="Arial"/>
          <w:sz w:val="22"/>
        </w:rPr>
        <w:tab/>
        <w:t>Государство поощряет привлечение женщин к оплачиваемой работе на основе равенства прав и возможностей. Участие женщин в трудовой деятельности постоянно возрастает, однако отнюдь не всегда женщины работают на равных с мужчинами условиях. В 1995 году, согласно оценкам, 55 процентов женщин страны старше 10 лет принимали участие в приносящей доход деятельности. В 1998 году общий показатель доли городских женщин в экономически активном населении (ЭАН) составлял 46,1 процента</w:t>
      </w:r>
      <w:r>
        <w:rPr>
          <w:rStyle w:val="FootnoteReference"/>
          <w:rFonts w:ascii="Arial" w:hAnsi="Arial"/>
          <w:sz w:val="22"/>
        </w:rPr>
        <w:footnoteReference w:id="30"/>
      </w:r>
      <w:r>
        <w:rPr>
          <w:rFonts w:ascii="Arial" w:hAnsi="Arial"/>
          <w:sz w:val="22"/>
        </w:rPr>
        <w:t>.</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175.</w:t>
      </w:r>
      <w:r>
        <w:rPr>
          <w:rFonts w:ascii="Arial" w:hAnsi="Arial"/>
          <w:sz w:val="22"/>
        </w:rPr>
        <w:tab/>
        <w:t>Несмотря на требования, содержащиеся в Конституции, неравенство сохраняется на практике, что видно из показателей ЭАН, приведенных в разбивке по роду занятий: отмечается значительное преобладание женщин в таких областях, как офисные служащие (67,5 процента), а также торговля и сфера услуг (61,9 процента). В 1995 году 2,5 процента женщин и 3 процента мужчин входили в руководящий состав государственных учреждений. В частном секторе женщины образуют главным образом среднее звено или заняты в неосновных сферах деятельности компании</w:t>
      </w:r>
      <w:r>
        <w:rPr>
          <w:rStyle w:val="FootnoteReference"/>
          <w:rFonts w:ascii="Arial" w:hAnsi="Arial"/>
          <w:sz w:val="22"/>
        </w:rPr>
        <w:footnoteReference w:id="31"/>
      </w:r>
      <w:r>
        <w:rPr>
          <w:rFonts w:ascii="Arial" w:hAnsi="Arial"/>
          <w:sz w:val="22"/>
        </w:rPr>
        <w:t xml:space="preserve">. </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176.</w:t>
      </w:r>
      <w:r>
        <w:rPr>
          <w:rFonts w:ascii="Arial" w:hAnsi="Arial"/>
          <w:sz w:val="22"/>
        </w:rPr>
        <w:tab/>
        <w:t>Трудовая активность у сельских женщин выше, чем у женщин, проживающих в городах. В 1995 году 61 процент крестьянок и 84 процента женщин из числа коренного населения трудоспособного возраста были "экономически активными", в то время как в городах только 54 процента женщин участвовали в рынке труда. Экономическая активность женщин еще более высока среди земледельцев</w:t>
      </w:r>
      <w:r>
        <w:rPr>
          <w:rStyle w:val="FootnoteReference"/>
          <w:rFonts w:ascii="Arial" w:hAnsi="Arial"/>
          <w:sz w:val="22"/>
        </w:rPr>
        <w:footnoteReference w:id="32"/>
      </w:r>
      <w:r>
        <w:rPr>
          <w:rFonts w:ascii="Arial" w:hAnsi="Arial"/>
          <w:sz w:val="22"/>
        </w:rPr>
        <w:t>.</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177.</w:t>
      </w:r>
      <w:r>
        <w:rPr>
          <w:rFonts w:ascii="Arial" w:hAnsi="Arial"/>
          <w:sz w:val="22"/>
        </w:rPr>
        <w:tab/>
        <w:t>Женщины, проживающие в Восточной Амазонии и в Сьерре, чаще участвуют в производственной деятельности, чем женщины Косты. Региональные различия еще более отчетливо проявляются в сельских районах: в Амазонии работает 77 процентов женщин трудоспособного возраста, в Сьерре 70 процентов женщин заняты производительным трудом, в то время как в Косте экономически активные женщины составляют 42 процента</w:t>
      </w:r>
      <w:r>
        <w:rPr>
          <w:rStyle w:val="FootnoteReference"/>
          <w:rFonts w:ascii="Arial" w:hAnsi="Arial"/>
          <w:sz w:val="22"/>
        </w:rPr>
        <w:footnoteReference w:id="33"/>
      </w:r>
      <w:r>
        <w:rPr>
          <w:rFonts w:ascii="Arial" w:hAnsi="Arial"/>
          <w:sz w:val="22"/>
        </w:rPr>
        <w:t>.</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178.</w:t>
      </w:r>
      <w:r>
        <w:rPr>
          <w:rFonts w:ascii="Arial" w:hAnsi="Arial"/>
          <w:sz w:val="22"/>
        </w:rPr>
        <w:tab/>
        <w:t>Участие женщин в трудовой деятельности на протяжении всей жизни хорошо видно на примере детей и подростков, мальчиков и девочек, из числа коренного населения. В 1995 году производительной деятельностью занимались 8 из 10 девочек и несовершеннолетних женского пола в возрасте 10–17 лет из числа коренного населения (78 процентов). Этот показатель возрастает для группы 18–39 лет: 90 процентов женщин этого возраста работали или искали работу.</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179.</w:t>
      </w:r>
      <w:r>
        <w:rPr>
          <w:rFonts w:ascii="Arial" w:hAnsi="Arial"/>
          <w:sz w:val="22"/>
        </w:rPr>
        <w:tab/>
        <w:t>Значительное число детей обоего пола, проживающих в сельских районах, выполняют отдельные хозяйственные работы. В 1995 году из проживающих в сельских районах 74 процента мальчиков и 43 процента девочек в возрасте 10–17 лет работали, участвовали в хозяйственной деятельности или искали работу. Наибольшее число работающих девочек отмечается среди крестьянских семей и среди представителей коренного населения. В то время как в городах работали 2 из 10 девочек, в сельских районах – 4 из 10, а среди коренного населения – 8 из 10.</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180.</w:t>
      </w:r>
      <w:r>
        <w:rPr>
          <w:rFonts w:ascii="Arial" w:hAnsi="Arial"/>
          <w:sz w:val="22"/>
        </w:rPr>
        <w:tab/>
        <w:t>Так как Политическая конституция Эквадора признает неоплачиваемую работу по дому производительным трудом, в последние опросы по условиям жизни был включен и этот показатель, дополнивший показатели ЭАН.</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181.</w:t>
      </w:r>
      <w:r>
        <w:rPr>
          <w:rFonts w:ascii="Arial" w:hAnsi="Arial"/>
          <w:sz w:val="22"/>
        </w:rPr>
        <w:tab/>
        <w:t>На рынке труда женщины преобладают в индивидуальных видах деятельности. Данные опроса по условиям жизни 1995 года показывают, что в индивидуальной трудовой деятельности участвует 26 процентов женщин по сравнению с 14,6 процента мужчин. Неоплачиваемой работой по дому охвачены 29,3 процента женщин и 16 процентов мужчин. Мужчины больше представлены в оплачиваемых видах трудовой деятельности: 41 процент по сравнению с 27,8 процента женщин</w:t>
      </w:r>
      <w:r>
        <w:rPr>
          <w:rStyle w:val="FootnoteReference"/>
          <w:rFonts w:ascii="Arial" w:hAnsi="Arial"/>
          <w:sz w:val="22"/>
        </w:rPr>
        <w:footnoteReference w:id="34"/>
      </w:r>
      <w:r>
        <w:rPr>
          <w:rFonts w:ascii="Arial" w:hAnsi="Arial"/>
          <w:sz w:val="22"/>
        </w:rPr>
        <w:t>. В сельских районах женщинам,  особенно крестьянкам и представительницам коренного населения, значительно труднее найти работу в государственном или частном секторе либо вести собственное дело, чем в городах.</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182.</w:t>
      </w:r>
      <w:r>
        <w:rPr>
          <w:rFonts w:ascii="Arial" w:hAnsi="Arial"/>
          <w:sz w:val="22"/>
        </w:rPr>
        <w:tab/>
        <w:t>Параметры предложения рабочих мест связаны главным образом с образованием и возрастом. В 1995 году наибольший процент  занятости экономически активных женщин приходился на имеющих начальное и среднее образование; участие в трудовой деятельности женщин с высшим и последипломным образованием составляло 13,9 процента при 11,4 процента у мужчин</w:t>
      </w:r>
      <w:r>
        <w:rPr>
          <w:rStyle w:val="FootnoteReference"/>
          <w:rFonts w:ascii="Arial" w:hAnsi="Arial"/>
          <w:sz w:val="22"/>
        </w:rPr>
        <w:footnoteReference w:id="35"/>
      </w:r>
      <w:r>
        <w:rPr>
          <w:rFonts w:ascii="Arial" w:hAnsi="Arial"/>
          <w:sz w:val="22"/>
        </w:rPr>
        <w:t>.</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183.</w:t>
      </w:r>
      <w:r>
        <w:rPr>
          <w:rFonts w:ascii="Arial" w:hAnsi="Arial"/>
          <w:sz w:val="22"/>
        </w:rPr>
        <w:tab/>
        <w:t>Безработица или неполная занятость в большей степени затрагивают женщин. В 1998 году уровень безработицы среди экономически активного населения в городах достиг 16 процентов для женщин и около 8,4 процента для мужчин; неполная занятость отмечена у 16,2 процента женщин и 11,2 процента мужчин</w:t>
      </w:r>
      <w:r>
        <w:rPr>
          <w:rStyle w:val="FootnoteReference"/>
          <w:rFonts w:ascii="Arial" w:hAnsi="Arial"/>
          <w:sz w:val="22"/>
        </w:rPr>
        <w:footnoteReference w:id="36"/>
      </w:r>
      <w:r>
        <w:rPr>
          <w:rFonts w:ascii="Arial" w:hAnsi="Arial"/>
          <w:sz w:val="22"/>
        </w:rPr>
        <w:t>.</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184.</w:t>
      </w:r>
      <w:r>
        <w:rPr>
          <w:rFonts w:ascii="Arial" w:hAnsi="Arial"/>
          <w:sz w:val="22"/>
        </w:rPr>
        <w:tab/>
        <w:t>Образование и профессиональная подготовка являются необходимыми условиями для повышения качества занятости. В Эквадоре одним из главных учреждений, ответственных за профессиональную подготовку и профессиональное обучение, является Служба профессиональной подготовки (СЕКАП), в программы которой гендерный аспект пока не включен.</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185.</w:t>
      </w:r>
      <w:r>
        <w:rPr>
          <w:rFonts w:ascii="Arial" w:hAnsi="Arial"/>
          <w:sz w:val="22"/>
        </w:rPr>
        <w:tab/>
        <w:t>Повышение по службе в государственном секторе определяется Законом о гражданской службе и административной карьере. К сожалению, Бюро гражданской службы и институционального развития (ОССИДИ) не располагает точными данными о проценте женщин, которые в 90-е годы получили повышение на государственной службе.</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186.</w:t>
      </w:r>
      <w:r>
        <w:rPr>
          <w:rFonts w:ascii="Arial" w:hAnsi="Arial"/>
          <w:sz w:val="22"/>
        </w:rPr>
        <w:tab/>
        <w:t>Политика в отношении заработной платы в Эквадоре проводится посредством трех механизмов:</w:t>
      </w:r>
    </w:p>
    <w:p w:rsidR="00000000" w:rsidRDefault="00000000">
      <w:pPr>
        <w:autoSpaceDE w:val="0"/>
        <w:autoSpaceDN w:val="0"/>
        <w:adjustRightInd w:val="0"/>
        <w:spacing w:line="260" w:lineRule="exact"/>
        <w:ind w:left="397" w:hanging="397"/>
        <w:jc w:val="both"/>
        <w:rPr>
          <w:rFonts w:ascii="Arial" w:hAnsi="Arial"/>
          <w:sz w:val="22"/>
        </w:rPr>
      </w:pPr>
      <w:r>
        <w:rPr>
          <w:rFonts w:ascii="Arial" w:hAnsi="Arial"/>
          <w:sz w:val="22"/>
        </w:rPr>
        <w:sym w:font="Wingdings 2" w:char="F0A1"/>
      </w:r>
      <w:r>
        <w:rPr>
          <w:rFonts w:ascii="Arial" w:hAnsi="Arial"/>
          <w:sz w:val="22"/>
        </w:rPr>
        <w:tab/>
        <w:t>Установление размеров прожиточного минимума и повышение выплат каждые шесть месяцев, осуществляемые Национальным советом по заработной плате.</w:t>
      </w:r>
    </w:p>
    <w:p w:rsidR="00000000" w:rsidRDefault="00000000">
      <w:pPr>
        <w:pStyle w:val="BodyTextIndent"/>
        <w:autoSpaceDE w:val="0"/>
        <w:autoSpaceDN w:val="0"/>
        <w:adjustRightInd w:val="0"/>
      </w:pPr>
      <w:r>
        <w:sym w:font="Wingdings 2" w:char="F0A1"/>
      </w:r>
      <w:r>
        <w:tab/>
        <w:t>Установление размеров заработной платы через отраслевые комиссии по минимальной заработной плате – трехсторонние учреждения, в состав которых входят представители трудящихся, работодателей и правительства. В их задачи входит установление и пересмотр размера заработных плат и вознаграждений, а также минимальных тарифов для лиц, работающих в различных сферах деятельности и подпадающих под действие Трудового кодекса.</w:t>
      </w:r>
    </w:p>
    <w:p w:rsidR="00000000" w:rsidRDefault="00000000">
      <w:pPr>
        <w:autoSpaceDE w:val="0"/>
        <w:autoSpaceDN w:val="0"/>
        <w:adjustRightInd w:val="0"/>
        <w:spacing w:after="240" w:line="260" w:lineRule="exact"/>
        <w:ind w:left="397" w:hanging="397"/>
        <w:jc w:val="both"/>
        <w:rPr>
          <w:rFonts w:ascii="Arial" w:hAnsi="Arial"/>
          <w:sz w:val="22"/>
        </w:rPr>
      </w:pPr>
      <w:r>
        <w:rPr>
          <w:rFonts w:ascii="Arial" w:hAnsi="Arial"/>
          <w:sz w:val="22"/>
        </w:rPr>
        <w:sym w:font="Wingdings 2" w:char="F0A1"/>
      </w:r>
      <w:r>
        <w:rPr>
          <w:rFonts w:ascii="Arial" w:hAnsi="Arial"/>
          <w:sz w:val="22"/>
        </w:rPr>
        <w:tab/>
        <w:t>Заключение коллективных договоров. С помощью этого механизма работники, объединенные в профсоюзы, оговаривают непосредственно с работодателем устанавливаемые условия труда.</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187.</w:t>
      </w:r>
      <w:r>
        <w:rPr>
          <w:rFonts w:ascii="Arial" w:hAnsi="Arial"/>
          <w:sz w:val="22"/>
        </w:rPr>
        <w:tab/>
        <w:t>Несмотря на то что Конституцией признается равенство оплаты труда равной ценности, по оценкам  в национальном масштабе доходы женщин в виде оплачиваемого труда на 32,5 процента меньше, чем соответствующие доходы мужчин. Так, в 1998 году в городах средний заработок женщин составлял 881,077 сукре, в то время как мужчин – 1337,489, то есть заработок женщин составлял 65,9 процента заработка мужчин. В сельских районах женщины получали в среднем 328,911 сукре, а мужчины – 613,253, то есть на долю женщин в данном случае приходилось 53,6 процента</w:t>
      </w:r>
      <w:r>
        <w:rPr>
          <w:rStyle w:val="FootnoteReference"/>
          <w:rFonts w:ascii="Arial" w:hAnsi="Arial"/>
          <w:sz w:val="22"/>
        </w:rPr>
        <w:footnoteReference w:id="37"/>
      </w:r>
      <w:r>
        <w:rPr>
          <w:rFonts w:ascii="Arial" w:hAnsi="Arial"/>
          <w:sz w:val="22"/>
        </w:rPr>
        <w:t>.</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188.</w:t>
      </w:r>
      <w:r>
        <w:rPr>
          <w:rFonts w:ascii="Arial" w:hAnsi="Arial"/>
          <w:sz w:val="22"/>
        </w:rPr>
        <w:tab/>
        <w:t>Относительно социального обеспечения следует отметить, что им охвачены работники частных предприятий, рабочие и государственные служащие, специалисты с высшим или политехническим образованием, нотариусы, регистраторы собственности и торговых сделок, представители белого духовенства, ремесленники, учителя, учащиеся технических училищ, работники искусства, профессиональные шоферы, независимые или самостоятельные работники, члены ассоциаций или профсоюзов, а также сельскохозяйственные и добровольные работники и т. п.</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br w:type="page"/>
        <w:t xml:space="preserve">189. </w:t>
      </w:r>
      <w:r>
        <w:rPr>
          <w:rFonts w:ascii="Arial" w:hAnsi="Arial"/>
          <w:sz w:val="22"/>
        </w:rPr>
        <w:tab/>
        <w:t>К наиболее важным выплатам в рамках социального страхования могут быть отнесены следующие виды выплат: на случай болезни, материнства, зубоврачебной помощи, производственных рисков, безработицы, пенсии по инвалидности, пенсии по старости, на случай смерти, нотариально не заверенные займы и резервные фонды.</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190.</w:t>
      </w:r>
      <w:r>
        <w:rPr>
          <w:rFonts w:ascii="Arial" w:hAnsi="Arial"/>
          <w:sz w:val="22"/>
        </w:rPr>
        <w:tab/>
        <w:t>Обязательность социального страхования для больших групп работающих граждан устанавливалась постепенно, на протяжении нескольких лет. Для этого были утверждены определенные виды социального обеспечения, как, например, страхование для лиц обоего пола, выполняющих работу по дому.</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191.</w:t>
      </w:r>
      <w:r>
        <w:rPr>
          <w:rFonts w:ascii="Arial" w:hAnsi="Arial"/>
          <w:sz w:val="22"/>
        </w:rPr>
        <w:tab/>
        <w:t>Социальное страхование крестьян распространяется на всех лиц, предоставляющих определенные услуги или работающих в индивидуальном порядке в сельском секторе и имеющих работодателя. Члены системы социального страхования обоего пола имеют право на следующие выплаты: по болезни, материнству, зубоврачебной помощи, производственных рисков, безработицы, пенсии по инвалидности, пенсии по старости, на случай смерти, похоронным кооперативам, тринадцатая и четырнадцатая пенсии, нотариально не заверенные займы и резервные фонды. В 1996 году социальным страхованием крестьян было охвачено 167 331 домохозяйство, выплачены пенсии (по инвалидности и старости) 6737 лицам, проведено 774 644 медицинские консультации</w:t>
      </w:r>
      <w:r>
        <w:rPr>
          <w:rStyle w:val="FootnoteReference"/>
          <w:rFonts w:ascii="Arial" w:hAnsi="Arial"/>
          <w:sz w:val="22"/>
        </w:rPr>
        <w:footnoteReference w:id="38"/>
      </w:r>
      <w:r>
        <w:rPr>
          <w:rFonts w:ascii="Arial" w:hAnsi="Arial"/>
          <w:sz w:val="22"/>
        </w:rPr>
        <w:t>.</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192.</w:t>
      </w:r>
      <w:r>
        <w:rPr>
          <w:rFonts w:ascii="Arial" w:hAnsi="Arial"/>
          <w:sz w:val="22"/>
        </w:rPr>
        <w:tab/>
        <w:t>Страхование по материнству представляет собой одну из важнейших выплат в рамках системы социального страхования. Оно предусматривает дородовой акушерский контроль, помощь при родах и в послеродовой период, а также комплексное медицинское обслуживание ребенка в первый год жизни. Кроме того, женщинам, работающим в частном секторе, выплачивается денежная субсидия  в размере 75 процентов от получаемого вознаграждения</w:t>
      </w:r>
      <w:r>
        <w:rPr>
          <w:rStyle w:val="FootnoteReference"/>
          <w:rFonts w:ascii="Arial" w:hAnsi="Arial"/>
          <w:sz w:val="22"/>
        </w:rPr>
        <w:footnoteReference w:id="39"/>
      </w:r>
      <w:r>
        <w:rPr>
          <w:rFonts w:ascii="Arial" w:hAnsi="Arial"/>
          <w:sz w:val="22"/>
        </w:rPr>
        <w:t>. Женщины, работающие в государственном секторе, не имеют права на денежную субсидию по родам, так как в соответствии с законом они получают полную заработную плату в течение всего отпуска.</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193.</w:t>
      </w:r>
      <w:r>
        <w:rPr>
          <w:rFonts w:ascii="Arial" w:hAnsi="Arial"/>
          <w:sz w:val="22"/>
        </w:rPr>
        <w:tab/>
        <w:t>В 1997 году 34 процента женщин воспользовались страховкой по материнству, и 90 889 детей получили медицинскую помощь в первый год жизни.</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194.</w:t>
      </w:r>
      <w:r>
        <w:rPr>
          <w:rFonts w:ascii="Arial" w:hAnsi="Arial"/>
          <w:sz w:val="22"/>
        </w:rPr>
        <w:tab/>
        <w:t>В последние годы большое внимание уделяется охране здоровья, безопасности на производстве и гигиене труда. Обязанность следить за выполнением этих прав возложена на Министерство труда и людских ресурсов, а также на Управление производственных рисков Эквадорского института социального страхования (ИЭСС).</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195.</w:t>
      </w:r>
      <w:r>
        <w:rPr>
          <w:rFonts w:ascii="Arial" w:hAnsi="Arial"/>
          <w:sz w:val="22"/>
        </w:rPr>
        <w:tab/>
        <w:t>Трудовой кодекс предусматривает выплату специальной компенсации уволенным или выселенным беременным женщинам, а также устанавливает предоставление женщинам двухнедельного дородового и десятинедельного послеродового отпуска.</w:t>
      </w:r>
    </w:p>
    <w:p w:rsidR="00000000" w:rsidRDefault="00000000">
      <w:pPr>
        <w:autoSpaceDE w:val="0"/>
        <w:autoSpaceDN w:val="0"/>
        <w:adjustRightInd w:val="0"/>
        <w:spacing w:after="220" w:line="260" w:lineRule="exact"/>
        <w:jc w:val="both"/>
        <w:rPr>
          <w:rFonts w:ascii="Arial" w:hAnsi="Arial"/>
          <w:sz w:val="22"/>
        </w:rPr>
      </w:pPr>
      <w:r>
        <w:rPr>
          <w:rFonts w:ascii="Arial" w:hAnsi="Arial"/>
          <w:sz w:val="22"/>
        </w:rPr>
        <w:t>196.</w:t>
      </w:r>
      <w:r>
        <w:rPr>
          <w:rFonts w:ascii="Arial" w:hAnsi="Arial"/>
          <w:sz w:val="22"/>
        </w:rPr>
        <w:tab/>
        <w:t>В 1996 году Инспекция по труду Пичинчи получила 24 жалобы на несоблюдение работодателями прав, связанных с охраной материнства; в 1997 году было получено 20 жалоб, а в 1998 году – 22</w:t>
      </w:r>
      <w:r>
        <w:rPr>
          <w:rStyle w:val="FootnoteReference"/>
          <w:rFonts w:ascii="Arial" w:hAnsi="Arial"/>
          <w:sz w:val="22"/>
        </w:rPr>
        <w:footnoteReference w:id="40"/>
      </w:r>
      <w:r>
        <w:rPr>
          <w:rFonts w:ascii="Arial" w:hAnsi="Arial"/>
          <w:sz w:val="22"/>
        </w:rPr>
        <w:t>. Всего в стране имеется 26 инспекций по труду.</w:t>
      </w:r>
    </w:p>
    <w:p w:rsidR="00000000" w:rsidRDefault="00000000">
      <w:pPr>
        <w:autoSpaceDE w:val="0"/>
        <w:autoSpaceDN w:val="0"/>
        <w:adjustRightInd w:val="0"/>
        <w:spacing w:after="220" w:line="260" w:lineRule="exact"/>
        <w:jc w:val="both"/>
        <w:rPr>
          <w:rFonts w:ascii="Arial" w:hAnsi="Arial"/>
          <w:sz w:val="22"/>
        </w:rPr>
      </w:pPr>
      <w:r>
        <w:rPr>
          <w:rFonts w:ascii="Arial" w:hAnsi="Arial"/>
          <w:sz w:val="22"/>
        </w:rPr>
        <w:t>197.</w:t>
      </w:r>
      <w:r>
        <w:rPr>
          <w:rFonts w:ascii="Arial" w:hAnsi="Arial"/>
          <w:sz w:val="22"/>
        </w:rPr>
        <w:tab/>
        <w:t>Не существует исследований того, в какой степени работодатели соблюдают право на отпуск по родам и право на сокращенный рабочий день, который обычно называют отпуском на период кормления грудью. Мы также не знаем, насколько часто женщины жалуются на несоблюдение их прав.</w:t>
      </w:r>
    </w:p>
    <w:p w:rsidR="00000000" w:rsidRDefault="00000000">
      <w:pPr>
        <w:autoSpaceDE w:val="0"/>
        <w:autoSpaceDN w:val="0"/>
        <w:adjustRightInd w:val="0"/>
        <w:spacing w:after="220" w:line="260" w:lineRule="exact"/>
        <w:jc w:val="both"/>
        <w:rPr>
          <w:rFonts w:ascii="Arial" w:hAnsi="Arial"/>
          <w:sz w:val="22"/>
        </w:rPr>
      </w:pPr>
      <w:r>
        <w:rPr>
          <w:rFonts w:ascii="Arial" w:hAnsi="Arial"/>
          <w:sz w:val="22"/>
        </w:rPr>
        <w:t>198.</w:t>
      </w:r>
      <w:r>
        <w:rPr>
          <w:rFonts w:ascii="Arial" w:hAnsi="Arial"/>
          <w:sz w:val="22"/>
        </w:rPr>
        <w:tab/>
        <w:t>Предоставление услуг ясель и детских садов (за исключением цветоводческих предприятий) предусматривается в статье 155 Трудового кодекса. Данное правовое положение выполняется частично, так как в значительной части предприятий детские центры (ясли) не создаются. В частном секторе работодатели обычно предпочитают выплачивать бонусы, для того чтобы мать могла прибегнуть к частным услугам по уходу за ребенком.</w:t>
      </w:r>
    </w:p>
    <w:p w:rsidR="00000000" w:rsidRDefault="00000000">
      <w:pPr>
        <w:autoSpaceDE w:val="0"/>
        <w:autoSpaceDN w:val="0"/>
        <w:adjustRightInd w:val="0"/>
        <w:spacing w:after="220" w:line="260" w:lineRule="exact"/>
        <w:jc w:val="both"/>
        <w:rPr>
          <w:rFonts w:ascii="Arial" w:hAnsi="Arial"/>
          <w:sz w:val="22"/>
        </w:rPr>
      </w:pPr>
      <w:r>
        <w:rPr>
          <w:rFonts w:ascii="Arial" w:hAnsi="Arial"/>
          <w:sz w:val="22"/>
        </w:rPr>
        <w:t>199.</w:t>
      </w:r>
      <w:r>
        <w:rPr>
          <w:rFonts w:ascii="Arial" w:hAnsi="Arial"/>
          <w:sz w:val="22"/>
        </w:rPr>
        <w:tab/>
        <w:t>В связи с высоким спросом на работу со стороны матерей, являющихся главами домохозяйств, государственных детских центров не хватает. Министерство социального обеспечения руководствуется Регламентом по вопросам учреждения и функционирования детских центров, одна из статей которого гласит, что частные детские центры обязаны 10 процентов от общего числа имеющихся у них мест предоставлять бесплатно. Таким образом делается попытка содействовать благополучию мальчиков и девочек в возрасте до шести лет из необеспеченных семей.</w:t>
      </w:r>
    </w:p>
    <w:p w:rsidR="00000000" w:rsidRDefault="00000000">
      <w:pPr>
        <w:autoSpaceDE w:val="0"/>
        <w:autoSpaceDN w:val="0"/>
        <w:adjustRightInd w:val="0"/>
        <w:spacing w:after="220" w:line="260" w:lineRule="exact"/>
        <w:jc w:val="both"/>
        <w:rPr>
          <w:rFonts w:ascii="Arial" w:hAnsi="Arial"/>
          <w:sz w:val="22"/>
        </w:rPr>
      </w:pPr>
      <w:r>
        <w:rPr>
          <w:rFonts w:ascii="Arial" w:hAnsi="Arial"/>
          <w:sz w:val="22"/>
        </w:rPr>
        <w:t>200.</w:t>
      </w:r>
      <w:r>
        <w:rPr>
          <w:rFonts w:ascii="Arial" w:hAnsi="Arial"/>
          <w:sz w:val="22"/>
        </w:rPr>
        <w:tab/>
        <w:t>В стране в 18 процентах домохозяйств единственными кормильцами являются женщины, которых называют "глава домохозяйства". В городах этот процент выше (21,3 процента), чем в сельских районах (15,1 процента). В семьях, возглавляемых женщинами, как правило, отсутствует супруг. В стране 16 процентов женщин – глав домохозяйств не имеют никакого образования, в то время как для мужчин соответствующий показатель составляет 6,9 процента</w:t>
      </w:r>
      <w:r>
        <w:rPr>
          <w:rStyle w:val="FootnoteReference"/>
          <w:rFonts w:ascii="Arial" w:hAnsi="Arial"/>
          <w:sz w:val="22"/>
        </w:rPr>
        <w:footnoteReference w:id="41"/>
      </w:r>
      <w:r>
        <w:rPr>
          <w:rFonts w:ascii="Arial" w:hAnsi="Arial"/>
          <w:sz w:val="22"/>
        </w:rPr>
        <w:t>.</w:t>
      </w:r>
    </w:p>
    <w:p w:rsidR="00000000" w:rsidRDefault="00000000">
      <w:pPr>
        <w:autoSpaceDE w:val="0"/>
        <w:autoSpaceDN w:val="0"/>
        <w:adjustRightInd w:val="0"/>
        <w:spacing w:after="220" w:line="260" w:lineRule="exact"/>
        <w:jc w:val="both"/>
        <w:rPr>
          <w:rFonts w:ascii="Arial" w:hAnsi="Arial"/>
          <w:sz w:val="22"/>
        </w:rPr>
      </w:pPr>
      <w:r>
        <w:rPr>
          <w:rFonts w:ascii="Arial" w:hAnsi="Arial"/>
          <w:sz w:val="22"/>
        </w:rPr>
        <w:t>201.</w:t>
      </w:r>
      <w:r>
        <w:rPr>
          <w:rFonts w:ascii="Arial" w:hAnsi="Arial"/>
          <w:sz w:val="22"/>
        </w:rPr>
        <w:tab/>
        <w:t>К 1998 году среди мигрантов лица женского пола старше 10 лет составляли 12,9 процента, а мужского пола – 12,4 процента. 40,5 процента женщин меняют место жительства главным образом в том случае, если переезжает вся семья. Для мужчин этот показатель составляет 30,1 процента. Работа является причиной переезда у большого числа мужчин (37,3 процента), по этой же причине мигрирует 22,1 процента женщин</w:t>
      </w:r>
      <w:r>
        <w:rPr>
          <w:rStyle w:val="FootnoteReference"/>
          <w:rFonts w:ascii="Arial" w:hAnsi="Arial"/>
          <w:sz w:val="22"/>
        </w:rPr>
        <w:footnoteReference w:id="42"/>
      </w:r>
      <w:r>
        <w:rPr>
          <w:rFonts w:ascii="Arial" w:hAnsi="Arial"/>
          <w:sz w:val="22"/>
        </w:rPr>
        <w:t>.</w:t>
      </w:r>
    </w:p>
    <w:p w:rsidR="00000000" w:rsidRDefault="00000000">
      <w:pPr>
        <w:autoSpaceDE w:val="0"/>
        <w:autoSpaceDN w:val="0"/>
        <w:adjustRightInd w:val="0"/>
        <w:spacing w:after="220" w:line="260" w:lineRule="exact"/>
        <w:jc w:val="both"/>
        <w:rPr>
          <w:rFonts w:ascii="Arial" w:hAnsi="Arial"/>
          <w:sz w:val="22"/>
        </w:rPr>
      </w:pPr>
      <w:r>
        <w:rPr>
          <w:rFonts w:ascii="Arial" w:hAnsi="Arial"/>
          <w:sz w:val="22"/>
        </w:rPr>
        <w:t>201</w:t>
      </w:r>
      <w:r>
        <w:rPr>
          <w:rStyle w:val="FootnoteReference"/>
          <w:rFonts w:ascii="Arial" w:hAnsi="Arial"/>
          <w:sz w:val="22"/>
        </w:rPr>
        <w:footnoteReference w:customMarkFollows="1" w:id="43"/>
        <w:t>*</w:t>
      </w:r>
      <w:r>
        <w:rPr>
          <w:rFonts w:ascii="Arial" w:hAnsi="Arial"/>
          <w:sz w:val="22"/>
        </w:rPr>
        <w:t xml:space="preserve">. </w:t>
      </w:r>
      <w:r>
        <w:rPr>
          <w:rFonts w:ascii="Arial" w:hAnsi="Arial"/>
          <w:sz w:val="22"/>
        </w:rPr>
        <w:tab/>
        <w:t>Почти половина женщин из сельских районов (45 процентов) переехали в город с целью повышения своих доходов, найти работу или для учебы. В то же время женщины переселяются в другие сельские районы главным образом после заключения брака или по семейным обстоятельствам (66 процентов)</w:t>
      </w:r>
      <w:r>
        <w:rPr>
          <w:rStyle w:val="FootnoteReference"/>
          <w:rFonts w:ascii="Arial" w:hAnsi="Arial"/>
          <w:sz w:val="22"/>
        </w:rPr>
        <w:footnoteReference w:id="44"/>
      </w:r>
      <w:r>
        <w:rPr>
          <w:rFonts w:ascii="Arial" w:hAnsi="Arial"/>
          <w:sz w:val="22"/>
        </w:rPr>
        <w:t>.</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202.</w:t>
      </w:r>
      <w:r>
        <w:rPr>
          <w:rFonts w:ascii="Arial" w:hAnsi="Arial"/>
          <w:sz w:val="22"/>
        </w:rPr>
        <w:tab/>
        <w:t>В соответствии с Планом равенства возможностей КОНАМУ осуществляет краткосрочные и среднесрочные программы  в интересах бедных женщин, уделяя особое внимание женщинам – главам домохозяйств и оказанию помощи в организации приносящей доход деятельности в качестве меры по искоренению бедности.</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203.</w:t>
      </w:r>
      <w:r>
        <w:rPr>
          <w:rFonts w:ascii="Arial" w:hAnsi="Arial"/>
          <w:sz w:val="22"/>
        </w:rPr>
        <w:tab/>
        <w:t>Министерство труда и людских ресурсов и КОНАМУ подписали соглашение о межведомственном сотрудничестве в целях развития и защиты прав и равенства возможностей работающих женщин и для предупреждения их дискриминации по гендерному признаку в сфере труда. Соглашение предусматривает проведение профессиональной подготовки по гендерным проблемам и направлениям государственной политики для служащих министерства, а также участие КОНАМУ в работе отраслевых комиссий по установлению минимальных зарплат по каждой отрасли.</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204.</w:t>
      </w:r>
      <w:r>
        <w:rPr>
          <w:rFonts w:ascii="Arial" w:hAnsi="Arial"/>
          <w:sz w:val="22"/>
        </w:rPr>
        <w:tab/>
        <w:t>Министерство социального обеспечения располагает системой детских центров для работающих необеспеченных матерей. Всего в стране имеется 28 центров и еще 13 работают на договорной основе.</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205.</w:t>
      </w:r>
      <w:r>
        <w:rPr>
          <w:rFonts w:ascii="Arial" w:hAnsi="Arial"/>
          <w:sz w:val="22"/>
        </w:rPr>
        <w:tab/>
        <w:t>Министерство социального обеспечения через Оперативно-исполнительный отдел спасения детей (ОРИ) располагает 1235 недоговорными детскими центрами, большую роль в организации которых играют общины. Отдел оказывает услуги через подписание соглашений о сотрудничестве с общественными и неправительственными организациями, государственными учреждениями, церковью и т. д.</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206.</w:t>
      </w:r>
      <w:r>
        <w:rPr>
          <w:rFonts w:ascii="Arial" w:hAnsi="Arial"/>
          <w:sz w:val="22"/>
        </w:rPr>
        <w:tab/>
        <w:t>Национальный институт по проблемам детства и семьи (ИННФА) осуществляет программу детского развития, имея 1057 центров по стране.</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207.</w:t>
      </w:r>
      <w:r>
        <w:rPr>
          <w:rFonts w:ascii="Arial" w:hAnsi="Arial"/>
          <w:sz w:val="22"/>
        </w:rPr>
        <w:tab/>
        <w:t>Программы ОРИ и ИННФА получают помощь от Национальной программы альтернативного дошкольного образования (ПРОНЕПЕ), целью которой является предоставление дошкольного образования двух видов детям в возрасте 4–6 лет: в комплексных детских садах и общинных центрах детского развития. В стране 31 403 мальчиков и девочек в возрасте 4–6 лет охвачены дошкольным образованием в 1727 общинных центрах детского развития и комплексных детских садах</w:t>
      </w:r>
      <w:r>
        <w:rPr>
          <w:rStyle w:val="FootnoteReference"/>
          <w:rFonts w:ascii="Arial" w:hAnsi="Arial"/>
          <w:sz w:val="22"/>
        </w:rPr>
        <w:footnoteReference w:id="45"/>
      </w:r>
      <w:r>
        <w:rPr>
          <w:rFonts w:ascii="Arial" w:hAnsi="Arial"/>
          <w:sz w:val="22"/>
        </w:rPr>
        <w:t>.</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208.</w:t>
      </w:r>
      <w:r>
        <w:rPr>
          <w:rFonts w:ascii="Arial" w:hAnsi="Arial"/>
          <w:sz w:val="22"/>
        </w:rPr>
        <w:tab/>
        <w:t>С учетом проблем, с которыми сталкиваются женщины, работающие на цветоводческих предприятиях, представители Департамента охраны труда Министерства труда и людских ресурсов в декабре 1998 года посетили производителей и экспортеров цветов. На уровне провинции они посетили в Пичинче 121 предприятие, в Котопакси – 9 и в Имбабуре – 20. По результатам посещений было сделано заключение: на 86 предприятиях отсутствуют правила внутреннего распорядка, на 53 предприятиях отсутствуют правила по технике безопасности и гигиене труда. Нет сведений о подтверждении подлинности платежных ведомостей, документов на дополнительные бонусы и прибыли.</w:t>
      </w:r>
    </w:p>
    <w:p w:rsidR="00000000" w:rsidRDefault="00000000">
      <w:pPr>
        <w:autoSpaceDE w:val="0"/>
        <w:autoSpaceDN w:val="0"/>
        <w:adjustRightInd w:val="0"/>
        <w:spacing w:after="200" w:line="260" w:lineRule="exact"/>
        <w:jc w:val="both"/>
        <w:rPr>
          <w:rFonts w:ascii="Arial" w:hAnsi="Arial"/>
          <w:sz w:val="22"/>
        </w:rPr>
      </w:pPr>
      <w:r>
        <w:rPr>
          <w:rFonts w:ascii="Arial" w:hAnsi="Arial"/>
          <w:sz w:val="22"/>
        </w:rPr>
        <w:t>209.</w:t>
      </w:r>
      <w:r>
        <w:rPr>
          <w:rFonts w:ascii="Arial" w:hAnsi="Arial"/>
          <w:sz w:val="22"/>
        </w:rPr>
        <w:tab/>
        <w:t>Процесс глобализации и реструктуризации производства в регионе, направленный на повышение конкурентоспособности на международном уровне, привел к поиску иных, менее затратных форм производства, сделал более гибкими трудовые отношения. Но при этом наблюдается непонимание важности профессиональной подготовки как средства, содействующего привлечению иностранных инвестиций и увеличению внутренних инвестиций и позволяющего работать с квалифицированным персоналом. Это составляет еще одну проблему, затрудняющую достижение гендерного равенства в трудовых отношениях.</w:t>
      </w:r>
    </w:p>
    <w:p w:rsidR="00000000" w:rsidRDefault="00000000">
      <w:pPr>
        <w:autoSpaceDE w:val="0"/>
        <w:autoSpaceDN w:val="0"/>
        <w:adjustRightInd w:val="0"/>
        <w:spacing w:after="200" w:line="260" w:lineRule="exact"/>
        <w:jc w:val="both"/>
        <w:rPr>
          <w:rFonts w:ascii="Arial" w:hAnsi="Arial"/>
          <w:sz w:val="22"/>
        </w:rPr>
      </w:pPr>
      <w:r>
        <w:rPr>
          <w:rFonts w:ascii="Arial" w:hAnsi="Arial"/>
          <w:sz w:val="22"/>
        </w:rPr>
        <w:t>210.</w:t>
      </w:r>
      <w:r>
        <w:rPr>
          <w:rFonts w:ascii="Arial" w:hAnsi="Arial"/>
          <w:sz w:val="22"/>
        </w:rPr>
        <w:tab/>
        <w:t>Доступ коренного населения к системе социального обеспечения крестьян более ограничен по сравнению с некоренным населением. Информация, полученная в ходе опроса по условиям жизни 1995 года, и в частности в отношении экономически активного населения, показывает, что около 90 процентов коренного населения не охвачены никаким видом социального обеспечения, что лишает доступа к услугам в области здравоохранения и к иным услугам</w:t>
      </w:r>
      <w:r>
        <w:rPr>
          <w:rStyle w:val="FootnoteReference"/>
          <w:rFonts w:ascii="Arial" w:hAnsi="Arial"/>
          <w:sz w:val="22"/>
        </w:rPr>
        <w:footnoteReference w:id="46"/>
      </w:r>
      <w:r>
        <w:rPr>
          <w:rFonts w:ascii="Arial" w:hAnsi="Arial"/>
          <w:sz w:val="22"/>
        </w:rPr>
        <w:t>.</w:t>
      </w:r>
    </w:p>
    <w:p w:rsidR="00000000" w:rsidRDefault="00000000">
      <w:pPr>
        <w:autoSpaceDE w:val="0"/>
        <w:autoSpaceDN w:val="0"/>
        <w:adjustRightInd w:val="0"/>
        <w:spacing w:after="200" w:line="260" w:lineRule="exact"/>
        <w:jc w:val="both"/>
        <w:rPr>
          <w:rFonts w:ascii="Arial" w:hAnsi="Arial"/>
          <w:sz w:val="22"/>
        </w:rPr>
      </w:pPr>
      <w:r>
        <w:rPr>
          <w:rFonts w:ascii="Arial" w:hAnsi="Arial"/>
          <w:sz w:val="22"/>
        </w:rPr>
        <w:t>211.</w:t>
      </w:r>
      <w:r>
        <w:rPr>
          <w:rFonts w:ascii="Arial" w:hAnsi="Arial"/>
          <w:sz w:val="22"/>
        </w:rPr>
        <w:tab/>
        <w:t>В Конституции провозглашается равенство оплаты труда равной ценности. Это является завоеванием Национальной ассамблеи 1998 года и соответствует статье 79 Трудового кодекса, в которой предусматривается равная оплата за равноценный труд.</w:t>
      </w:r>
    </w:p>
    <w:p w:rsidR="00000000" w:rsidRDefault="00000000">
      <w:pPr>
        <w:autoSpaceDE w:val="0"/>
        <w:autoSpaceDN w:val="0"/>
        <w:adjustRightInd w:val="0"/>
        <w:spacing w:after="200" w:line="260" w:lineRule="exact"/>
        <w:jc w:val="both"/>
        <w:rPr>
          <w:rFonts w:ascii="Arial" w:hAnsi="Arial"/>
          <w:sz w:val="22"/>
        </w:rPr>
      </w:pPr>
      <w:r>
        <w:rPr>
          <w:rFonts w:ascii="Arial" w:hAnsi="Arial"/>
          <w:sz w:val="22"/>
        </w:rPr>
        <w:t>212.</w:t>
      </w:r>
      <w:r>
        <w:rPr>
          <w:rFonts w:ascii="Arial" w:hAnsi="Arial"/>
          <w:sz w:val="22"/>
        </w:rPr>
        <w:tab/>
        <w:t>Закон об охране права на труд, положения которого носят позитивно дискриминационный характер, содержит положение, обязывающее предприятия принимать на работу определенный минимальный процент женщин. Этот процент определяется соответствующей отраслевой комиссией Министерства труда.</w:t>
      </w:r>
    </w:p>
    <w:p w:rsidR="00000000" w:rsidRDefault="00000000">
      <w:pPr>
        <w:autoSpaceDE w:val="0"/>
        <w:autoSpaceDN w:val="0"/>
        <w:adjustRightInd w:val="0"/>
        <w:spacing w:after="200" w:line="260" w:lineRule="exact"/>
        <w:jc w:val="both"/>
        <w:rPr>
          <w:rFonts w:ascii="Arial" w:hAnsi="Arial"/>
          <w:sz w:val="22"/>
        </w:rPr>
      </w:pPr>
      <w:r>
        <w:rPr>
          <w:rFonts w:ascii="Arial" w:hAnsi="Arial"/>
          <w:sz w:val="22"/>
        </w:rPr>
        <w:t>213.</w:t>
      </w:r>
      <w:r>
        <w:rPr>
          <w:rFonts w:ascii="Arial" w:hAnsi="Arial"/>
          <w:sz w:val="22"/>
        </w:rPr>
        <w:tab/>
        <w:t>ПРОНАДЕР представляет собой программу, осуществляемую с 1989 года Министерством социального обеспечения при финансовой поддержке Международного фонда сельскохозяйственного развития, Всемирного банка и правительств Нидерландов, Швейцарии и Испании, в рамках которой реализуются проекты устойчивого развития сельских районов. В ней предусматриваются учет стремлений и чаяний индейских народов и афроэквадорцев, а также включение гендерного аспекта в 12 направлений программы.</w:t>
      </w:r>
    </w:p>
    <w:p w:rsidR="00000000" w:rsidRDefault="00000000">
      <w:pPr>
        <w:autoSpaceDE w:val="0"/>
        <w:autoSpaceDN w:val="0"/>
        <w:adjustRightInd w:val="0"/>
        <w:spacing w:after="200" w:line="260" w:lineRule="exact"/>
        <w:jc w:val="both"/>
        <w:rPr>
          <w:rFonts w:ascii="Arial" w:hAnsi="Arial"/>
          <w:sz w:val="22"/>
        </w:rPr>
      </w:pPr>
      <w:r>
        <w:rPr>
          <w:rFonts w:ascii="Arial" w:hAnsi="Arial"/>
          <w:sz w:val="22"/>
        </w:rPr>
        <w:t>214.</w:t>
      </w:r>
      <w:r>
        <w:rPr>
          <w:rFonts w:ascii="Arial" w:hAnsi="Arial"/>
          <w:sz w:val="22"/>
        </w:rPr>
        <w:tab/>
        <w:t>В 1992–1995 годах в рамках ПРОНАДЕР проведена работа с 40 группами, объединившими 836 женщин, и со 167 смешанными группами, объединившими 1637 женщин. В частности, осуществлялось следующее:</w:t>
      </w:r>
    </w:p>
    <w:p w:rsidR="00000000" w:rsidRDefault="00000000">
      <w:pPr>
        <w:autoSpaceDE w:val="0"/>
        <w:autoSpaceDN w:val="0"/>
        <w:adjustRightInd w:val="0"/>
        <w:spacing w:line="260" w:lineRule="exact"/>
        <w:ind w:left="397" w:hanging="397"/>
        <w:jc w:val="both"/>
        <w:rPr>
          <w:rFonts w:ascii="Arial" w:hAnsi="Arial"/>
          <w:sz w:val="22"/>
        </w:rPr>
      </w:pPr>
      <w:r>
        <w:rPr>
          <w:rFonts w:ascii="Arial" w:hAnsi="Arial"/>
          <w:sz w:val="22"/>
        </w:rPr>
        <w:sym w:font="Symbol" w:char="F0B7"/>
      </w:r>
      <w:r>
        <w:rPr>
          <w:rFonts w:ascii="Arial" w:hAnsi="Arial"/>
          <w:sz w:val="22"/>
        </w:rPr>
        <w:tab/>
        <w:t>Выдача титулов на право собственности на землю (4222 женщины).</w:t>
      </w:r>
    </w:p>
    <w:p w:rsidR="00000000" w:rsidRDefault="00000000">
      <w:pPr>
        <w:autoSpaceDE w:val="0"/>
        <w:autoSpaceDN w:val="0"/>
        <w:adjustRightInd w:val="0"/>
        <w:spacing w:line="260" w:lineRule="exact"/>
        <w:ind w:left="397" w:hanging="397"/>
        <w:jc w:val="both"/>
        <w:rPr>
          <w:rFonts w:ascii="Arial" w:hAnsi="Arial"/>
          <w:sz w:val="22"/>
        </w:rPr>
      </w:pPr>
      <w:r>
        <w:rPr>
          <w:rFonts w:ascii="Arial" w:hAnsi="Arial"/>
          <w:sz w:val="22"/>
        </w:rPr>
        <w:sym w:font="Symbol" w:char="F0B7"/>
      </w:r>
      <w:r>
        <w:rPr>
          <w:rFonts w:ascii="Arial" w:hAnsi="Arial"/>
          <w:sz w:val="22"/>
        </w:rPr>
        <w:tab/>
        <w:t>Передача технологий. В 1995 году 35 процентов получивших этот вид помощи были женщины.</w:t>
      </w:r>
    </w:p>
    <w:p w:rsidR="00000000" w:rsidRDefault="00000000">
      <w:pPr>
        <w:autoSpaceDE w:val="0"/>
        <w:autoSpaceDN w:val="0"/>
        <w:adjustRightInd w:val="0"/>
        <w:spacing w:line="260" w:lineRule="exact"/>
        <w:ind w:left="397" w:hanging="397"/>
        <w:jc w:val="both"/>
        <w:rPr>
          <w:rFonts w:ascii="Arial" w:hAnsi="Arial"/>
          <w:sz w:val="22"/>
        </w:rPr>
      </w:pPr>
      <w:r>
        <w:rPr>
          <w:rFonts w:ascii="Arial" w:hAnsi="Arial"/>
          <w:sz w:val="22"/>
        </w:rPr>
        <w:sym w:font="Symbol" w:char="F0B7"/>
      </w:r>
      <w:r>
        <w:rPr>
          <w:rFonts w:ascii="Arial" w:hAnsi="Arial"/>
          <w:sz w:val="22"/>
        </w:rPr>
        <w:tab/>
        <w:t>Фонд общинного развития (ФОДЕКО): 32,5 процента лиц, получивших доступ к средствам, были женщины (всего 4312 женщин).</w:t>
      </w:r>
    </w:p>
    <w:p w:rsidR="00000000" w:rsidRDefault="00000000">
      <w:pPr>
        <w:pStyle w:val="BodyTextIndent"/>
        <w:autoSpaceDE w:val="0"/>
        <w:autoSpaceDN w:val="0"/>
        <w:adjustRightInd w:val="0"/>
      </w:pPr>
      <w:r>
        <w:sym w:font="Symbol" w:char="F0B7"/>
      </w:r>
      <w:r>
        <w:tab/>
        <w:t>Определен уровень учета гендерного аспекта каждой из 12 центральных административных единиц, уточнены потребности в профессиональной подготовке специалистов по гендерной проблематике.</w:t>
      </w:r>
    </w:p>
    <w:p w:rsidR="00000000" w:rsidRDefault="00000000">
      <w:pPr>
        <w:autoSpaceDE w:val="0"/>
        <w:autoSpaceDN w:val="0"/>
        <w:adjustRightInd w:val="0"/>
        <w:spacing w:line="260" w:lineRule="exact"/>
        <w:ind w:left="397" w:hanging="397"/>
        <w:jc w:val="both"/>
        <w:rPr>
          <w:rFonts w:ascii="Arial" w:hAnsi="Arial"/>
          <w:sz w:val="22"/>
        </w:rPr>
      </w:pPr>
      <w:r>
        <w:rPr>
          <w:rFonts w:ascii="Arial" w:hAnsi="Arial"/>
          <w:sz w:val="22"/>
        </w:rPr>
        <w:sym w:font="Symbol" w:char="F0B7"/>
      </w:r>
      <w:r>
        <w:rPr>
          <w:rFonts w:ascii="Arial" w:hAnsi="Arial"/>
          <w:sz w:val="22"/>
        </w:rPr>
        <w:tab/>
        <w:t>Образовано 49 микропредприятий, руководимых женщинами</w:t>
      </w:r>
      <w:r>
        <w:rPr>
          <w:rStyle w:val="FootnoteReference"/>
          <w:rFonts w:ascii="Arial" w:hAnsi="Arial"/>
          <w:sz w:val="22"/>
        </w:rPr>
        <w:footnoteReference w:id="47"/>
      </w:r>
      <w:r>
        <w:rPr>
          <w:rFonts w:ascii="Arial" w:hAnsi="Arial"/>
          <w:sz w:val="22"/>
        </w:rPr>
        <w:t>.</w:t>
      </w:r>
    </w:p>
    <w:p w:rsidR="00000000" w:rsidRDefault="00000000">
      <w:pPr>
        <w:pStyle w:val="Heading3"/>
        <w:rPr>
          <w:caps/>
        </w:rPr>
      </w:pPr>
      <w:r>
        <w:rPr>
          <w:sz w:val="22"/>
        </w:rPr>
        <w:br w:type="page"/>
      </w:r>
      <w:r>
        <w:rPr>
          <w:caps/>
        </w:rPr>
        <w:t>Статья  12</w:t>
      </w:r>
    </w:p>
    <w:p w:rsidR="00000000" w:rsidRDefault="00000000">
      <w:pPr>
        <w:autoSpaceDE w:val="0"/>
        <w:autoSpaceDN w:val="0"/>
        <w:adjustRightInd w:val="0"/>
        <w:spacing w:after="240" w:line="260" w:lineRule="exact"/>
        <w:ind w:left="397" w:hanging="397"/>
        <w:jc w:val="both"/>
        <w:rPr>
          <w:rFonts w:ascii="Arial" w:hAnsi="Arial"/>
          <w:i/>
          <w:sz w:val="22"/>
        </w:rPr>
      </w:pPr>
      <w:r>
        <w:rPr>
          <w:rFonts w:ascii="Arial" w:hAnsi="Arial"/>
          <w:i/>
          <w:color w:val="000000"/>
          <w:sz w:val="22"/>
        </w:rPr>
        <w:t>1.</w:t>
      </w:r>
      <w:r>
        <w:rPr>
          <w:rFonts w:ascii="Arial" w:hAnsi="Arial"/>
          <w:i/>
          <w:color w:val="000000"/>
          <w:sz w:val="22"/>
        </w:rPr>
        <w:tab/>
        <w:t>Государства-участники принимают все соответствующие меры для ликвидации дискриминации в отношении женщин в области здравоохранения, с тем чтобы обеспечить на основе равенства мужчин и женщин доступ к медицинскому обслуживанию, в частности в том, что касается планирования размера семьи.</w:t>
      </w:r>
    </w:p>
    <w:p w:rsidR="00000000" w:rsidRDefault="00000000">
      <w:pPr>
        <w:pStyle w:val="BodyTextIndent3"/>
      </w:pPr>
      <w:r>
        <w:t>2.</w:t>
      </w:r>
      <w:r>
        <w:tab/>
        <w:t>Независимо от положений пункта 1 настоящей статьи, государства-участники обеспечивают женщинам соответствующее обслуживание в период беременности, родов и послеродовой период, предоставляя, когда это необходимо, бесплатные услуги, а также соответствующее питание в период беременности и кормления.</w:t>
      </w:r>
    </w:p>
    <w:p w:rsidR="00000000" w:rsidRDefault="00000000">
      <w:pPr>
        <w:pStyle w:val="BodyText"/>
        <w:tabs>
          <w:tab w:val="clear" w:pos="680"/>
        </w:tabs>
        <w:autoSpaceDE w:val="0"/>
        <w:autoSpaceDN w:val="0"/>
        <w:adjustRightInd w:val="0"/>
      </w:pPr>
      <w:r>
        <w:t>215.</w:t>
      </w:r>
      <w:r>
        <w:tab/>
        <w:t>В статье 42 и следующих статьях Политической конституции устанавливается обязанность государства гарантировать право на здоровье, его поддержание и охрану посредством обеспечения продовольственной безопасности, снабжения питьевой водой, поддержания здоровой атмосферы в семье, на работе и в общине, а также содействия расширению  постоянного и непрерывного доступа к услугам здравоохранения в соответствии с принципами равенства, универсальности, солидарности, качества и эффективности.</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216.</w:t>
      </w:r>
      <w:r>
        <w:rPr>
          <w:rFonts w:ascii="Arial" w:hAnsi="Arial"/>
          <w:sz w:val="22"/>
        </w:rPr>
        <w:tab/>
        <w:t>В № 285 "Рехистро офисиаль" от 27 марта 1998 года был опубликован Закон о половом воспитании. Пропаганда сексуального здоровья и любви присутствует во всех учебных планах и программах на дошкольном, начальном, среднем и профессионально-техническом уровнях обучения в государственных и частных учебных заведениях. Это воспитание основывается на уважении человеческого достоинства, жизни, этических и моральных ценностей в рамках существующих культур.</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217.</w:t>
      </w:r>
      <w:r>
        <w:rPr>
          <w:rFonts w:ascii="Arial" w:hAnsi="Arial"/>
          <w:sz w:val="22"/>
        </w:rPr>
        <w:tab/>
        <w:t xml:space="preserve">В законодательстве получило отражение отношение к аборту: государство защищает ребенка с момента его зачатия. Однако статья 447 Уголовного кодекса предусматривает, что аборт, сделанный врачом, с согласия женщины, или ее мужа, или близких родственников, если она сама не в состоянии высказать его, не подлежит наказанию </w:t>
      </w:r>
      <w:r>
        <w:rPr>
          <w:rFonts w:ascii="Arial" w:hAnsi="Arial"/>
          <w:b/>
          <w:sz w:val="22"/>
        </w:rPr>
        <w:t>только в следующих случаях</w:t>
      </w:r>
      <w:r>
        <w:rPr>
          <w:rFonts w:ascii="Arial" w:hAnsi="Arial"/>
          <w:sz w:val="22"/>
        </w:rPr>
        <w:t>:</w:t>
      </w:r>
    </w:p>
    <w:p w:rsidR="00000000" w:rsidRDefault="00000000">
      <w:pPr>
        <w:autoSpaceDE w:val="0"/>
        <w:autoSpaceDN w:val="0"/>
        <w:adjustRightInd w:val="0"/>
        <w:spacing w:line="260" w:lineRule="exact"/>
        <w:ind w:left="397" w:hanging="397"/>
        <w:jc w:val="both"/>
        <w:rPr>
          <w:rFonts w:ascii="Arial" w:hAnsi="Arial"/>
          <w:sz w:val="22"/>
        </w:rPr>
      </w:pPr>
      <w:r>
        <w:rPr>
          <w:rFonts w:ascii="Arial" w:hAnsi="Arial"/>
          <w:sz w:val="22"/>
        </w:rPr>
        <w:t>–</w:t>
      </w:r>
      <w:r>
        <w:rPr>
          <w:rFonts w:ascii="Arial" w:hAnsi="Arial"/>
          <w:sz w:val="22"/>
        </w:rPr>
        <w:tab/>
        <w:t>если он сделан в целях предупреждения опасности для жизни или здоровья матери либо если данную опасность нельзя избежать иными средствами;</w:t>
      </w:r>
    </w:p>
    <w:p w:rsidR="00000000" w:rsidRDefault="00000000">
      <w:pPr>
        <w:pStyle w:val="BodyTextIndent"/>
        <w:autoSpaceDE w:val="0"/>
        <w:autoSpaceDN w:val="0"/>
        <w:adjustRightInd w:val="0"/>
        <w:spacing w:after="240"/>
      </w:pPr>
      <w:r>
        <w:t>–</w:t>
      </w:r>
      <w:r>
        <w:tab/>
        <w:t xml:space="preserve">если беременность явилась результатом изнасилования или совращения, совершенного в отношении умственно отсталой или душевнобольной женщины. В этом случае для аборта требуется согласие лица, несущего юридическую ответственность за женщину. </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218.</w:t>
      </w:r>
      <w:r>
        <w:rPr>
          <w:rFonts w:ascii="Arial" w:hAnsi="Arial"/>
          <w:sz w:val="22"/>
        </w:rPr>
        <w:tab/>
        <w:t>Согласно регистрационным записям Национального института статистики и переписи населения (ИНЕК) о рождениях и смерти в 1997 году, пятью главными причинами смертности среди эквадорских женщин были пневмония, заболевания сосудов головного мозга, сахарный диабет, гипертония и ишемическая болезнь сердца. В свою очередь, пятью главными причинами смертности эквадорских мужчин были аварии на транспорте, нападения, пневмония, ишемическая болезнь сердца и заболевания сосудов головного мозга</w:t>
      </w:r>
      <w:r>
        <w:rPr>
          <w:rStyle w:val="FootnoteReference"/>
          <w:rFonts w:ascii="Arial" w:hAnsi="Arial"/>
          <w:sz w:val="22"/>
        </w:rPr>
        <w:footnoteReference w:id="48"/>
      </w:r>
      <w:r>
        <w:rPr>
          <w:rFonts w:ascii="Arial" w:hAnsi="Arial"/>
          <w:sz w:val="22"/>
        </w:rPr>
        <w:t>.</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219.</w:t>
      </w:r>
      <w:r>
        <w:rPr>
          <w:rFonts w:ascii="Arial" w:hAnsi="Arial"/>
          <w:sz w:val="22"/>
        </w:rPr>
        <w:tab/>
        <w:t>В 1997 году пятью основными заболеваниями среди женщин страны были в первую очередь гинекологические заболевания, заболевания, связанные с абортами, инфекционные желудочно-кишечные заболевания, урологические заболевания, травмы. Пятью основными заболеваниями мужчин были инфекционные желудочно-кишечные заболевания, травмы, грыжа, урологические заболевания и пневмония.</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220.</w:t>
      </w:r>
      <w:r>
        <w:rPr>
          <w:rFonts w:ascii="Arial" w:hAnsi="Arial"/>
          <w:sz w:val="22"/>
        </w:rPr>
        <w:tab/>
        <w:t>Почти половина детей в возрасте до 5 лет, как мальчики, так и девочки, страдают от недостаточного питания. Мы не располагаем данными о гендерных различиях между эквадорскими мальчиками и девочками в этом отношении, однако дети из сельских районов подвергаются более серьезной опасности, связанной с недостаточным питанием</w:t>
      </w:r>
      <w:r>
        <w:rPr>
          <w:rStyle w:val="FootnoteReference"/>
          <w:rFonts w:ascii="Arial" w:hAnsi="Arial"/>
          <w:sz w:val="22"/>
        </w:rPr>
        <w:footnoteReference w:id="49"/>
      </w:r>
      <w:r>
        <w:rPr>
          <w:rFonts w:ascii="Arial" w:hAnsi="Arial"/>
          <w:sz w:val="22"/>
        </w:rPr>
        <w:t>.</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221.</w:t>
      </w:r>
      <w:r>
        <w:rPr>
          <w:rFonts w:ascii="Arial" w:hAnsi="Arial"/>
          <w:sz w:val="22"/>
        </w:rPr>
        <w:tab/>
        <w:t>В первые месяцы жизни ребенка грудное вскармливание может способствовать преодолению опасности, связанной с недостаточным питанием. В 1995 году 20 процентов детей в возрасте до 5 лет получали грудное молоко хотя бы один раз в день, а 80 процентов вскармливались грудью в течение 6 и более месяцев. Грудное вскармливание чаще практикуется в сельских районах; более 97 процентов детей обоего пола получали грудное молоко, а 90 процентов вскармливались грудью в течение 6 и более месяцев. Учитывая, что грудное вскармливание является распространенной практикой, трудно выделить различия между разными группами сельского населения; вместе с тем можно заметить, что 96 процентов детей из числа коренного населения вскармливались грудью в течение 6 и более месяцев</w:t>
      </w:r>
      <w:r>
        <w:rPr>
          <w:rStyle w:val="FootnoteReference"/>
          <w:rFonts w:ascii="Arial" w:hAnsi="Arial"/>
          <w:sz w:val="22"/>
        </w:rPr>
        <w:footnoteReference w:id="50"/>
      </w:r>
      <w:r>
        <w:rPr>
          <w:rFonts w:ascii="Arial" w:hAnsi="Arial"/>
          <w:sz w:val="22"/>
        </w:rPr>
        <w:t>.</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222.</w:t>
      </w:r>
      <w:r>
        <w:rPr>
          <w:rFonts w:ascii="Arial" w:hAnsi="Arial"/>
          <w:sz w:val="22"/>
        </w:rPr>
        <w:tab/>
        <w:t>Около 60 процентов беременных женщин страдают от анемии. Однако условия питания постепенно улучшаются, что можно видеть из следующих данных (в процентах)</w:t>
      </w:r>
      <w:r>
        <w:rPr>
          <w:rStyle w:val="FootnoteReference"/>
          <w:rFonts w:ascii="Arial" w:hAnsi="Arial"/>
          <w:sz w:val="22"/>
        </w:rPr>
        <w:footnoteReference w:id="51"/>
      </w:r>
      <w:r>
        <w:rPr>
          <w:rFonts w:ascii="Arial" w:hAnsi="Arial"/>
          <w:sz w:val="22"/>
        </w:rPr>
        <w:t>:</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660"/>
        <w:gridCol w:w="1531"/>
        <w:gridCol w:w="1531"/>
        <w:gridCol w:w="1531"/>
        <w:gridCol w:w="1567"/>
      </w:tblGrid>
      <w:tr w:rsidR="00000000">
        <w:tblPrEx>
          <w:tblCellMar>
            <w:top w:w="0" w:type="dxa"/>
            <w:bottom w:w="0" w:type="dxa"/>
          </w:tblCellMar>
        </w:tblPrEx>
        <w:tc>
          <w:tcPr>
            <w:tcW w:w="2660" w:type="dxa"/>
          </w:tcPr>
          <w:p w:rsidR="00000000" w:rsidRDefault="00000000">
            <w:pPr>
              <w:autoSpaceDE w:val="0"/>
              <w:autoSpaceDN w:val="0"/>
              <w:adjustRightInd w:val="0"/>
              <w:spacing w:before="60" w:after="60" w:line="260" w:lineRule="exact"/>
              <w:jc w:val="both"/>
              <w:rPr>
                <w:rFonts w:ascii="Arial" w:hAnsi="Arial"/>
                <w:sz w:val="22"/>
              </w:rPr>
            </w:pPr>
          </w:p>
        </w:tc>
        <w:tc>
          <w:tcPr>
            <w:tcW w:w="1531" w:type="dxa"/>
          </w:tcPr>
          <w:p w:rsidR="00000000" w:rsidRDefault="00000000">
            <w:pPr>
              <w:autoSpaceDE w:val="0"/>
              <w:autoSpaceDN w:val="0"/>
              <w:adjustRightInd w:val="0"/>
              <w:spacing w:before="60" w:after="60" w:line="260" w:lineRule="exact"/>
              <w:jc w:val="center"/>
              <w:rPr>
                <w:rFonts w:ascii="Arial" w:hAnsi="Arial"/>
                <w:sz w:val="22"/>
              </w:rPr>
            </w:pPr>
            <w:r>
              <w:rPr>
                <w:rFonts w:ascii="Arial" w:hAnsi="Arial"/>
                <w:sz w:val="22"/>
              </w:rPr>
              <w:t>1993 год</w:t>
            </w:r>
          </w:p>
        </w:tc>
        <w:tc>
          <w:tcPr>
            <w:tcW w:w="1531" w:type="dxa"/>
          </w:tcPr>
          <w:p w:rsidR="00000000" w:rsidRDefault="00000000">
            <w:pPr>
              <w:autoSpaceDE w:val="0"/>
              <w:autoSpaceDN w:val="0"/>
              <w:adjustRightInd w:val="0"/>
              <w:spacing w:before="60" w:after="60" w:line="260" w:lineRule="exact"/>
              <w:jc w:val="center"/>
              <w:rPr>
                <w:rFonts w:ascii="Arial" w:hAnsi="Arial"/>
                <w:sz w:val="22"/>
              </w:rPr>
            </w:pPr>
            <w:r>
              <w:rPr>
                <w:rFonts w:ascii="Arial" w:hAnsi="Arial"/>
                <w:sz w:val="22"/>
              </w:rPr>
              <w:t>1994 год</w:t>
            </w:r>
          </w:p>
        </w:tc>
        <w:tc>
          <w:tcPr>
            <w:tcW w:w="1531" w:type="dxa"/>
          </w:tcPr>
          <w:p w:rsidR="00000000" w:rsidRDefault="00000000">
            <w:pPr>
              <w:autoSpaceDE w:val="0"/>
              <w:autoSpaceDN w:val="0"/>
              <w:adjustRightInd w:val="0"/>
              <w:spacing w:before="60" w:after="60" w:line="260" w:lineRule="exact"/>
              <w:jc w:val="center"/>
              <w:rPr>
                <w:rFonts w:ascii="Arial" w:hAnsi="Arial"/>
                <w:sz w:val="22"/>
              </w:rPr>
            </w:pPr>
            <w:r>
              <w:rPr>
                <w:rFonts w:ascii="Arial" w:hAnsi="Arial"/>
                <w:sz w:val="22"/>
              </w:rPr>
              <w:t>1995 год</w:t>
            </w:r>
          </w:p>
        </w:tc>
        <w:tc>
          <w:tcPr>
            <w:tcW w:w="1567" w:type="dxa"/>
          </w:tcPr>
          <w:p w:rsidR="00000000" w:rsidRDefault="00000000">
            <w:pPr>
              <w:autoSpaceDE w:val="0"/>
              <w:autoSpaceDN w:val="0"/>
              <w:adjustRightInd w:val="0"/>
              <w:spacing w:before="60" w:after="60" w:line="260" w:lineRule="exact"/>
              <w:jc w:val="center"/>
              <w:rPr>
                <w:rFonts w:ascii="Arial" w:hAnsi="Arial"/>
                <w:sz w:val="22"/>
              </w:rPr>
            </w:pPr>
            <w:r>
              <w:rPr>
                <w:rFonts w:ascii="Arial" w:hAnsi="Arial"/>
                <w:sz w:val="22"/>
              </w:rPr>
              <w:t>1996 год</w:t>
            </w:r>
          </w:p>
        </w:tc>
      </w:tr>
      <w:tr w:rsidR="00000000">
        <w:tblPrEx>
          <w:tblCellMar>
            <w:top w:w="0" w:type="dxa"/>
            <w:bottom w:w="0" w:type="dxa"/>
          </w:tblCellMar>
        </w:tblPrEx>
        <w:tc>
          <w:tcPr>
            <w:tcW w:w="2660" w:type="dxa"/>
          </w:tcPr>
          <w:p w:rsidR="00000000" w:rsidRDefault="00000000">
            <w:pPr>
              <w:autoSpaceDE w:val="0"/>
              <w:autoSpaceDN w:val="0"/>
              <w:adjustRightInd w:val="0"/>
              <w:spacing w:before="60" w:after="60" w:line="260" w:lineRule="exact"/>
              <w:rPr>
                <w:rFonts w:ascii="Arial" w:hAnsi="Arial"/>
                <w:sz w:val="22"/>
              </w:rPr>
            </w:pPr>
            <w:r>
              <w:rPr>
                <w:rFonts w:ascii="Arial" w:hAnsi="Arial"/>
                <w:sz w:val="22"/>
              </w:rPr>
              <w:t>Беременные с недостаточным весом</w:t>
            </w:r>
          </w:p>
        </w:tc>
        <w:tc>
          <w:tcPr>
            <w:tcW w:w="1531" w:type="dxa"/>
          </w:tcPr>
          <w:p w:rsidR="00000000" w:rsidRDefault="00000000">
            <w:pPr>
              <w:autoSpaceDE w:val="0"/>
              <w:autoSpaceDN w:val="0"/>
              <w:adjustRightInd w:val="0"/>
              <w:spacing w:before="60" w:after="60" w:line="260" w:lineRule="exact"/>
              <w:jc w:val="center"/>
              <w:rPr>
                <w:rFonts w:ascii="Arial" w:hAnsi="Arial"/>
                <w:sz w:val="22"/>
              </w:rPr>
            </w:pPr>
            <w:r>
              <w:rPr>
                <w:rFonts w:ascii="Arial" w:hAnsi="Arial"/>
                <w:sz w:val="22"/>
              </w:rPr>
              <w:t>31,3</w:t>
            </w:r>
          </w:p>
        </w:tc>
        <w:tc>
          <w:tcPr>
            <w:tcW w:w="1531" w:type="dxa"/>
          </w:tcPr>
          <w:p w:rsidR="00000000" w:rsidRDefault="00000000">
            <w:pPr>
              <w:autoSpaceDE w:val="0"/>
              <w:autoSpaceDN w:val="0"/>
              <w:adjustRightInd w:val="0"/>
              <w:spacing w:before="60" w:after="60" w:line="260" w:lineRule="exact"/>
              <w:jc w:val="center"/>
              <w:rPr>
                <w:rFonts w:ascii="Arial" w:hAnsi="Arial"/>
                <w:sz w:val="22"/>
              </w:rPr>
            </w:pPr>
            <w:r>
              <w:rPr>
                <w:rFonts w:ascii="Arial" w:hAnsi="Arial"/>
                <w:sz w:val="22"/>
              </w:rPr>
              <w:t>28,8</w:t>
            </w:r>
          </w:p>
        </w:tc>
        <w:tc>
          <w:tcPr>
            <w:tcW w:w="1531" w:type="dxa"/>
          </w:tcPr>
          <w:p w:rsidR="00000000" w:rsidRDefault="00000000">
            <w:pPr>
              <w:autoSpaceDE w:val="0"/>
              <w:autoSpaceDN w:val="0"/>
              <w:adjustRightInd w:val="0"/>
              <w:spacing w:before="60" w:after="60" w:line="260" w:lineRule="exact"/>
              <w:jc w:val="center"/>
              <w:rPr>
                <w:rFonts w:ascii="Arial" w:hAnsi="Arial"/>
                <w:sz w:val="22"/>
              </w:rPr>
            </w:pPr>
            <w:r>
              <w:rPr>
                <w:rFonts w:ascii="Arial" w:hAnsi="Arial"/>
                <w:sz w:val="22"/>
              </w:rPr>
              <w:t>23,6</w:t>
            </w:r>
          </w:p>
        </w:tc>
        <w:tc>
          <w:tcPr>
            <w:tcW w:w="1567" w:type="dxa"/>
          </w:tcPr>
          <w:p w:rsidR="00000000" w:rsidRDefault="00000000">
            <w:pPr>
              <w:autoSpaceDE w:val="0"/>
              <w:autoSpaceDN w:val="0"/>
              <w:adjustRightInd w:val="0"/>
              <w:spacing w:before="60" w:after="60" w:line="260" w:lineRule="exact"/>
              <w:jc w:val="center"/>
              <w:rPr>
                <w:rFonts w:ascii="Arial" w:hAnsi="Arial"/>
                <w:sz w:val="22"/>
              </w:rPr>
            </w:pPr>
            <w:r>
              <w:rPr>
                <w:rFonts w:ascii="Arial" w:hAnsi="Arial"/>
                <w:sz w:val="22"/>
              </w:rPr>
              <w:t>24,2</w:t>
            </w:r>
          </w:p>
        </w:tc>
      </w:tr>
      <w:tr w:rsidR="00000000">
        <w:tblPrEx>
          <w:tblCellMar>
            <w:top w:w="0" w:type="dxa"/>
            <w:bottom w:w="0" w:type="dxa"/>
          </w:tblCellMar>
        </w:tblPrEx>
        <w:tc>
          <w:tcPr>
            <w:tcW w:w="2660" w:type="dxa"/>
          </w:tcPr>
          <w:p w:rsidR="00000000" w:rsidRDefault="00000000">
            <w:pPr>
              <w:autoSpaceDE w:val="0"/>
              <w:autoSpaceDN w:val="0"/>
              <w:adjustRightInd w:val="0"/>
              <w:spacing w:before="60" w:after="60" w:line="260" w:lineRule="exact"/>
              <w:rPr>
                <w:rFonts w:ascii="Arial" w:hAnsi="Arial"/>
                <w:sz w:val="22"/>
              </w:rPr>
            </w:pPr>
            <w:r>
              <w:rPr>
                <w:rFonts w:ascii="Arial" w:hAnsi="Arial"/>
                <w:sz w:val="22"/>
              </w:rPr>
              <w:t>Беременные с избыточным весом</w:t>
            </w:r>
          </w:p>
        </w:tc>
        <w:tc>
          <w:tcPr>
            <w:tcW w:w="1531" w:type="dxa"/>
          </w:tcPr>
          <w:p w:rsidR="00000000" w:rsidRDefault="00000000">
            <w:pPr>
              <w:autoSpaceDE w:val="0"/>
              <w:autoSpaceDN w:val="0"/>
              <w:adjustRightInd w:val="0"/>
              <w:spacing w:before="60" w:after="60" w:line="260" w:lineRule="exact"/>
              <w:jc w:val="center"/>
              <w:rPr>
                <w:rFonts w:ascii="Arial" w:hAnsi="Arial"/>
                <w:sz w:val="22"/>
              </w:rPr>
            </w:pPr>
            <w:r>
              <w:rPr>
                <w:rFonts w:ascii="Arial" w:hAnsi="Arial"/>
                <w:sz w:val="22"/>
              </w:rPr>
              <w:t>15,0</w:t>
            </w:r>
          </w:p>
        </w:tc>
        <w:tc>
          <w:tcPr>
            <w:tcW w:w="1531" w:type="dxa"/>
          </w:tcPr>
          <w:p w:rsidR="00000000" w:rsidRDefault="00000000">
            <w:pPr>
              <w:autoSpaceDE w:val="0"/>
              <w:autoSpaceDN w:val="0"/>
              <w:adjustRightInd w:val="0"/>
              <w:spacing w:before="60" w:after="60" w:line="260" w:lineRule="exact"/>
              <w:jc w:val="center"/>
              <w:rPr>
                <w:rFonts w:ascii="Arial" w:hAnsi="Arial"/>
                <w:sz w:val="22"/>
              </w:rPr>
            </w:pPr>
            <w:r>
              <w:rPr>
                <w:rFonts w:ascii="Arial" w:hAnsi="Arial"/>
                <w:sz w:val="22"/>
              </w:rPr>
              <w:t>14,7</w:t>
            </w:r>
          </w:p>
        </w:tc>
        <w:tc>
          <w:tcPr>
            <w:tcW w:w="1531" w:type="dxa"/>
          </w:tcPr>
          <w:p w:rsidR="00000000" w:rsidRDefault="00000000">
            <w:pPr>
              <w:autoSpaceDE w:val="0"/>
              <w:autoSpaceDN w:val="0"/>
              <w:adjustRightInd w:val="0"/>
              <w:spacing w:before="60" w:after="60" w:line="260" w:lineRule="exact"/>
              <w:jc w:val="center"/>
              <w:rPr>
                <w:rFonts w:ascii="Arial" w:hAnsi="Arial"/>
                <w:sz w:val="22"/>
              </w:rPr>
            </w:pPr>
            <w:r>
              <w:rPr>
                <w:rFonts w:ascii="Arial" w:hAnsi="Arial"/>
                <w:sz w:val="22"/>
              </w:rPr>
              <w:t>15,2</w:t>
            </w:r>
          </w:p>
        </w:tc>
        <w:tc>
          <w:tcPr>
            <w:tcW w:w="1567" w:type="dxa"/>
          </w:tcPr>
          <w:p w:rsidR="00000000" w:rsidRDefault="00000000">
            <w:pPr>
              <w:autoSpaceDE w:val="0"/>
              <w:autoSpaceDN w:val="0"/>
              <w:adjustRightInd w:val="0"/>
              <w:spacing w:before="60" w:after="60" w:line="260" w:lineRule="exact"/>
              <w:jc w:val="center"/>
              <w:rPr>
                <w:rFonts w:ascii="Arial" w:hAnsi="Arial"/>
                <w:sz w:val="22"/>
              </w:rPr>
            </w:pPr>
            <w:r>
              <w:rPr>
                <w:rFonts w:ascii="Arial" w:hAnsi="Arial"/>
                <w:sz w:val="22"/>
              </w:rPr>
              <w:t>Данные отсутствуют</w:t>
            </w:r>
          </w:p>
        </w:tc>
      </w:tr>
    </w:tbl>
    <w:p w:rsidR="00000000" w:rsidRDefault="00000000">
      <w:pPr>
        <w:autoSpaceDE w:val="0"/>
        <w:autoSpaceDN w:val="0"/>
        <w:adjustRightInd w:val="0"/>
        <w:spacing w:before="240" w:after="240" w:line="260" w:lineRule="exact"/>
        <w:jc w:val="both"/>
        <w:rPr>
          <w:rFonts w:ascii="Arial" w:hAnsi="Arial"/>
          <w:sz w:val="22"/>
        </w:rPr>
      </w:pPr>
      <w:r>
        <w:rPr>
          <w:rFonts w:ascii="Arial" w:hAnsi="Arial"/>
          <w:sz w:val="22"/>
        </w:rPr>
        <w:t>223.</w:t>
      </w:r>
      <w:r>
        <w:rPr>
          <w:rFonts w:ascii="Arial" w:hAnsi="Arial"/>
          <w:sz w:val="22"/>
        </w:rPr>
        <w:tab/>
        <w:t>Общий уровень фертильности</w:t>
      </w:r>
      <w:r>
        <w:rPr>
          <w:rStyle w:val="FootnoteReference"/>
          <w:rFonts w:ascii="Arial" w:hAnsi="Arial"/>
          <w:sz w:val="22"/>
        </w:rPr>
        <w:footnoteReference w:id="52"/>
      </w:r>
      <w:r>
        <w:rPr>
          <w:rFonts w:ascii="Arial" w:hAnsi="Arial"/>
          <w:sz w:val="22"/>
        </w:rPr>
        <w:t xml:space="preserve"> в Эквадоре снизился, о чем свидетельствуют данные за последние годы. В 1993 году был отмечен показатель (в расчете на 1 тыс. женщин): 101,4; в 1994 – 97,9; в 1995 – 92,8; в 1996 – 90,0; в 1997 – 87,7; в 1998 году – 84,7.</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224.</w:t>
      </w:r>
      <w:r>
        <w:rPr>
          <w:rFonts w:ascii="Arial" w:hAnsi="Arial"/>
          <w:sz w:val="22"/>
        </w:rPr>
        <w:tab/>
        <w:t>На число беременностей у женщин влияет уровень образования. У женщин без образования среднее число детей составляет 6,24 в отличие от женщин с высшим образованием (среднее число детей – 2,13). Наибольшее число беременностей отмечается среди крестьянок без какого-либо образования, которые имеют в среднем по 7 детей</w:t>
      </w:r>
      <w:r>
        <w:rPr>
          <w:rStyle w:val="FootnoteReference"/>
          <w:rFonts w:ascii="Arial" w:hAnsi="Arial"/>
          <w:sz w:val="22"/>
        </w:rPr>
        <w:footnoteReference w:id="53"/>
      </w:r>
      <w:r>
        <w:rPr>
          <w:rFonts w:ascii="Arial" w:hAnsi="Arial"/>
          <w:sz w:val="22"/>
        </w:rPr>
        <w:t>.</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225.</w:t>
      </w:r>
      <w:r>
        <w:rPr>
          <w:rFonts w:ascii="Arial" w:hAnsi="Arial"/>
          <w:sz w:val="22"/>
        </w:rPr>
        <w:tab/>
        <w:t>В 1994 году примерно пятая часть девушек в возрасте 15–19 лет (17,5 процента) были матерями или беременными. Беременность среди несовершеннолетних в сельских районах является причиной ранних браков. В сельских районах 21 процент женщин моложе 19 лет были матерями или беременными; при этом наибольшее число беременностей у несовершеннолетних отмечается в сельских районах Косты. Уровень образования является важнейшим фактором в статистике материнства; в сельских районах 4 из 10 девушек в возрасте 15–19 лет, не закончившие начальную школу, уже имели или собирались иметь детей; это в четыре раза больше чем у девушек, поступивших в среднюю школу</w:t>
      </w:r>
      <w:r>
        <w:rPr>
          <w:rStyle w:val="FootnoteReference"/>
          <w:rFonts w:ascii="Arial" w:hAnsi="Arial"/>
          <w:sz w:val="22"/>
        </w:rPr>
        <w:footnoteReference w:id="54"/>
      </w:r>
      <w:r>
        <w:rPr>
          <w:rFonts w:ascii="Arial" w:hAnsi="Arial"/>
          <w:sz w:val="22"/>
        </w:rPr>
        <w:t>.</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226.</w:t>
      </w:r>
      <w:r>
        <w:rPr>
          <w:rFonts w:ascii="Arial" w:hAnsi="Arial"/>
          <w:sz w:val="22"/>
        </w:rPr>
        <w:tab/>
        <w:t>Важнейшее значение для здоровья матери и ребенка имеет контроль за протеканием беременности. В 1993–1998 годах в среднем по стране количество медицинских осмотров во время последней беременности составляло 5,6, причем в городах эта цифра была выше (6,2), в то время как в сельских районах – 4,6. Женщины из числа коренного населения и крестьянки реже проходят пренатальный контроль: 2 и 3 медицинских осмотра, соответственно</w:t>
      </w:r>
      <w:r>
        <w:rPr>
          <w:rStyle w:val="FootnoteReference"/>
          <w:rFonts w:ascii="Arial" w:hAnsi="Arial"/>
          <w:sz w:val="22"/>
        </w:rPr>
        <w:footnoteReference w:id="55"/>
      </w:r>
      <w:r>
        <w:rPr>
          <w:rFonts w:ascii="Arial" w:hAnsi="Arial"/>
          <w:sz w:val="22"/>
        </w:rPr>
        <w:t>.</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227.</w:t>
      </w:r>
      <w:r>
        <w:rPr>
          <w:rFonts w:ascii="Arial" w:hAnsi="Arial"/>
          <w:sz w:val="22"/>
        </w:rPr>
        <w:tab/>
        <w:t>Число беременностей вне сферы врачебного контроля составляло в целом 11,7 процента в 1995 году (имеется в виду последняя беременность за последние 5 лет). Сельские женщины подвергаются большей опасности во время беременности. В этом же году процент беременностей, которые протекали вне врачебного или профессионального контроля, был особенно высок для крестьянок и представительниц коренного населения – 25 и 42 процента, соответственно</w:t>
      </w:r>
      <w:r>
        <w:rPr>
          <w:rStyle w:val="FootnoteReference"/>
          <w:rFonts w:ascii="Arial" w:hAnsi="Arial"/>
          <w:sz w:val="22"/>
        </w:rPr>
        <w:footnoteReference w:id="56"/>
      </w:r>
      <w:r>
        <w:rPr>
          <w:rFonts w:ascii="Arial" w:hAnsi="Arial"/>
          <w:sz w:val="22"/>
        </w:rPr>
        <w:t>.</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228.</w:t>
      </w:r>
      <w:r>
        <w:rPr>
          <w:rFonts w:ascii="Arial" w:hAnsi="Arial"/>
          <w:sz w:val="22"/>
        </w:rPr>
        <w:tab/>
        <w:t>В стране значительное число женщин, проживающих в сельских районах, не получают профессиональной помощи при родах. По данным за период 1993–1998 годов, всего около 50,1 процента женщин получили медицинскую помощь и 24,5 процента – помощь повитух. Важно отметить, что у 14,5 процента женщин роды принимали члены семьи. В городах в этот же период преобладает медицинская помощь: 79,8 процента женщин получили профессиональную медицинскую помощь, 13,7 процента – помощь акушерки и 4,2 процента – помощь повитух</w:t>
      </w:r>
      <w:r>
        <w:rPr>
          <w:rStyle w:val="FootnoteReference"/>
          <w:rFonts w:ascii="Arial" w:hAnsi="Arial"/>
          <w:sz w:val="22"/>
        </w:rPr>
        <w:footnoteReference w:id="57"/>
      </w:r>
      <w:r>
        <w:rPr>
          <w:rFonts w:ascii="Arial" w:hAnsi="Arial"/>
          <w:sz w:val="22"/>
        </w:rPr>
        <w:t>.</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229.</w:t>
      </w:r>
      <w:r>
        <w:rPr>
          <w:rFonts w:ascii="Arial" w:hAnsi="Arial"/>
          <w:sz w:val="22"/>
        </w:rPr>
        <w:tab/>
        <w:t>В целом по стране 49,3 процента родов принимаются в государственных больницах, 21,7 процента – в частных консультациях и клиниках и 21,4 процента – дома</w:t>
      </w:r>
      <w:r>
        <w:rPr>
          <w:rStyle w:val="FootnoteReference"/>
          <w:rFonts w:ascii="Arial" w:hAnsi="Arial"/>
          <w:sz w:val="22"/>
        </w:rPr>
        <w:footnoteReference w:id="58"/>
      </w:r>
      <w:r>
        <w:rPr>
          <w:rFonts w:ascii="Arial" w:hAnsi="Arial"/>
          <w:sz w:val="22"/>
        </w:rPr>
        <w:t>.</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br w:type="page"/>
        <w:t>230.</w:t>
      </w:r>
      <w:r>
        <w:rPr>
          <w:rFonts w:ascii="Arial" w:hAnsi="Arial"/>
          <w:sz w:val="22"/>
        </w:rPr>
        <w:tab/>
        <w:t>В 1995 году 33 процента случаев смерти от рака у женщин было вызвано опухолями гениталий и 12 процентов – раком груди, в то время как у мужчин опухоли гениталий составляли только 15 процентов случаев заболевания раком. Хотя рак легких встречается преимущественно у мужчин, заболеваемость этой разновидностью рака среди женщин также возросла</w:t>
      </w:r>
      <w:r>
        <w:rPr>
          <w:rStyle w:val="FootnoteReference"/>
          <w:rFonts w:ascii="Arial" w:hAnsi="Arial"/>
          <w:sz w:val="22"/>
        </w:rPr>
        <w:footnoteReference w:id="59"/>
      </w:r>
      <w:r>
        <w:rPr>
          <w:rFonts w:ascii="Arial" w:hAnsi="Arial"/>
          <w:sz w:val="22"/>
        </w:rPr>
        <w:t>.</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231.</w:t>
      </w:r>
      <w:r>
        <w:rPr>
          <w:rFonts w:ascii="Arial" w:hAnsi="Arial"/>
          <w:sz w:val="22"/>
        </w:rPr>
        <w:tab/>
        <w:t>Сельские женщины подвергаются большей опасности смерти из-за отсутствия профилактической медицинской помощи. По данным третьего этапа опроса по условиям жизни (ЭКВ-98), в 1997–1998 годах только 25,9 процента женщин в возрасте 15–49 лет был сделан цитологический анализ шейки матки. В городах этот анализ был сделан 31,6 процента женщин, а в сельских районах – 16,1 процента. Вызывает беспокойство тот факт, что в целом по стране 56,5 процента женщин фертильного возраста никогда не делали цитологического анализа шейки матки; в сельских районах этот показатель составляет 69,9 процента</w:t>
      </w:r>
      <w:r>
        <w:rPr>
          <w:rStyle w:val="FootnoteReference"/>
          <w:rFonts w:ascii="Arial" w:hAnsi="Arial"/>
          <w:sz w:val="22"/>
        </w:rPr>
        <w:footnoteReference w:id="60"/>
      </w:r>
      <w:r>
        <w:rPr>
          <w:rFonts w:ascii="Arial" w:hAnsi="Arial"/>
          <w:sz w:val="22"/>
        </w:rPr>
        <w:t>.</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232.</w:t>
      </w:r>
      <w:r>
        <w:rPr>
          <w:rFonts w:ascii="Arial" w:hAnsi="Arial"/>
          <w:sz w:val="22"/>
        </w:rPr>
        <w:tab/>
        <w:t>Согласно статистическим данным, в городах 35,6 процента женщин в возрасте 15–49 лет применяют контрацептивы, в сельских районах – 23,4 процента. Что касается населения, знакомого с тем или иным методом контрацепции, цифры разнятся в значительной степени: в городах – 87,7 процента и в сельских районах – 63,8 процента</w:t>
      </w:r>
      <w:r>
        <w:rPr>
          <w:rStyle w:val="FootnoteReference"/>
          <w:rFonts w:ascii="Arial" w:hAnsi="Arial"/>
          <w:sz w:val="22"/>
        </w:rPr>
        <w:footnoteReference w:id="61"/>
      </w:r>
      <w:r>
        <w:rPr>
          <w:rFonts w:ascii="Arial" w:hAnsi="Arial"/>
          <w:sz w:val="22"/>
        </w:rPr>
        <w:t>.</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233.</w:t>
      </w:r>
      <w:r>
        <w:rPr>
          <w:rFonts w:ascii="Arial" w:hAnsi="Arial"/>
          <w:sz w:val="22"/>
        </w:rPr>
        <w:tab/>
        <w:t>Наиболее часто применяемыми женщинами в возрасте 15–49 лет являются следующие пять методов контрацепции: перевязка труб (32 процента в целом по стране), внутриматочный контрацептив – 24,1 процента, противозачаточные таблетки – 21,9 процента, противозачаточные уколы – 5,8 процента и на последнем месте – презервативы (3,2 процента)</w:t>
      </w:r>
      <w:r>
        <w:rPr>
          <w:rStyle w:val="FootnoteReference"/>
          <w:rFonts w:ascii="Arial" w:hAnsi="Arial"/>
          <w:sz w:val="22"/>
        </w:rPr>
        <w:footnoteReference w:id="62"/>
      </w:r>
      <w:r>
        <w:rPr>
          <w:rFonts w:ascii="Arial" w:hAnsi="Arial"/>
          <w:sz w:val="22"/>
        </w:rPr>
        <w:t>.</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234.</w:t>
      </w:r>
      <w:r>
        <w:rPr>
          <w:rFonts w:ascii="Arial" w:hAnsi="Arial"/>
          <w:sz w:val="22"/>
        </w:rPr>
        <w:tab/>
        <w:t>Приведенные выше показатели, касающиеся перевязки труб, внутриматочных контрацептивов и противозачаточных таблеток, показывают, что эти методы контрацепции наиболее часто используются в стране. Это свидетельствует о том, что ответственность за репродуктивное здоровье лежит главным образом на женщине.</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235.</w:t>
      </w:r>
      <w:r>
        <w:rPr>
          <w:rFonts w:ascii="Arial" w:hAnsi="Arial"/>
          <w:sz w:val="22"/>
        </w:rPr>
        <w:tab/>
        <w:t>Перевязка труб чаще всего применяется в сельских районах – 36,7 процента по сравнению с 30,2 процента в городах</w:t>
      </w:r>
      <w:r>
        <w:rPr>
          <w:rStyle w:val="FootnoteReference"/>
          <w:rFonts w:ascii="Arial" w:hAnsi="Arial"/>
          <w:sz w:val="22"/>
        </w:rPr>
        <w:footnoteReference w:id="63"/>
      </w:r>
      <w:r>
        <w:rPr>
          <w:rFonts w:ascii="Arial" w:hAnsi="Arial"/>
          <w:sz w:val="22"/>
        </w:rPr>
        <w:t>.</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236.</w:t>
      </w:r>
      <w:r>
        <w:rPr>
          <w:rFonts w:ascii="Arial" w:hAnsi="Arial"/>
          <w:sz w:val="22"/>
        </w:rPr>
        <w:tab/>
        <w:t>Беременность увеличивает риски, связанные со здоровьем. В 1996 году основными причинами материнской смертности в Эквадоре были следующие (на 100 тыс. живорождений)</w:t>
      </w:r>
      <w:r>
        <w:rPr>
          <w:rStyle w:val="FootnoteReference"/>
          <w:rFonts w:ascii="Arial" w:hAnsi="Arial"/>
          <w:sz w:val="22"/>
        </w:rPr>
        <w:footnoteReference w:id="64"/>
      </w:r>
      <w:r>
        <w:rPr>
          <w:rFonts w:ascii="Arial" w:hAnsi="Arial"/>
          <w:sz w:val="22"/>
        </w:rPr>
        <w:t>:</w:t>
      </w:r>
    </w:p>
    <w:tbl>
      <w:tblPr>
        <w:tblW w:w="0" w:type="auto"/>
        <w:tblInd w:w="-106" w:type="dxa"/>
        <w:tblLayout w:type="fixed"/>
        <w:tblLook w:val="0000" w:firstRow="0" w:lastRow="0" w:firstColumn="0" w:lastColumn="0" w:noHBand="0" w:noVBand="0"/>
      </w:tblPr>
      <w:tblGrid>
        <w:gridCol w:w="6948"/>
        <w:gridCol w:w="1980"/>
      </w:tblGrid>
      <w:tr w:rsidR="00000000">
        <w:tblPrEx>
          <w:tblCellMar>
            <w:top w:w="0" w:type="dxa"/>
            <w:bottom w:w="0" w:type="dxa"/>
          </w:tblCellMar>
        </w:tblPrEx>
        <w:tc>
          <w:tcPr>
            <w:tcW w:w="6948" w:type="dxa"/>
          </w:tcPr>
          <w:p w:rsidR="00000000" w:rsidRDefault="00000000">
            <w:pPr>
              <w:autoSpaceDE w:val="0"/>
              <w:autoSpaceDN w:val="0"/>
              <w:adjustRightInd w:val="0"/>
              <w:spacing w:line="260" w:lineRule="exact"/>
              <w:ind w:left="397" w:hanging="397"/>
              <w:jc w:val="both"/>
              <w:rPr>
                <w:rFonts w:ascii="Arial" w:hAnsi="Arial"/>
                <w:sz w:val="22"/>
              </w:rPr>
            </w:pPr>
            <w:r>
              <w:rPr>
                <w:rFonts w:ascii="Arial" w:hAnsi="Arial"/>
                <w:sz w:val="22"/>
              </w:rPr>
              <w:t>–</w:t>
            </w:r>
            <w:r>
              <w:rPr>
                <w:rFonts w:ascii="Arial" w:hAnsi="Arial"/>
                <w:sz w:val="22"/>
              </w:rPr>
              <w:tab/>
              <w:t>Токсикозы, связанные с беременностью</w:t>
            </w:r>
          </w:p>
        </w:tc>
        <w:tc>
          <w:tcPr>
            <w:tcW w:w="1980" w:type="dxa"/>
          </w:tcPr>
          <w:p w:rsidR="00000000" w:rsidRDefault="00000000">
            <w:pPr>
              <w:autoSpaceDE w:val="0"/>
              <w:autoSpaceDN w:val="0"/>
              <w:adjustRightInd w:val="0"/>
              <w:spacing w:line="260" w:lineRule="exact"/>
              <w:jc w:val="center"/>
              <w:rPr>
                <w:rFonts w:ascii="Arial" w:hAnsi="Arial"/>
                <w:sz w:val="22"/>
              </w:rPr>
            </w:pPr>
            <w:r>
              <w:rPr>
                <w:rFonts w:ascii="Arial" w:hAnsi="Arial"/>
                <w:sz w:val="22"/>
              </w:rPr>
              <w:t>27,0</w:t>
            </w:r>
          </w:p>
        </w:tc>
      </w:tr>
      <w:tr w:rsidR="00000000">
        <w:tblPrEx>
          <w:tblCellMar>
            <w:top w:w="0" w:type="dxa"/>
            <w:bottom w:w="0" w:type="dxa"/>
          </w:tblCellMar>
        </w:tblPrEx>
        <w:tc>
          <w:tcPr>
            <w:tcW w:w="6948" w:type="dxa"/>
          </w:tcPr>
          <w:p w:rsidR="00000000" w:rsidRDefault="00000000">
            <w:pPr>
              <w:autoSpaceDE w:val="0"/>
              <w:autoSpaceDN w:val="0"/>
              <w:adjustRightInd w:val="0"/>
              <w:spacing w:line="260" w:lineRule="exact"/>
              <w:ind w:left="397" w:hanging="397"/>
              <w:jc w:val="both"/>
              <w:rPr>
                <w:rFonts w:ascii="Arial" w:hAnsi="Arial"/>
                <w:sz w:val="22"/>
              </w:rPr>
            </w:pPr>
            <w:r>
              <w:rPr>
                <w:rFonts w:ascii="Arial" w:hAnsi="Arial"/>
                <w:sz w:val="22"/>
              </w:rPr>
              <w:t>–</w:t>
            </w:r>
            <w:r>
              <w:rPr>
                <w:rFonts w:ascii="Arial" w:hAnsi="Arial"/>
                <w:sz w:val="22"/>
              </w:rPr>
              <w:tab/>
              <w:t>Кровотечения при беременности и родах</w:t>
            </w:r>
          </w:p>
        </w:tc>
        <w:tc>
          <w:tcPr>
            <w:tcW w:w="1980" w:type="dxa"/>
          </w:tcPr>
          <w:p w:rsidR="00000000" w:rsidRDefault="00000000">
            <w:pPr>
              <w:autoSpaceDE w:val="0"/>
              <w:autoSpaceDN w:val="0"/>
              <w:adjustRightInd w:val="0"/>
              <w:spacing w:line="260" w:lineRule="exact"/>
              <w:jc w:val="center"/>
              <w:rPr>
                <w:rFonts w:ascii="Arial" w:hAnsi="Arial"/>
                <w:sz w:val="22"/>
              </w:rPr>
            </w:pPr>
            <w:r>
              <w:rPr>
                <w:rFonts w:ascii="Arial" w:hAnsi="Arial"/>
                <w:sz w:val="22"/>
              </w:rPr>
              <w:t>16,6</w:t>
            </w:r>
          </w:p>
        </w:tc>
      </w:tr>
      <w:tr w:rsidR="00000000">
        <w:tblPrEx>
          <w:tblCellMar>
            <w:top w:w="0" w:type="dxa"/>
            <w:bottom w:w="0" w:type="dxa"/>
          </w:tblCellMar>
        </w:tblPrEx>
        <w:tc>
          <w:tcPr>
            <w:tcW w:w="6948" w:type="dxa"/>
          </w:tcPr>
          <w:p w:rsidR="00000000" w:rsidRDefault="00000000">
            <w:pPr>
              <w:autoSpaceDE w:val="0"/>
              <w:autoSpaceDN w:val="0"/>
              <w:adjustRightInd w:val="0"/>
              <w:spacing w:line="260" w:lineRule="exact"/>
              <w:ind w:left="397" w:hanging="397"/>
              <w:jc w:val="both"/>
              <w:rPr>
                <w:rFonts w:ascii="Arial" w:hAnsi="Arial"/>
                <w:sz w:val="22"/>
              </w:rPr>
            </w:pPr>
            <w:r>
              <w:rPr>
                <w:rFonts w:ascii="Arial" w:hAnsi="Arial"/>
                <w:sz w:val="22"/>
              </w:rPr>
              <w:t>–</w:t>
            </w:r>
            <w:r>
              <w:rPr>
                <w:rFonts w:ascii="Arial" w:hAnsi="Arial"/>
                <w:sz w:val="22"/>
              </w:rPr>
              <w:tab/>
              <w:t>Выкидыши</w:t>
            </w:r>
          </w:p>
        </w:tc>
        <w:tc>
          <w:tcPr>
            <w:tcW w:w="1980" w:type="dxa"/>
          </w:tcPr>
          <w:p w:rsidR="00000000" w:rsidRDefault="00000000">
            <w:pPr>
              <w:autoSpaceDE w:val="0"/>
              <w:autoSpaceDN w:val="0"/>
              <w:adjustRightInd w:val="0"/>
              <w:spacing w:line="260" w:lineRule="exact"/>
              <w:jc w:val="center"/>
              <w:rPr>
                <w:rFonts w:ascii="Arial" w:hAnsi="Arial"/>
                <w:sz w:val="22"/>
              </w:rPr>
            </w:pPr>
            <w:r>
              <w:rPr>
                <w:rFonts w:ascii="Arial" w:hAnsi="Arial"/>
                <w:sz w:val="22"/>
              </w:rPr>
              <w:t>4,1</w:t>
            </w:r>
          </w:p>
        </w:tc>
      </w:tr>
      <w:tr w:rsidR="00000000">
        <w:tblPrEx>
          <w:tblCellMar>
            <w:top w:w="0" w:type="dxa"/>
            <w:bottom w:w="0" w:type="dxa"/>
          </w:tblCellMar>
        </w:tblPrEx>
        <w:tc>
          <w:tcPr>
            <w:tcW w:w="6948" w:type="dxa"/>
          </w:tcPr>
          <w:p w:rsidR="00000000" w:rsidRDefault="00000000">
            <w:pPr>
              <w:autoSpaceDE w:val="0"/>
              <w:autoSpaceDN w:val="0"/>
              <w:adjustRightInd w:val="0"/>
              <w:spacing w:line="260" w:lineRule="exact"/>
              <w:ind w:left="397" w:hanging="397"/>
              <w:jc w:val="both"/>
              <w:rPr>
                <w:rFonts w:ascii="Arial" w:hAnsi="Arial"/>
                <w:sz w:val="22"/>
              </w:rPr>
            </w:pPr>
            <w:r>
              <w:rPr>
                <w:rFonts w:ascii="Arial" w:hAnsi="Arial"/>
                <w:sz w:val="22"/>
              </w:rPr>
              <w:t>–</w:t>
            </w:r>
            <w:r>
              <w:rPr>
                <w:rFonts w:ascii="Arial" w:hAnsi="Arial"/>
                <w:sz w:val="22"/>
              </w:rPr>
              <w:tab/>
              <w:t>Послеродовые осложнения</w:t>
            </w:r>
          </w:p>
        </w:tc>
        <w:tc>
          <w:tcPr>
            <w:tcW w:w="1980" w:type="dxa"/>
          </w:tcPr>
          <w:p w:rsidR="00000000" w:rsidRDefault="00000000">
            <w:pPr>
              <w:autoSpaceDE w:val="0"/>
              <w:autoSpaceDN w:val="0"/>
              <w:adjustRightInd w:val="0"/>
              <w:spacing w:line="260" w:lineRule="exact"/>
              <w:jc w:val="center"/>
              <w:rPr>
                <w:rFonts w:ascii="Arial" w:hAnsi="Arial"/>
                <w:sz w:val="22"/>
              </w:rPr>
            </w:pPr>
            <w:r>
              <w:rPr>
                <w:rFonts w:ascii="Arial" w:hAnsi="Arial"/>
                <w:sz w:val="22"/>
              </w:rPr>
              <w:t>3,0</w:t>
            </w:r>
          </w:p>
        </w:tc>
      </w:tr>
      <w:tr w:rsidR="00000000">
        <w:tblPrEx>
          <w:tblCellMar>
            <w:top w:w="0" w:type="dxa"/>
            <w:bottom w:w="0" w:type="dxa"/>
          </w:tblCellMar>
        </w:tblPrEx>
        <w:tc>
          <w:tcPr>
            <w:tcW w:w="6948" w:type="dxa"/>
          </w:tcPr>
          <w:p w:rsidR="00000000" w:rsidRDefault="00000000">
            <w:pPr>
              <w:autoSpaceDE w:val="0"/>
              <w:autoSpaceDN w:val="0"/>
              <w:adjustRightInd w:val="0"/>
              <w:spacing w:line="260" w:lineRule="exact"/>
              <w:ind w:left="397" w:hanging="397"/>
              <w:jc w:val="both"/>
              <w:rPr>
                <w:rFonts w:ascii="Arial" w:hAnsi="Arial"/>
                <w:sz w:val="22"/>
              </w:rPr>
            </w:pPr>
            <w:r>
              <w:rPr>
                <w:rFonts w:ascii="Arial" w:hAnsi="Arial"/>
                <w:sz w:val="22"/>
              </w:rPr>
              <w:t>–</w:t>
            </w:r>
            <w:r>
              <w:rPr>
                <w:rFonts w:ascii="Arial" w:hAnsi="Arial"/>
                <w:sz w:val="22"/>
              </w:rPr>
              <w:tab/>
              <w:t xml:space="preserve">Причины, косвенно связанные с беременностью и родами </w:t>
            </w:r>
          </w:p>
        </w:tc>
        <w:tc>
          <w:tcPr>
            <w:tcW w:w="1980" w:type="dxa"/>
          </w:tcPr>
          <w:p w:rsidR="00000000" w:rsidRDefault="00000000">
            <w:pPr>
              <w:autoSpaceDE w:val="0"/>
              <w:autoSpaceDN w:val="0"/>
              <w:adjustRightInd w:val="0"/>
              <w:spacing w:line="260" w:lineRule="exact"/>
              <w:jc w:val="center"/>
              <w:rPr>
                <w:rFonts w:ascii="Arial" w:hAnsi="Arial"/>
                <w:sz w:val="22"/>
              </w:rPr>
            </w:pPr>
            <w:r>
              <w:rPr>
                <w:rFonts w:ascii="Arial" w:hAnsi="Arial"/>
                <w:sz w:val="22"/>
              </w:rPr>
              <w:t>0,4</w:t>
            </w:r>
          </w:p>
        </w:tc>
      </w:tr>
      <w:tr w:rsidR="00000000">
        <w:tblPrEx>
          <w:tblCellMar>
            <w:top w:w="0" w:type="dxa"/>
            <w:bottom w:w="0" w:type="dxa"/>
          </w:tblCellMar>
        </w:tblPrEx>
        <w:tc>
          <w:tcPr>
            <w:tcW w:w="6948" w:type="dxa"/>
          </w:tcPr>
          <w:p w:rsidR="00000000" w:rsidRDefault="00000000">
            <w:pPr>
              <w:autoSpaceDE w:val="0"/>
              <w:autoSpaceDN w:val="0"/>
              <w:adjustRightInd w:val="0"/>
              <w:spacing w:line="260" w:lineRule="exact"/>
              <w:ind w:left="397" w:hanging="397"/>
              <w:jc w:val="both"/>
              <w:rPr>
                <w:rFonts w:ascii="Arial" w:hAnsi="Arial"/>
                <w:sz w:val="22"/>
              </w:rPr>
            </w:pPr>
            <w:r>
              <w:rPr>
                <w:rFonts w:ascii="Arial" w:hAnsi="Arial"/>
                <w:sz w:val="22"/>
              </w:rPr>
              <w:t>–</w:t>
            </w:r>
            <w:r>
              <w:rPr>
                <w:rFonts w:ascii="Arial" w:hAnsi="Arial"/>
                <w:sz w:val="22"/>
              </w:rPr>
              <w:tab/>
              <w:t>Другие причины</w:t>
            </w:r>
          </w:p>
        </w:tc>
        <w:tc>
          <w:tcPr>
            <w:tcW w:w="1980" w:type="dxa"/>
          </w:tcPr>
          <w:p w:rsidR="00000000" w:rsidRDefault="00000000">
            <w:pPr>
              <w:autoSpaceDE w:val="0"/>
              <w:autoSpaceDN w:val="0"/>
              <w:adjustRightInd w:val="0"/>
              <w:spacing w:line="260" w:lineRule="exact"/>
              <w:jc w:val="center"/>
              <w:rPr>
                <w:rFonts w:ascii="Arial" w:hAnsi="Arial"/>
                <w:sz w:val="22"/>
              </w:rPr>
            </w:pPr>
            <w:r>
              <w:rPr>
                <w:rFonts w:ascii="Arial" w:hAnsi="Arial"/>
                <w:sz w:val="22"/>
              </w:rPr>
              <w:t>0,4</w:t>
            </w:r>
          </w:p>
        </w:tc>
      </w:tr>
    </w:tbl>
    <w:p w:rsidR="00000000" w:rsidRDefault="00000000">
      <w:pPr>
        <w:spacing w:after="240" w:line="260" w:lineRule="exact"/>
        <w:jc w:val="both"/>
        <w:rPr>
          <w:rFonts w:ascii="Arial" w:hAnsi="Arial"/>
          <w:sz w:val="22"/>
        </w:rPr>
      </w:pP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237.</w:t>
      </w:r>
      <w:r>
        <w:rPr>
          <w:rFonts w:ascii="Arial" w:hAnsi="Arial"/>
          <w:sz w:val="22"/>
        </w:rPr>
        <w:tab/>
        <w:t>Выкидыш представляет собой первичное осложнение при беременности, способное вызвать смерть женщины. В последние годы уровень смертности из-за выкидыша среди женщин в возрасте 15–49 лет составил 0,14 процента в 1994 году, 0,15 процента в 1995 году и 0,08 процента в 1996 году</w:t>
      </w:r>
      <w:r>
        <w:rPr>
          <w:rStyle w:val="FootnoteReference"/>
          <w:rFonts w:ascii="Arial" w:hAnsi="Arial"/>
          <w:sz w:val="22"/>
        </w:rPr>
        <w:footnoteReference w:id="65"/>
      </w:r>
      <w:r>
        <w:rPr>
          <w:rFonts w:ascii="Arial" w:hAnsi="Arial"/>
          <w:sz w:val="22"/>
        </w:rPr>
        <w:t>. Материнская смертность может явиться следствием кровотечения или инфекции в случае неполного аборта или искусственного вмешательства с целью вызвать выкидыш. Смерть может наступить, если женщина не получит медицинской помощи и не будет госпитализирована либо если она обратилась в медицинское учреждение по поводу развившегося сепсиса.</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238.</w:t>
      </w:r>
      <w:r>
        <w:rPr>
          <w:rFonts w:ascii="Arial" w:hAnsi="Arial"/>
          <w:sz w:val="22"/>
        </w:rPr>
        <w:tab/>
        <w:t>Государство обеспокоено большим числом абортов среди несовершенно</w:t>
      </w:r>
      <w:r>
        <w:rPr>
          <w:rFonts w:ascii="Arial" w:hAnsi="Arial"/>
          <w:sz w:val="22"/>
        </w:rPr>
        <w:softHyphen/>
        <w:t>летних. В 1997 году число абортов у несовершеннолетних в Гуаякиле (главном порте страны) составило 40 процентов; при этом 10 процентам несовершеннолетних был сделан аборт под давлением семьи. На долю несовершеннолетних моложе 15 лет приходится 17,15 процента от общего числа всех абортов. Как показал третий этап опроса по условиям жизни 1998 года, несмотря на то что значительный процент женщин осведомлены о методах планирования размера семьи (в городах – 87,7 процента и в сельских районах – 63,8 процента), 35,6 процента женщин в городах и 23,4 процента сельских женщин почти не используют их</w:t>
      </w:r>
      <w:r>
        <w:rPr>
          <w:rStyle w:val="FootnoteReference"/>
          <w:rFonts w:ascii="Arial" w:hAnsi="Arial"/>
          <w:sz w:val="22"/>
        </w:rPr>
        <w:footnoteReference w:id="66"/>
      </w:r>
      <w:r>
        <w:rPr>
          <w:rFonts w:ascii="Arial" w:hAnsi="Arial"/>
          <w:sz w:val="22"/>
        </w:rPr>
        <w:t>.</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239.</w:t>
      </w:r>
      <w:r>
        <w:rPr>
          <w:rFonts w:ascii="Arial" w:hAnsi="Arial"/>
          <w:sz w:val="22"/>
        </w:rPr>
        <w:tab/>
        <w:t>Мы не располагаем данными о нелегальных абортах. Имеющиеся в нашем распоряжении сведения связаны с последующей зарегистрированной госпитализацией.</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240.</w:t>
      </w:r>
      <w:r>
        <w:rPr>
          <w:rFonts w:ascii="Arial" w:hAnsi="Arial"/>
          <w:sz w:val="22"/>
        </w:rPr>
        <w:tab/>
        <w:t>Предоставление медицинских услуг в Эквадоре осуществляется в рамках следующих систем медицинской помощи:</w:t>
      </w:r>
    </w:p>
    <w:p w:rsidR="00000000" w:rsidRDefault="00000000">
      <w:pPr>
        <w:pStyle w:val="BodyTextIndent"/>
        <w:autoSpaceDE w:val="0"/>
        <w:autoSpaceDN w:val="0"/>
        <w:adjustRightInd w:val="0"/>
      </w:pPr>
      <w:r>
        <w:t>–</w:t>
      </w:r>
      <w:r>
        <w:tab/>
        <w:t>государственная система, возглавляемая Министерством здравоохранения, при участии муниципалитетов и попечительских организаций;</w:t>
      </w:r>
    </w:p>
    <w:p w:rsidR="00000000" w:rsidRDefault="00000000">
      <w:pPr>
        <w:autoSpaceDE w:val="0"/>
        <w:autoSpaceDN w:val="0"/>
        <w:adjustRightInd w:val="0"/>
        <w:spacing w:line="260" w:lineRule="exact"/>
        <w:ind w:left="397" w:hanging="397"/>
        <w:jc w:val="both"/>
        <w:rPr>
          <w:rFonts w:ascii="Arial" w:hAnsi="Arial"/>
          <w:sz w:val="22"/>
        </w:rPr>
      </w:pPr>
      <w:r>
        <w:rPr>
          <w:rFonts w:ascii="Arial" w:hAnsi="Arial"/>
          <w:sz w:val="22"/>
        </w:rPr>
        <w:t>–</w:t>
      </w:r>
      <w:r>
        <w:rPr>
          <w:rFonts w:ascii="Arial" w:hAnsi="Arial"/>
          <w:sz w:val="22"/>
        </w:rPr>
        <w:tab/>
        <w:t>система, обслуживающая отдельные группы населения, например страхование полицейских и военных (ИССПОЛ и ИССФА);</w:t>
      </w:r>
    </w:p>
    <w:p w:rsidR="00000000" w:rsidRDefault="00000000">
      <w:pPr>
        <w:autoSpaceDE w:val="0"/>
        <w:autoSpaceDN w:val="0"/>
        <w:adjustRightInd w:val="0"/>
        <w:spacing w:line="260" w:lineRule="exact"/>
        <w:ind w:left="397" w:hanging="397"/>
        <w:jc w:val="both"/>
        <w:rPr>
          <w:rFonts w:ascii="Arial" w:hAnsi="Arial"/>
          <w:sz w:val="22"/>
        </w:rPr>
      </w:pPr>
      <w:r>
        <w:rPr>
          <w:rFonts w:ascii="Arial" w:hAnsi="Arial"/>
          <w:sz w:val="22"/>
        </w:rPr>
        <w:t>–</w:t>
      </w:r>
      <w:r>
        <w:rPr>
          <w:rFonts w:ascii="Arial" w:hAnsi="Arial"/>
          <w:sz w:val="22"/>
        </w:rPr>
        <w:tab/>
        <w:t>полугосударственная система в рамках Эквадорского института социального страхования (ИЭСС);</w:t>
      </w:r>
    </w:p>
    <w:p w:rsidR="00000000" w:rsidRDefault="00000000">
      <w:pPr>
        <w:autoSpaceDE w:val="0"/>
        <w:autoSpaceDN w:val="0"/>
        <w:adjustRightInd w:val="0"/>
        <w:spacing w:line="260" w:lineRule="exact"/>
        <w:ind w:left="397" w:hanging="397"/>
        <w:jc w:val="both"/>
        <w:rPr>
          <w:rFonts w:ascii="Arial" w:hAnsi="Arial"/>
          <w:sz w:val="22"/>
        </w:rPr>
      </w:pPr>
      <w:r>
        <w:rPr>
          <w:rFonts w:ascii="Arial" w:hAnsi="Arial"/>
          <w:sz w:val="22"/>
        </w:rPr>
        <w:t>–</w:t>
      </w:r>
      <w:r>
        <w:rPr>
          <w:rFonts w:ascii="Arial" w:hAnsi="Arial"/>
          <w:sz w:val="22"/>
        </w:rPr>
        <w:tab/>
        <w:t>частная система;</w:t>
      </w:r>
    </w:p>
    <w:p w:rsidR="00000000" w:rsidRDefault="00000000">
      <w:pPr>
        <w:autoSpaceDE w:val="0"/>
        <w:autoSpaceDN w:val="0"/>
        <w:adjustRightInd w:val="0"/>
        <w:spacing w:after="240" w:line="260" w:lineRule="exact"/>
        <w:ind w:left="397" w:hanging="397"/>
        <w:jc w:val="both"/>
        <w:rPr>
          <w:rFonts w:ascii="Arial" w:hAnsi="Arial"/>
          <w:sz w:val="22"/>
        </w:rPr>
      </w:pPr>
      <w:r>
        <w:rPr>
          <w:rFonts w:ascii="Arial" w:hAnsi="Arial"/>
          <w:sz w:val="22"/>
        </w:rPr>
        <w:t>–</w:t>
      </w:r>
      <w:r>
        <w:rPr>
          <w:rFonts w:ascii="Arial" w:hAnsi="Arial"/>
          <w:sz w:val="22"/>
        </w:rPr>
        <w:tab/>
        <w:t xml:space="preserve">частная некоммерческая система, как, например, Благотворительный совет города Гуаякиль, СОЛКА и т. п. </w:t>
      </w:r>
    </w:p>
    <w:p w:rsidR="00000000" w:rsidRDefault="00000000">
      <w:pPr>
        <w:autoSpaceDE w:val="0"/>
        <w:autoSpaceDN w:val="0"/>
        <w:adjustRightInd w:val="0"/>
        <w:spacing w:after="220" w:line="260" w:lineRule="exact"/>
        <w:jc w:val="both"/>
        <w:rPr>
          <w:rFonts w:ascii="Arial" w:hAnsi="Arial"/>
          <w:sz w:val="22"/>
        </w:rPr>
      </w:pPr>
      <w:r>
        <w:rPr>
          <w:rFonts w:ascii="Arial" w:hAnsi="Arial"/>
          <w:sz w:val="22"/>
        </w:rPr>
        <w:t>241.</w:t>
      </w:r>
      <w:r>
        <w:rPr>
          <w:rFonts w:ascii="Arial" w:hAnsi="Arial"/>
          <w:sz w:val="22"/>
        </w:rPr>
        <w:tab/>
        <w:t>Указанные системы действуют параллельно, что приводит к распылению предлагаемых в стране медицинских услуг. До принятия действующей Конституции не существовало единой политики в этой области. В осуществление положений Конституции предусматривается организация Национальной системы здравоохранения, в состав которой войдут все государственные, независимые, частные и общинные медицинские учреждения; эта система будет децентрализованной, рассредоточенной, и в ее работе активное участие будет принимать общество.</w:t>
      </w:r>
    </w:p>
    <w:p w:rsidR="00000000" w:rsidRDefault="00000000">
      <w:pPr>
        <w:autoSpaceDE w:val="0"/>
        <w:autoSpaceDN w:val="0"/>
        <w:adjustRightInd w:val="0"/>
        <w:spacing w:after="220" w:line="260" w:lineRule="exact"/>
        <w:jc w:val="both"/>
        <w:rPr>
          <w:rFonts w:ascii="Arial" w:hAnsi="Arial"/>
          <w:sz w:val="22"/>
        </w:rPr>
      </w:pPr>
      <w:r>
        <w:rPr>
          <w:rFonts w:ascii="Arial" w:hAnsi="Arial"/>
          <w:sz w:val="22"/>
        </w:rPr>
        <w:t>242.</w:t>
      </w:r>
      <w:r>
        <w:rPr>
          <w:rFonts w:ascii="Arial" w:hAnsi="Arial"/>
          <w:sz w:val="22"/>
        </w:rPr>
        <w:tab/>
        <w:t>Особенности системы здравоохранения определяют охват населения медицинскими услугами: 30 процентов населения охвачены государственной системой (Министерство здравоохранения); около 20 процентов – Эквадорским институтом социального страхования (ИЭСС); 20 процентов – системой социального обеспечения для крестьян. Частными некоммерческими медицинскими учреждениями охвачено 7 процентов населения и коммерческими – 15 процентов</w:t>
      </w:r>
      <w:r>
        <w:rPr>
          <w:rStyle w:val="FootnoteReference"/>
          <w:rFonts w:ascii="Arial" w:hAnsi="Arial"/>
          <w:sz w:val="22"/>
        </w:rPr>
        <w:footnoteReference w:id="67"/>
      </w:r>
      <w:r>
        <w:rPr>
          <w:rFonts w:ascii="Arial" w:hAnsi="Arial"/>
          <w:sz w:val="22"/>
        </w:rPr>
        <w:t>.</w:t>
      </w:r>
    </w:p>
    <w:p w:rsidR="00000000" w:rsidRDefault="00000000">
      <w:pPr>
        <w:autoSpaceDE w:val="0"/>
        <w:autoSpaceDN w:val="0"/>
        <w:adjustRightInd w:val="0"/>
        <w:spacing w:after="220" w:line="260" w:lineRule="exact"/>
        <w:jc w:val="both"/>
        <w:rPr>
          <w:rFonts w:ascii="Arial" w:hAnsi="Arial"/>
          <w:sz w:val="22"/>
        </w:rPr>
      </w:pPr>
      <w:r>
        <w:rPr>
          <w:rFonts w:ascii="Arial" w:hAnsi="Arial"/>
          <w:sz w:val="22"/>
        </w:rPr>
        <w:t>243.</w:t>
      </w:r>
      <w:r>
        <w:rPr>
          <w:rFonts w:ascii="Arial" w:hAnsi="Arial"/>
          <w:sz w:val="22"/>
        </w:rPr>
        <w:tab/>
        <w:t>Около 80 процентов женщин не имеют доступа к медицинскому страхованию, особенно в городах (82,6 процента ); в сельских районах этот показатель снижается до 76,3 процента. Подобное небольшое снижение связано с тем, что системой социального страхования крестьян охвачено примерно 21,8 процента женщин в сельских районах, в то время как в городах ею охвачено только 0,5 процента</w:t>
      </w:r>
      <w:r>
        <w:rPr>
          <w:rStyle w:val="FootnoteReference"/>
          <w:rFonts w:ascii="Arial" w:hAnsi="Arial"/>
          <w:sz w:val="22"/>
        </w:rPr>
        <w:footnoteReference w:id="68"/>
      </w:r>
      <w:r>
        <w:rPr>
          <w:rFonts w:ascii="Arial" w:hAnsi="Arial"/>
          <w:sz w:val="22"/>
        </w:rPr>
        <w:t>.</w:t>
      </w:r>
    </w:p>
    <w:p w:rsidR="00000000" w:rsidRDefault="00000000">
      <w:pPr>
        <w:autoSpaceDE w:val="0"/>
        <w:autoSpaceDN w:val="0"/>
        <w:adjustRightInd w:val="0"/>
        <w:spacing w:after="220" w:line="260" w:lineRule="exact"/>
        <w:jc w:val="both"/>
        <w:rPr>
          <w:rFonts w:ascii="Arial" w:hAnsi="Arial"/>
          <w:sz w:val="22"/>
        </w:rPr>
      </w:pPr>
      <w:r>
        <w:rPr>
          <w:rFonts w:ascii="Arial" w:hAnsi="Arial"/>
          <w:sz w:val="22"/>
        </w:rPr>
        <w:t>244.</w:t>
      </w:r>
      <w:r>
        <w:rPr>
          <w:rFonts w:ascii="Arial" w:hAnsi="Arial"/>
          <w:sz w:val="22"/>
        </w:rPr>
        <w:tab/>
        <w:t>В сельских районах остро не хватает специалистов-медиков. Большинство врачей сосредоточены в крупных городах. В 1995 году на 10 тыс. населения страны приходилось 15,19 врачей, причем наибольшая концентрация отмечалась в городах (13,79), а в сельских районах – 1,39</w:t>
      </w:r>
      <w:r>
        <w:rPr>
          <w:rStyle w:val="FootnoteReference"/>
          <w:rFonts w:ascii="Arial" w:hAnsi="Arial"/>
          <w:sz w:val="22"/>
        </w:rPr>
        <w:footnoteReference w:id="69"/>
      </w:r>
      <w:r>
        <w:rPr>
          <w:rFonts w:ascii="Arial" w:hAnsi="Arial"/>
          <w:sz w:val="22"/>
        </w:rPr>
        <w:t>.</w:t>
      </w:r>
    </w:p>
    <w:p w:rsidR="00000000" w:rsidRDefault="00000000">
      <w:pPr>
        <w:autoSpaceDE w:val="0"/>
        <w:autoSpaceDN w:val="0"/>
        <w:adjustRightInd w:val="0"/>
        <w:spacing w:after="220" w:line="260" w:lineRule="exact"/>
        <w:jc w:val="both"/>
        <w:rPr>
          <w:rFonts w:ascii="Arial" w:hAnsi="Arial"/>
          <w:sz w:val="22"/>
        </w:rPr>
      </w:pPr>
      <w:r>
        <w:rPr>
          <w:rFonts w:ascii="Arial" w:hAnsi="Arial"/>
          <w:sz w:val="22"/>
        </w:rPr>
        <w:t>245.</w:t>
      </w:r>
      <w:r>
        <w:rPr>
          <w:rFonts w:ascii="Arial" w:hAnsi="Arial"/>
          <w:sz w:val="22"/>
        </w:rPr>
        <w:tab/>
        <w:t>В 1995 году на 10 тыс. населения страны приходилось 5,20 медсестер, причем данный показатель выше в городах (4,81), чем в сельских районах (3,98). Что касается акушерок, то этот показатель для городов составлял 650 и для сельских районов – 125, то есть в целом по стране 775. Показатель наличия вспомогательного медицинского персонала составлял 13,39, из которых на города приходилось 12,12 и на сельские районы – 1,27.</w:t>
      </w:r>
    </w:p>
    <w:p w:rsidR="00000000" w:rsidRDefault="00000000">
      <w:pPr>
        <w:autoSpaceDE w:val="0"/>
        <w:autoSpaceDN w:val="0"/>
        <w:adjustRightInd w:val="0"/>
        <w:spacing w:after="220" w:line="260" w:lineRule="exact"/>
        <w:jc w:val="both"/>
        <w:rPr>
          <w:rFonts w:ascii="Arial" w:hAnsi="Arial"/>
          <w:sz w:val="22"/>
        </w:rPr>
      </w:pPr>
      <w:r>
        <w:rPr>
          <w:rFonts w:ascii="Arial" w:hAnsi="Arial"/>
          <w:sz w:val="22"/>
        </w:rPr>
        <w:t>246.</w:t>
      </w:r>
      <w:r>
        <w:rPr>
          <w:rFonts w:ascii="Arial" w:hAnsi="Arial"/>
          <w:sz w:val="22"/>
        </w:rPr>
        <w:tab/>
        <w:t>На третьем этапе опроса по условиям жизни (ЭКВ) было выявлено, что в среднем по стране время ожидания медицинской помощи составляет 40 минут; время ожидания для женщин больше (в среднем 42 минуты), чем для мужчин (38 минут). В городах женщины ожидают медицинской помощи в среднем 41 минуту, а мужчины – 36 минут; в сельских районах средняя продолжительность ожидания для женщин составляет 44</w:t>
      </w:r>
      <w:r>
        <w:rPr>
          <w:rFonts w:ascii="Arial" w:hAnsi="Arial"/>
          <w:sz w:val="22"/>
          <w:lang w:val="en-US"/>
        </w:rPr>
        <w:t> </w:t>
      </w:r>
      <w:r>
        <w:rPr>
          <w:rFonts w:ascii="Arial" w:hAnsi="Arial"/>
          <w:sz w:val="22"/>
        </w:rPr>
        <w:t>минуты, а для мужчин – 40</w:t>
      </w:r>
      <w:r>
        <w:rPr>
          <w:rFonts w:ascii="Arial" w:hAnsi="Arial"/>
          <w:sz w:val="22"/>
          <w:lang w:val="en-US"/>
        </w:rPr>
        <w:t> </w:t>
      </w:r>
      <w:r>
        <w:rPr>
          <w:rFonts w:ascii="Arial" w:hAnsi="Arial"/>
          <w:sz w:val="22"/>
        </w:rPr>
        <w:t>минут</w:t>
      </w:r>
      <w:r>
        <w:rPr>
          <w:rStyle w:val="FootnoteReference"/>
          <w:rFonts w:ascii="Arial" w:hAnsi="Arial"/>
          <w:sz w:val="22"/>
        </w:rPr>
        <w:footnoteReference w:id="70"/>
      </w:r>
      <w:r>
        <w:rPr>
          <w:rFonts w:ascii="Arial" w:hAnsi="Arial"/>
          <w:sz w:val="22"/>
        </w:rPr>
        <w:t>.</w:t>
      </w:r>
    </w:p>
    <w:p w:rsidR="00000000" w:rsidRDefault="00000000">
      <w:pPr>
        <w:autoSpaceDE w:val="0"/>
        <w:autoSpaceDN w:val="0"/>
        <w:adjustRightInd w:val="0"/>
        <w:spacing w:after="220" w:line="260" w:lineRule="exact"/>
        <w:jc w:val="both"/>
        <w:rPr>
          <w:rFonts w:ascii="Arial" w:hAnsi="Arial"/>
          <w:sz w:val="22"/>
        </w:rPr>
      </w:pPr>
      <w:r>
        <w:rPr>
          <w:rFonts w:ascii="Arial" w:hAnsi="Arial"/>
          <w:sz w:val="22"/>
        </w:rPr>
        <w:t>247.</w:t>
      </w:r>
      <w:r>
        <w:rPr>
          <w:rFonts w:ascii="Arial" w:hAnsi="Arial"/>
          <w:sz w:val="22"/>
        </w:rPr>
        <w:tab/>
        <w:t>В 1998 году женщины, проживающие в городах, затрачивали в среднем 27</w:t>
      </w:r>
      <w:r>
        <w:rPr>
          <w:rFonts w:ascii="Arial" w:hAnsi="Arial"/>
          <w:sz w:val="22"/>
          <w:lang w:val="en-US"/>
        </w:rPr>
        <w:t> </w:t>
      </w:r>
      <w:r>
        <w:rPr>
          <w:rFonts w:ascii="Arial" w:hAnsi="Arial"/>
          <w:sz w:val="22"/>
        </w:rPr>
        <w:t>минут, для того чтобы добраться до медицинского учреждения, в то время как в сельских районах женщинам требовалось 59</w:t>
      </w:r>
      <w:r>
        <w:rPr>
          <w:rFonts w:ascii="Arial" w:hAnsi="Arial"/>
          <w:sz w:val="22"/>
          <w:lang w:val="en-US"/>
        </w:rPr>
        <w:t> </w:t>
      </w:r>
      <w:r>
        <w:rPr>
          <w:rFonts w:ascii="Arial" w:hAnsi="Arial"/>
          <w:sz w:val="22"/>
        </w:rPr>
        <w:t>минут. Это ограничивает женщинам доступ к медицинской помощи, особенно крестьянкам и представительницам коренного населения</w:t>
      </w:r>
      <w:r>
        <w:rPr>
          <w:rStyle w:val="FootnoteReference"/>
          <w:rFonts w:ascii="Arial" w:hAnsi="Arial"/>
          <w:sz w:val="22"/>
        </w:rPr>
        <w:footnoteReference w:id="71"/>
      </w:r>
      <w:r>
        <w:rPr>
          <w:rFonts w:ascii="Arial" w:hAnsi="Arial"/>
          <w:sz w:val="22"/>
        </w:rPr>
        <w:t>.</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248.</w:t>
      </w:r>
      <w:r>
        <w:rPr>
          <w:rFonts w:ascii="Arial" w:hAnsi="Arial"/>
          <w:sz w:val="22"/>
        </w:rPr>
        <w:tab/>
        <w:t>В отношении обеспеченности койкоместами следует отметить, что на 10</w:t>
      </w:r>
      <w:r>
        <w:rPr>
          <w:rFonts w:ascii="Arial" w:hAnsi="Arial"/>
          <w:sz w:val="22"/>
          <w:lang w:val="en-US"/>
        </w:rPr>
        <w:t> </w:t>
      </w:r>
      <w:r>
        <w:rPr>
          <w:rFonts w:ascii="Arial" w:hAnsi="Arial"/>
          <w:sz w:val="22"/>
        </w:rPr>
        <w:t>тыс. жителей в медицинских учреждениях системы Министерства здравоохранения приходилось в 1994 году 7,1 койкомест, в 1995 году – 7,7 и в 1996 году – 7,6. Аналогичный показатель для частных медицинских учреждений составлял 3,1 в 1994 году, 3,3 в 1995 году и 3,4 в 1996 году. Тот же показатель в системе Эквадорского института социального страхования (ИЭСС) составлял 1,6 в 1994, 1995 и 1996 годах; в отношении других медицинских учреждений этот показатель равнялся 4,0 в 1994–1995 годах и 3,9 в 1996 году</w:t>
      </w:r>
      <w:r>
        <w:rPr>
          <w:rStyle w:val="FootnoteReference"/>
          <w:rFonts w:ascii="Arial" w:hAnsi="Arial"/>
          <w:sz w:val="22"/>
        </w:rPr>
        <w:footnoteReference w:id="72"/>
      </w:r>
      <w:r>
        <w:rPr>
          <w:rFonts w:ascii="Arial" w:hAnsi="Arial"/>
          <w:sz w:val="22"/>
        </w:rPr>
        <w:t>.</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249.</w:t>
      </w:r>
      <w:r>
        <w:rPr>
          <w:rFonts w:ascii="Arial" w:hAnsi="Arial"/>
          <w:sz w:val="22"/>
        </w:rPr>
        <w:tab/>
        <w:t>Обеспеченность питьевой водой в 1993 году в целом по стране составляла 59,2 процента; в городах этот показатель равнялся 75 процентам, а в сельских районах – 27,5 процента. В 1996 году обеспеченность питьевой водой в целом по стране составила 69,7 процента, причем в городах – 81,5 процента и в сельских районах – 50,9 процента</w:t>
      </w:r>
      <w:r>
        <w:rPr>
          <w:rStyle w:val="FootnoteReference"/>
          <w:rFonts w:ascii="Arial" w:hAnsi="Arial"/>
          <w:sz w:val="22"/>
        </w:rPr>
        <w:footnoteReference w:id="73"/>
      </w:r>
      <w:r>
        <w:rPr>
          <w:rFonts w:ascii="Arial" w:hAnsi="Arial"/>
          <w:sz w:val="22"/>
        </w:rPr>
        <w:t>.</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250.</w:t>
      </w:r>
      <w:r>
        <w:rPr>
          <w:rFonts w:ascii="Arial" w:hAnsi="Arial"/>
          <w:sz w:val="22"/>
        </w:rPr>
        <w:tab/>
        <w:t>От отсутствия питьевой воды страдают главным образом женщины в сельских районах. Отставание сельских районов от городов в этом отношении по-прежнему значительно.</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251.</w:t>
      </w:r>
      <w:r>
        <w:rPr>
          <w:rFonts w:ascii="Arial" w:hAnsi="Arial"/>
          <w:sz w:val="22"/>
        </w:rPr>
        <w:tab/>
        <w:t>Что касается канализации, то в 1993 году обеспеченность ею в городах составляла 60,8 процента, а в сельских районах – 9,4 процента. В 1996 году уровень обеспеченности канализацией составил 61,4 процента в городах и 10,4 процента в сельских районах. Как можно видеть, в этом отношении сохраняются значительные различия в городах и в сельских районах. В 1993 году обеспеченность уборными составила 9 процентов в городах и 25,4 процента в сельских районах; в 1996 году – 9,1 процента в городах и 26,3 процента в сельских районах</w:t>
      </w:r>
      <w:r>
        <w:rPr>
          <w:rStyle w:val="FootnoteReference"/>
          <w:rFonts w:ascii="Arial" w:hAnsi="Arial"/>
          <w:sz w:val="22"/>
        </w:rPr>
        <w:footnoteReference w:id="74"/>
      </w:r>
      <w:r>
        <w:rPr>
          <w:rFonts w:ascii="Arial" w:hAnsi="Arial"/>
          <w:sz w:val="22"/>
        </w:rPr>
        <w:t>.</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252.</w:t>
      </w:r>
      <w:r>
        <w:rPr>
          <w:rFonts w:ascii="Arial" w:hAnsi="Arial"/>
          <w:sz w:val="22"/>
        </w:rPr>
        <w:tab/>
        <w:t>В рамках программы "</w:t>
      </w:r>
      <w:r>
        <w:rPr>
          <w:rFonts w:ascii="Arial" w:hAnsi="Arial"/>
          <w:caps/>
          <w:sz w:val="22"/>
        </w:rPr>
        <w:t>у</w:t>
      </w:r>
      <w:r>
        <w:rPr>
          <w:rFonts w:ascii="Arial" w:hAnsi="Arial"/>
          <w:sz w:val="22"/>
        </w:rPr>
        <w:t>крепление и развитие базовых услуг в области здравоохранения в Эквадоре" (ФАСБАСЕ) Министерство здравоохранения обеспечивает оказание медицинской помощи 2</w:t>
      </w:r>
      <w:r>
        <w:rPr>
          <w:rFonts w:ascii="Arial" w:hAnsi="Arial"/>
          <w:sz w:val="22"/>
          <w:lang w:val="en-US"/>
        </w:rPr>
        <w:t> </w:t>
      </w:r>
      <w:r>
        <w:rPr>
          <w:rFonts w:ascii="Arial" w:hAnsi="Arial"/>
          <w:sz w:val="22"/>
        </w:rPr>
        <w:t>млн. эквадорцев, живущим в бедности и по состоянию здоровья подвергающимся риску заболевания и смерти. Благодаря эффективной и низкозатратной системе базовых медицинских услуг им оказывается профилактическая помощь или лечение заболеваний на ранних стадиях (Министерство здравоохранения, 1992</w:t>
      </w:r>
      <w:r>
        <w:rPr>
          <w:rFonts w:ascii="Arial" w:hAnsi="Arial"/>
          <w:sz w:val="22"/>
          <w:lang w:val="en-US"/>
        </w:rPr>
        <w:t> </w:t>
      </w:r>
      <w:r>
        <w:rPr>
          <w:rFonts w:ascii="Arial" w:hAnsi="Arial"/>
          <w:sz w:val="22"/>
        </w:rPr>
        <w:t>год). Программа включает также компонент в области питания, в рамках которого предоставляется дополнительное питание (беременным женщинам, женщинам, кормящим грудью, детям обоего пола в возрасте до трех лет), проводится просветительская работа по вопросам питания, пропаганды грудного вскармливания младенцев, контроля за ростом ребенка и за его питанием. Другим важным компонентом этой программы является удовлетворение основных санитарно-гигиенических потребностей, в частности обеспечение безопасной водой и обустройство уборных.</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br w:type="page"/>
        <w:t>253.</w:t>
      </w:r>
      <w:r>
        <w:rPr>
          <w:rFonts w:ascii="Arial" w:hAnsi="Arial"/>
          <w:sz w:val="22"/>
        </w:rPr>
        <w:tab/>
        <w:t>Министерство здравоохранения осуществляет ряд программ профилактики заболеваний и охраны здоровья матери и ребенка. К таким программам относятся:</w:t>
      </w:r>
    </w:p>
    <w:p w:rsidR="00000000" w:rsidRDefault="00000000">
      <w:pPr>
        <w:autoSpaceDE w:val="0"/>
        <w:autoSpaceDN w:val="0"/>
        <w:adjustRightInd w:val="0"/>
        <w:spacing w:line="260" w:lineRule="exact"/>
        <w:ind w:left="397" w:hanging="397"/>
        <w:jc w:val="both"/>
        <w:rPr>
          <w:rFonts w:ascii="Arial" w:hAnsi="Arial"/>
          <w:sz w:val="22"/>
        </w:rPr>
      </w:pPr>
      <w:r>
        <w:rPr>
          <w:rFonts w:ascii="Arial" w:hAnsi="Arial"/>
          <w:sz w:val="22"/>
        </w:rPr>
        <w:t>–</w:t>
      </w:r>
      <w:r>
        <w:rPr>
          <w:rFonts w:ascii="Arial" w:hAnsi="Arial"/>
          <w:sz w:val="22"/>
        </w:rPr>
        <w:tab/>
        <w:t>Контроль за ростом и развитием ребенка. В задачи этой программы входит достижение необходимых уровней роста и развития детей с помощью контроля за питанием, через оказание помощи в обеспечении питанием групп повышенного риска, а также путем проведения просветительской работы по вопросам питания с матерями, семьями и общинами.</w:t>
      </w:r>
    </w:p>
    <w:p w:rsidR="00000000" w:rsidRDefault="00000000">
      <w:pPr>
        <w:pStyle w:val="BodyTextIndent"/>
        <w:autoSpaceDE w:val="0"/>
        <w:autoSpaceDN w:val="0"/>
        <w:adjustRightInd w:val="0"/>
      </w:pPr>
      <w:r>
        <w:t>–</w:t>
      </w:r>
      <w:r>
        <w:tab/>
        <w:t>Расширенная программа вакцинации. Ее целью является проведение вакцинации от 10 заболеваний (корь, дифтерит, коклюш, краснуха, туберкулез, столбняк, полиомиелит, свинка, желтая лихорадка, гепатит В) среди 1,5 млн. детей и беременных женщин. Прививка от желтой лихорадки и гепатита В осуществлялась только в Амазонии, где было выявлено несколько случаев этих заболеваний; кроме того, детям в возрасте до 3 лет выдавался витамин А.</w:t>
      </w:r>
    </w:p>
    <w:p w:rsidR="00000000" w:rsidRDefault="00000000">
      <w:pPr>
        <w:autoSpaceDE w:val="0"/>
        <w:autoSpaceDN w:val="0"/>
        <w:adjustRightInd w:val="0"/>
        <w:spacing w:line="260" w:lineRule="exact"/>
        <w:ind w:left="397" w:hanging="397"/>
        <w:jc w:val="both"/>
        <w:rPr>
          <w:rFonts w:ascii="Arial" w:hAnsi="Arial"/>
          <w:sz w:val="22"/>
        </w:rPr>
      </w:pPr>
      <w:r>
        <w:rPr>
          <w:rFonts w:ascii="Arial" w:hAnsi="Arial"/>
          <w:sz w:val="22"/>
        </w:rPr>
        <w:t>–</w:t>
      </w:r>
      <w:r>
        <w:rPr>
          <w:rFonts w:ascii="Arial" w:hAnsi="Arial"/>
          <w:sz w:val="22"/>
        </w:rPr>
        <w:tab/>
        <w:t>Программа развития и защиты грудного вскармливания младенцев. Ее целью является содействие практике грудного вскармливания детей для снижения заболеваемости и смертности среди детей в возрасте до 5 лет; обеспечение их должного роста и развития и улучшение их питания. В рамках этой программы осуществляется стратегия "больница – друг ребенка и матери", в задачи которой входит содействие грудному вскармливанию со стороны медицинских учреждений, принимающих более 1 тыс. родов в год.</w:t>
      </w:r>
    </w:p>
    <w:p w:rsidR="00000000" w:rsidRDefault="00000000">
      <w:pPr>
        <w:autoSpaceDE w:val="0"/>
        <w:autoSpaceDN w:val="0"/>
        <w:adjustRightInd w:val="0"/>
        <w:spacing w:line="260" w:lineRule="exact"/>
        <w:ind w:left="397" w:hanging="397"/>
        <w:jc w:val="both"/>
        <w:rPr>
          <w:rFonts w:ascii="Arial" w:hAnsi="Arial"/>
          <w:sz w:val="22"/>
        </w:rPr>
      </w:pPr>
      <w:r>
        <w:rPr>
          <w:rFonts w:ascii="Arial" w:hAnsi="Arial"/>
          <w:sz w:val="22"/>
        </w:rPr>
        <w:t>–</w:t>
      </w:r>
      <w:r>
        <w:rPr>
          <w:rFonts w:ascii="Arial" w:hAnsi="Arial"/>
          <w:sz w:val="22"/>
        </w:rPr>
        <w:tab/>
        <w:t>Проект "Здоровье и выживание детей". В рамках этого проекта работа ведется по двум направлениям: улучшение здоровья и повышение выживаемости детей посредством оказания медицинской помощи детям в случае диареи, острых респираторных инфекций путем вакцинации, а также укрепление системы здравоохранения, развитие и улучшение информирования, контроля, руководства и материально-технического обеспечения.</w:t>
      </w:r>
    </w:p>
    <w:p w:rsidR="00000000" w:rsidRDefault="00000000">
      <w:pPr>
        <w:autoSpaceDE w:val="0"/>
        <w:autoSpaceDN w:val="0"/>
        <w:adjustRightInd w:val="0"/>
        <w:spacing w:line="260" w:lineRule="exact"/>
        <w:ind w:left="397" w:hanging="397"/>
        <w:jc w:val="both"/>
        <w:rPr>
          <w:rFonts w:ascii="Arial" w:hAnsi="Arial"/>
          <w:sz w:val="22"/>
        </w:rPr>
      </w:pPr>
      <w:r>
        <w:rPr>
          <w:rFonts w:ascii="Arial" w:hAnsi="Arial"/>
          <w:sz w:val="22"/>
        </w:rPr>
        <w:t>–</w:t>
      </w:r>
      <w:r>
        <w:rPr>
          <w:rFonts w:ascii="Arial" w:hAnsi="Arial"/>
          <w:sz w:val="22"/>
        </w:rPr>
        <w:tab/>
        <w:t>Национальная программа повышения качества продовольствия и питания. Ее целью является включение задач, понятий и компонентов агропродовольственной проблематики и вопросов из области питания в национальные и отраслевые стратегии, планы и программы развития в целях содействия предупреждению и лечению последствий недостаточного питания населения, прежде всего в наиболее уязвимых группах и в группах риска (женщины фертильного возраста, дети обоего пола и старики).</w:t>
      </w:r>
    </w:p>
    <w:p w:rsidR="00000000" w:rsidRDefault="00000000">
      <w:pPr>
        <w:autoSpaceDE w:val="0"/>
        <w:autoSpaceDN w:val="0"/>
        <w:adjustRightInd w:val="0"/>
        <w:spacing w:line="260" w:lineRule="exact"/>
        <w:ind w:left="397" w:hanging="397"/>
        <w:jc w:val="both"/>
        <w:rPr>
          <w:rFonts w:ascii="Arial" w:hAnsi="Arial"/>
          <w:sz w:val="22"/>
        </w:rPr>
      </w:pPr>
      <w:r>
        <w:rPr>
          <w:rFonts w:ascii="Arial" w:hAnsi="Arial"/>
          <w:sz w:val="22"/>
        </w:rPr>
        <w:t>–</w:t>
      </w:r>
      <w:r>
        <w:rPr>
          <w:rFonts w:ascii="Arial" w:hAnsi="Arial"/>
          <w:sz w:val="22"/>
        </w:rPr>
        <w:tab/>
        <w:t>Программа обеспечения дополнительным питанием матерей и детей. В ее рамках предоставляется усиленное питание как девочкам, так и мальчикам в возрасте до 5 лет, беременным и кормящим женщинам, получателям помощи по программе укрепления здоровья матери и ребенка Министерства здравоохранения.</w:t>
      </w:r>
    </w:p>
    <w:p w:rsidR="00000000" w:rsidRDefault="00000000">
      <w:pPr>
        <w:autoSpaceDE w:val="0"/>
        <w:autoSpaceDN w:val="0"/>
        <w:adjustRightInd w:val="0"/>
        <w:spacing w:line="260" w:lineRule="exact"/>
        <w:ind w:left="397" w:hanging="397"/>
        <w:jc w:val="both"/>
        <w:rPr>
          <w:rFonts w:ascii="Arial" w:hAnsi="Arial"/>
          <w:sz w:val="22"/>
        </w:rPr>
      </w:pPr>
      <w:r>
        <w:rPr>
          <w:rFonts w:ascii="Arial" w:hAnsi="Arial"/>
          <w:sz w:val="22"/>
        </w:rPr>
        <w:t>–</w:t>
      </w:r>
      <w:r>
        <w:rPr>
          <w:rFonts w:ascii="Arial" w:hAnsi="Arial"/>
          <w:sz w:val="22"/>
        </w:rPr>
        <w:tab/>
        <w:t>Программа борьбы с эндемическим зобом. В ее рамках поставлена задача  контроля за проблемами, вызванными йодной недостаточностью, посредством использования всем населением йодированной соли и создания системы эпидемиологического мониторинга нарушений, связанных с йодной недостаточностью; при этом особое внимание уделяется району Анд, который считается территорией повышенного риска.</w:t>
      </w:r>
    </w:p>
    <w:p w:rsidR="00000000" w:rsidRDefault="00000000">
      <w:pPr>
        <w:pStyle w:val="BodyTextIndent"/>
        <w:autoSpaceDE w:val="0"/>
        <w:autoSpaceDN w:val="0"/>
        <w:adjustRightInd w:val="0"/>
        <w:spacing w:after="240"/>
      </w:pPr>
      <w:r>
        <w:t>–</w:t>
      </w:r>
      <w:r>
        <w:tab/>
        <w:t>Программы детского развития. Эти программы представляют собой модели комплексной помощи мальчикам и девочкам в возрасте до 6 лет, семьи которых живут в бедности и относятся к группе высокого риска. В ее рамках предоставляется несколько видов помощи: в области охраны здоровья – в целях предупреждения болезней и контроля за ними; в области повышения качества продовольствия и питания – в целях улучшения питания мальчиков и девочек из групп риска либо в слабой или умеренной степени страдающих от нехватки питания; в области психосоциального развития – содействие развитию детей, как мальчиков, так и девочек. Эта программа осуществляется Оперативно-исполнительным отделом спасения детей (ОРИ) Министерства социального обеспечения и Национальным институтом по проблемам детства и семьи (ИННФА).</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254.</w:t>
      </w:r>
      <w:r>
        <w:rPr>
          <w:rFonts w:ascii="Arial" w:hAnsi="Arial"/>
          <w:sz w:val="22"/>
        </w:rPr>
        <w:tab/>
        <w:t>Состояние здоровья эквадорского населения нельзя признать хорошим. За последние два десятилетия были достигнуты определенные успехи, однако вызывает беспокойство тот факт, что они могут быть сведены на нет последствиями экономического и политического кризиса, который разразился в стране более десяти лет назад.</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255.</w:t>
      </w:r>
      <w:r>
        <w:rPr>
          <w:rFonts w:ascii="Arial" w:hAnsi="Arial"/>
          <w:sz w:val="22"/>
        </w:rPr>
        <w:tab/>
        <w:t>В 1974–1994 годах структура заболеваемости и смертности эквадорцев претерпела значительные изменения: снизилось число случаев смерти по причинам, которые можно предотвратить, но увеличилось число случаев смерти в результате хронических заболеваний. К 1995 году впервые за всю историю страны уровень смертности по последней причине превысил уровень смертности от предотвратимых заболеваний.</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256.</w:t>
      </w:r>
      <w:r>
        <w:rPr>
          <w:rFonts w:ascii="Arial" w:hAnsi="Arial"/>
          <w:sz w:val="22"/>
        </w:rPr>
        <w:tab/>
        <w:t>Увеличение числа медицинских пунктов в сельских общинах представляет собой прогресс в сфере оказания медицинской помощи; об этом свидетельствует тот факт, что в 1995 году у 35 процентов сельских общин имелся свой медицинский пункт.</w:t>
      </w:r>
    </w:p>
    <w:p w:rsidR="00000000" w:rsidRDefault="00000000">
      <w:pPr>
        <w:pStyle w:val="BodyText"/>
        <w:tabs>
          <w:tab w:val="clear" w:pos="680"/>
        </w:tabs>
        <w:autoSpaceDE w:val="0"/>
        <w:autoSpaceDN w:val="0"/>
        <w:adjustRightInd w:val="0"/>
      </w:pPr>
      <w:r>
        <w:t>257.</w:t>
      </w:r>
      <w:r>
        <w:tab/>
        <w:t>Кампаниями по вакцинации охватываются дети и беременные женщины. В 1995 году была проведена вакцинация от шести заболеваний, а в 1999 году – от десяти, с учетом особенностей Амазонии. В рамках этой кампании удалось охватить 1,5 млн. детей в возрасте до 5 лет и беременных женщин.</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258.</w:t>
      </w:r>
      <w:r>
        <w:rPr>
          <w:rFonts w:ascii="Arial" w:hAnsi="Arial"/>
          <w:sz w:val="22"/>
        </w:rPr>
        <w:tab/>
        <w:t>В 1998 году государство через Министерство здравоохранения провозгласило насилие в семье проблемой, относящейся к здравоохранению, как в том, что касается регистрации случаев насилия, так и их выявления и лечения пострадавших</w:t>
      </w:r>
    </w:p>
    <w:p w:rsidR="00000000" w:rsidRDefault="00000000">
      <w:pPr>
        <w:pStyle w:val="Heading3"/>
        <w:rPr>
          <w:caps/>
        </w:rPr>
      </w:pPr>
      <w:r>
        <w:rPr>
          <w:caps/>
        </w:rPr>
        <w:t>Статья 13</w:t>
      </w:r>
    </w:p>
    <w:p w:rsidR="00000000" w:rsidRDefault="00000000">
      <w:pPr>
        <w:autoSpaceDE w:val="0"/>
        <w:autoSpaceDN w:val="0"/>
        <w:adjustRightInd w:val="0"/>
        <w:spacing w:after="240" w:line="260" w:lineRule="exact"/>
        <w:ind w:left="709"/>
        <w:jc w:val="both"/>
        <w:rPr>
          <w:rFonts w:ascii="Arial" w:hAnsi="Arial"/>
          <w:i/>
          <w:sz w:val="22"/>
        </w:rPr>
      </w:pPr>
      <w:r>
        <w:rPr>
          <w:rFonts w:ascii="Arial" w:hAnsi="Arial"/>
          <w:i/>
          <w:color w:val="000000"/>
          <w:sz w:val="22"/>
        </w:rPr>
        <w:t>Государства-участники принимают все соответствующие меры для ликвидации дискриминации в отношении женщин в других областях экономической и социальной жизни, с тем чтобы обеспечить на основе равенства мужчин и женщин равные права, в частности:</w:t>
      </w:r>
    </w:p>
    <w:p w:rsidR="00000000" w:rsidRDefault="00000000">
      <w:pPr>
        <w:pStyle w:val="-"/>
      </w:pPr>
      <w:r>
        <w:t>а)</w:t>
      </w:r>
      <w:r>
        <w:tab/>
        <w:t>право на семейные пособия;</w:t>
      </w:r>
    </w:p>
    <w:p w:rsidR="00000000" w:rsidRDefault="00000000">
      <w:pPr>
        <w:pStyle w:val="-"/>
      </w:pPr>
      <w:r>
        <w:t>b)</w:t>
      </w:r>
      <w:r>
        <w:tab/>
        <w:t>право на получение займов, ссуд под недвижимость и других форм финансового кредита;</w:t>
      </w:r>
    </w:p>
    <w:p w:rsidR="00000000" w:rsidRDefault="00000000">
      <w:pPr>
        <w:pStyle w:val="-"/>
        <w:spacing w:after="240"/>
      </w:pPr>
      <w:r>
        <w:t>с)</w:t>
      </w:r>
      <w:r>
        <w:tab/>
        <w:t>право участвовать в мероприятиях, связанных с отдыхом, занятиях спортом и во всех областях культурной жизни.</w:t>
      </w:r>
    </w:p>
    <w:p w:rsidR="00000000" w:rsidRDefault="00000000">
      <w:pPr>
        <w:pStyle w:val="BodyText3"/>
        <w:spacing w:after="240" w:line="260" w:lineRule="exact"/>
        <w:jc w:val="both"/>
        <w:rPr>
          <w:rFonts w:ascii="Arial" w:hAnsi="Arial"/>
          <w:sz w:val="22"/>
        </w:rPr>
      </w:pPr>
      <w:r>
        <w:rPr>
          <w:rFonts w:ascii="Arial" w:hAnsi="Arial"/>
          <w:sz w:val="22"/>
        </w:rPr>
        <w:t>259.</w:t>
      </w:r>
      <w:r>
        <w:rPr>
          <w:rFonts w:ascii="Arial" w:hAnsi="Arial"/>
          <w:sz w:val="22"/>
        </w:rPr>
        <w:tab/>
        <w:t>В статье 34 Политической конституции Эквадора гарантируется равенство прав и возможностей для женщин и мужчин в том, что касается доступа к производственным ресурсам и принятия в брачном союзе экономических решений и распоряжения совместной собственностью.</w:t>
      </w:r>
    </w:p>
    <w:p w:rsidR="00000000" w:rsidRDefault="00000000">
      <w:pPr>
        <w:autoSpaceDE w:val="0"/>
        <w:autoSpaceDN w:val="0"/>
        <w:adjustRightInd w:val="0"/>
        <w:spacing w:after="240" w:line="260" w:lineRule="exact"/>
        <w:jc w:val="both"/>
        <w:rPr>
          <w:rFonts w:ascii="Arial" w:hAnsi="Arial"/>
          <w:color w:val="000000"/>
          <w:sz w:val="22"/>
        </w:rPr>
      </w:pPr>
      <w:r>
        <w:rPr>
          <w:rFonts w:ascii="Arial" w:hAnsi="Arial"/>
          <w:color w:val="000000"/>
          <w:sz w:val="22"/>
        </w:rPr>
        <w:t>260.</w:t>
      </w:r>
      <w:r>
        <w:rPr>
          <w:rFonts w:ascii="Arial" w:hAnsi="Arial"/>
          <w:color w:val="000000"/>
          <w:sz w:val="22"/>
        </w:rPr>
        <w:tab/>
        <w:t>Несмотря на отсутствие дискриминации в доступе к таким ресурсам, как жилье и земля, согласно статистическим данным 1995 года, только 19 процентов женщин были владельцами земли, в то время как на долю мужчин, владеющих землей, приходился 31 процент. Существует также различие примерно в 10 пунктов и в отношении собственности на жилье</w:t>
      </w:r>
      <w:r>
        <w:rPr>
          <w:rStyle w:val="FootnoteReference"/>
          <w:rFonts w:ascii="Arial" w:hAnsi="Arial"/>
          <w:color w:val="000000"/>
          <w:sz w:val="22"/>
        </w:rPr>
        <w:footnoteReference w:id="75"/>
      </w:r>
      <w:r>
        <w:rPr>
          <w:rFonts w:ascii="Arial" w:hAnsi="Arial"/>
          <w:color w:val="000000"/>
          <w:sz w:val="22"/>
        </w:rPr>
        <w:t>.</w:t>
      </w:r>
    </w:p>
    <w:p w:rsidR="00000000" w:rsidRDefault="00000000">
      <w:pPr>
        <w:autoSpaceDE w:val="0"/>
        <w:autoSpaceDN w:val="0"/>
        <w:adjustRightInd w:val="0"/>
        <w:spacing w:after="240" w:line="260" w:lineRule="exact"/>
        <w:jc w:val="both"/>
        <w:rPr>
          <w:rFonts w:ascii="Arial" w:hAnsi="Arial"/>
          <w:color w:val="000000"/>
          <w:sz w:val="22"/>
        </w:rPr>
      </w:pPr>
      <w:r>
        <w:rPr>
          <w:rFonts w:ascii="Arial" w:hAnsi="Arial"/>
          <w:color w:val="000000"/>
          <w:sz w:val="22"/>
        </w:rPr>
        <w:t>261.</w:t>
      </w:r>
      <w:r>
        <w:rPr>
          <w:rFonts w:ascii="Arial" w:hAnsi="Arial"/>
          <w:color w:val="000000"/>
          <w:sz w:val="22"/>
        </w:rPr>
        <w:tab/>
        <w:t>Для государственных и частных банков, предоставляющих кредиты и осуществляющих ипотечное кредитование, не имеет значения пол обратившихся за кредитами; единственное условие, которое принимается ими во внимание, – это платежеспособность.</w:t>
      </w:r>
    </w:p>
    <w:p w:rsidR="00000000" w:rsidRDefault="00000000">
      <w:pPr>
        <w:autoSpaceDE w:val="0"/>
        <w:autoSpaceDN w:val="0"/>
        <w:adjustRightInd w:val="0"/>
        <w:spacing w:after="240" w:line="260" w:lineRule="exact"/>
        <w:jc w:val="both"/>
        <w:rPr>
          <w:rFonts w:ascii="Arial" w:hAnsi="Arial"/>
          <w:color w:val="000000"/>
          <w:sz w:val="22"/>
        </w:rPr>
      </w:pPr>
      <w:r>
        <w:rPr>
          <w:rFonts w:ascii="Arial" w:hAnsi="Arial"/>
          <w:color w:val="000000"/>
          <w:sz w:val="22"/>
        </w:rPr>
        <w:t>262.</w:t>
      </w:r>
      <w:r>
        <w:rPr>
          <w:rFonts w:ascii="Arial" w:hAnsi="Arial"/>
          <w:color w:val="000000"/>
          <w:sz w:val="22"/>
        </w:rPr>
        <w:tab/>
        <w:t>Домохозяйства в сельских районах имеют меньше доступа к официально установленным формам кредита, чем домохозяйства в городах. Использование официальных кредитов реже отмечается среди коренного населения и крестьян: примерно 5 процентов от общего числа таких домохозяйств по сравнению с 18 процентами домохозяйств в городах, получивших такие кредиты. В сельских районах домохозяйства прибегают главным образом к неофициальным кредитам</w:t>
      </w:r>
      <w:r>
        <w:rPr>
          <w:rStyle w:val="FootnoteReference"/>
          <w:rFonts w:ascii="Arial" w:hAnsi="Arial"/>
          <w:color w:val="000000"/>
          <w:sz w:val="22"/>
        </w:rPr>
        <w:footnoteReference w:id="76"/>
      </w:r>
      <w:r>
        <w:rPr>
          <w:rFonts w:ascii="Arial" w:hAnsi="Arial"/>
          <w:color w:val="000000"/>
          <w:sz w:val="22"/>
        </w:rPr>
        <w:t>.</w:t>
      </w:r>
    </w:p>
    <w:p w:rsidR="00000000" w:rsidRDefault="00000000">
      <w:pPr>
        <w:autoSpaceDE w:val="0"/>
        <w:autoSpaceDN w:val="0"/>
        <w:adjustRightInd w:val="0"/>
        <w:spacing w:after="240" w:line="260" w:lineRule="exact"/>
        <w:jc w:val="both"/>
        <w:rPr>
          <w:rFonts w:ascii="Arial" w:hAnsi="Arial"/>
          <w:color w:val="000000"/>
          <w:sz w:val="22"/>
        </w:rPr>
      </w:pPr>
      <w:r>
        <w:rPr>
          <w:rFonts w:ascii="Arial" w:hAnsi="Arial"/>
          <w:color w:val="000000"/>
          <w:sz w:val="22"/>
        </w:rPr>
        <w:t>263.</w:t>
      </w:r>
      <w:r>
        <w:rPr>
          <w:rFonts w:ascii="Arial" w:hAnsi="Arial"/>
          <w:color w:val="000000"/>
          <w:sz w:val="22"/>
        </w:rPr>
        <w:tab/>
        <w:t>В целях улучшения ситуации с обеспеченностью жильем Министерство городского развития и жилищного строительства создало Систему экономического стимулирования в области жилищного строительства (СИВ), в рамках которой для приобретения жилья, улучшения жилищных условий, приобретения жилья в пригородах и в сельских районах используются как сбережения граждан и экономические стимулы со стороны правительства, так и кредиты, предоставляемые финансовыми учреждениями. При этом приоритетное внимание уделяется женщинам – главам домохозяйств.</w:t>
      </w:r>
    </w:p>
    <w:p w:rsidR="00000000" w:rsidRDefault="00000000">
      <w:pPr>
        <w:autoSpaceDE w:val="0"/>
        <w:autoSpaceDN w:val="0"/>
        <w:adjustRightInd w:val="0"/>
        <w:spacing w:after="240" w:line="260" w:lineRule="exact"/>
        <w:jc w:val="both"/>
        <w:rPr>
          <w:rFonts w:ascii="Arial" w:hAnsi="Arial"/>
          <w:color w:val="000000"/>
          <w:sz w:val="22"/>
        </w:rPr>
      </w:pPr>
      <w:r>
        <w:rPr>
          <w:rFonts w:ascii="Arial" w:hAnsi="Arial"/>
          <w:color w:val="000000"/>
          <w:sz w:val="22"/>
        </w:rPr>
        <w:t>264.</w:t>
      </w:r>
      <w:r>
        <w:rPr>
          <w:rFonts w:ascii="Arial" w:hAnsi="Arial"/>
          <w:color w:val="000000"/>
          <w:sz w:val="22"/>
        </w:rPr>
        <w:tab/>
        <w:t>Результаты применения системы СИВ для приобретения нового жилья показывают, что до 1999 года из всех получивших помощь 44,92 процента были женщины. Из них 36,75 процента имеют высшее образование (63,25 процента его не имеют); доля женщин, имеющих работу, выше (60,26 процента), чем тех, кто не имеет работы (39,74 процента). Замужние женщины составляют бóльшую часть получивших помощь (42,48 процента); на долю незамужних приходится 33,13 процента, разведенных – 9,12 процента, живущих раздельно – 7,52 процента, живущих в свободном союзе – 4,57 процента, вдов – 3,18 процента</w:t>
      </w:r>
      <w:r>
        <w:rPr>
          <w:rStyle w:val="FootnoteReference"/>
          <w:rFonts w:ascii="Arial" w:hAnsi="Arial"/>
          <w:color w:val="000000"/>
          <w:sz w:val="22"/>
        </w:rPr>
        <w:footnoteReference w:id="77"/>
      </w:r>
      <w:r>
        <w:rPr>
          <w:rFonts w:ascii="Arial" w:hAnsi="Arial"/>
          <w:color w:val="000000"/>
          <w:sz w:val="22"/>
        </w:rPr>
        <w:t>.</w:t>
      </w:r>
    </w:p>
    <w:p w:rsidR="00000000" w:rsidRDefault="00000000">
      <w:pPr>
        <w:autoSpaceDE w:val="0"/>
        <w:autoSpaceDN w:val="0"/>
        <w:adjustRightInd w:val="0"/>
        <w:spacing w:after="240" w:line="260" w:lineRule="exact"/>
        <w:jc w:val="both"/>
        <w:rPr>
          <w:rFonts w:ascii="Arial" w:hAnsi="Arial"/>
          <w:i/>
          <w:color w:val="000000"/>
          <w:sz w:val="22"/>
        </w:rPr>
      </w:pPr>
    </w:p>
    <w:p w:rsidR="00000000" w:rsidRDefault="00000000">
      <w:pPr>
        <w:pStyle w:val="Heading3"/>
        <w:rPr>
          <w:caps/>
        </w:rPr>
      </w:pPr>
      <w:r>
        <w:rPr>
          <w:caps/>
        </w:rPr>
        <w:t>Статья 14</w:t>
      </w:r>
    </w:p>
    <w:p w:rsidR="00000000" w:rsidRDefault="00000000">
      <w:pPr>
        <w:autoSpaceDE w:val="0"/>
        <w:autoSpaceDN w:val="0"/>
        <w:adjustRightInd w:val="0"/>
        <w:spacing w:after="240" w:line="260" w:lineRule="exact"/>
        <w:ind w:left="397" w:hanging="397"/>
        <w:jc w:val="both"/>
        <w:rPr>
          <w:rFonts w:ascii="Arial" w:hAnsi="Arial"/>
          <w:i/>
          <w:sz w:val="22"/>
        </w:rPr>
      </w:pPr>
      <w:r>
        <w:rPr>
          <w:rFonts w:ascii="Arial" w:hAnsi="Arial"/>
          <w:i/>
          <w:color w:val="000000"/>
          <w:sz w:val="22"/>
        </w:rPr>
        <w:t>1.</w:t>
      </w:r>
      <w:r>
        <w:rPr>
          <w:rFonts w:ascii="Arial" w:hAnsi="Arial"/>
          <w:i/>
          <w:color w:val="000000"/>
          <w:sz w:val="22"/>
        </w:rPr>
        <w:tab/>
        <w:t>Государства-участники принимают во внимание особые проблемы, с которыми сталкиваются женщины, проживающие в сельской местности, и значительную роль, которую они играют в обеспечении экономического благосостояния своих семей, в том числе их деятельность в нетоварных отраслях хозяйства, и принимают все соответствующие меры для обеспечения применения положений настоящей Конвенции к женщинам, проживающим в сельской местности.</w:t>
      </w:r>
    </w:p>
    <w:p w:rsidR="00000000" w:rsidRDefault="00000000">
      <w:pPr>
        <w:autoSpaceDE w:val="0"/>
        <w:autoSpaceDN w:val="0"/>
        <w:adjustRightInd w:val="0"/>
        <w:spacing w:after="240" w:line="260" w:lineRule="exact"/>
        <w:ind w:left="397" w:hanging="397"/>
        <w:jc w:val="both"/>
        <w:rPr>
          <w:rFonts w:ascii="Arial" w:hAnsi="Arial"/>
          <w:i/>
          <w:sz w:val="22"/>
        </w:rPr>
      </w:pPr>
      <w:r>
        <w:rPr>
          <w:rFonts w:ascii="Arial" w:hAnsi="Arial"/>
          <w:i/>
          <w:color w:val="000000"/>
          <w:sz w:val="22"/>
        </w:rPr>
        <w:t>2.</w:t>
      </w:r>
      <w:r>
        <w:rPr>
          <w:rFonts w:ascii="Arial" w:hAnsi="Arial"/>
          <w:i/>
          <w:color w:val="000000"/>
          <w:sz w:val="22"/>
        </w:rPr>
        <w:tab/>
        <w:t>Государства-участники принимают все соответствующие меры для ликвидации дискриминации в отношении женщин в сельских районах, с тем чтобы обеспечить на основе равенства мужчин и женщин их участие в развитии сельских районов и в получении выгод от такого развития и, в частности, обеспечивают таким женщинам право:</w:t>
      </w:r>
    </w:p>
    <w:p w:rsidR="00000000" w:rsidRDefault="00000000">
      <w:pPr>
        <w:pStyle w:val="-"/>
      </w:pPr>
      <w:r>
        <w:t>а)</w:t>
      </w:r>
      <w:r>
        <w:tab/>
        <w:t>участвовать в разработке и осуществлении планов развития на всех уровнях;</w:t>
      </w:r>
    </w:p>
    <w:p w:rsidR="00000000" w:rsidRDefault="00000000">
      <w:pPr>
        <w:pStyle w:val="-"/>
      </w:pPr>
      <w:r>
        <w:t>b)</w:t>
      </w:r>
      <w:r>
        <w:tab/>
        <w:t>на доступ к соответствующему медицинскому обслуживанию, включая информацию, консультации и обслуживание по вопросам планирования размера семьи;</w:t>
      </w:r>
    </w:p>
    <w:p w:rsidR="00000000" w:rsidRDefault="00000000">
      <w:pPr>
        <w:pStyle w:val="-"/>
      </w:pPr>
      <w:r>
        <w:t>с)</w:t>
      </w:r>
      <w:r>
        <w:tab/>
        <w:t>непосредственно пользоваться благами программ социального страхования;</w:t>
      </w:r>
    </w:p>
    <w:p w:rsidR="00000000" w:rsidRDefault="00000000">
      <w:pPr>
        <w:pStyle w:val="-"/>
      </w:pPr>
      <w:r>
        <w:t>d)</w:t>
      </w:r>
      <w:r>
        <w:tab/>
        <w:t>получать все виды подготовки и формального и неформального образования, включая функциональную грамотность, а также пользоваться услугами всех средств общинного обслуживания, консультативных служб по сельскохозяйственным вопросам, в частности для повышения их технического уровня;</w:t>
      </w:r>
    </w:p>
    <w:p w:rsidR="00000000" w:rsidRDefault="00000000">
      <w:pPr>
        <w:pStyle w:val="-"/>
      </w:pPr>
      <w:r>
        <w:t>е)</w:t>
      </w:r>
      <w:r>
        <w:tab/>
        <w:t>организовывать группы самопомощи и кооперативы, с тем чтобы обеспечить равный доступ к экономическим возможностям посредством работы по найму или независимой трудовой деятельности;</w:t>
      </w:r>
    </w:p>
    <w:p w:rsidR="00000000" w:rsidRDefault="00000000">
      <w:pPr>
        <w:pStyle w:val="-"/>
      </w:pPr>
      <w:r>
        <w:t>f)</w:t>
      </w:r>
      <w:r>
        <w:tab/>
        <w:t>участвовать во всех видах коллективной деятельности;</w:t>
      </w:r>
    </w:p>
    <w:p w:rsidR="00000000" w:rsidRDefault="00000000">
      <w:pPr>
        <w:pStyle w:val="-"/>
      </w:pPr>
      <w:r>
        <w:t>g)</w:t>
      </w:r>
      <w:r>
        <w:tab/>
        <w:t>на доступ к сельскохозяйственным кредитам и займам, системе сбыта, соответствующей технологии и на равный статус в земельных и аграрных реформах, а также в планах перезаселения земель;</w:t>
      </w:r>
    </w:p>
    <w:p w:rsidR="00000000" w:rsidRDefault="00000000">
      <w:pPr>
        <w:pStyle w:val="-"/>
        <w:spacing w:after="240"/>
      </w:pPr>
      <w:r>
        <w:t>h)</w:t>
      </w:r>
      <w:r>
        <w:tab/>
        <w:t>пользоваться надлежащими условиями жизни, особенно жилищными условиями, санитарными услугами, электро- и водоснабжением, а также транспортом и средствами связи.</w:t>
      </w:r>
    </w:p>
    <w:p w:rsidR="00000000" w:rsidRDefault="00000000">
      <w:pPr>
        <w:pStyle w:val="BodyText3"/>
        <w:spacing w:after="240" w:line="260" w:lineRule="exact"/>
        <w:jc w:val="both"/>
        <w:rPr>
          <w:rFonts w:ascii="Arial" w:hAnsi="Arial"/>
          <w:sz w:val="22"/>
        </w:rPr>
      </w:pPr>
      <w:r>
        <w:rPr>
          <w:rFonts w:ascii="Arial" w:hAnsi="Arial"/>
          <w:sz w:val="22"/>
        </w:rPr>
        <w:t>265.</w:t>
      </w:r>
      <w:r>
        <w:rPr>
          <w:rFonts w:ascii="Arial" w:hAnsi="Arial"/>
          <w:sz w:val="22"/>
        </w:rPr>
        <w:tab/>
        <w:t>Глава 5 Конституции Республики, касающаяся коллективных прав, закрепляет права коренного населения и афроэквадорцев.</w:t>
      </w:r>
    </w:p>
    <w:p w:rsidR="00000000" w:rsidRDefault="00000000">
      <w:pPr>
        <w:pStyle w:val="BodyText3"/>
        <w:spacing w:after="240" w:line="260" w:lineRule="exact"/>
        <w:jc w:val="both"/>
        <w:rPr>
          <w:rFonts w:ascii="Arial" w:hAnsi="Arial"/>
          <w:sz w:val="22"/>
        </w:rPr>
      </w:pPr>
      <w:r>
        <w:rPr>
          <w:rFonts w:ascii="Arial" w:hAnsi="Arial"/>
          <w:sz w:val="22"/>
        </w:rPr>
        <w:t>266.</w:t>
      </w:r>
      <w:r>
        <w:rPr>
          <w:rFonts w:ascii="Arial" w:hAnsi="Arial"/>
          <w:sz w:val="22"/>
        </w:rPr>
        <w:tab/>
        <w:t>Закон о развитии сельского хозяйства 1994 года содействует повышению профессиональной подготовки крестьян и организации производственных хозяйств, развивает рынок земли, гарантирует собственность на землю, устанавливает механизмы, помогающие мелкому производителю получить доступ к кредитам, совершенствует процессы коммерциализации сельскохозяйственной продукции, содействует Национальному институту сельскохозяйственного развития в его работе по оформлению собственности в сельских районах и стимулирует инвестиции в аграрный сектор.</w:t>
      </w:r>
    </w:p>
    <w:p w:rsidR="00000000" w:rsidRDefault="00000000">
      <w:pPr>
        <w:pStyle w:val="BodyText3"/>
        <w:spacing w:after="240" w:line="260" w:lineRule="exact"/>
        <w:jc w:val="both"/>
        <w:rPr>
          <w:rFonts w:ascii="Arial" w:hAnsi="Arial"/>
          <w:sz w:val="22"/>
        </w:rPr>
      </w:pPr>
      <w:r>
        <w:rPr>
          <w:rFonts w:ascii="Arial" w:hAnsi="Arial"/>
          <w:sz w:val="22"/>
        </w:rPr>
        <w:t>267.</w:t>
      </w:r>
      <w:r>
        <w:rPr>
          <w:rFonts w:ascii="Arial" w:hAnsi="Arial"/>
          <w:sz w:val="22"/>
        </w:rPr>
        <w:tab/>
        <w:t>Большинство сельских жителей являются крестьянами. В 1995 году около 60 процентов сельского населения составляли крестьяне, иными словами, члены домохозяйств, которые в той или иной степени связаны с работой на земле. В сельских районах Сьерры 66 процентов мужчин и женщин относятся к крестьянским домохозяйствам. Проведенные исследования показывают, что около 20 процентов сельского населения Сьерры и Амазонии принадлежат к коренному населению. Такое распределение населения совпадает с концентрацией домохозяйств, говорящих на местных языках</w:t>
      </w:r>
      <w:r>
        <w:rPr>
          <w:rStyle w:val="FootnoteReference"/>
          <w:rFonts w:ascii="Arial" w:hAnsi="Arial"/>
          <w:sz w:val="22"/>
        </w:rPr>
        <w:footnoteReference w:id="78"/>
      </w:r>
      <w:r>
        <w:rPr>
          <w:rFonts w:ascii="Arial" w:hAnsi="Arial"/>
          <w:sz w:val="22"/>
        </w:rPr>
        <w:t>.</w:t>
      </w:r>
    </w:p>
    <w:p w:rsidR="00000000" w:rsidRDefault="00000000">
      <w:pPr>
        <w:pStyle w:val="BodyText3"/>
        <w:spacing w:after="240" w:line="260" w:lineRule="exact"/>
        <w:jc w:val="both"/>
        <w:rPr>
          <w:rFonts w:ascii="Arial" w:hAnsi="Arial"/>
          <w:sz w:val="22"/>
        </w:rPr>
      </w:pPr>
      <w:r>
        <w:rPr>
          <w:rFonts w:ascii="Arial" w:hAnsi="Arial"/>
          <w:sz w:val="22"/>
        </w:rPr>
        <w:t>268.</w:t>
      </w:r>
      <w:r>
        <w:rPr>
          <w:rFonts w:ascii="Arial" w:hAnsi="Arial"/>
          <w:sz w:val="22"/>
        </w:rPr>
        <w:tab/>
        <w:t>Большинство населения, говорящего на индейских языках, сконцентрировано в Сьерре и Амазонии. Сосредоточение этнических групп имеет региональные отличия. В 1995 году 13 процентов населения в сельских районах и 17 процентов крестьян обоего пола говорили на одном из языков коренного населения. В Амазонии 9 процентов говорили на языке шуар или кечуа, а 16 процентов являлись членами домохозяйств, в которых говорят на этих языках</w:t>
      </w:r>
      <w:r>
        <w:rPr>
          <w:rStyle w:val="FootnoteReference"/>
          <w:rFonts w:ascii="Arial" w:hAnsi="Arial"/>
          <w:sz w:val="22"/>
        </w:rPr>
        <w:footnoteReference w:id="79"/>
      </w:r>
      <w:r>
        <w:rPr>
          <w:rFonts w:ascii="Arial" w:hAnsi="Arial"/>
          <w:sz w:val="22"/>
        </w:rPr>
        <w:t>.</w:t>
      </w:r>
    </w:p>
    <w:p w:rsidR="00000000" w:rsidRDefault="00000000">
      <w:pPr>
        <w:pStyle w:val="BodyText3"/>
        <w:spacing w:after="240" w:line="260" w:lineRule="exact"/>
        <w:jc w:val="both"/>
        <w:rPr>
          <w:rFonts w:ascii="Arial" w:hAnsi="Arial"/>
          <w:sz w:val="22"/>
        </w:rPr>
      </w:pPr>
      <w:r>
        <w:rPr>
          <w:rFonts w:ascii="Arial" w:hAnsi="Arial"/>
          <w:sz w:val="22"/>
        </w:rPr>
        <w:t>269.</w:t>
      </w:r>
      <w:r>
        <w:rPr>
          <w:rFonts w:ascii="Arial" w:hAnsi="Arial"/>
          <w:sz w:val="22"/>
        </w:rPr>
        <w:tab/>
        <w:t>Социальное обеспечение крестьян охватывает как мужчин, так и женщин. В 1995 году четверть крестьянского населения (23 процента) пользовались услугами этого вида социального обеспечения</w:t>
      </w:r>
      <w:r>
        <w:rPr>
          <w:rStyle w:val="FootnoteReference"/>
          <w:rFonts w:ascii="Arial" w:hAnsi="Arial"/>
          <w:sz w:val="22"/>
        </w:rPr>
        <w:footnoteReference w:id="80"/>
      </w:r>
      <w:r>
        <w:rPr>
          <w:rFonts w:ascii="Arial" w:hAnsi="Arial"/>
          <w:sz w:val="22"/>
        </w:rPr>
        <w:t>.</w:t>
      </w:r>
    </w:p>
    <w:p w:rsidR="00000000" w:rsidRDefault="00000000">
      <w:pPr>
        <w:pStyle w:val="BodyText3"/>
        <w:spacing w:after="240" w:line="260" w:lineRule="exact"/>
        <w:jc w:val="both"/>
        <w:rPr>
          <w:rFonts w:ascii="Arial" w:hAnsi="Arial"/>
          <w:sz w:val="22"/>
        </w:rPr>
      </w:pPr>
      <w:r>
        <w:rPr>
          <w:rFonts w:ascii="Arial" w:hAnsi="Arial"/>
          <w:sz w:val="22"/>
        </w:rPr>
        <w:t>270.</w:t>
      </w:r>
      <w:r>
        <w:rPr>
          <w:rFonts w:ascii="Arial" w:hAnsi="Arial"/>
          <w:sz w:val="22"/>
        </w:rPr>
        <w:tab/>
        <w:t>Медицинские диспансеры, относящиеся к системе социального обеспечения, представляют собой важный компонент инфраструктуры медицинской помощи в сельских районах страны. По данным третьего этапа опроса по условиям жизни (ЭКВ-III) 1998 года, доступ женщин к медицинскому страхованию составляет 0,5 процента, а доступ мужчин – 0,6 процента от общего числа крестьян, охваченных социальным обеспечением; в сельских районах доступ женщин-крестьянок к социальному обеспечению составляет 21,8 процента, а мужчин – около 19,7 процента</w:t>
      </w:r>
      <w:r>
        <w:rPr>
          <w:rStyle w:val="FootnoteReference"/>
          <w:rFonts w:ascii="Arial" w:hAnsi="Arial"/>
          <w:sz w:val="22"/>
        </w:rPr>
        <w:footnoteReference w:id="81"/>
      </w:r>
      <w:r>
        <w:rPr>
          <w:rFonts w:ascii="Arial" w:hAnsi="Arial"/>
          <w:sz w:val="22"/>
        </w:rPr>
        <w:t>.</w:t>
      </w:r>
    </w:p>
    <w:p w:rsidR="00000000" w:rsidRDefault="00000000">
      <w:pPr>
        <w:autoSpaceDE w:val="0"/>
        <w:autoSpaceDN w:val="0"/>
        <w:adjustRightInd w:val="0"/>
        <w:spacing w:after="240" w:line="260" w:lineRule="exact"/>
        <w:jc w:val="both"/>
        <w:rPr>
          <w:rFonts w:ascii="Arial" w:hAnsi="Arial"/>
          <w:color w:val="000000"/>
          <w:sz w:val="22"/>
        </w:rPr>
      </w:pPr>
      <w:r>
        <w:rPr>
          <w:rFonts w:ascii="Arial" w:hAnsi="Arial"/>
          <w:color w:val="000000"/>
          <w:sz w:val="22"/>
        </w:rPr>
        <w:t>271.</w:t>
      </w:r>
      <w:r>
        <w:rPr>
          <w:rFonts w:ascii="Arial" w:hAnsi="Arial"/>
          <w:color w:val="000000"/>
          <w:sz w:val="22"/>
        </w:rPr>
        <w:tab/>
        <w:t>В 1995 году экономически активное население (ЭАН), проживающее в сельских районах, было представлено в основном возрастной группой 10–19 лет, причем женщины составляли 26,2 процента, а мужчины – 28,8 процента. В то же время в городах наибольшая концентрация экономически активного населения отмечалась в возрастной группе 20–39 лет</w:t>
      </w:r>
      <w:r>
        <w:rPr>
          <w:rStyle w:val="FootnoteReference"/>
          <w:rFonts w:ascii="Arial" w:hAnsi="Arial"/>
          <w:color w:val="000000"/>
          <w:sz w:val="22"/>
        </w:rPr>
        <w:footnoteReference w:id="82"/>
      </w:r>
      <w:r>
        <w:rPr>
          <w:rFonts w:ascii="Arial" w:hAnsi="Arial"/>
          <w:color w:val="000000"/>
          <w:sz w:val="22"/>
        </w:rPr>
        <w:t>.</w:t>
      </w:r>
    </w:p>
    <w:p w:rsidR="00000000" w:rsidRDefault="00000000">
      <w:pPr>
        <w:autoSpaceDE w:val="0"/>
        <w:autoSpaceDN w:val="0"/>
        <w:adjustRightInd w:val="0"/>
        <w:spacing w:after="240" w:line="260" w:lineRule="exact"/>
        <w:jc w:val="both"/>
        <w:rPr>
          <w:rFonts w:ascii="Arial" w:hAnsi="Arial"/>
          <w:color w:val="000000"/>
          <w:sz w:val="22"/>
        </w:rPr>
      </w:pPr>
      <w:r>
        <w:rPr>
          <w:rFonts w:ascii="Arial" w:hAnsi="Arial"/>
          <w:color w:val="000000"/>
          <w:sz w:val="22"/>
        </w:rPr>
        <w:t>272.</w:t>
      </w:r>
      <w:r>
        <w:rPr>
          <w:rFonts w:ascii="Arial" w:hAnsi="Arial"/>
          <w:color w:val="000000"/>
          <w:sz w:val="22"/>
        </w:rPr>
        <w:tab/>
        <w:t>В 1995 году к ЭАН относились 61 процент крестьянок и 84 процента женщин из числа коренного населения по сравнению с 54 процентами женщин, проживающих в городах. Женщины, проживающие в Амазонии и Сьерре, заняты производственной деятельностью чаще, чем женщины, проживающие в Косте</w:t>
      </w:r>
      <w:r>
        <w:rPr>
          <w:rStyle w:val="FootnoteReference"/>
          <w:rFonts w:ascii="Arial" w:hAnsi="Arial"/>
          <w:color w:val="000000"/>
          <w:sz w:val="22"/>
        </w:rPr>
        <w:footnoteReference w:id="83"/>
      </w:r>
      <w:r>
        <w:rPr>
          <w:rFonts w:ascii="Arial" w:hAnsi="Arial"/>
          <w:color w:val="000000"/>
          <w:sz w:val="22"/>
        </w:rPr>
        <w:t>.</w:t>
      </w:r>
    </w:p>
    <w:p w:rsidR="00000000" w:rsidRDefault="00000000">
      <w:pPr>
        <w:autoSpaceDE w:val="0"/>
        <w:autoSpaceDN w:val="0"/>
        <w:adjustRightInd w:val="0"/>
        <w:spacing w:after="240" w:line="260" w:lineRule="exact"/>
        <w:jc w:val="both"/>
        <w:rPr>
          <w:rFonts w:ascii="Arial" w:hAnsi="Arial"/>
          <w:color w:val="000000"/>
          <w:sz w:val="22"/>
        </w:rPr>
      </w:pPr>
      <w:r>
        <w:rPr>
          <w:rFonts w:ascii="Arial" w:hAnsi="Arial"/>
          <w:color w:val="000000"/>
          <w:sz w:val="22"/>
        </w:rPr>
        <w:t>273.</w:t>
      </w:r>
      <w:r>
        <w:rPr>
          <w:rFonts w:ascii="Arial" w:hAnsi="Arial"/>
          <w:color w:val="000000"/>
          <w:sz w:val="22"/>
        </w:rPr>
        <w:tab/>
        <w:t>Женщины из числа коренного населения являются экономически активными в течение всей своей жизни, с детства и до самой старости. Значительное число мальчиков и девочек, проживающих в сельских районах, занимаются производственной деятельностью. В 1995 году 74 процента мальчиков и 43 процента девочек в возрасте 10–17 лет, проживающих в сельских районах, либо работали, либо занимались производственной деятельностью дома, либо искали работу. Девочки из крестьянских семей или из числа коренного населения работают чаще, чем другие несовершеннолетние страны</w:t>
      </w:r>
      <w:r>
        <w:rPr>
          <w:rStyle w:val="FootnoteReference"/>
          <w:rFonts w:ascii="Arial" w:hAnsi="Arial"/>
          <w:color w:val="000000"/>
          <w:sz w:val="22"/>
        </w:rPr>
        <w:footnoteReference w:id="84"/>
      </w:r>
      <w:r>
        <w:rPr>
          <w:rFonts w:ascii="Arial" w:hAnsi="Arial"/>
          <w:color w:val="000000"/>
          <w:sz w:val="22"/>
        </w:rPr>
        <w:t>.</w:t>
      </w:r>
    </w:p>
    <w:p w:rsidR="00000000" w:rsidRDefault="00000000">
      <w:pPr>
        <w:autoSpaceDE w:val="0"/>
        <w:autoSpaceDN w:val="0"/>
        <w:adjustRightInd w:val="0"/>
        <w:spacing w:after="240" w:line="260" w:lineRule="exact"/>
        <w:jc w:val="both"/>
        <w:rPr>
          <w:rFonts w:ascii="Arial" w:hAnsi="Arial"/>
          <w:color w:val="000000"/>
          <w:sz w:val="22"/>
        </w:rPr>
      </w:pPr>
      <w:r>
        <w:rPr>
          <w:rFonts w:ascii="Arial" w:hAnsi="Arial"/>
          <w:color w:val="000000"/>
          <w:sz w:val="22"/>
        </w:rPr>
        <w:t>274.</w:t>
      </w:r>
      <w:r>
        <w:rPr>
          <w:rFonts w:ascii="Arial" w:hAnsi="Arial"/>
          <w:color w:val="000000"/>
          <w:sz w:val="22"/>
        </w:rPr>
        <w:tab/>
        <w:t>Согласно данным опроса по условиям жизни 1995 года, неравноправие в оплате труда чаще отмечается в сельских районах, где женщины получали на 37 процентов меньше, чем мужчины. Важно отметить, что эти цифры отражают положение только имеющих оплачиваемую работу, но не характеризуют положение работающих без оплаты. Следовательно, разрыв между оплатой труда мужчин и женщин в действительности еще больше</w:t>
      </w:r>
      <w:r>
        <w:rPr>
          <w:rStyle w:val="FootnoteReference"/>
          <w:rFonts w:ascii="Arial" w:hAnsi="Arial"/>
          <w:color w:val="000000"/>
          <w:sz w:val="22"/>
        </w:rPr>
        <w:footnoteReference w:id="85"/>
      </w:r>
      <w:r>
        <w:rPr>
          <w:rFonts w:ascii="Arial" w:hAnsi="Arial"/>
          <w:color w:val="000000"/>
          <w:sz w:val="22"/>
        </w:rPr>
        <w:t>.</w:t>
      </w:r>
    </w:p>
    <w:p w:rsidR="00000000" w:rsidRDefault="00000000">
      <w:pPr>
        <w:autoSpaceDE w:val="0"/>
        <w:autoSpaceDN w:val="0"/>
        <w:adjustRightInd w:val="0"/>
        <w:spacing w:after="240" w:line="260" w:lineRule="exact"/>
        <w:jc w:val="both"/>
        <w:rPr>
          <w:rFonts w:ascii="Arial" w:hAnsi="Arial"/>
          <w:color w:val="000000"/>
          <w:sz w:val="22"/>
        </w:rPr>
      </w:pPr>
      <w:r>
        <w:rPr>
          <w:rFonts w:ascii="Arial" w:hAnsi="Arial"/>
          <w:color w:val="000000"/>
          <w:sz w:val="22"/>
        </w:rPr>
        <w:t>275.</w:t>
      </w:r>
      <w:r>
        <w:rPr>
          <w:rFonts w:ascii="Arial" w:hAnsi="Arial"/>
          <w:color w:val="000000"/>
          <w:sz w:val="22"/>
        </w:rPr>
        <w:tab/>
        <w:t>Натуральное хозяйство очень важно для выживания членов крестьянских домохозяйств и домохозяйств коренного населения. Около четверти доходов крестьянских домохозяйств (24 процента) и почти треть доходов домохозяйств коренного населения (27 процентов) является результатом произведенного ими продукта на своих предприятиях или в хозяйствах</w:t>
      </w:r>
      <w:r>
        <w:rPr>
          <w:rStyle w:val="FootnoteReference"/>
          <w:rFonts w:ascii="Arial" w:hAnsi="Arial"/>
          <w:color w:val="000000"/>
          <w:sz w:val="22"/>
        </w:rPr>
        <w:footnoteReference w:id="86"/>
      </w:r>
      <w:r>
        <w:rPr>
          <w:rFonts w:ascii="Arial" w:hAnsi="Arial"/>
          <w:color w:val="000000"/>
          <w:sz w:val="22"/>
        </w:rPr>
        <w:t>.</w:t>
      </w:r>
    </w:p>
    <w:p w:rsidR="00000000" w:rsidRDefault="00000000">
      <w:pPr>
        <w:autoSpaceDE w:val="0"/>
        <w:autoSpaceDN w:val="0"/>
        <w:adjustRightInd w:val="0"/>
        <w:spacing w:after="240" w:line="260" w:lineRule="exact"/>
        <w:jc w:val="both"/>
        <w:rPr>
          <w:rFonts w:ascii="Arial" w:hAnsi="Arial"/>
          <w:color w:val="000000"/>
          <w:sz w:val="22"/>
        </w:rPr>
      </w:pPr>
      <w:r>
        <w:rPr>
          <w:rFonts w:ascii="Arial" w:hAnsi="Arial"/>
          <w:color w:val="000000"/>
          <w:sz w:val="22"/>
        </w:rPr>
        <w:t>276.</w:t>
      </w:r>
      <w:r>
        <w:rPr>
          <w:rFonts w:ascii="Arial" w:hAnsi="Arial"/>
          <w:color w:val="000000"/>
          <w:sz w:val="22"/>
        </w:rPr>
        <w:tab/>
        <w:t>Крестьянки часто являются главами домохозяйств. В 1998 году в сельских районах отмечались следующие показатели относительно глав домохозяйств: 15 процентов общего числа домохозяйств возглавлялись женщинами. В домохозяйствах из более чем пяти членов 23,8 процента возглавлялись женщинами. Начальное образование имеют 58,8 процента женщин – глав домохозяйств</w:t>
      </w:r>
      <w:r>
        <w:rPr>
          <w:rStyle w:val="FootnoteReference"/>
          <w:rFonts w:ascii="Arial" w:hAnsi="Arial"/>
          <w:color w:val="000000"/>
          <w:sz w:val="22"/>
        </w:rPr>
        <w:footnoteReference w:id="87"/>
      </w:r>
      <w:r>
        <w:rPr>
          <w:rFonts w:ascii="Arial" w:hAnsi="Arial"/>
          <w:color w:val="000000"/>
          <w:sz w:val="22"/>
        </w:rPr>
        <w:t>.</w:t>
      </w:r>
    </w:p>
    <w:p w:rsidR="00000000" w:rsidRDefault="00000000">
      <w:pPr>
        <w:autoSpaceDE w:val="0"/>
        <w:autoSpaceDN w:val="0"/>
        <w:adjustRightInd w:val="0"/>
        <w:spacing w:after="240" w:line="260" w:lineRule="exact"/>
        <w:jc w:val="both"/>
        <w:rPr>
          <w:rFonts w:ascii="Arial" w:hAnsi="Arial"/>
          <w:color w:val="000000"/>
          <w:sz w:val="22"/>
        </w:rPr>
      </w:pPr>
      <w:r>
        <w:rPr>
          <w:rFonts w:ascii="Arial" w:hAnsi="Arial"/>
          <w:color w:val="000000"/>
          <w:sz w:val="22"/>
        </w:rPr>
        <w:t>277.</w:t>
      </w:r>
      <w:r>
        <w:rPr>
          <w:rFonts w:ascii="Arial" w:hAnsi="Arial"/>
          <w:color w:val="000000"/>
          <w:sz w:val="22"/>
        </w:rPr>
        <w:tab/>
        <w:t>Большинство эквадорских женщин старше 15 лет, особенно проживающих в сельских районах, замужем или имеют постоянного партнера. Свободный союз чаще встречается в сельских районах, он более характерен для крестьянок, чем для жительниц городов. Свободный союз особенно часто отмечается в Косте; среди жительниц Косты больше тех, кто живет в свободном союзе, чем женщин, живущих в браке. В то же время для женщин, проживающих в Сьерре, более характерно жить в браке. 59 процентов женщин из числа коренного населения, проживающих в сельских районах, замужем, и только 5 процентов жили в свободном союзе. Среди крестьянок 44 процента составляют замужние женщины, то есть живущие в официальном браке, и 16 процентов – живущие в свободном союзе</w:t>
      </w:r>
      <w:r>
        <w:rPr>
          <w:rStyle w:val="FootnoteReference"/>
          <w:rFonts w:ascii="Arial" w:hAnsi="Arial"/>
          <w:color w:val="000000"/>
          <w:sz w:val="22"/>
        </w:rPr>
        <w:footnoteReference w:id="88"/>
      </w:r>
      <w:r>
        <w:rPr>
          <w:rFonts w:ascii="Arial" w:hAnsi="Arial"/>
          <w:color w:val="000000"/>
          <w:sz w:val="22"/>
        </w:rPr>
        <w:t>.</w:t>
      </w:r>
    </w:p>
    <w:p w:rsidR="00000000" w:rsidRDefault="00000000">
      <w:pPr>
        <w:autoSpaceDE w:val="0"/>
        <w:autoSpaceDN w:val="0"/>
        <w:adjustRightInd w:val="0"/>
        <w:spacing w:after="240" w:line="260" w:lineRule="exact"/>
        <w:jc w:val="both"/>
        <w:rPr>
          <w:rFonts w:ascii="Arial" w:hAnsi="Arial"/>
          <w:color w:val="000000"/>
          <w:sz w:val="22"/>
        </w:rPr>
      </w:pPr>
      <w:r>
        <w:rPr>
          <w:rFonts w:ascii="Arial" w:hAnsi="Arial"/>
          <w:color w:val="000000"/>
          <w:sz w:val="22"/>
        </w:rPr>
        <w:t>278.</w:t>
      </w:r>
      <w:r>
        <w:rPr>
          <w:rFonts w:ascii="Arial" w:hAnsi="Arial"/>
          <w:color w:val="000000"/>
          <w:sz w:val="22"/>
        </w:rPr>
        <w:tab/>
        <w:t>Развод и раздельное проживание очень редко отмечаются в сельских районах. В 1995 году около 2 процентов от общего числа женщин – представительниц коренного населения старше 15 лет, проживающих в сельских районах, были разведены и 1 процент жили отдельно. Наибольшим был процент женщин, состоящих в браке (59 процентов). В сельских районах число вдов (8 процентов) больше, чем в городах (6 процентов)</w:t>
      </w:r>
      <w:r>
        <w:rPr>
          <w:rStyle w:val="FootnoteReference"/>
          <w:rFonts w:ascii="Arial" w:hAnsi="Arial"/>
          <w:color w:val="000000"/>
          <w:sz w:val="22"/>
        </w:rPr>
        <w:footnoteReference w:id="89"/>
      </w:r>
      <w:r>
        <w:rPr>
          <w:rFonts w:ascii="Arial" w:hAnsi="Arial"/>
          <w:color w:val="000000"/>
          <w:sz w:val="22"/>
        </w:rPr>
        <w:t>.</w:t>
      </w:r>
    </w:p>
    <w:p w:rsidR="00000000" w:rsidRDefault="00000000">
      <w:pPr>
        <w:autoSpaceDE w:val="0"/>
        <w:autoSpaceDN w:val="0"/>
        <w:adjustRightInd w:val="0"/>
        <w:spacing w:after="240" w:line="260" w:lineRule="exact"/>
        <w:jc w:val="both"/>
        <w:rPr>
          <w:rFonts w:ascii="Arial" w:hAnsi="Arial"/>
          <w:color w:val="000000"/>
          <w:sz w:val="22"/>
        </w:rPr>
      </w:pPr>
      <w:r>
        <w:rPr>
          <w:rFonts w:ascii="Arial" w:hAnsi="Arial"/>
          <w:color w:val="000000"/>
          <w:sz w:val="22"/>
        </w:rPr>
        <w:t>279.</w:t>
      </w:r>
      <w:r>
        <w:rPr>
          <w:rFonts w:ascii="Arial" w:hAnsi="Arial"/>
          <w:color w:val="000000"/>
          <w:sz w:val="22"/>
        </w:rPr>
        <w:tab/>
        <w:t>Совет по развитию народностей и народов Эквадора (КОДЕНПЭ)</w:t>
      </w:r>
      <w:r>
        <w:rPr>
          <w:rStyle w:val="FootnoteReference"/>
          <w:rFonts w:ascii="Arial" w:hAnsi="Arial"/>
          <w:color w:val="000000"/>
          <w:sz w:val="22"/>
        </w:rPr>
        <w:footnoteReference w:id="90"/>
      </w:r>
      <w:r>
        <w:rPr>
          <w:rFonts w:ascii="Arial" w:hAnsi="Arial"/>
          <w:color w:val="000000"/>
          <w:sz w:val="22"/>
        </w:rPr>
        <w:t xml:space="preserve"> является органом, ответственным за планирование развития народов и народностей. В свою очередь, Совет по развитию афроэквадорцев (КОДАЭ) разрабатывает направления политики в отношении чернокожего населения Эквадора. Данные учреждения обеспечивают участие всех коренных народностей и народов, а также афроэквадорцев во всех сферах общественной жизни.</w:t>
      </w:r>
    </w:p>
    <w:p w:rsidR="00000000" w:rsidRDefault="00000000">
      <w:pPr>
        <w:autoSpaceDE w:val="0"/>
        <w:autoSpaceDN w:val="0"/>
        <w:adjustRightInd w:val="0"/>
        <w:spacing w:after="240" w:line="260" w:lineRule="exact"/>
        <w:jc w:val="both"/>
        <w:rPr>
          <w:rFonts w:ascii="Arial" w:hAnsi="Arial"/>
          <w:color w:val="000000"/>
          <w:sz w:val="22"/>
        </w:rPr>
      </w:pPr>
      <w:r>
        <w:rPr>
          <w:rFonts w:ascii="Arial" w:hAnsi="Arial"/>
          <w:color w:val="000000"/>
          <w:sz w:val="22"/>
        </w:rPr>
        <w:t>280.</w:t>
      </w:r>
      <w:r>
        <w:rPr>
          <w:rFonts w:ascii="Arial" w:hAnsi="Arial"/>
          <w:color w:val="000000"/>
          <w:sz w:val="22"/>
        </w:rPr>
        <w:tab/>
        <w:t xml:space="preserve">В августе 1997 года Министерство социального обеспечения представило План борьбы с бедностью в сельских районах, в котором подтверждается политическая воля правительства страны поддерживать устойчивое развитие сельских районов и рассматривать его как долгосрочную политику в рамках борьбы с бедностью, одновременно выделяя в качестве наиболее важных стратегических направлений следующие: участие крестьян в общественной жизни страны, сохранение природных ресурсов и охрана окружающей среды, развитие сельского хозяйства и соответствующей профессиональной подготовки и т. п. </w:t>
      </w:r>
    </w:p>
    <w:p w:rsidR="00000000" w:rsidRDefault="00000000">
      <w:pPr>
        <w:autoSpaceDE w:val="0"/>
        <w:autoSpaceDN w:val="0"/>
        <w:adjustRightInd w:val="0"/>
        <w:spacing w:after="240" w:line="260" w:lineRule="exact"/>
        <w:jc w:val="both"/>
        <w:rPr>
          <w:rFonts w:ascii="Arial" w:hAnsi="Arial"/>
          <w:color w:val="000000"/>
          <w:sz w:val="22"/>
        </w:rPr>
      </w:pPr>
      <w:r>
        <w:rPr>
          <w:rFonts w:ascii="Arial" w:hAnsi="Arial"/>
          <w:color w:val="000000"/>
          <w:sz w:val="22"/>
        </w:rPr>
        <w:t>281.</w:t>
      </w:r>
      <w:r>
        <w:rPr>
          <w:rFonts w:ascii="Arial" w:hAnsi="Arial"/>
          <w:color w:val="000000"/>
          <w:sz w:val="22"/>
        </w:rPr>
        <w:tab/>
        <w:t>В рамках Национального плана экономического развития (ПРОНАДЕР) в 1989–1992 годах уделялось приоритетное внимание развитию сельских районов, которое рассматривалось как один из важнейших элементов стратегии по сокращению уровня безработицы и бедности в стране и по уменьшению неравенства между различными регионами.</w:t>
      </w:r>
    </w:p>
    <w:p w:rsidR="00000000" w:rsidRDefault="00000000">
      <w:pPr>
        <w:autoSpaceDE w:val="0"/>
        <w:autoSpaceDN w:val="0"/>
        <w:adjustRightInd w:val="0"/>
        <w:spacing w:after="240" w:line="260" w:lineRule="exact"/>
        <w:jc w:val="both"/>
        <w:rPr>
          <w:rFonts w:ascii="Arial" w:hAnsi="Arial"/>
          <w:color w:val="000000"/>
          <w:sz w:val="22"/>
        </w:rPr>
      </w:pPr>
      <w:r>
        <w:rPr>
          <w:rFonts w:ascii="Arial" w:hAnsi="Arial"/>
          <w:color w:val="000000"/>
          <w:sz w:val="22"/>
        </w:rPr>
        <w:t>282.</w:t>
      </w:r>
      <w:r>
        <w:rPr>
          <w:rFonts w:ascii="Arial" w:hAnsi="Arial"/>
          <w:color w:val="000000"/>
          <w:sz w:val="22"/>
        </w:rPr>
        <w:tab/>
        <w:t>ПРОНАДЕР предусматривает участие различных учреждений, ответственных за развитие сельских районов: Министерства сельского хозяйства и животноводства, учреждений, подведомственных Национальному институту аграрного развития, Национального банка развития, национальных и международных неправительственных организаций. Также предусматривается техническое содействие Межамериканского института по вопросам сотрудничества в области сельского хозяйства (ИИКА).</w:t>
      </w:r>
    </w:p>
    <w:p w:rsidR="00000000" w:rsidRDefault="00000000">
      <w:pPr>
        <w:autoSpaceDE w:val="0"/>
        <w:autoSpaceDN w:val="0"/>
        <w:adjustRightInd w:val="0"/>
        <w:spacing w:after="240" w:line="260" w:lineRule="exact"/>
        <w:jc w:val="both"/>
        <w:rPr>
          <w:rFonts w:ascii="Arial" w:hAnsi="Arial"/>
          <w:color w:val="000000"/>
          <w:sz w:val="22"/>
        </w:rPr>
      </w:pPr>
      <w:r>
        <w:rPr>
          <w:rFonts w:ascii="Arial" w:hAnsi="Arial"/>
          <w:color w:val="000000"/>
          <w:sz w:val="22"/>
        </w:rPr>
        <w:t>283.</w:t>
      </w:r>
      <w:r>
        <w:rPr>
          <w:rFonts w:ascii="Arial" w:hAnsi="Arial"/>
          <w:color w:val="000000"/>
          <w:sz w:val="22"/>
        </w:rPr>
        <w:tab/>
        <w:t>С учетом вышесказанного гендерный подход был включен в ПРОНАДЕР, и с этой целью проводятся информационные кампании и профессиональная подготовка руководителей и исполнителей программ всех уровней в отношении концепции и методов работы, инструментов и способов внедрения гендерного подхода. В частности, была проведена практическая профессиональная подготовка для специалистов и крестьян (мужчин и женщин) на местах по вопросам содержания и методов планирования с учетом гендерного подхода и по другим вопросам.</w:t>
      </w:r>
    </w:p>
    <w:p w:rsidR="00000000" w:rsidRDefault="00000000">
      <w:pPr>
        <w:autoSpaceDE w:val="0"/>
        <w:autoSpaceDN w:val="0"/>
        <w:adjustRightInd w:val="0"/>
        <w:spacing w:after="240" w:line="260" w:lineRule="exact"/>
        <w:jc w:val="both"/>
        <w:rPr>
          <w:rFonts w:ascii="Arial" w:hAnsi="Arial"/>
          <w:color w:val="000000"/>
          <w:sz w:val="22"/>
        </w:rPr>
      </w:pPr>
      <w:r>
        <w:rPr>
          <w:rFonts w:ascii="Arial" w:hAnsi="Arial"/>
          <w:color w:val="000000"/>
          <w:sz w:val="22"/>
        </w:rPr>
        <w:t>284.</w:t>
      </w:r>
      <w:r>
        <w:rPr>
          <w:rFonts w:ascii="Arial" w:hAnsi="Arial"/>
          <w:color w:val="000000"/>
          <w:sz w:val="22"/>
        </w:rPr>
        <w:tab/>
        <w:t>С 1998 года ПРОНАДЕР получил название "Программа устойчивого развития на местном уровне" (ПРОЛОКАЛ), цель которой – построение устойчивого и равноправного общества на местах в новой сельской реальности</w:t>
      </w:r>
      <w:r>
        <w:rPr>
          <w:rStyle w:val="FootnoteReference"/>
          <w:rFonts w:ascii="Arial" w:hAnsi="Arial"/>
          <w:color w:val="000000"/>
          <w:sz w:val="22"/>
        </w:rPr>
        <w:footnoteReference w:id="91"/>
      </w:r>
      <w:r>
        <w:rPr>
          <w:rFonts w:ascii="Arial" w:hAnsi="Arial"/>
          <w:color w:val="000000"/>
          <w:sz w:val="22"/>
        </w:rPr>
        <w:t>. КОНАМУ совместно с ИИКА работает над включением в эту программу гендерного подхода.</w:t>
      </w:r>
    </w:p>
    <w:p w:rsidR="00000000" w:rsidRDefault="00000000">
      <w:pPr>
        <w:autoSpaceDE w:val="0"/>
        <w:autoSpaceDN w:val="0"/>
        <w:adjustRightInd w:val="0"/>
        <w:spacing w:after="240" w:line="260" w:lineRule="exact"/>
        <w:jc w:val="both"/>
        <w:rPr>
          <w:rFonts w:ascii="Arial" w:hAnsi="Arial"/>
          <w:color w:val="000000"/>
          <w:sz w:val="22"/>
        </w:rPr>
      </w:pPr>
      <w:r>
        <w:rPr>
          <w:rFonts w:ascii="Arial" w:hAnsi="Arial"/>
          <w:color w:val="000000"/>
          <w:sz w:val="22"/>
        </w:rPr>
        <w:t>285.</w:t>
      </w:r>
      <w:r>
        <w:rPr>
          <w:rFonts w:ascii="Arial" w:hAnsi="Arial"/>
          <w:color w:val="000000"/>
          <w:sz w:val="22"/>
        </w:rPr>
        <w:tab/>
        <w:t>С 80-х годов Министерство сельского хозяйства и животноводства осуществляет программы, направленные на улучшение положения женщин- крестьянок в связи с концепцией сельского развития, которая отводит женщине активную роль, признает огромное значение труда женщин в сельскохозяйственном производстве и содействует им в их разнообразной деятельности, в том числе по охране окружающей среды.</w:t>
      </w:r>
    </w:p>
    <w:p w:rsidR="00000000" w:rsidRDefault="00000000">
      <w:pPr>
        <w:autoSpaceDE w:val="0"/>
        <w:autoSpaceDN w:val="0"/>
        <w:adjustRightInd w:val="0"/>
        <w:spacing w:after="240" w:line="260" w:lineRule="exact"/>
        <w:jc w:val="both"/>
        <w:rPr>
          <w:rFonts w:ascii="Arial" w:hAnsi="Arial"/>
          <w:color w:val="000000"/>
          <w:sz w:val="22"/>
        </w:rPr>
      </w:pPr>
      <w:r>
        <w:rPr>
          <w:rFonts w:ascii="Arial" w:hAnsi="Arial"/>
          <w:color w:val="000000"/>
          <w:sz w:val="22"/>
        </w:rPr>
        <w:t>286.</w:t>
      </w:r>
      <w:r>
        <w:rPr>
          <w:rFonts w:ascii="Arial" w:hAnsi="Arial"/>
          <w:color w:val="000000"/>
          <w:sz w:val="22"/>
        </w:rPr>
        <w:tab/>
        <w:t xml:space="preserve">В реализации и осуществлении различных проектов приоритетное внимание уделялось роли женщин и молодежи в качестве непосредственных получателей помощи в рамках проектов развития, осуществляемых Министерством сельского хозяйства и животноводства. Отвечает за эту работу Национальное бюро по делам крестьянских женщин, молодежи и семьи. </w:t>
      </w:r>
    </w:p>
    <w:p w:rsidR="00000000" w:rsidRDefault="00000000">
      <w:pPr>
        <w:pStyle w:val="BodyText3"/>
        <w:spacing w:after="240" w:line="260" w:lineRule="exact"/>
        <w:jc w:val="both"/>
        <w:rPr>
          <w:rFonts w:ascii="Arial" w:hAnsi="Arial"/>
          <w:sz w:val="22"/>
        </w:rPr>
      </w:pPr>
      <w:r>
        <w:rPr>
          <w:rFonts w:ascii="Arial" w:hAnsi="Arial"/>
          <w:sz w:val="22"/>
        </w:rPr>
        <w:t>287.</w:t>
      </w:r>
      <w:r>
        <w:rPr>
          <w:rFonts w:ascii="Arial" w:hAnsi="Arial"/>
          <w:sz w:val="22"/>
        </w:rPr>
        <w:tab/>
        <w:t>В рамках проекта "Всестороннее развитие женщин-крестьянок", осуществление которого было начато в 1994 году на основе деятельности по созданию женских групп в соответствии с Программой по улучшению положения домохозяйств, проводились мероприятия, направленные на вовлечение женщин в приносящую доход деятельность, что должно обеспечить им продуктивную занятость и доходы, а также доступ к управлению на уровне общины. Эти меры содействовали росту самоуважения у женщин.</w:t>
      </w:r>
    </w:p>
    <w:p w:rsidR="00000000" w:rsidRDefault="00000000">
      <w:pPr>
        <w:pStyle w:val="BodyText3"/>
        <w:spacing w:after="240" w:line="260" w:lineRule="exact"/>
        <w:jc w:val="both"/>
        <w:rPr>
          <w:rFonts w:ascii="Arial" w:hAnsi="Arial"/>
          <w:sz w:val="22"/>
        </w:rPr>
      </w:pPr>
      <w:r>
        <w:rPr>
          <w:rFonts w:ascii="Arial" w:hAnsi="Arial"/>
          <w:sz w:val="22"/>
        </w:rPr>
        <w:t>288.</w:t>
      </w:r>
      <w:r>
        <w:rPr>
          <w:rFonts w:ascii="Arial" w:hAnsi="Arial"/>
          <w:sz w:val="22"/>
        </w:rPr>
        <w:tab/>
        <w:t>Главной целью проекта являются содействие развитию и оценка труда крестьянских женщин, с тем чтобы они получали свою долю выгод от развития. Программа охватывает 18 провинций: 10 в Сьерре, 3 в Косте и 5 в Орьенте. Помощь предоставляется 78 общинам, осуществляются 143 подпроекта, бенефициарами которых являются 7900 семей. Осуществление программы финансируется государством. Подпроекты реализуются специально созданными смешанными группами (мужчинами и женщинами), во главе 85 процентов которых стоят женщины. Проводятся профессиональная подготовка общественно-организационного, технико-производственного и административно-предпринимательского характера, а также по вопросам использования природных ресурсов, практикумы для усиления мотивации участия в получении выгод от развития, а также по вопросам самоуправления, участия в жизни общества и учета этнической и культурной самобытности. Общины обеспечиваются необходимой инфраструктурой, например ирригационными системами, мастерскими, оборудованием по очистке воды, сараями и складами.</w:t>
      </w:r>
    </w:p>
    <w:p w:rsidR="00000000" w:rsidRDefault="00000000">
      <w:pPr>
        <w:autoSpaceDE w:val="0"/>
        <w:autoSpaceDN w:val="0"/>
        <w:adjustRightInd w:val="0"/>
        <w:spacing w:after="240" w:line="260" w:lineRule="exact"/>
        <w:jc w:val="both"/>
        <w:rPr>
          <w:rFonts w:ascii="Arial" w:hAnsi="Arial"/>
          <w:color w:val="000000"/>
          <w:sz w:val="22"/>
        </w:rPr>
      </w:pPr>
      <w:r>
        <w:rPr>
          <w:rFonts w:ascii="Arial" w:hAnsi="Arial"/>
          <w:smallCaps/>
          <w:color w:val="000000"/>
          <w:sz w:val="22"/>
        </w:rPr>
        <w:t>289</w:t>
      </w:r>
      <w:r>
        <w:rPr>
          <w:rFonts w:ascii="Arial" w:hAnsi="Arial"/>
          <w:color w:val="000000"/>
          <w:sz w:val="22"/>
        </w:rPr>
        <w:t>.</w:t>
      </w:r>
      <w:r>
        <w:rPr>
          <w:rFonts w:ascii="Arial" w:hAnsi="Arial"/>
          <w:color w:val="000000"/>
          <w:sz w:val="22"/>
        </w:rPr>
        <w:tab/>
        <w:t>Стратегии и методы выполнения проекта нацелены на модернизацию сельскохозяйственного производства путем распространения и передачи технологий, оснащения ирригационными системами, проведения профессиональной подготовки и совершенствования практики в сельскохозяйственной и агропромышленной областях, а также в области ремесел, создания и внедрения инновационных форм финансирования, таких как, например, Фонд общинного развития (ФОДЕКО), предоставления современных услуг по коммерциализации и юридическому оформлению прав на землю, строительства дорог и проведения профессиональной подготовки. Указанные меры стали импульсом для модернизации производственных процессов</w:t>
      </w:r>
      <w:r>
        <w:rPr>
          <w:rStyle w:val="FootnoteReference"/>
          <w:rFonts w:ascii="Arial" w:hAnsi="Arial"/>
          <w:color w:val="000000"/>
          <w:sz w:val="22"/>
        </w:rPr>
        <w:footnoteReference w:id="92"/>
      </w:r>
      <w:r>
        <w:rPr>
          <w:rFonts w:ascii="Arial" w:hAnsi="Arial"/>
          <w:color w:val="000000"/>
          <w:sz w:val="22"/>
        </w:rPr>
        <w:t>.</w:t>
      </w:r>
    </w:p>
    <w:p w:rsidR="00000000" w:rsidRDefault="00000000">
      <w:pPr>
        <w:autoSpaceDE w:val="0"/>
        <w:autoSpaceDN w:val="0"/>
        <w:adjustRightInd w:val="0"/>
        <w:spacing w:after="240" w:line="260" w:lineRule="exact"/>
        <w:jc w:val="both"/>
        <w:rPr>
          <w:rFonts w:ascii="Arial" w:hAnsi="Arial"/>
          <w:color w:val="000000"/>
          <w:sz w:val="22"/>
        </w:rPr>
      </w:pPr>
      <w:r>
        <w:rPr>
          <w:rFonts w:ascii="Arial" w:hAnsi="Arial"/>
          <w:color w:val="000000"/>
          <w:sz w:val="22"/>
        </w:rPr>
        <w:t>290.</w:t>
      </w:r>
      <w:r>
        <w:rPr>
          <w:rFonts w:ascii="Arial" w:hAnsi="Arial"/>
          <w:color w:val="000000"/>
          <w:sz w:val="22"/>
        </w:rPr>
        <w:tab/>
        <w:t>Одной из задач этого проекта было проведение информационных кампаний и профессиональной подготовки по гендерной проблематике для служащих, разрабатывающих национальную статистику, а также по учету гендерного аспекта для служащих региональных и отраслевых учреждений.</w:t>
      </w:r>
    </w:p>
    <w:p w:rsidR="00000000" w:rsidRDefault="00000000">
      <w:pPr>
        <w:autoSpaceDE w:val="0"/>
        <w:autoSpaceDN w:val="0"/>
        <w:adjustRightInd w:val="0"/>
        <w:spacing w:after="240" w:line="260" w:lineRule="exact"/>
        <w:jc w:val="both"/>
        <w:rPr>
          <w:rFonts w:ascii="Arial" w:hAnsi="Arial"/>
          <w:color w:val="000000"/>
          <w:sz w:val="22"/>
        </w:rPr>
      </w:pPr>
      <w:r>
        <w:rPr>
          <w:rFonts w:ascii="Arial" w:hAnsi="Arial"/>
          <w:color w:val="000000"/>
          <w:sz w:val="22"/>
        </w:rPr>
        <w:t>291.</w:t>
      </w:r>
      <w:r>
        <w:rPr>
          <w:rFonts w:ascii="Arial" w:hAnsi="Arial"/>
          <w:color w:val="000000"/>
          <w:sz w:val="22"/>
        </w:rPr>
        <w:tab/>
        <w:t>Фонд чрезвычайных социальных инвестиций, созданный в 1993 году как исполнительный орган при президенте Республики, предназначен для создания малых инфраструктур в общинах, пострадавших от стихийных бедствий. Он работает с бедными крестьянскими общинами и общинами коренного населения.</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292.</w:t>
      </w:r>
      <w:r>
        <w:rPr>
          <w:rFonts w:ascii="Arial" w:hAnsi="Arial"/>
          <w:sz w:val="22"/>
        </w:rPr>
        <w:tab/>
        <w:t>Фонд солидарности, созданный в целях использования ресурсов, которые получены в результате применения Закона о модернизации государства, приватизации и предоставлении услуг населению со стороны частного сектора 1993 года, должен работать с наиболее бедными слоями населения страны в целях поощрения деконцентрации экономики и децентрализации управления.</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293.</w:t>
      </w:r>
      <w:r>
        <w:rPr>
          <w:rFonts w:ascii="Arial" w:hAnsi="Arial"/>
          <w:sz w:val="22"/>
        </w:rPr>
        <w:tab/>
        <w:t>В отношении доступа населения к услугам существует огромная разница между городскими и сельскими районами. Женщины из сельских районов, и прежде всего крестьянки и представительницы коренного населения, страдают от низкого качества жилья и среды обитания. Для большинства жителей сельских районов электричество является единственной услугой. Несмотря на достигнутый прогресс, электроснабжение неодинаково: лучше всего оно налажено в Сьерре, немного хуже – в Косте и плохо – в Амазонии.</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294.</w:t>
      </w:r>
      <w:r>
        <w:rPr>
          <w:rFonts w:ascii="Arial" w:hAnsi="Arial"/>
          <w:sz w:val="22"/>
        </w:rPr>
        <w:tab/>
        <w:t>Благодаря международному сотрудничеству, деятельности национальных государственных и частных органов и учреждений, занимающихся вопросами развития, была проведена работа по оценке положения женщин в сельских районах, систематизации производственного и политического опыта, а также политики в области занятости и приносящей доход деятельности на местном уровне.</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295.</w:t>
      </w:r>
      <w:r>
        <w:rPr>
          <w:rFonts w:ascii="Arial" w:hAnsi="Arial"/>
          <w:sz w:val="22"/>
        </w:rPr>
        <w:tab/>
        <w:t>В Эквадоре была оказана поддержка многочисленным проектам в области развития в интересах женщин, проживающих в сельских районах, либо проектам, в которых учитывается гендерный подход. Некоторые из них были направлены исключительно на экономическое развитие и не принимали во внимание общественные издержки данного процесса, другие, особенно последние по времени, учитывают положение и роль женщин в развитии, то есть применяют гендерный подход.</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296.</w:t>
      </w:r>
      <w:r>
        <w:rPr>
          <w:rFonts w:ascii="Arial" w:hAnsi="Arial"/>
          <w:sz w:val="22"/>
        </w:rPr>
        <w:tab/>
        <w:t>В национальном и региональном масштабах были реализованы многочисленные проекты, учитывающие гендерный аспект, в которых техническая профессиональная подготовка сочеталась с повышением статуса женщин. Самыми значительными из них являются проект развития лесного хозяйства, программа устойчивого развития людских ресурсов, проект развития района Куэнка-Альта-дель-Рио-Каньяр и проект развития в интересах сельских женщин и их семей, который осуществляется в провинции Чимборасо.</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297.</w:t>
      </w:r>
      <w:r>
        <w:rPr>
          <w:rFonts w:ascii="Arial" w:hAnsi="Arial"/>
          <w:sz w:val="22"/>
        </w:rPr>
        <w:tab/>
        <w:t>Данные проекты и программы осуществлялись при поддержке Европейского сообщества, ФАО и местных неправительственных организаций. Последние, как, например, Фонд Э</w:t>
      </w:r>
      <w:r>
        <w:rPr>
          <w:rFonts w:ascii="Arial" w:hAnsi="Arial"/>
          <w:caps/>
          <w:sz w:val="22"/>
        </w:rPr>
        <w:t>скел</w:t>
      </w:r>
      <w:r>
        <w:rPr>
          <w:rFonts w:ascii="Arial" w:hAnsi="Arial"/>
          <w:sz w:val="22"/>
        </w:rPr>
        <w:t xml:space="preserve"> и ФЕПП, совместно с другими неправительственными организациями, специализирующимися в гендерной проблематике, финансировали программы, в которых женщинам уделяется приоритетное внимание.</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298.</w:t>
      </w:r>
      <w:r>
        <w:rPr>
          <w:rFonts w:ascii="Arial" w:hAnsi="Arial"/>
          <w:sz w:val="22"/>
        </w:rPr>
        <w:tab/>
        <w:t>В Министерстве сельского хозяйства и животноводства распоряжением № 180, опубликованным в "Рехистро офисиаль" 3 июня 1996 года, было создано Национальное управление по делам сельских женщин, молодежи и семьи. В осуществлении проекта всестороннего развития сельских женщин удалось достичь значительных успехов по следующим аспектам: признание значимости женщин, признание вклада женщин в производственную деятельность, облегчение женщинам доступа к услугам в области профессиональной подготовки и технической помощи, самоуправление организованных групп, расширение охвата предоставляемой помощи, развитие приносящей доход деятельности в целях пополнения крестьянского семейного бюджета, женщины как руководители предназначенных для них проектов, участие в принятии решений на уровне общин, активизация участия в выработке политики на местном, региональном и национальном уровнях.</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299.</w:t>
      </w:r>
      <w:r>
        <w:rPr>
          <w:rFonts w:ascii="Arial" w:hAnsi="Arial"/>
          <w:sz w:val="22"/>
        </w:rPr>
        <w:tab/>
        <w:t>В период 1992–1996 годов ПРОНАДЕР реализовал проект юридического оформления прав собственности на землю с учетом гендерного фактора. Всего в 1992–1996 годах было выдано 12 500 титулов на право собственности на землю.</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300.</w:t>
      </w:r>
      <w:r>
        <w:rPr>
          <w:rFonts w:ascii="Arial" w:hAnsi="Arial"/>
          <w:sz w:val="22"/>
        </w:rPr>
        <w:tab/>
        <w:t>КОНАМУ совместно с Министерством сельского хозяйства, Национальным институтом сельскохозяйственного развития (ИНДА) и Программой развития сельских районов обобщил опыт по вопросам выдачи титулов на право собственности на землю и разработал предложения в отношении процедур, направленных на обеспечение имущественных прав женщин в трех из двенадцати регионов, в которых работает ПРОНАДЕР.</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301.</w:t>
      </w:r>
      <w:r>
        <w:rPr>
          <w:rFonts w:ascii="Arial" w:hAnsi="Arial"/>
          <w:sz w:val="22"/>
        </w:rPr>
        <w:tab/>
        <w:t>В процессе обобщения опыта по вопросам выдачи титулов на право собственности на землю совместно с ИНДА подготовлено руководство, в которое были включены концептуальные и оперативные положения относительно методов исследования и правовом характере, а также информация о профессиональной подготовке исполнителей ИНДА, участвующих в выдаче таких титулов.</w:t>
      </w:r>
    </w:p>
    <w:p w:rsidR="00000000" w:rsidRDefault="00000000">
      <w:pPr>
        <w:pStyle w:val="Heading3"/>
        <w:rPr>
          <w:caps/>
        </w:rPr>
      </w:pPr>
      <w:r>
        <w:rPr>
          <w:caps/>
        </w:rPr>
        <w:t>Статья 15</w:t>
      </w:r>
    </w:p>
    <w:p w:rsidR="00000000" w:rsidRDefault="00000000">
      <w:pPr>
        <w:autoSpaceDE w:val="0"/>
        <w:autoSpaceDN w:val="0"/>
        <w:adjustRightInd w:val="0"/>
        <w:spacing w:after="240" w:line="260" w:lineRule="exact"/>
        <w:ind w:left="397" w:hanging="397"/>
        <w:jc w:val="both"/>
        <w:rPr>
          <w:rFonts w:ascii="Arial" w:hAnsi="Arial"/>
          <w:i/>
          <w:sz w:val="22"/>
        </w:rPr>
      </w:pPr>
      <w:r>
        <w:rPr>
          <w:rFonts w:ascii="Arial" w:hAnsi="Arial"/>
          <w:i/>
          <w:color w:val="000000"/>
          <w:sz w:val="22"/>
        </w:rPr>
        <w:t>1.</w:t>
      </w:r>
      <w:r>
        <w:rPr>
          <w:rFonts w:ascii="Arial" w:hAnsi="Arial"/>
          <w:i/>
          <w:color w:val="000000"/>
          <w:sz w:val="22"/>
        </w:rPr>
        <w:tab/>
        <w:t>Государства-участники признают за женщинами равенство с мужчинами перед законом.</w:t>
      </w:r>
    </w:p>
    <w:p w:rsidR="00000000" w:rsidRDefault="00000000">
      <w:pPr>
        <w:pStyle w:val="BodyTextIndent3"/>
      </w:pPr>
      <w:r>
        <w:t>2.</w:t>
      </w:r>
      <w:r>
        <w:tab/>
        <w:t>Государства-участники предоставляют женщинам одинаковую с мужчинами гражданскую правоспособность и одинаковые возможности ее реализации. Они, в частности, обеспечивают им равные права при заключении договоров и управлении имуществом, а также равное отношение к ним на всех этапах разбирательства в судах и трибуналах.</w:t>
      </w:r>
    </w:p>
    <w:p w:rsidR="00000000" w:rsidRDefault="00000000">
      <w:pPr>
        <w:autoSpaceDE w:val="0"/>
        <w:autoSpaceDN w:val="0"/>
        <w:adjustRightInd w:val="0"/>
        <w:spacing w:after="240" w:line="260" w:lineRule="exact"/>
        <w:ind w:left="397" w:hanging="397"/>
        <w:jc w:val="both"/>
        <w:rPr>
          <w:rFonts w:ascii="Arial" w:hAnsi="Arial"/>
          <w:i/>
          <w:color w:val="000000"/>
          <w:sz w:val="22"/>
        </w:rPr>
      </w:pPr>
      <w:r>
        <w:rPr>
          <w:rFonts w:ascii="Arial" w:hAnsi="Arial"/>
          <w:i/>
          <w:color w:val="000000"/>
          <w:sz w:val="22"/>
        </w:rPr>
        <w:t>3.</w:t>
      </w:r>
      <w:r>
        <w:rPr>
          <w:rFonts w:ascii="Arial" w:hAnsi="Arial"/>
          <w:i/>
          <w:color w:val="000000"/>
          <w:sz w:val="22"/>
        </w:rPr>
        <w:tab/>
        <w:t>Государства-участники соглашаются, что все договоры и все другие частные документы любого рода, имеющие своим правовым последствием ограничение правоспособности женщин, считаются недействительными.</w:t>
      </w:r>
    </w:p>
    <w:p w:rsidR="00000000" w:rsidRDefault="00000000">
      <w:pPr>
        <w:autoSpaceDE w:val="0"/>
        <w:autoSpaceDN w:val="0"/>
        <w:adjustRightInd w:val="0"/>
        <w:spacing w:after="240" w:line="260" w:lineRule="exact"/>
        <w:ind w:left="397" w:hanging="397"/>
        <w:jc w:val="both"/>
        <w:rPr>
          <w:rFonts w:ascii="Arial" w:hAnsi="Arial"/>
          <w:i/>
          <w:color w:val="000000"/>
          <w:sz w:val="22"/>
        </w:rPr>
      </w:pPr>
      <w:r>
        <w:rPr>
          <w:rFonts w:ascii="Arial" w:hAnsi="Arial"/>
          <w:i/>
          <w:color w:val="000000"/>
          <w:sz w:val="22"/>
        </w:rPr>
        <w:t>4.</w:t>
      </w:r>
      <w:r>
        <w:rPr>
          <w:rFonts w:ascii="Arial" w:hAnsi="Arial"/>
          <w:i/>
          <w:color w:val="000000"/>
          <w:sz w:val="22"/>
        </w:rPr>
        <w:tab/>
        <w:t>Государства-участники предоставляют мужчинам и женщинам одинаковые права в отношении законодательства, касающегося передвижения лиц и свободы выбора места проживания и местожительства.</w:t>
      </w:r>
    </w:p>
    <w:p w:rsidR="00000000" w:rsidRDefault="00000000">
      <w:pPr>
        <w:pStyle w:val="BodyText3"/>
        <w:spacing w:after="240" w:line="260" w:lineRule="exact"/>
        <w:jc w:val="both"/>
        <w:rPr>
          <w:rFonts w:ascii="Arial" w:hAnsi="Arial"/>
          <w:sz w:val="22"/>
        </w:rPr>
      </w:pPr>
      <w:r>
        <w:rPr>
          <w:rFonts w:ascii="Arial" w:hAnsi="Arial"/>
          <w:sz w:val="22"/>
        </w:rPr>
        <w:t>302.</w:t>
      </w:r>
      <w:r>
        <w:rPr>
          <w:rFonts w:ascii="Arial" w:hAnsi="Arial"/>
          <w:sz w:val="22"/>
        </w:rPr>
        <w:tab/>
        <w:t>Политическая конституция Эквадора однозначно гарантирует равенство мужчин и женщин перед законом, а также провозглашает обязанность государства уважать права человека и содействовать их соблюдению.</w:t>
      </w:r>
    </w:p>
    <w:p w:rsidR="00000000" w:rsidRDefault="00000000">
      <w:pPr>
        <w:pStyle w:val="BodyText3"/>
        <w:spacing w:after="240" w:line="260" w:lineRule="exact"/>
        <w:jc w:val="both"/>
        <w:rPr>
          <w:rFonts w:ascii="Arial" w:hAnsi="Arial"/>
          <w:sz w:val="22"/>
        </w:rPr>
      </w:pPr>
      <w:r>
        <w:rPr>
          <w:rFonts w:ascii="Arial" w:hAnsi="Arial"/>
          <w:sz w:val="22"/>
        </w:rPr>
        <w:t>303.</w:t>
      </w:r>
      <w:r>
        <w:rPr>
          <w:rFonts w:ascii="Arial" w:hAnsi="Arial"/>
          <w:sz w:val="22"/>
        </w:rPr>
        <w:tab/>
        <w:t xml:space="preserve">Изменения, внесенные в Уголовный кодекс путем принятия Закона № 43 1989 года, составляют правовую основу равенства прав супругов и их обязанностей, повседневного руководства в брачном  союзе, завещания имущества и др. </w:t>
      </w:r>
    </w:p>
    <w:p w:rsidR="00000000" w:rsidRDefault="00000000">
      <w:pPr>
        <w:autoSpaceDE w:val="0"/>
        <w:autoSpaceDN w:val="0"/>
        <w:adjustRightInd w:val="0"/>
        <w:spacing w:after="240" w:line="260" w:lineRule="exact"/>
        <w:jc w:val="both"/>
        <w:rPr>
          <w:rFonts w:ascii="Arial" w:hAnsi="Arial"/>
          <w:color w:val="000000"/>
          <w:sz w:val="22"/>
        </w:rPr>
      </w:pPr>
      <w:r>
        <w:rPr>
          <w:rFonts w:ascii="Arial" w:hAnsi="Arial"/>
          <w:color w:val="000000"/>
          <w:sz w:val="22"/>
        </w:rPr>
        <w:t>304.</w:t>
      </w:r>
      <w:r>
        <w:rPr>
          <w:rFonts w:ascii="Arial" w:hAnsi="Arial"/>
          <w:color w:val="000000"/>
          <w:sz w:val="22"/>
        </w:rPr>
        <w:tab/>
        <w:t>В качестве основного средства распространения информации о правах женщин были использованы печатные и видеоматериалы, рассказывающие прежде всего об их правах, закрепленных в Конституции, и о праве на жизнь без насилия, а также о мероприятиях, которые проводили государство и женские движения в такие дни, как всемирный день питания, Международный женский день и т. п.</w:t>
      </w:r>
    </w:p>
    <w:p w:rsidR="00000000" w:rsidRDefault="00000000">
      <w:pPr>
        <w:autoSpaceDE w:val="0"/>
        <w:autoSpaceDN w:val="0"/>
        <w:adjustRightInd w:val="0"/>
        <w:spacing w:after="240" w:line="260" w:lineRule="exact"/>
        <w:jc w:val="both"/>
        <w:rPr>
          <w:rFonts w:ascii="Arial" w:hAnsi="Arial"/>
          <w:sz w:val="22"/>
        </w:rPr>
      </w:pPr>
      <w:r>
        <w:rPr>
          <w:rFonts w:ascii="Arial" w:hAnsi="Arial"/>
          <w:color w:val="000000"/>
          <w:sz w:val="22"/>
        </w:rPr>
        <w:t>305.</w:t>
      </w:r>
      <w:r>
        <w:rPr>
          <w:rFonts w:ascii="Arial" w:hAnsi="Arial"/>
          <w:color w:val="000000"/>
          <w:sz w:val="22"/>
        </w:rPr>
        <w:tab/>
        <w:t>В Эквадоре обеспечивается свободный выбор профессии. Как женщины, так и мужчины могут заниматься своей профессиональной деятельностью на основе равенства. С принятием Закона об охране права на труд были внесены изменения в Органический закон о судебной власти. Была установлена обязательная квота в</w:t>
      </w:r>
      <w:r>
        <w:rPr>
          <w:rFonts w:ascii="Arial" w:hAnsi="Arial"/>
          <w:sz w:val="22"/>
        </w:rPr>
        <w:t xml:space="preserve"> 20 процентов для женщин на должностях судейских чиновников, судей, нотариусов, регистраторов и других служащих, работающих в органах судебной власти и отправления правосудия.</w:t>
      </w:r>
    </w:p>
    <w:p w:rsidR="00000000" w:rsidRDefault="00000000">
      <w:pPr>
        <w:autoSpaceDE w:val="0"/>
        <w:autoSpaceDN w:val="0"/>
        <w:adjustRightInd w:val="0"/>
        <w:spacing w:after="240" w:line="260" w:lineRule="exact"/>
        <w:jc w:val="both"/>
        <w:rPr>
          <w:rFonts w:ascii="Arial" w:hAnsi="Arial"/>
          <w:sz w:val="22"/>
        </w:rPr>
      </w:pPr>
      <w:r>
        <w:rPr>
          <w:rFonts w:ascii="Arial" w:hAnsi="Arial"/>
          <w:sz w:val="22"/>
        </w:rPr>
        <w:t>306.</w:t>
      </w:r>
      <w:r>
        <w:rPr>
          <w:rFonts w:ascii="Arial" w:hAnsi="Arial"/>
          <w:sz w:val="22"/>
        </w:rPr>
        <w:tab/>
        <w:t>В 1999 году на долю женщин в органах судебной власти приходилось (в процентах)</w:t>
      </w:r>
      <w:r>
        <w:rPr>
          <w:rStyle w:val="FootnoteReference"/>
          <w:rFonts w:ascii="Arial" w:hAnsi="Arial"/>
          <w:color w:val="000000"/>
          <w:sz w:val="22"/>
        </w:rPr>
        <w:footnoteReference w:id="93"/>
      </w:r>
      <w:r>
        <w:rPr>
          <w:rFonts w:ascii="Arial" w:hAnsi="Arial"/>
          <w:sz w:val="22"/>
        </w:rPr>
        <w:t>:</w:t>
      </w:r>
    </w:p>
    <w:tbl>
      <w:tblPr>
        <w:tblW w:w="0" w:type="auto"/>
        <w:tblInd w:w="-106" w:type="dxa"/>
        <w:tblLayout w:type="fixed"/>
        <w:tblLook w:val="0000" w:firstRow="0" w:lastRow="0" w:firstColumn="0" w:lastColumn="0" w:noHBand="0" w:noVBand="0"/>
      </w:tblPr>
      <w:tblGrid>
        <w:gridCol w:w="5864"/>
        <w:gridCol w:w="3192"/>
      </w:tblGrid>
      <w:tr w:rsidR="00000000">
        <w:tblPrEx>
          <w:tblCellMar>
            <w:top w:w="0" w:type="dxa"/>
            <w:bottom w:w="0" w:type="dxa"/>
          </w:tblCellMar>
        </w:tblPrEx>
        <w:tc>
          <w:tcPr>
            <w:tcW w:w="5864" w:type="dxa"/>
          </w:tcPr>
          <w:p w:rsidR="00000000" w:rsidRDefault="00000000">
            <w:pPr>
              <w:tabs>
                <w:tab w:val="left" w:pos="397"/>
              </w:tabs>
              <w:autoSpaceDE w:val="0"/>
              <w:autoSpaceDN w:val="0"/>
              <w:adjustRightInd w:val="0"/>
              <w:spacing w:line="260" w:lineRule="exact"/>
              <w:jc w:val="both"/>
              <w:rPr>
                <w:rFonts w:ascii="Arial" w:hAnsi="Arial"/>
                <w:color w:val="000000"/>
                <w:sz w:val="22"/>
              </w:rPr>
            </w:pPr>
            <w:r>
              <w:rPr>
                <w:rFonts w:ascii="Arial" w:hAnsi="Arial"/>
                <w:color w:val="000000"/>
                <w:sz w:val="22"/>
              </w:rPr>
              <w:t>–</w:t>
            </w:r>
            <w:r>
              <w:rPr>
                <w:rFonts w:ascii="Arial" w:hAnsi="Arial"/>
                <w:color w:val="000000"/>
                <w:sz w:val="22"/>
              </w:rPr>
              <w:tab/>
              <w:t>чиновники Верховного суда</w:t>
            </w:r>
          </w:p>
        </w:tc>
        <w:tc>
          <w:tcPr>
            <w:tcW w:w="3192" w:type="dxa"/>
          </w:tcPr>
          <w:p w:rsidR="00000000" w:rsidRDefault="00000000">
            <w:pPr>
              <w:tabs>
                <w:tab w:val="decimal" w:pos="1172"/>
              </w:tabs>
              <w:autoSpaceDE w:val="0"/>
              <w:autoSpaceDN w:val="0"/>
              <w:adjustRightInd w:val="0"/>
              <w:spacing w:line="260" w:lineRule="exact"/>
              <w:jc w:val="both"/>
              <w:rPr>
                <w:rFonts w:ascii="Arial" w:hAnsi="Arial"/>
                <w:color w:val="000000"/>
                <w:sz w:val="22"/>
              </w:rPr>
            </w:pPr>
            <w:r>
              <w:rPr>
                <w:rFonts w:ascii="Arial" w:hAnsi="Arial"/>
                <w:color w:val="000000"/>
                <w:sz w:val="22"/>
              </w:rPr>
              <w:t>0</w:t>
            </w:r>
          </w:p>
        </w:tc>
      </w:tr>
      <w:tr w:rsidR="00000000">
        <w:tblPrEx>
          <w:tblCellMar>
            <w:top w:w="0" w:type="dxa"/>
            <w:bottom w:w="0" w:type="dxa"/>
          </w:tblCellMar>
        </w:tblPrEx>
        <w:tc>
          <w:tcPr>
            <w:tcW w:w="5864" w:type="dxa"/>
          </w:tcPr>
          <w:p w:rsidR="00000000" w:rsidRDefault="00000000">
            <w:pPr>
              <w:tabs>
                <w:tab w:val="left" w:pos="397"/>
              </w:tabs>
              <w:autoSpaceDE w:val="0"/>
              <w:autoSpaceDN w:val="0"/>
              <w:adjustRightInd w:val="0"/>
              <w:spacing w:line="260" w:lineRule="exact"/>
              <w:jc w:val="both"/>
              <w:rPr>
                <w:rFonts w:ascii="Arial" w:hAnsi="Arial"/>
                <w:color w:val="000000"/>
                <w:sz w:val="22"/>
              </w:rPr>
            </w:pPr>
            <w:r>
              <w:rPr>
                <w:rFonts w:ascii="Arial" w:hAnsi="Arial"/>
                <w:color w:val="000000"/>
                <w:sz w:val="22"/>
              </w:rPr>
              <w:t>–</w:t>
            </w:r>
            <w:r>
              <w:rPr>
                <w:rFonts w:ascii="Arial" w:hAnsi="Arial"/>
                <w:color w:val="000000"/>
                <w:sz w:val="22"/>
              </w:rPr>
              <w:tab/>
              <w:t>председатели Верховных судов</w:t>
            </w:r>
          </w:p>
        </w:tc>
        <w:tc>
          <w:tcPr>
            <w:tcW w:w="3192" w:type="dxa"/>
          </w:tcPr>
          <w:p w:rsidR="00000000" w:rsidRDefault="00000000">
            <w:pPr>
              <w:tabs>
                <w:tab w:val="decimal" w:pos="1172"/>
              </w:tabs>
              <w:autoSpaceDE w:val="0"/>
              <w:autoSpaceDN w:val="0"/>
              <w:adjustRightInd w:val="0"/>
              <w:spacing w:line="260" w:lineRule="exact"/>
              <w:jc w:val="both"/>
              <w:rPr>
                <w:rFonts w:ascii="Arial" w:hAnsi="Arial"/>
                <w:color w:val="000000"/>
                <w:sz w:val="22"/>
              </w:rPr>
            </w:pPr>
            <w:r>
              <w:rPr>
                <w:rFonts w:ascii="Arial" w:hAnsi="Arial"/>
                <w:color w:val="000000"/>
                <w:sz w:val="22"/>
              </w:rPr>
              <w:t>5,0</w:t>
            </w:r>
          </w:p>
        </w:tc>
      </w:tr>
      <w:tr w:rsidR="00000000">
        <w:tblPrEx>
          <w:tblCellMar>
            <w:top w:w="0" w:type="dxa"/>
            <w:bottom w:w="0" w:type="dxa"/>
          </w:tblCellMar>
        </w:tblPrEx>
        <w:tc>
          <w:tcPr>
            <w:tcW w:w="5864" w:type="dxa"/>
          </w:tcPr>
          <w:p w:rsidR="00000000" w:rsidRDefault="00000000">
            <w:pPr>
              <w:tabs>
                <w:tab w:val="left" w:pos="397"/>
              </w:tabs>
              <w:autoSpaceDE w:val="0"/>
              <w:autoSpaceDN w:val="0"/>
              <w:adjustRightInd w:val="0"/>
              <w:spacing w:line="260" w:lineRule="exact"/>
              <w:jc w:val="both"/>
              <w:rPr>
                <w:rFonts w:ascii="Arial" w:hAnsi="Arial"/>
                <w:color w:val="000000"/>
                <w:sz w:val="22"/>
              </w:rPr>
            </w:pPr>
            <w:r>
              <w:rPr>
                <w:rFonts w:ascii="Arial" w:hAnsi="Arial"/>
                <w:color w:val="000000"/>
                <w:sz w:val="22"/>
              </w:rPr>
              <w:t>–</w:t>
            </w:r>
            <w:r>
              <w:rPr>
                <w:rFonts w:ascii="Arial" w:hAnsi="Arial"/>
                <w:color w:val="000000"/>
                <w:sz w:val="22"/>
              </w:rPr>
              <w:tab/>
              <w:t>чиновники Верховных судов</w:t>
            </w:r>
          </w:p>
        </w:tc>
        <w:tc>
          <w:tcPr>
            <w:tcW w:w="3192" w:type="dxa"/>
          </w:tcPr>
          <w:p w:rsidR="00000000" w:rsidRDefault="00000000">
            <w:pPr>
              <w:tabs>
                <w:tab w:val="decimal" w:pos="1172"/>
              </w:tabs>
              <w:autoSpaceDE w:val="0"/>
              <w:autoSpaceDN w:val="0"/>
              <w:adjustRightInd w:val="0"/>
              <w:spacing w:line="260" w:lineRule="exact"/>
              <w:jc w:val="both"/>
              <w:rPr>
                <w:rFonts w:ascii="Arial" w:hAnsi="Arial"/>
                <w:color w:val="000000"/>
                <w:sz w:val="22"/>
              </w:rPr>
            </w:pPr>
            <w:r>
              <w:rPr>
                <w:rFonts w:ascii="Arial" w:hAnsi="Arial"/>
                <w:color w:val="000000"/>
                <w:sz w:val="22"/>
              </w:rPr>
              <w:t>9,4</w:t>
            </w:r>
          </w:p>
        </w:tc>
      </w:tr>
      <w:tr w:rsidR="00000000">
        <w:tblPrEx>
          <w:tblCellMar>
            <w:top w:w="0" w:type="dxa"/>
            <w:bottom w:w="0" w:type="dxa"/>
          </w:tblCellMar>
        </w:tblPrEx>
        <w:tc>
          <w:tcPr>
            <w:tcW w:w="5864" w:type="dxa"/>
          </w:tcPr>
          <w:p w:rsidR="00000000" w:rsidRDefault="00000000">
            <w:pPr>
              <w:tabs>
                <w:tab w:val="left" w:pos="397"/>
              </w:tabs>
              <w:autoSpaceDE w:val="0"/>
              <w:autoSpaceDN w:val="0"/>
              <w:adjustRightInd w:val="0"/>
              <w:spacing w:line="260" w:lineRule="exact"/>
              <w:jc w:val="both"/>
              <w:rPr>
                <w:rFonts w:ascii="Arial" w:hAnsi="Arial"/>
                <w:color w:val="000000"/>
                <w:sz w:val="22"/>
              </w:rPr>
            </w:pPr>
            <w:r>
              <w:rPr>
                <w:rFonts w:ascii="Arial" w:hAnsi="Arial"/>
                <w:color w:val="000000"/>
                <w:sz w:val="22"/>
              </w:rPr>
              <w:t>–</w:t>
            </w:r>
            <w:r>
              <w:rPr>
                <w:rFonts w:ascii="Arial" w:hAnsi="Arial"/>
                <w:color w:val="000000"/>
                <w:sz w:val="22"/>
              </w:rPr>
              <w:tab/>
              <w:t>чиновники районных судов</w:t>
            </w:r>
          </w:p>
        </w:tc>
        <w:tc>
          <w:tcPr>
            <w:tcW w:w="3192" w:type="dxa"/>
          </w:tcPr>
          <w:p w:rsidR="00000000" w:rsidRDefault="00000000">
            <w:pPr>
              <w:tabs>
                <w:tab w:val="decimal" w:pos="1172"/>
              </w:tabs>
              <w:autoSpaceDE w:val="0"/>
              <w:autoSpaceDN w:val="0"/>
              <w:adjustRightInd w:val="0"/>
              <w:spacing w:line="260" w:lineRule="exact"/>
              <w:jc w:val="both"/>
              <w:rPr>
                <w:rFonts w:ascii="Arial" w:hAnsi="Arial"/>
                <w:color w:val="000000"/>
                <w:sz w:val="22"/>
              </w:rPr>
            </w:pPr>
            <w:r>
              <w:rPr>
                <w:rFonts w:ascii="Arial" w:hAnsi="Arial"/>
                <w:color w:val="000000"/>
                <w:sz w:val="22"/>
              </w:rPr>
              <w:t>6,1</w:t>
            </w:r>
          </w:p>
        </w:tc>
      </w:tr>
      <w:tr w:rsidR="00000000">
        <w:tblPrEx>
          <w:tblCellMar>
            <w:top w:w="0" w:type="dxa"/>
            <w:bottom w:w="0" w:type="dxa"/>
          </w:tblCellMar>
        </w:tblPrEx>
        <w:tc>
          <w:tcPr>
            <w:tcW w:w="5864" w:type="dxa"/>
          </w:tcPr>
          <w:p w:rsidR="00000000" w:rsidRDefault="00000000">
            <w:pPr>
              <w:tabs>
                <w:tab w:val="left" w:pos="397"/>
              </w:tabs>
              <w:autoSpaceDE w:val="0"/>
              <w:autoSpaceDN w:val="0"/>
              <w:adjustRightInd w:val="0"/>
              <w:spacing w:line="260" w:lineRule="exact"/>
              <w:jc w:val="both"/>
              <w:rPr>
                <w:rFonts w:ascii="Arial" w:hAnsi="Arial"/>
                <w:color w:val="000000"/>
                <w:sz w:val="22"/>
              </w:rPr>
            </w:pPr>
            <w:r>
              <w:rPr>
                <w:rFonts w:ascii="Arial" w:hAnsi="Arial"/>
                <w:color w:val="000000"/>
                <w:sz w:val="22"/>
              </w:rPr>
              <w:t>–</w:t>
            </w:r>
            <w:r>
              <w:rPr>
                <w:rFonts w:ascii="Arial" w:hAnsi="Arial"/>
                <w:color w:val="000000"/>
                <w:sz w:val="22"/>
              </w:rPr>
              <w:tab/>
              <w:t>председатели уголовных судов</w:t>
            </w:r>
          </w:p>
        </w:tc>
        <w:tc>
          <w:tcPr>
            <w:tcW w:w="3192" w:type="dxa"/>
          </w:tcPr>
          <w:p w:rsidR="00000000" w:rsidRDefault="00000000">
            <w:pPr>
              <w:tabs>
                <w:tab w:val="decimal" w:pos="1172"/>
              </w:tabs>
              <w:autoSpaceDE w:val="0"/>
              <w:autoSpaceDN w:val="0"/>
              <w:adjustRightInd w:val="0"/>
              <w:spacing w:line="260" w:lineRule="exact"/>
              <w:jc w:val="both"/>
              <w:rPr>
                <w:rFonts w:ascii="Arial" w:hAnsi="Arial"/>
                <w:color w:val="000000"/>
                <w:sz w:val="22"/>
              </w:rPr>
            </w:pPr>
            <w:r>
              <w:rPr>
                <w:rFonts w:ascii="Arial" w:hAnsi="Arial"/>
                <w:color w:val="000000"/>
                <w:sz w:val="22"/>
              </w:rPr>
              <w:t>4,9</w:t>
            </w:r>
          </w:p>
        </w:tc>
      </w:tr>
      <w:tr w:rsidR="00000000">
        <w:tblPrEx>
          <w:tblCellMar>
            <w:top w:w="0" w:type="dxa"/>
            <w:bottom w:w="0" w:type="dxa"/>
          </w:tblCellMar>
        </w:tblPrEx>
        <w:tc>
          <w:tcPr>
            <w:tcW w:w="5864" w:type="dxa"/>
          </w:tcPr>
          <w:p w:rsidR="00000000" w:rsidRDefault="00000000">
            <w:pPr>
              <w:tabs>
                <w:tab w:val="left" w:pos="397"/>
              </w:tabs>
              <w:autoSpaceDE w:val="0"/>
              <w:autoSpaceDN w:val="0"/>
              <w:adjustRightInd w:val="0"/>
              <w:spacing w:line="260" w:lineRule="exact"/>
              <w:jc w:val="both"/>
              <w:rPr>
                <w:rFonts w:ascii="Arial" w:hAnsi="Arial"/>
                <w:color w:val="000000"/>
                <w:sz w:val="22"/>
              </w:rPr>
            </w:pPr>
            <w:r>
              <w:rPr>
                <w:rFonts w:ascii="Arial" w:hAnsi="Arial"/>
                <w:color w:val="000000"/>
                <w:sz w:val="22"/>
              </w:rPr>
              <w:t>–</w:t>
            </w:r>
            <w:r>
              <w:rPr>
                <w:rFonts w:ascii="Arial" w:hAnsi="Arial"/>
                <w:color w:val="000000"/>
                <w:sz w:val="22"/>
              </w:rPr>
              <w:tab/>
              <w:t xml:space="preserve">члены уголовных судов </w:t>
            </w:r>
          </w:p>
        </w:tc>
        <w:tc>
          <w:tcPr>
            <w:tcW w:w="3192" w:type="dxa"/>
          </w:tcPr>
          <w:p w:rsidR="00000000" w:rsidRDefault="00000000">
            <w:pPr>
              <w:tabs>
                <w:tab w:val="decimal" w:pos="1172"/>
              </w:tabs>
              <w:autoSpaceDE w:val="0"/>
              <w:autoSpaceDN w:val="0"/>
              <w:adjustRightInd w:val="0"/>
              <w:spacing w:line="260" w:lineRule="exact"/>
              <w:jc w:val="both"/>
              <w:rPr>
                <w:rFonts w:ascii="Arial" w:hAnsi="Arial"/>
                <w:color w:val="000000"/>
                <w:sz w:val="22"/>
              </w:rPr>
            </w:pPr>
            <w:r>
              <w:rPr>
                <w:rFonts w:ascii="Arial" w:hAnsi="Arial"/>
                <w:color w:val="000000"/>
                <w:sz w:val="22"/>
              </w:rPr>
              <w:t>13,4</w:t>
            </w:r>
          </w:p>
        </w:tc>
      </w:tr>
      <w:tr w:rsidR="00000000">
        <w:tblPrEx>
          <w:tblCellMar>
            <w:top w:w="0" w:type="dxa"/>
            <w:bottom w:w="0" w:type="dxa"/>
          </w:tblCellMar>
        </w:tblPrEx>
        <w:tc>
          <w:tcPr>
            <w:tcW w:w="5864" w:type="dxa"/>
          </w:tcPr>
          <w:p w:rsidR="00000000" w:rsidRDefault="00000000">
            <w:pPr>
              <w:tabs>
                <w:tab w:val="left" w:pos="397"/>
              </w:tabs>
              <w:autoSpaceDE w:val="0"/>
              <w:autoSpaceDN w:val="0"/>
              <w:adjustRightInd w:val="0"/>
              <w:spacing w:line="260" w:lineRule="exact"/>
              <w:jc w:val="both"/>
              <w:rPr>
                <w:rFonts w:ascii="Arial" w:hAnsi="Arial"/>
                <w:color w:val="000000"/>
                <w:sz w:val="22"/>
              </w:rPr>
            </w:pPr>
            <w:r>
              <w:rPr>
                <w:rFonts w:ascii="Arial" w:hAnsi="Arial"/>
                <w:color w:val="000000"/>
                <w:sz w:val="22"/>
              </w:rPr>
              <w:t>–</w:t>
            </w:r>
            <w:r>
              <w:rPr>
                <w:rFonts w:ascii="Arial" w:hAnsi="Arial"/>
                <w:color w:val="000000"/>
                <w:sz w:val="22"/>
              </w:rPr>
              <w:tab/>
              <w:t>народные защитники</w:t>
            </w:r>
          </w:p>
        </w:tc>
        <w:tc>
          <w:tcPr>
            <w:tcW w:w="3192" w:type="dxa"/>
          </w:tcPr>
          <w:p w:rsidR="00000000" w:rsidRDefault="00000000">
            <w:pPr>
              <w:tabs>
                <w:tab w:val="decimal" w:pos="1172"/>
              </w:tabs>
              <w:autoSpaceDE w:val="0"/>
              <w:autoSpaceDN w:val="0"/>
              <w:adjustRightInd w:val="0"/>
              <w:spacing w:line="260" w:lineRule="exact"/>
              <w:jc w:val="both"/>
              <w:rPr>
                <w:rFonts w:ascii="Arial" w:hAnsi="Arial"/>
                <w:color w:val="000000"/>
                <w:sz w:val="22"/>
              </w:rPr>
            </w:pPr>
            <w:r>
              <w:rPr>
                <w:rFonts w:ascii="Arial" w:hAnsi="Arial"/>
                <w:color w:val="000000"/>
                <w:sz w:val="22"/>
              </w:rPr>
              <w:t>18,2</w:t>
            </w:r>
          </w:p>
        </w:tc>
      </w:tr>
      <w:tr w:rsidR="00000000">
        <w:tblPrEx>
          <w:tblCellMar>
            <w:top w:w="0" w:type="dxa"/>
            <w:bottom w:w="0" w:type="dxa"/>
          </w:tblCellMar>
        </w:tblPrEx>
        <w:tc>
          <w:tcPr>
            <w:tcW w:w="5864" w:type="dxa"/>
          </w:tcPr>
          <w:p w:rsidR="00000000" w:rsidRDefault="00000000">
            <w:pPr>
              <w:tabs>
                <w:tab w:val="left" w:pos="397"/>
              </w:tabs>
              <w:autoSpaceDE w:val="0"/>
              <w:autoSpaceDN w:val="0"/>
              <w:adjustRightInd w:val="0"/>
              <w:spacing w:line="260" w:lineRule="exact"/>
              <w:jc w:val="both"/>
              <w:rPr>
                <w:rFonts w:ascii="Arial" w:hAnsi="Arial"/>
                <w:color w:val="000000"/>
                <w:sz w:val="22"/>
              </w:rPr>
            </w:pPr>
            <w:r>
              <w:rPr>
                <w:rFonts w:ascii="Arial" w:hAnsi="Arial"/>
                <w:color w:val="000000"/>
                <w:sz w:val="22"/>
              </w:rPr>
              <w:t>–</w:t>
            </w:r>
            <w:r>
              <w:rPr>
                <w:rFonts w:ascii="Arial" w:hAnsi="Arial"/>
                <w:color w:val="000000"/>
                <w:sz w:val="22"/>
              </w:rPr>
              <w:tab/>
              <w:t>судьи по гражданским делам</w:t>
            </w:r>
          </w:p>
        </w:tc>
        <w:tc>
          <w:tcPr>
            <w:tcW w:w="3192" w:type="dxa"/>
          </w:tcPr>
          <w:p w:rsidR="00000000" w:rsidRDefault="00000000">
            <w:pPr>
              <w:tabs>
                <w:tab w:val="decimal" w:pos="1172"/>
              </w:tabs>
              <w:autoSpaceDE w:val="0"/>
              <w:autoSpaceDN w:val="0"/>
              <w:adjustRightInd w:val="0"/>
              <w:spacing w:line="260" w:lineRule="exact"/>
              <w:jc w:val="both"/>
              <w:rPr>
                <w:rFonts w:ascii="Arial" w:hAnsi="Arial"/>
                <w:color w:val="000000"/>
                <w:sz w:val="22"/>
              </w:rPr>
            </w:pPr>
            <w:r>
              <w:rPr>
                <w:rFonts w:ascii="Arial" w:hAnsi="Arial"/>
                <w:color w:val="000000"/>
                <w:sz w:val="22"/>
              </w:rPr>
              <w:t>13,8</w:t>
            </w:r>
          </w:p>
        </w:tc>
      </w:tr>
      <w:tr w:rsidR="00000000">
        <w:tblPrEx>
          <w:tblCellMar>
            <w:top w:w="0" w:type="dxa"/>
            <w:bottom w:w="0" w:type="dxa"/>
          </w:tblCellMar>
        </w:tblPrEx>
        <w:tc>
          <w:tcPr>
            <w:tcW w:w="5864" w:type="dxa"/>
          </w:tcPr>
          <w:p w:rsidR="00000000" w:rsidRDefault="00000000">
            <w:pPr>
              <w:tabs>
                <w:tab w:val="left" w:pos="397"/>
              </w:tabs>
              <w:autoSpaceDE w:val="0"/>
              <w:autoSpaceDN w:val="0"/>
              <w:adjustRightInd w:val="0"/>
              <w:spacing w:line="260" w:lineRule="exact"/>
              <w:jc w:val="both"/>
              <w:rPr>
                <w:rFonts w:ascii="Arial" w:hAnsi="Arial"/>
                <w:color w:val="000000"/>
                <w:sz w:val="22"/>
              </w:rPr>
            </w:pPr>
            <w:r>
              <w:rPr>
                <w:rFonts w:ascii="Arial" w:hAnsi="Arial"/>
                <w:color w:val="000000"/>
                <w:sz w:val="22"/>
              </w:rPr>
              <w:t>–</w:t>
            </w:r>
            <w:r>
              <w:rPr>
                <w:rFonts w:ascii="Arial" w:hAnsi="Arial"/>
                <w:color w:val="000000"/>
                <w:sz w:val="22"/>
              </w:rPr>
              <w:tab/>
              <w:t>судьи по фискальным делам</w:t>
            </w:r>
          </w:p>
        </w:tc>
        <w:tc>
          <w:tcPr>
            <w:tcW w:w="3192" w:type="dxa"/>
          </w:tcPr>
          <w:p w:rsidR="00000000" w:rsidRDefault="00000000">
            <w:pPr>
              <w:tabs>
                <w:tab w:val="decimal" w:pos="1172"/>
              </w:tabs>
              <w:autoSpaceDE w:val="0"/>
              <w:autoSpaceDN w:val="0"/>
              <w:adjustRightInd w:val="0"/>
              <w:spacing w:line="260" w:lineRule="exact"/>
              <w:jc w:val="both"/>
              <w:rPr>
                <w:rFonts w:ascii="Arial" w:hAnsi="Arial"/>
                <w:color w:val="000000"/>
                <w:sz w:val="22"/>
              </w:rPr>
            </w:pPr>
            <w:r>
              <w:rPr>
                <w:rFonts w:ascii="Arial" w:hAnsi="Arial"/>
                <w:color w:val="000000"/>
                <w:sz w:val="22"/>
              </w:rPr>
              <w:t>0</w:t>
            </w:r>
          </w:p>
        </w:tc>
      </w:tr>
      <w:tr w:rsidR="00000000">
        <w:tblPrEx>
          <w:tblCellMar>
            <w:top w:w="0" w:type="dxa"/>
            <w:bottom w:w="0" w:type="dxa"/>
          </w:tblCellMar>
        </w:tblPrEx>
        <w:tc>
          <w:tcPr>
            <w:tcW w:w="5864" w:type="dxa"/>
          </w:tcPr>
          <w:p w:rsidR="00000000" w:rsidRDefault="00000000">
            <w:pPr>
              <w:tabs>
                <w:tab w:val="left" w:pos="397"/>
              </w:tabs>
              <w:autoSpaceDE w:val="0"/>
              <w:autoSpaceDN w:val="0"/>
              <w:adjustRightInd w:val="0"/>
              <w:spacing w:line="260" w:lineRule="exact"/>
              <w:jc w:val="both"/>
              <w:rPr>
                <w:rFonts w:ascii="Arial" w:hAnsi="Arial"/>
                <w:color w:val="000000"/>
                <w:sz w:val="22"/>
              </w:rPr>
            </w:pPr>
            <w:r>
              <w:rPr>
                <w:rFonts w:ascii="Arial" w:hAnsi="Arial"/>
                <w:color w:val="000000"/>
                <w:sz w:val="22"/>
              </w:rPr>
              <w:t>–</w:t>
            </w:r>
            <w:r>
              <w:rPr>
                <w:rFonts w:ascii="Arial" w:hAnsi="Arial"/>
                <w:color w:val="000000"/>
                <w:sz w:val="22"/>
              </w:rPr>
              <w:tab/>
              <w:t xml:space="preserve">судьи </w:t>
            </w:r>
            <w:r>
              <w:rPr>
                <w:rFonts w:ascii="Arial" w:hAnsi="Arial"/>
                <w:sz w:val="22"/>
              </w:rPr>
              <w:t>по делам найма жилых помещений</w:t>
            </w:r>
          </w:p>
        </w:tc>
        <w:tc>
          <w:tcPr>
            <w:tcW w:w="3192" w:type="dxa"/>
          </w:tcPr>
          <w:p w:rsidR="00000000" w:rsidRDefault="00000000">
            <w:pPr>
              <w:tabs>
                <w:tab w:val="decimal" w:pos="1172"/>
              </w:tabs>
              <w:autoSpaceDE w:val="0"/>
              <w:autoSpaceDN w:val="0"/>
              <w:adjustRightInd w:val="0"/>
              <w:spacing w:line="260" w:lineRule="exact"/>
              <w:jc w:val="both"/>
              <w:rPr>
                <w:rFonts w:ascii="Arial" w:hAnsi="Arial"/>
                <w:color w:val="000000"/>
                <w:sz w:val="22"/>
              </w:rPr>
            </w:pPr>
            <w:r>
              <w:rPr>
                <w:rFonts w:ascii="Arial" w:hAnsi="Arial"/>
                <w:color w:val="000000"/>
                <w:sz w:val="22"/>
              </w:rPr>
              <w:t>55,6</w:t>
            </w:r>
          </w:p>
        </w:tc>
      </w:tr>
      <w:tr w:rsidR="00000000">
        <w:tblPrEx>
          <w:tblCellMar>
            <w:top w:w="0" w:type="dxa"/>
            <w:bottom w:w="0" w:type="dxa"/>
          </w:tblCellMar>
        </w:tblPrEx>
        <w:tc>
          <w:tcPr>
            <w:tcW w:w="5864" w:type="dxa"/>
          </w:tcPr>
          <w:p w:rsidR="00000000" w:rsidRDefault="00000000">
            <w:pPr>
              <w:tabs>
                <w:tab w:val="left" w:pos="397"/>
              </w:tabs>
              <w:autoSpaceDE w:val="0"/>
              <w:autoSpaceDN w:val="0"/>
              <w:adjustRightInd w:val="0"/>
              <w:spacing w:line="260" w:lineRule="exact"/>
              <w:jc w:val="both"/>
              <w:rPr>
                <w:rFonts w:ascii="Arial" w:hAnsi="Arial"/>
                <w:color w:val="000000"/>
                <w:sz w:val="22"/>
              </w:rPr>
            </w:pPr>
            <w:r>
              <w:rPr>
                <w:rFonts w:ascii="Arial" w:hAnsi="Arial"/>
                <w:color w:val="000000"/>
                <w:sz w:val="22"/>
              </w:rPr>
              <w:t>–</w:t>
            </w:r>
            <w:r>
              <w:rPr>
                <w:rFonts w:ascii="Arial" w:hAnsi="Arial"/>
                <w:color w:val="000000"/>
                <w:sz w:val="22"/>
              </w:rPr>
              <w:tab/>
              <w:t>судьи по уголовным делам</w:t>
            </w:r>
          </w:p>
        </w:tc>
        <w:tc>
          <w:tcPr>
            <w:tcW w:w="3192" w:type="dxa"/>
          </w:tcPr>
          <w:p w:rsidR="00000000" w:rsidRDefault="00000000">
            <w:pPr>
              <w:tabs>
                <w:tab w:val="decimal" w:pos="1172"/>
              </w:tabs>
              <w:autoSpaceDE w:val="0"/>
              <w:autoSpaceDN w:val="0"/>
              <w:adjustRightInd w:val="0"/>
              <w:spacing w:line="260" w:lineRule="exact"/>
              <w:jc w:val="both"/>
              <w:rPr>
                <w:rFonts w:ascii="Arial" w:hAnsi="Arial"/>
                <w:color w:val="000000"/>
                <w:sz w:val="22"/>
              </w:rPr>
            </w:pPr>
            <w:r>
              <w:rPr>
                <w:rFonts w:ascii="Arial" w:hAnsi="Arial"/>
                <w:color w:val="000000"/>
                <w:sz w:val="22"/>
              </w:rPr>
              <w:t>10,7</w:t>
            </w:r>
          </w:p>
        </w:tc>
      </w:tr>
      <w:tr w:rsidR="00000000">
        <w:tblPrEx>
          <w:tblCellMar>
            <w:top w:w="0" w:type="dxa"/>
            <w:bottom w:w="0" w:type="dxa"/>
          </w:tblCellMar>
        </w:tblPrEx>
        <w:tc>
          <w:tcPr>
            <w:tcW w:w="5864" w:type="dxa"/>
          </w:tcPr>
          <w:p w:rsidR="00000000" w:rsidRDefault="00000000">
            <w:pPr>
              <w:tabs>
                <w:tab w:val="left" w:pos="397"/>
              </w:tabs>
              <w:autoSpaceDE w:val="0"/>
              <w:autoSpaceDN w:val="0"/>
              <w:adjustRightInd w:val="0"/>
              <w:spacing w:line="260" w:lineRule="exact"/>
              <w:jc w:val="both"/>
              <w:rPr>
                <w:rFonts w:ascii="Arial" w:hAnsi="Arial"/>
                <w:color w:val="000000"/>
                <w:sz w:val="22"/>
              </w:rPr>
            </w:pPr>
            <w:r>
              <w:rPr>
                <w:rFonts w:ascii="Arial" w:hAnsi="Arial"/>
                <w:color w:val="000000"/>
                <w:sz w:val="22"/>
              </w:rPr>
              <w:t>–</w:t>
            </w:r>
            <w:r>
              <w:rPr>
                <w:rFonts w:ascii="Arial" w:hAnsi="Arial"/>
                <w:color w:val="000000"/>
                <w:sz w:val="22"/>
              </w:rPr>
              <w:tab/>
              <w:t>судьи по трудовым вопросам</w:t>
            </w:r>
          </w:p>
        </w:tc>
        <w:tc>
          <w:tcPr>
            <w:tcW w:w="3192" w:type="dxa"/>
          </w:tcPr>
          <w:p w:rsidR="00000000" w:rsidRDefault="00000000">
            <w:pPr>
              <w:tabs>
                <w:tab w:val="decimal" w:pos="1172"/>
              </w:tabs>
              <w:autoSpaceDE w:val="0"/>
              <w:autoSpaceDN w:val="0"/>
              <w:adjustRightInd w:val="0"/>
              <w:spacing w:line="260" w:lineRule="exact"/>
              <w:jc w:val="both"/>
              <w:rPr>
                <w:rFonts w:ascii="Arial" w:hAnsi="Arial"/>
                <w:color w:val="000000"/>
                <w:sz w:val="22"/>
              </w:rPr>
            </w:pPr>
            <w:r>
              <w:rPr>
                <w:rFonts w:ascii="Arial" w:hAnsi="Arial"/>
                <w:color w:val="000000"/>
                <w:sz w:val="22"/>
              </w:rPr>
              <w:t>35,5</w:t>
            </w:r>
          </w:p>
        </w:tc>
      </w:tr>
      <w:tr w:rsidR="00000000">
        <w:tblPrEx>
          <w:tblCellMar>
            <w:top w:w="0" w:type="dxa"/>
            <w:bottom w:w="0" w:type="dxa"/>
          </w:tblCellMar>
        </w:tblPrEx>
        <w:tc>
          <w:tcPr>
            <w:tcW w:w="5864" w:type="dxa"/>
          </w:tcPr>
          <w:p w:rsidR="00000000" w:rsidRDefault="00000000">
            <w:pPr>
              <w:tabs>
                <w:tab w:val="left" w:pos="397"/>
              </w:tabs>
              <w:autoSpaceDE w:val="0"/>
              <w:autoSpaceDN w:val="0"/>
              <w:adjustRightInd w:val="0"/>
              <w:spacing w:line="260" w:lineRule="exact"/>
              <w:jc w:val="both"/>
              <w:rPr>
                <w:rFonts w:ascii="Arial" w:hAnsi="Arial"/>
                <w:color w:val="000000"/>
                <w:sz w:val="22"/>
              </w:rPr>
            </w:pPr>
            <w:r>
              <w:rPr>
                <w:rFonts w:ascii="Arial" w:hAnsi="Arial"/>
                <w:color w:val="000000"/>
                <w:sz w:val="22"/>
              </w:rPr>
              <w:t>–</w:t>
            </w:r>
            <w:r>
              <w:rPr>
                <w:rFonts w:ascii="Arial" w:hAnsi="Arial"/>
                <w:color w:val="000000"/>
                <w:sz w:val="22"/>
              </w:rPr>
              <w:tab/>
              <w:t>судьи по вопросам транспорта</w:t>
            </w:r>
          </w:p>
        </w:tc>
        <w:tc>
          <w:tcPr>
            <w:tcW w:w="3192" w:type="dxa"/>
          </w:tcPr>
          <w:p w:rsidR="00000000" w:rsidRDefault="00000000">
            <w:pPr>
              <w:tabs>
                <w:tab w:val="decimal" w:pos="1172"/>
              </w:tabs>
              <w:autoSpaceDE w:val="0"/>
              <w:autoSpaceDN w:val="0"/>
              <w:adjustRightInd w:val="0"/>
              <w:spacing w:line="260" w:lineRule="exact"/>
              <w:jc w:val="both"/>
              <w:rPr>
                <w:rFonts w:ascii="Arial" w:hAnsi="Arial"/>
                <w:color w:val="000000"/>
                <w:sz w:val="22"/>
              </w:rPr>
            </w:pPr>
            <w:r>
              <w:rPr>
                <w:rFonts w:ascii="Arial" w:hAnsi="Arial"/>
                <w:color w:val="000000"/>
                <w:sz w:val="22"/>
              </w:rPr>
              <w:t>13,5</w:t>
            </w:r>
          </w:p>
        </w:tc>
      </w:tr>
    </w:tbl>
    <w:p w:rsidR="00000000" w:rsidRDefault="00000000">
      <w:pPr>
        <w:pStyle w:val="Heading1"/>
        <w:spacing w:before="0" w:after="0" w:line="260" w:lineRule="exact"/>
        <w:jc w:val="both"/>
        <w:rPr>
          <w:b w:val="0"/>
          <w:color w:val="000000"/>
          <w:sz w:val="22"/>
        </w:rPr>
      </w:pPr>
    </w:p>
    <w:p w:rsidR="00000000" w:rsidRDefault="00000000">
      <w:pPr>
        <w:pStyle w:val="Heading1"/>
        <w:spacing w:before="0" w:after="240" w:line="260" w:lineRule="exact"/>
        <w:jc w:val="both"/>
        <w:rPr>
          <w:b w:val="0"/>
          <w:caps w:val="0"/>
          <w:sz w:val="22"/>
        </w:rPr>
      </w:pPr>
      <w:r>
        <w:rPr>
          <w:b w:val="0"/>
          <w:color w:val="000000"/>
          <w:sz w:val="22"/>
        </w:rPr>
        <w:t>307.</w:t>
      </w:r>
      <w:r>
        <w:rPr>
          <w:b w:val="0"/>
          <w:caps w:val="0"/>
          <w:sz w:val="22"/>
        </w:rPr>
        <w:tab/>
        <w:t xml:space="preserve">Аппарат </w:t>
      </w:r>
      <w:r>
        <w:rPr>
          <w:b w:val="0"/>
          <w:sz w:val="22"/>
        </w:rPr>
        <w:t>у</w:t>
      </w:r>
      <w:r>
        <w:rPr>
          <w:b w:val="0"/>
          <w:caps w:val="0"/>
          <w:sz w:val="22"/>
        </w:rPr>
        <w:t>полномоченного по защите интересов женщин и детей является органом, выявляющим факты дискриминации в отношении женщин. Этот орган входит в состав аппарата Народного защитника, задачами которого являются контроль за выполнением основных прав, особенно в отношении уязвимых групп населения, к которым относятся женщины и дети, а также защита и контроль за соблюдением этих прав.</w:t>
      </w:r>
    </w:p>
    <w:p w:rsidR="00000000" w:rsidRDefault="00000000">
      <w:pPr>
        <w:spacing w:after="240" w:line="260" w:lineRule="exact"/>
        <w:jc w:val="both"/>
        <w:rPr>
          <w:rFonts w:ascii="Arial" w:hAnsi="Arial"/>
          <w:sz w:val="22"/>
        </w:rPr>
      </w:pPr>
      <w:r>
        <w:rPr>
          <w:rFonts w:ascii="Arial" w:hAnsi="Arial"/>
          <w:sz w:val="22"/>
        </w:rPr>
        <w:t>308.</w:t>
      </w:r>
      <w:r>
        <w:rPr>
          <w:rFonts w:ascii="Arial" w:hAnsi="Arial"/>
          <w:sz w:val="22"/>
        </w:rPr>
        <w:tab/>
        <w:t>25 ноября 1998 года КОНАМУ и Комиссия по делам женщин, молодежи, детства и семьи Национального конгресса подписали соглашение о сотрудничестве, направленное на представление в течение двух последующих лет предложений о создании новых кодексов и законов, а также о внесении изменений в действующее законодательство. В этих целях предполагаются создание консультативных комитетов, созыв рабочих совещаний и "круглых столов". Данные реформы, исходя из приоритетов указанных органов, направлены на обеспечение возможности для женщин более полно осуществлять свои права человека.</w:t>
      </w:r>
    </w:p>
    <w:p w:rsidR="00000000" w:rsidRDefault="00000000">
      <w:pPr>
        <w:spacing w:after="240" w:line="260" w:lineRule="exact"/>
        <w:jc w:val="both"/>
        <w:rPr>
          <w:rFonts w:ascii="Arial" w:hAnsi="Arial"/>
          <w:sz w:val="22"/>
        </w:rPr>
      </w:pPr>
      <w:r>
        <w:rPr>
          <w:rFonts w:ascii="Arial" w:hAnsi="Arial"/>
          <w:sz w:val="22"/>
        </w:rPr>
        <w:t>309.</w:t>
      </w:r>
      <w:r>
        <w:rPr>
          <w:rFonts w:ascii="Arial" w:hAnsi="Arial"/>
          <w:sz w:val="22"/>
        </w:rPr>
        <w:tab/>
        <w:t>Следует признать успешной реформу законодательства, начатую в 1989 году, и прежде всего изменения, внесенные в Гражданский кодекс, которые покончили с неравенством, закрепленным в нашем законодательстве. Впоследствии действующая Конституция отразила обеспокоенность различных слоев населения в отношении гендерных проблем, а также привлекла к ним внимание общества в целом, результатом чего стало создание аппарата Уполномоченного по защите интересов женщин и детей.</w:t>
      </w:r>
    </w:p>
    <w:p w:rsidR="00000000" w:rsidRDefault="00000000">
      <w:pPr>
        <w:spacing w:after="240" w:line="260" w:lineRule="exact"/>
        <w:jc w:val="both"/>
        <w:rPr>
          <w:rFonts w:ascii="Arial" w:hAnsi="Arial"/>
          <w:color w:val="000000"/>
          <w:sz w:val="22"/>
        </w:rPr>
      </w:pPr>
      <w:r>
        <w:rPr>
          <w:rFonts w:ascii="Arial" w:hAnsi="Arial"/>
          <w:color w:val="000000"/>
          <w:sz w:val="22"/>
        </w:rPr>
        <w:t>310.</w:t>
      </w:r>
      <w:r>
        <w:rPr>
          <w:rFonts w:ascii="Arial" w:hAnsi="Arial"/>
          <w:color w:val="000000"/>
          <w:sz w:val="22"/>
        </w:rPr>
        <w:tab/>
        <w:t>В статье 1489 Гражданского кодекса устанавливается полное равноправие женщин с мужчинами, обеспечиваются принципы свободы найма на работу и свободы в выборе работы, в занятии торговлей и производственной деятельностью. Именно поэтому Трибунал конституционных гарантий в 1989 году аннулировал статьи Торгового кодекса, согласно которым женщинам запрещалось работать брокерами на Фондовой бирже, аукционистами и торговыми агентами.</w:t>
      </w:r>
    </w:p>
    <w:p w:rsidR="00000000" w:rsidRDefault="00000000">
      <w:pPr>
        <w:pStyle w:val="Heading3"/>
        <w:rPr>
          <w:caps/>
        </w:rPr>
      </w:pPr>
      <w:r>
        <w:rPr>
          <w:caps/>
        </w:rPr>
        <w:t>Статья 16</w:t>
      </w:r>
    </w:p>
    <w:p w:rsidR="00000000" w:rsidRDefault="00000000">
      <w:pPr>
        <w:autoSpaceDE w:val="0"/>
        <w:autoSpaceDN w:val="0"/>
        <w:adjustRightInd w:val="0"/>
        <w:spacing w:after="240" w:line="260" w:lineRule="exact"/>
        <w:ind w:left="397" w:hanging="397"/>
        <w:jc w:val="both"/>
        <w:rPr>
          <w:rFonts w:ascii="Arial" w:hAnsi="Arial"/>
          <w:i/>
          <w:sz w:val="22"/>
        </w:rPr>
      </w:pPr>
      <w:r>
        <w:rPr>
          <w:rFonts w:ascii="Arial" w:hAnsi="Arial"/>
          <w:i/>
          <w:color w:val="000000"/>
          <w:sz w:val="22"/>
        </w:rPr>
        <w:t>1.</w:t>
      </w:r>
      <w:r>
        <w:rPr>
          <w:rFonts w:ascii="Arial" w:hAnsi="Arial"/>
          <w:i/>
          <w:color w:val="000000"/>
          <w:sz w:val="22"/>
        </w:rPr>
        <w:tab/>
        <w:t>Государства-участники принимают все соответствующие меры для ликвидации дискриминации в отношении женщин во всех вопросах, касающихся брака и семейных отношений, и, в частности, обеспечивают на основе равенства мужчин и женщин:</w:t>
      </w:r>
    </w:p>
    <w:p w:rsidR="00000000" w:rsidRDefault="00000000">
      <w:pPr>
        <w:autoSpaceDE w:val="0"/>
        <w:autoSpaceDN w:val="0"/>
        <w:adjustRightInd w:val="0"/>
        <w:spacing w:line="260" w:lineRule="exact"/>
        <w:ind w:left="397" w:hanging="397"/>
        <w:jc w:val="both"/>
        <w:rPr>
          <w:rFonts w:ascii="Arial" w:hAnsi="Arial"/>
          <w:i/>
          <w:sz w:val="22"/>
        </w:rPr>
      </w:pPr>
      <w:r>
        <w:rPr>
          <w:rFonts w:ascii="Arial" w:hAnsi="Arial"/>
          <w:i/>
          <w:color w:val="000000"/>
          <w:sz w:val="22"/>
        </w:rPr>
        <w:t>а)</w:t>
      </w:r>
      <w:r>
        <w:rPr>
          <w:rFonts w:ascii="Arial" w:hAnsi="Arial"/>
          <w:i/>
          <w:color w:val="000000"/>
          <w:sz w:val="22"/>
        </w:rPr>
        <w:tab/>
        <w:t>одинаковые права на вступление в брак;</w:t>
      </w:r>
    </w:p>
    <w:p w:rsidR="00000000" w:rsidRDefault="00000000">
      <w:pPr>
        <w:autoSpaceDE w:val="0"/>
        <w:autoSpaceDN w:val="0"/>
        <w:adjustRightInd w:val="0"/>
        <w:spacing w:line="260" w:lineRule="exact"/>
        <w:ind w:left="397" w:hanging="397"/>
        <w:jc w:val="both"/>
        <w:rPr>
          <w:rFonts w:ascii="Arial" w:hAnsi="Arial"/>
          <w:i/>
          <w:sz w:val="22"/>
        </w:rPr>
      </w:pPr>
      <w:r>
        <w:rPr>
          <w:rFonts w:ascii="Arial" w:hAnsi="Arial"/>
          <w:i/>
          <w:color w:val="000000"/>
          <w:sz w:val="22"/>
        </w:rPr>
        <w:t>b)</w:t>
      </w:r>
      <w:r>
        <w:rPr>
          <w:rFonts w:ascii="Arial" w:hAnsi="Arial"/>
          <w:i/>
          <w:color w:val="000000"/>
          <w:sz w:val="22"/>
        </w:rPr>
        <w:tab/>
        <w:t>одинаковые права на свободный выбор супруга и на вступление в брак только со своего свободного и полного согласия;</w:t>
      </w:r>
    </w:p>
    <w:p w:rsidR="00000000" w:rsidRDefault="00000000">
      <w:pPr>
        <w:autoSpaceDE w:val="0"/>
        <w:autoSpaceDN w:val="0"/>
        <w:adjustRightInd w:val="0"/>
        <w:spacing w:line="260" w:lineRule="exact"/>
        <w:ind w:left="397" w:hanging="397"/>
        <w:jc w:val="both"/>
        <w:rPr>
          <w:rFonts w:ascii="Arial" w:hAnsi="Arial"/>
          <w:i/>
          <w:sz w:val="22"/>
        </w:rPr>
      </w:pPr>
      <w:r>
        <w:rPr>
          <w:rFonts w:ascii="Arial" w:hAnsi="Arial"/>
          <w:i/>
          <w:color w:val="000000"/>
          <w:sz w:val="22"/>
        </w:rPr>
        <w:t>с)</w:t>
      </w:r>
      <w:r>
        <w:rPr>
          <w:rFonts w:ascii="Arial" w:hAnsi="Arial"/>
          <w:i/>
          <w:color w:val="000000"/>
          <w:sz w:val="22"/>
        </w:rPr>
        <w:tab/>
        <w:t>одинаковые права и обязанности в период брака и при его расторжении;</w:t>
      </w:r>
    </w:p>
    <w:p w:rsidR="00000000" w:rsidRDefault="00000000">
      <w:pPr>
        <w:pStyle w:val="BodyTextIndent3"/>
        <w:spacing w:after="0"/>
      </w:pPr>
      <w:r>
        <w:t>d)</w:t>
      </w:r>
      <w:r>
        <w:tab/>
        <w:t>одинаковые права и обязанности мужчин и женщин как родителей, независимо от их семейного положения, в вопросах, касающихся их детей; во всех случаях интересы детей являются преобладающими;</w:t>
      </w:r>
    </w:p>
    <w:p w:rsidR="00000000" w:rsidRDefault="00000000">
      <w:pPr>
        <w:autoSpaceDE w:val="0"/>
        <w:autoSpaceDN w:val="0"/>
        <w:adjustRightInd w:val="0"/>
        <w:spacing w:line="260" w:lineRule="exact"/>
        <w:ind w:left="397" w:hanging="397"/>
        <w:jc w:val="both"/>
        <w:rPr>
          <w:rFonts w:ascii="Arial" w:hAnsi="Arial"/>
          <w:i/>
          <w:sz w:val="22"/>
        </w:rPr>
      </w:pPr>
      <w:r>
        <w:rPr>
          <w:rFonts w:ascii="Arial" w:hAnsi="Arial"/>
          <w:i/>
          <w:color w:val="000000"/>
          <w:sz w:val="22"/>
        </w:rPr>
        <w:t>е)</w:t>
      </w:r>
      <w:r>
        <w:rPr>
          <w:rFonts w:ascii="Arial" w:hAnsi="Arial"/>
          <w:i/>
          <w:color w:val="000000"/>
          <w:sz w:val="22"/>
        </w:rPr>
        <w:tab/>
        <w:t>одинаковые права свободно и ответственно решать вопрос о числе детей и промежутках между их рождениями и иметь доступ к информации, образованию, а также средствам, которые позволяют им осуществлять это право;</w:t>
      </w:r>
    </w:p>
    <w:p w:rsidR="00000000" w:rsidRDefault="00000000">
      <w:pPr>
        <w:autoSpaceDE w:val="0"/>
        <w:autoSpaceDN w:val="0"/>
        <w:adjustRightInd w:val="0"/>
        <w:spacing w:line="260" w:lineRule="exact"/>
        <w:ind w:left="397" w:hanging="397"/>
        <w:jc w:val="both"/>
        <w:rPr>
          <w:rFonts w:ascii="Arial" w:hAnsi="Arial"/>
          <w:i/>
          <w:sz w:val="22"/>
        </w:rPr>
      </w:pPr>
      <w:r>
        <w:rPr>
          <w:rFonts w:ascii="Arial" w:hAnsi="Arial"/>
          <w:i/>
          <w:color w:val="000000"/>
          <w:sz w:val="22"/>
        </w:rPr>
        <w:t>f)</w:t>
      </w:r>
      <w:r>
        <w:rPr>
          <w:rFonts w:ascii="Arial" w:hAnsi="Arial"/>
          <w:i/>
          <w:color w:val="000000"/>
          <w:sz w:val="22"/>
        </w:rPr>
        <w:tab/>
        <w:t>одинаковые права и обязанности быть опекунами, попечителями, доверителями и усыновителями детей или осуществлять аналогичные функции, когда они предусмотрены национальным законодательством; во всех случаях интересы детей являются преобладающими;</w:t>
      </w:r>
    </w:p>
    <w:p w:rsidR="00000000" w:rsidRDefault="00000000">
      <w:pPr>
        <w:autoSpaceDE w:val="0"/>
        <w:autoSpaceDN w:val="0"/>
        <w:adjustRightInd w:val="0"/>
        <w:spacing w:line="260" w:lineRule="exact"/>
        <w:ind w:left="397" w:hanging="397"/>
        <w:jc w:val="both"/>
        <w:rPr>
          <w:rFonts w:ascii="Arial" w:hAnsi="Arial"/>
          <w:i/>
          <w:sz w:val="22"/>
        </w:rPr>
      </w:pPr>
      <w:r>
        <w:rPr>
          <w:rFonts w:ascii="Arial" w:hAnsi="Arial"/>
          <w:i/>
          <w:color w:val="000000"/>
          <w:sz w:val="22"/>
        </w:rPr>
        <w:t>g)</w:t>
      </w:r>
      <w:r>
        <w:rPr>
          <w:rFonts w:ascii="Arial" w:hAnsi="Arial"/>
          <w:i/>
          <w:color w:val="000000"/>
          <w:sz w:val="22"/>
        </w:rPr>
        <w:tab/>
        <w:t>одинаковые личные права мужа и жены, в том числе право выбора фамилии, профессии и занятия;</w:t>
      </w:r>
    </w:p>
    <w:p w:rsidR="00000000" w:rsidRDefault="00000000">
      <w:pPr>
        <w:autoSpaceDE w:val="0"/>
        <w:autoSpaceDN w:val="0"/>
        <w:adjustRightInd w:val="0"/>
        <w:spacing w:after="240" w:line="260" w:lineRule="exact"/>
        <w:ind w:left="397" w:hanging="397"/>
        <w:jc w:val="both"/>
        <w:rPr>
          <w:rFonts w:ascii="Arial" w:hAnsi="Arial"/>
          <w:i/>
          <w:sz w:val="22"/>
        </w:rPr>
      </w:pPr>
      <w:r>
        <w:rPr>
          <w:rFonts w:ascii="Arial" w:hAnsi="Arial"/>
          <w:i/>
          <w:color w:val="000000"/>
          <w:sz w:val="22"/>
        </w:rPr>
        <w:t>h)</w:t>
      </w:r>
      <w:r>
        <w:rPr>
          <w:rFonts w:ascii="Arial" w:hAnsi="Arial"/>
          <w:i/>
          <w:color w:val="000000"/>
          <w:sz w:val="22"/>
        </w:rPr>
        <w:tab/>
        <w:t>одинаковые права супругов в отношении владения, приобретения, управления, пользования и распоряжения имуществом как бесплатно, так и за плату.</w:t>
      </w:r>
    </w:p>
    <w:p w:rsidR="00000000" w:rsidRDefault="00000000">
      <w:pPr>
        <w:autoSpaceDE w:val="0"/>
        <w:autoSpaceDN w:val="0"/>
        <w:adjustRightInd w:val="0"/>
        <w:spacing w:after="240" w:line="260" w:lineRule="exact"/>
        <w:ind w:left="397" w:hanging="397"/>
        <w:jc w:val="both"/>
        <w:rPr>
          <w:rFonts w:ascii="Arial" w:hAnsi="Arial"/>
          <w:i/>
          <w:color w:val="000000"/>
          <w:sz w:val="22"/>
        </w:rPr>
      </w:pPr>
      <w:r>
        <w:rPr>
          <w:rFonts w:ascii="Arial" w:hAnsi="Arial"/>
          <w:i/>
          <w:color w:val="000000"/>
          <w:sz w:val="22"/>
        </w:rPr>
        <w:t>2.</w:t>
      </w:r>
      <w:r>
        <w:rPr>
          <w:rFonts w:ascii="Arial" w:hAnsi="Arial"/>
          <w:i/>
          <w:color w:val="000000"/>
          <w:sz w:val="22"/>
        </w:rPr>
        <w:tab/>
        <w:t>Обручение и брак ребенка не имеют юридической силы, и принимаются все необходимые меры, включая законодательные, с целью определения минимального брачного возраста и обязательной регистрации браков в актах гражданского состояния.</w:t>
      </w:r>
    </w:p>
    <w:p w:rsidR="00000000" w:rsidRDefault="00000000">
      <w:pPr>
        <w:autoSpaceDE w:val="0"/>
        <w:autoSpaceDN w:val="0"/>
        <w:adjustRightInd w:val="0"/>
        <w:spacing w:after="240" w:line="260" w:lineRule="exact"/>
        <w:jc w:val="both"/>
        <w:rPr>
          <w:rFonts w:ascii="Arial" w:hAnsi="Arial"/>
          <w:color w:val="000000"/>
          <w:sz w:val="22"/>
        </w:rPr>
      </w:pPr>
      <w:r>
        <w:rPr>
          <w:rFonts w:ascii="Arial" w:hAnsi="Arial"/>
          <w:color w:val="000000"/>
          <w:sz w:val="22"/>
        </w:rPr>
        <w:t>311.</w:t>
      </w:r>
      <w:r>
        <w:rPr>
          <w:rFonts w:ascii="Arial" w:hAnsi="Arial"/>
          <w:color w:val="000000"/>
          <w:sz w:val="22"/>
        </w:rPr>
        <w:tab/>
        <w:t>В статье 37 Основного закона Эквадора гарантируются права семьи как основной ячейки общества. В отношении брачного союза устанавливаются свободное согласие заключающих его лиц, равенство прав, обязанностей и правоспособности супругов, а также взаимные права и обязанности супругов.</w:t>
      </w:r>
    </w:p>
    <w:p w:rsidR="00000000" w:rsidRDefault="00000000">
      <w:pPr>
        <w:autoSpaceDE w:val="0"/>
        <w:autoSpaceDN w:val="0"/>
        <w:adjustRightInd w:val="0"/>
        <w:spacing w:after="240" w:line="260" w:lineRule="exact"/>
        <w:jc w:val="both"/>
        <w:rPr>
          <w:rFonts w:ascii="Arial" w:hAnsi="Arial"/>
          <w:color w:val="000000"/>
          <w:sz w:val="22"/>
        </w:rPr>
      </w:pPr>
      <w:r>
        <w:rPr>
          <w:rFonts w:ascii="Arial" w:hAnsi="Arial"/>
          <w:color w:val="000000"/>
          <w:sz w:val="22"/>
        </w:rPr>
        <w:t>312.</w:t>
      </w:r>
      <w:r>
        <w:rPr>
          <w:rFonts w:ascii="Arial" w:hAnsi="Arial"/>
          <w:color w:val="000000"/>
          <w:sz w:val="22"/>
        </w:rPr>
        <w:tab/>
        <w:t>Как отмечается в законодательных положениях, как женщины, так и мужчины вправе потребовать развода и расторжения брачного союза. Главную роль в брачном союзе может осуществлять любой из супругов, хотя обычно в случае отсутствия явно выраженного решения о том, кто будет играть главную роль в брачном союзе, такое главенство обычно передается мужу. Не существует отличий в процессуальной ценности доказательств, представленных женщинами, которые также наделяются правом выступать в роли душеприказчика и распорядителя имущества.</w:t>
      </w:r>
    </w:p>
    <w:p w:rsidR="00000000" w:rsidRDefault="00000000">
      <w:pPr>
        <w:autoSpaceDE w:val="0"/>
        <w:autoSpaceDN w:val="0"/>
        <w:adjustRightInd w:val="0"/>
        <w:spacing w:after="240" w:line="260" w:lineRule="exact"/>
        <w:jc w:val="both"/>
        <w:rPr>
          <w:rFonts w:ascii="Arial" w:hAnsi="Arial"/>
          <w:color w:val="000000"/>
          <w:sz w:val="22"/>
        </w:rPr>
      </w:pPr>
      <w:r>
        <w:rPr>
          <w:rFonts w:ascii="Arial" w:hAnsi="Arial"/>
          <w:color w:val="000000"/>
          <w:sz w:val="22"/>
        </w:rPr>
        <w:t>313.</w:t>
      </w:r>
      <w:r>
        <w:rPr>
          <w:rFonts w:ascii="Arial" w:hAnsi="Arial"/>
          <w:color w:val="000000"/>
          <w:sz w:val="22"/>
        </w:rPr>
        <w:tab/>
        <w:t>Женщины и мужчины Эквадора свободны в своем желании вступить в брак или развестись. В 1997 году доля замужних женщин</w:t>
      </w:r>
      <w:r>
        <w:rPr>
          <w:rStyle w:val="FootnoteReference"/>
          <w:rFonts w:ascii="Arial" w:hAnsi="Arial"/>
          <w:color w:val="000000"/>
          <w:sz w:val="22"/>
        </w:rPr>
        <w:footnoteReference w:id="94"/>
      </w:r>
      <w:r>
        <w:rPr>
          <w:rFonts w:ascii="Arial" w:hAnsi="Arial"/>
          <w:color w:val="000000"/>
          <w:sz w:val="22"/>
        </w:rPr>
        <w:t xml:space="preserve"> в возрасте 20–24 лет составила 40,4 процента. На втором месте по этому показателю – женщины в возрасте 15–19 лет (31,95 процента) и на третьем месте – женщины в возрасте 25–29 лет (23,2 процента). Доля женатых мужчин в возрасте 20–24 лет составляет 41,1 процента, в возрасте 25–29 лет – 32,4 процента и в возрасте 30–34 лет – 19,2 процента.</w:t>
      </w:r>
    </w:p>
    <w:p w:rsidR="00000000" w:rsidRDefault="00000000">
      <w:pPr>
        <w:autoSpaceDE w:val="0"/>
        <w:autoSpaceDN w:val="0"/>
        <w:adjustRightInd w:val="0"/>
        <w:spacing w:after="240" w:line="260" w:lineRule="exact"/>
        <w:jc w:val="both"/>
        <w:rPr>
          <w:rFonts w:ascii="Arial" w:hAnsi="Arial"/>
          <w:color w:val="000000"/>
          <w:sz w:val="22"/>
        </w:rPr>
      </w:pPr>
      <w:r>
        <w:rPr>
          <w:rFonts w:ascii="Arial" w:hAnsi="Arial"/>
          <w:color w:val="000000"/>
          <w:sz w:val="22"/>
        </w:rPr>
        <w:t>314.</w:t>
      </w:r>
      <w:r>
        <w:rPr>
          <w:rFonts w:ascii="Arial" w:hAnsi="Arial"/>
          <w:color w:val="000000"/>
          <w:sz w:val="22"/>
        </w:rPr>
        <w:tab/>
        <w:t>С увеличением возраста процент разводов среди женщин уменьшается. Этот показатель</w:t>
      </w:r>
      <w:r>
        <w:rPr>
          <w:rStyle w:val="FootnoteReference"/>
          <w:rFonts w:ascii="Arial" w:hAnsi="Arial"/>
          <w:color w:val="000000"/>
          <w:sz w:val="22"/>
        </w:rPr>
        <w:footnoteReference w:id="95"/>
      </w:r>
      <w:r>
        <w:rPr>
          <w:rFonts w:ascii="Arial" w:hAnsi="Arial"/>
          <w:color w:val="000000"/>
          <w:sz w:val="22"/>
        </w:rPr>
        <w:t xml:space="preserve"> в возрастной группе 30–34 лет составляет 41 процент, на втором месте стоит возрастная группа 35–39 лет (35,1 процента) и на третьем месте – группа 25–29 лет (35 процентов).</w:t>
      </w:r>
    </w:p>
    <w:p w:rsidR="00000000" w:rsidRDefault="00000000">
      <w:pPr>
        <w:autoSpaceDE w:val="0"/>
        <w:autoSpaceDN w:val="0"/>
        <w:adjustRightInd w:val="0"/>
        <w:spacing w:after="240" w:line="260" w:lineRule="exact"/>
        <w:jc w:val="both"/>
        <w:rPr>
          <w:rFonts w:ascii="Arial" w:hAnsi="Arial"/>
          <w:color w:val="000000"/>
          <w:sz w:val="22"/>
        </w:rPr>
      </w:pPr>
      <w:r>
        <w:rPr>
          <w:rFonts w:ascii="Arial" w:hAnsi="Arial"/>
          <w:color w:val="000000"/>
          <w:sz w:val="22"/>
        </w:rPr>
        <w:t>315.</w:t>
      </w:r>
      <w:r>
        <w:rPr>
          <w:rFonts w:ascii="Arial" w:hAnsi="Arial"/>
          <w:color w:val="000000"/>
          <w:sz w:val="22"/>
        </w:rPr>
        <w:tab/>
        <w:t>Осуществляются проекты социального развития, нацеленные главным образом на улучшение положения в семье женщин, детей и подростков – как девочек, так и мальчиков. В первую очередь речь идет о проектах, реализуемых Министерством социального обеспечения и неправительственными организациями. Они предполагают проведение информационных кампаний и осуществление профессиональной подготовки, а также оказание помощи в удовлетворении специфических потребностей членов семьи в процессе осуществления своих прав, равно как и ликвидацию любых препятствий к их осуществлению.</w:t>
      </w:r>
    </w:p>
    <w:p w:rsidR="00000000" w:rsidRDefault="00000000">
      <w:pPr>
        <w:autoSpaceDE w:val="0"/>
        <w:autoSpaceDN w:val="0"/>
        <w:adjustRightInd w:val="0"/>
        <w:spacing w:after="240" w:line="260" w:lineRule="exact"/>
        <w:jc w:val="both"/>
        <w:rPr>
          <w:rFonts w:ascii="Arial" w:hAnsi="Arial"/>
          <w:color w:val="000000"/>
          <w:sz w:val="22"/>
        </w:rPr>
      </w:pPr>
      <w:r>
        <w:rPr>
          <w:rFonts w:ascii="Arial" w:hAnsi="Arial"/>
          <w:color w:val="000000"/>
          <w:sz w:val="22"/>
        </w:rPr>
        <w:t>316.</w:t>
      </w:r>
      <w:r>
        <w:rPr>
          <w:rFonts w:ascii="Arial" w:hAnsi="Arial"/>
          <w:color w:val="000000"/>
          <w:sz w:val="22"/>
        </w:rPr>
        <w:tab/>
        <w:t>С 1995 года во исполнение Пекинской декларации и Программы действий были проведены массовые просветительские кампании с использованием радио, печати, видео- и аудиовизуальных средств, посвященные правам человека женщин, и прежде всего тем правам, которые обеспечивают их физическую, психологическую и сексуальную неприкосновенность. Именно в последнее десятилетие законные требования женщин стали получать поддержку. В 1995 году данные кампании проводились по проблематике пекинской Всемирной конференции по положению женщин и в связи с принятием Закона о борьбе с насилием в отношении женщин.</w:t>
      </w:r>
    </w:p>
    <w:p w:rsidR="00000000" w:rsidRDefault="00000000">
      <w:pPr>
        <w:autoSpaceDE w:val="0"/>
        <w:autoSpaceDN w:val="0"/>
        <w:adjustRightInd w:val="0"/>
        <w:spacing w:after="240" w:line="260" w:lineRule="exact"/>
        <w:jc w:val="both"/>
        <w:rPr>
          <w:rFonts w:ascii="Arial" w:hAnsi="Arial"/>
          <w:color w:val="000000"/>
          <w:sz w:val="22"/>
        </w:rPr>
      </w:pPr>
      <w:r>
        <w:rPr>
          <w:rFonts w:ascii="Arial" w:hAnsi="Arial"/>
          <w:color w:val="000000"/>
          <w:sz w:val="22"/>
        </w:rPr>
        <w:t>317.</w:t>
      </w:r>
      <w:r>
        <w:rPr>
          <w:rFonts w:ascii="Arial" w:hAnsi="Arial"/>
          <w:color w:val="000000"/>
          <w:sz w:val="22"/>
        </w:rPr>
        <w:tab/>
        <w:t>В 1998 году по случаю пятидесятилетия Всеобщей декларации прав человека на национальном уровне с отдельными группами населения (студентами, полицейскими, учителями, депутатами, теле- и радиоведущими обоего пола, работниками и руководящим составом органов правосудия) была проведена активная работа по вопросам содействия соблюдению прав человека женщин. Радиостанции, принадлежащие общинам, частным лицам, полиции и организациям в области развития, в своих передачах уделили особое внимание всемирной кампании, проводимой под эгидой ЮНИФЕМ и учреждений системы Организации Объединенных Наций.</w:t>
      </w:r>
    </w:p>
    <w:p w:rsidR="00000000" w:rsidRDefault="00000000">
      <w:pPr>
        <w:autoSpaceDE w:val="0"/>
        <w:autoSpaceDN w:val="0"/>
        <w:adjustRightInd w:val="0"/>
        <w:spacing w:after="240" w:line="260" w:lineRule="exact"/>
        <w:jc w:val="both"/>
        <w:rPr>
          <w:rFonts w:ascii="Arial" w:hAnsi="Arial"/>
          <w:color w:val="000000"/>
          <w:sz w:val="22"/>
        </w:rPr>
      </w:pPr>
      <w:r>
        <w:rPr>
          <w:rFonts w:ascii="Arial" w:hAnsi="Arial"/>
          <w:color w:val="000000"/>
          <w:sz w:val="22"/>
        </w:rPr>
        <w:t>318.</w:t>
      </w:r>
      <w:r>
        <w:rPr>
          <w:rFonts w:ascii="Arial" w:hAnsi="Arial"/>
          <w:color w:val="000000"/>
          <w:sz w:val="22"/>
        </w:rPr>
        <w:tab/>
        <w:t>Контроль за соблюдением минимального возраста вступления в брак осуществляется органами регистрации актов гражданского состояния. В Эквадоре минимальный возраст вступления в брак – 18 лет. В случае заключения брака несовершеннолетним лицом требуется согласие отца и матери несовершеннолетнего (несовершеннолетней) или компетентного судьи.</w:t>
      </w:r>
    </w:p>
    <w:p w:rsidR="00000000" w:rsidRDefault="00000000">
      <w:pPr>
        <w:autoSpaceDE w:val="0"/>
        <w:autoSpaceDN w:val="0"/>
        <w:adjustRightInd w:val="0"/>
        <w:spacing w:after="240" w:line="260" w:lineRule="exact"/>
        <w:jc w:val="both"/>
        <w:rPr>
          <w:rFonts w:ascii="Arial" w:hAnsi="Arial"/>
          <w:sz w:val="22"/>
        </w:rPr>
      </w:pPr>
      <w:r>
        <w:rPr>
          <w:rFonts w:ascii="Arial" w:hAnsi="Arial"/>
          <w:color w:val="000000"/>
          <w:sz w:val="22"/>
        </w:rPr>
        <w:t>319.</w:t>
      </w:r>
      <w:r>
        <w:rPr>
          <w:rFonts w:ascii="Arial" w:hAnsi="Arial"/>
          <w:color w:val="000000"/>
          <w:sz w:val="22"/>
        </w:rPr>
        <w:tab/>
        <w:t>Как уже осуществленные реформы, так и реформы, находящиеся в процессе реализации, представляют собой значительный шаг вперед в улучшении положения женщин прежде всего потому, что соблюдение прав детей и равноправие супругов направлены на установление более равноправных семейных отношений</w:t>
      </w:r>
    </w:p>
    <w:p w:rsidR="00000000" w:rsidRDefault="00000000">
      <w:pPr>
        <w:pStyle w:val="Heading1"/>
        <w:spacing w:before="0" w:after="240" w:line="260" w:lineRule="exact"/>
        <w:jc w:val="both"/>
        <w:rPr>
          <w:sz w:val="22"/>
        </w:rPr>
      </w:pPr>
    </w:p>
    <w:p w:rsidR="00000000" w:rsidRDefault="00000000">
      <w:pPr>
        <w:pStyle w:val="Heading1"/>
        <w:spacing w:before="0" w:after="240" w:line="260" w:lineRule="exact"/>
        <w:jc w:val="both"/>
        <w:rPr>
          <w:sz w:val="24"/>
        </w:rPr>
      </w:pPr>
      <w:r>
        <w:rPr>
          <w:sz w:val="24"/>
        </w:rPr>
        <w:t>ИСТОЧНИКИ ИНФОРМАЦИИ</w:t>
      </w:r>
    </w:p>
    <w:p w:rsidR="00000000" w:rsidRDefault="00000000">
      <w:pPr>
        <w:spacing w:line="260" w:lineRule="exact"/>
        <w:ind w:left="397" w:hanging="397"/>
        <w:jc w:val="both"/>
        <w:rPr>
          <w:rFonts w:ascii="Arial" w:hAnsi="Arial"/>
          <w:sz w:val="22"/>
        </w:rPr>
      </w:pPr>
      <w:r>
        <w:rPr>
          <w:rFonts w:ascii="Arial" w:hAnsi="Arial"/>
          <w:sz w:val="22"/>
        </w:rPr>
        <w:sym w:font="Wingdings 2" w:char="F0A1"/>
      </w:r>
      <w:r>
        <w:rPr>
          <w:rFonts w:ascii="Arial" w:hAnsi="Arial"/>
          <w:sz w:val="22"/>
        </w:rPr>
        <w:tab/>
        <w:t>Верховный избирательный трибунал (ТСЕ)</w:t>
      </w:r>
    </w:p>
    <w:p w:rsidR="00000000" w:rsidRDefault="00000000">
      <w:pPr>
        <w:pStyle w:val="Heading1"/>
        <w:spacing w:before="0" w:after="0" w:line="260" w:lineRule="exact"/>
        <w:ind w:left="397" w:hanging="397"/>
        <w:jc w:val="both"/>
        <w:rPr>
          <w:b w:val="0"/>
          <w:caps w:val="0"/>
          <w:sz w:val="22"/>
        </w:rPr>
      </w:pPr>
      <w:r>
        <w:rPr>
          <w:sz w:val="22"/>
        </w:rPr>
        <w:sym w:font="Wingdings 2" w:char="F0A1"/>
      </w:r>
      <w:r>
        <w:rPr>
          <w:sz w:val="22"/>
        </w:rPr>
        <w:tab/>
      </w:r>
      <w:r>
        <w:rPr>
          <w:b w:val="0"/>
          <w:caps w:val="0"/>
          <w:sz w:val="22"/>
        </w:rPr>
        <w:t>Верховный суд</w:t>
      </w:r>
    </w:p>
    <w:p w:rsidR="00000000" w:rsidRDefault="00000000">
      <w:pPr>
        <w:spacing w:line="260" w:lineRule="exact"/>
        <w:ind w:left="397" w:hanging="397"/>
        <w:jc w:val="both"/>
        <w:rPr>
          <w:rFonts w:ascii="Arial" w:hAnsi="Arial"/>
          <w:sz w:val="22"/>
        </w:rPr>
      </w:pPr>
      <w:r>
        <w:rPr>
          <w:rFonts w:ascii="Arial" w:hAnsi="Arial"/>
          <w:sz w:val="22"/>
        </w:rPr>
        <w:sym w:font="Wingdings 2" w:char="F0A1"/>
      </w:r>
      <w:r>
        <w:rPr>
          <w:rFonts w:ascii="Arial" w:hAnsi="Arial"/>
          <w:sz w:val="22"/>
        </w:rPr>
        <w:tab/>
        <w:t>Конфедерация свободных профсоюзов Эквадора (КЕОСЛ)</w:t>
      </w:r>
    </w:p>
    <w:p w:rsidR="00000000" w:rsidRDefault="00000000">
      <w:pPr>
        <w:spacing w:line="260" w:lineRule="exact"/>
        <w:ind w:left="397" w:hanging="397"/>
        <w:jc w:val="both"/>
        <w:rPr>
          <w:rFonts w:ascii="Arial" w:hAnsi="Arial"/>
          <w:sz w:val="22"/>
        </w:rPr>
      </w:pPr>
      <w:r>
        <w:rPr>
          <w:rFonts w:ascii="Arial" w:hAnsi="Arial"/>
          <w:sz w:val="22"/>
        </w:rPr>
        <w:sym w:font="Wingdings 2" w:char="F0A1"/>
      </w:r>
      <w:r>
        <w:rPr>
          <w:rFonts w:ascii="Arial" w:hAnsi="Arial"/>
          <w:sz w:val="22"/>
        </w:rPr>
        <w:tab/>
        <w:t>Конфедерация трудящихся Эквадора (КТЭ)</w:t>
      </w:r>
    </w:p>
    <w:p w:rsidR="00000000" w:rsidRDefault="00000000">
      <w:pPr>
        <w:pStyle w:val="Heading1"/>
        <w:spacing w:before="0" w:after="0" w:line="260" w:lineRule="exact"/>
        <w:ind w:left="397" w:hanging="397"/>
        <w:jc w:val="both"/>
        <w:rPr>
          <w:b w:val="0"/>
          <w:caps w:val="0"/>
          <w:sz w:val="22"/>
        </w:rPr>
      </w:pPr>
      <w:r>
        <w:rPr>
          <w:sz w:val="22"/>
        </w:rPr>
        <w:sym w:font="Wingdings 2" w:char="F0A1"/>
      </w:r>
      <w:r>
        <w:rPr>
          <w:sz w:val="22"/>
        </w:rPr>
        <w:tab/>
      </w:r>
      <w:r>
        <w:rPr>
          <w:b w:val="0"/>
          <w:caps w:val="0"/>
          <w:sz w:val="22"/>
        </w:rPr>
        <w:t>Латиноамериканский институт социальных исследований (ИЛДИС)</w:t>
      </w:r>
    </w:p>
    <w:p w:rsidR="00000000" w:rsidRDefault="00000000">
      <w:pPr>
        <w:spacing w:line="260" w:lineRule="exact"/>
        <w:ind w:left="397" w:hanging="397"/>
        <w:jc w:val="both"/>
        <w:rPr>
          <w:rFonts w:ascii="Arial" w:hAnsi="Arial"/>
          <w:sz w:val="22"/>
        </w:rPr>
      </w:pPr>
      <w:r>
        <w:rPr>
          <w:rFonts w:ascii="Arial" w:hAnsi="Arial"/>
          <w:sz w:val="22"/>
        </w:rPr>
        <w:sym w:font="Wingdings 2" w:char="F0A1"/>
      </w:r>
      <w:r>
        <w:rPr>
          <w:rFonts w:ascii="Arial" w:hAnsi="Arial"/>
          <w:sz w:val="22"/>
        </w:rPr>
        <w:tab/>
        <w:t>Межамериканский институт по вопросам сотрудничества в области сельского хозяйства (ИИКА)</w:t>
      </w:r>
    </w:p>
    <w:p w:rsidR="00000000" w:rsidRDefault="00000000">
      <w:pPr>
        <w:spacing w:line="260" w:lineRule="exact"/>
        <w:ind w:left="397" w:hanging="397"/>
        <w:jc w:val="both"/>
        <w:rPr>
          <w:rFonts w:ascii="Arial" w:hAnsi="Arial"/>
          <w:sz w:val="22"/>
        </w:rPr>
      </w:pPr>
      <w:r>
        <w:rPr>
          <w:rFonts w:ascii="Arial" w:hAnsi="Arial"/>
          <w:sz w:val="22"/>
        </w:rPr>
        <w:sym w:font="Wingdings 2" w:char="F0A1"/>
      </w:r>
      <w:r>
        <w:rPr>
          <w:rFonts w:ascii="Arial" w:hAnsi="Arial"/>
          <w:sz w:val="22"/>
        </w:rPr>
        <w:tab/>
        <w:t>Министерство внутренних дел и полиции</w:t>
      </w:r>
    </w:p>
    <w:p w:rsidR="00000000" w:rsidRDefault="00000000">
      <w:pPr>
        <w:spacing w:line="260" w:lineRule="exact"/>
        <w:ind w:left="397" w:hanging="397"/>
        <w:jc w:val="both"/>
        <w:rPr>
          <w:rFonts w:ascii="Arial" w:hAnsi="Arial"/>
          <w:sz w:val="22"/>
        </w:rPr>
      </w:pPr>
      <w:r>
        <w:rPr>
          <w:rFonts w:ascii="Arial" w:hAnsi="Arial"/>
          <w:sz w:val="22"/>
        </w:rPr>
        <w:sym w:font="Wingdings 2" w:char="F0A1"/>
      </w:r>
      <w:r>
        <w:rPr>
          <w:rFonts w:ascii="Arial" w:hAnsi="Arial"/>
          <w:sz w:val="22"/>
        </w:rPr>
        <w:tab/>
        <w:t>Министерство здравоохранения</w:t>
      </w:r>
    </w:p>
    <w:p w:rsidR="00000000" w:rsidRDefault="00000000">
      <w:pPr>
        <w:spacing w:line="260" w:lineRule="exact"/>
        <w:ind w:left="397" w:hanging="397"/>
        <w:jc w:val="both"/>
        <w:rPr>
          <w:rFonts w:ascii="Arial" w:hAnsi="Arial"/>
          <w:sz w:val="22"/>
        </w:rPr>
      </w:pPr>
      <w:r>
        <w:rPr>
          <w:rFonts w:ascii="Arial" w:hAnsi="Arial"/>
          <w:sz w:val="22"/>
        </w:rPr>
        <w:sym w:font="Wingdings 2" w:char="F0A1"/>
      </w:r>
      <w:r>
        <w:rPr>
          <w:rFonts w:ascii="Arial" w:hAnsi="Arial"/>
          <w:sz w:val="22"/>
        </w:rPr>
        <w:tab/>
        <w:t>Министерство иностранных дел</w:t>
      </w:r>
    </w:p>
    <w:p w:rsidR="00000000" w:rsidRDefault="00000000">
      <w:pPr>
        <w:spacing w:line="260" w:lineRule="exact"/>
        <w:ind w:left="397" w:hanging="397"/>
        <w:jc w:val="both"/>
        <w:rPr>
          <w:rFonts w:ascii="Arial" w:hAnsi="Arial"/>
          <w:sz w:val="22"/>
        </w:rPr>
      </w:pPr>
      <w:r>
        <w:rPr>
          <w:rFonts w:ascii="Arial" w:hAnsi="Arial"/>
          <w:sz w:val="22"/>
        </w:rPr>
        <w:sym w:font="Wingdings 2" w:char="F0A1"/>
      </w:r>
      <w:r>
        <w:rPr>
          <w:rFonts w:ascii="Arial" w:hAnsi="Arial"/>
          <w:sz w:val="22"/>
        </w:rPr>
        <w:tab/>
        <w:t>Министерство образования</w:t>
      </w:r>
    </w:p>
    <w:p w:rsidR="00000000" w:rsidRDefault="00000000">
      <w:pPr>
        <w:spacing w:line="260" w:lineRule="exact"/>
        <w:ind w:left="397" w:hanging="397"/>
        <w:jc w:val="both"/>
        <w:rPr>
          <w:rFonts w:ascii="Arial" w:hAnsi="Arial"/>
          <w:sz w:val="22"/>
        </w:rPr>
      </w:pPr>
      <w:r>
        <w:rPr>
          <w:rFonts w:ascii="Arial" w:hAnsi="Arial"/>
          <w:sz w:val="22"/>
        </w:rPr>
        <w:sym w:font="Wingdings 2" w:char="F0A1"/>
      </w:r>
      <w:r>
        <w:rPr>
          <w:rFonts w:ascii="Arial" w:hAnsi="Arial"/>
          <w:sz w:val="22"/>
        </w:rPr>
        <w:tab/>
        <w:t>Министерство сельского хозяйства и животноводства</w:t>
      </w:r>
    </w:p>
    <w:p w:rsidR="00000000" w:rsidRDefault="00000000">
      <w:pPr>
        <w:spacing w:line="260" w:lineRule="exact"/>
        <w:ind w:left="397" w:hanging="397"/>
        <w:jc w:val="both"/>
        <w:rPr>
          <w:rFonts w:ascii="Arial" w:hAnsi="Arial"/>
          <w:sz w:val="22"/>
        </w:rPr>
      </w:pPr>
      <w:r>
        <w:rPr>
          <w:rFonts w:ascii="Arial" w:hAnsi="Arial"/>
          <w:sz w:val="22"/>
        </w:rPr>
        <w:sym w:font="Wingdings 2" w:char="F0A1"/>
      </w:r>
      <w:r>
        <w:rPr>
          <w:rFonts w:ascii="Arial" w:hAnsi="Arial"/>
          <w:sz w:val="22"/>
        </w:rPr>
        <w:tab/>
        <w:t>Министерство социального обеспечения</w:t>
      </w:r>
    </w:p>
    <w:p w:rsidR="00000000" w:rsidRDefault="00000000">
      <w:pPr>
        <w:spacing w:line="260" w:lineRule="exact"/>
        <w:ind w:left="397" w:hanging="397"/>
        <w:jc w:val="both"/>
        <w:rPr>
          <w:rFonts w:ascii="Arial" w:hAnsi="Arial"/>
          <w:sz w:val="22"/>
        </w:rPr>
      </w:pPr>
      <w:r>
        <w:rPr>
          <w:rFonts w:ascii="Arial" w:hAnsi="Arial"/>
          <w:sz w:val="22"/>
        </w:rPr>
        <w:sym w:font="Wingdings 2" w:char="F0A1"/>
      </w:r>
      <w:r>
        <w:rPr>
          <w:rFonts w:ascii="Arial" w:hAnsi="Arial"/>
          <w:sz w:val="22"/>
        </w:rPr>
        <w:tab/>
        <w:t>Министерство труда и людских ресурсов</w:t>
      </w:r>
    </w:p>
    <w:p w:rsidR="00000000" w:rsidRDefault="00000000">
      <w:pPr>
        <w:spacing w:line="260" w:lineRule="exact"/>
        <w:ind w:left="397" w:hanging="397"/>
        <w:jc w:val="both"/>
        <w:rPr>
          <w:rFonts w:ascii="Arial" w:hAnsi="Arial"/>
          <w:sz w:val="22"/>
        </w:rPr>
      </w:pPr>
      <w:r>
        <w:rPr>
          <w:rFonts w:ascii="Arial" w:hAnsi="Arial"/>
          <w:sz w:val="22"/>
        </w:rPr>
        <w:sym w:font="Wingdings 2" w:char="F0A1"/>
      </w:r>
      <w:r>
        <w:rPr>
          <w:rFonts w:ascii="Arial" w:hAnsi="Arial"/>
          <w:sz w:val="22"/>
        </w:rPr>
        <w:tab/>
        <w:t>Национальный институт сельскохозяйственного развития (ИНДА)</w:t>
      </w:r>
    </w:p>
    <w:p w:rsidR="00000000" w:rsidRDefault="00000000">
      <w:pPr>
        <w:spacing w:line="260" w:lineRule="exact"/>
        <w:ind w:left="397" w:hanging="397"/>
        <w:jc w:val="both"/>
        <w:rPr>
          <w:rFonts w:ascii="Arial" w:hAnsi="Arial"/>
          <w:sz w:val="22"/>
        </w:rPr>
      </w:pPr>
      <w:r>
        <w:rPr>
          <w:rFonts w:ascii="Arial" w:hAnsi="Arial"/>
          <w:sz w:val="22"/>
        </w:rPr>
        <w:sym w:font="Wingdings 2" w:char="F0A1"/>
      </w:r>
      <w:r>
        <w:rPr>
          <w:rFonts w:ascii="Arial" w:hAnsi="Arial"/>
          <w:sz w:val="22"/>
        </w:rPr>
        <w:tab/>
        <w:t>Национальный институт статистики и переписи населения (ИНЕК)</w:t>
      </w:r>
    </w:p>
    <w:p w:rsidR="00000000" w:rsidRDefault="00000000">
      <w:pPr>
        <w:pStyle w:val="Heading1"/>
        <w:spacing w:before="0" w:after="0" w:line="260" w:lineRule="exact"/>
        <w:ind w:left="397" w:hanging="397"/>
        <w:jc w:val="both"/>
        <w:rPr>
          <w:b w:val="0"/>
          <w:caps w:val="0"/>
          <w:sz w:val="22"/>
        </w:rPr>
      </w:pPr>
      <w:r>
        <w:rPr>
          <w:sz w:val="22"/>
        </w:rPr>
        <w:sym w:font="Wingdings 2" w:char="F0A1"/>
      </w:r>
      <w:r>
        <w:rPr>
          <w:sz w:val="22"/>
        </w:rPr>
        <w:tab/>
      </w:r>
      <w:r>
        <w:rPr>
          <w:b w:val="0"/>
          <w:caps w:val="0"/>
          <w:sz w:val="22"/>
        </w:rPr>
        <w:t>Национальный конгресс</w:t>
      </w:r>
    </w:p>
    <w:p w:rsidR="00000000" w:rsidRDefault="00000000">
      <w:pPr>
        <w:pStyle w:val="Heading1"/>
        <w:spacing w:before="0" w:after="0" w:line="260" w:lineRule="exact"/>
        <w:ind w:left="397" w:hanging="397"/>
        <w:jc w:val="both"/>
        <w:rPr>
          <w:b w:val="0"/>
          <w:caps w:val="0"/>
          <w:sz w:val="22"/>
        </w:rPr>
      </w:pPr>
      <w:r>
        <w:rPr>
          <w:sz w:val="22"/>
        </w:rPr>
        <w:sym w:font="Wingdings 2" w:char="F0A1"/>
      </w:r>
      <w:r>
        <w:rPr>
          <w:sz w:val="22"/>
        </w:rPr>
        <w:tab/>
      </w:r>
      <w:r>
        <w:rPr>
          <w:b w:val="0"/>
          <w:caps w:val="0"/>
          <w:sz w:val="22"/>
        </w:rPr>
        <w:t>Национальный совет по делам женщин (КОНАМУ)</w:t>
      </w:r>
    </w:p>
    <w:p w:rsidR="00000000" w:rsidRDefault="00000000">
      <w:pPr>
        <w:pStyle w:val="Heading1"/>
        <w:spacing w:before="0" w:after="0" w:line="260" w:lineRule="exact"/>
        <w:ind w:left="397" w:hanging="397"/>
        <w:jc w:val="both"/>
        <w:rPr>
          <w:b w:val="0"/>
          <w:caps w:val="0"/>
          <w:sz w:val="22"/>
        </w:rPr>
      </w:pPr>
      <w:r>
        <w:rPr>
          <w:sz w:val="22"/>
        </w:rPr>
        <w:sym w:font="Wingdings 2" w:char="F0A1"/>
      </w:r>
      <w:r>
        <w:rPr>
          <w:sz w:val="22"/>
        </w:rPr>
        <w:tab/>
      </w:r>
      <w:r>
        <w:rPr>
          <w:b w:val="0"/>
          <w:caps w:val="0"/>
          <w:sz w:val="22"/>
        </w:rPr>
        <w:t>Национальный совет по предупреждению, контролю и помощи при ВИЧ/СПИДе/ЗППП (КОНАСИДА)</w:t>
      </w:r>
    </w:p>
    <w:p w:rsidR="00000000" w:rsidRDefault="00000000">
      <w:pPr>
        <w:pStyle w:val="Heading1"/>
        <w:spacing w:before="0" w:after="0" w:line="260" w:lineRule="exact"/>
        <w:ind w:left="397" w:hanging="397"/>
        <w:jc w:val="both"/>
        <w:rPr>
          <w:sz w:val="22"/>
        </w:rPr>
      </w:pPr>
      <w:r>
        <w:rPr>
          <w:sz w:val="22"/>
        </w:rPr>
        <w:sym w:font="Wingdings 2" w:char="F0A1"/>
      </w:r>
      <w:r>
        <w:rPr>
          <w:sz w:val="22"/>
        </w:rPr>
        <w:tab/>
      </w:r>
      <w:r>
        <w:rPr>
          <w:b w:val="0"/>
          <w:caps w:val="0"/>
          <w:sz w:val="22"/>
        </w:rPr>
        <w:t>Совет по развитию народностей и народов Эквадора (КОДЕНПЭ)</w:t>
      </w:r>
      <w:r>
        <w:rPr>
          <w:sz w:val="22"/>
        </w:rPr>
        <w:t xml:space="preserve"> </w:t>
      </w:r>
    </w:p>
    <w:p w:rsidR="00000000" w:rsidRDefault="00000000">
      <w:pPr>
        <w:pStyle w:val="Heading1"/>
        <w:spacing w:before="0" w:after="0" w:line="260" w:lineRule="exact"/>
        <w:ind w:left="397" w:hanging="397"/>
        <w:jc w:val="both"/>
        <w:rPr>
          <w:b w:val="0"/>
          <w:caps w:val="0"/>
          <w:sz w:val="22"/>
        </w:rPr>
      </w:pPr>
      <w:r>
        <w:rPr>
          <w:sz w:val="22"/>
        </w:rPr>
        <w:sym w:font="Wingdings 2" w:char="F0A1"/>
      </w:r>
      <w:r>
        <w:rPr>
          <w:sz w:val="22"/>
        </w:rPr>
        <w:tab/>
      </w:r>
      <w:r>
        <w:rPr>
          <w:b w:val="0"/>
          <w:caps w:val="0"/>
          <w:sz w:val="22"/>
        </w:rPr>
        <w:t>Уполномоченный по защите интересов женщин и детей</w:t>
      </w:r>
    </w:p>
    <w:p w:rsidR="00000000" w:rsidRDefault="00000000">
      <w:pPr>
        <w:pStyle w:val="Heading1"/>
        <w:spacing w:before="0" w:after="0" w:line="260" w:lineRule="exact"/>
        <w:ind w:left="397" w:hanging="397"/>
        <w:jc w:val="both"/>
        <w:rPr>
          <w:b w:val="0"/>
          <w:caps w:val="0"/>
          <w:sz w:val="22"/>
        </w:rPr>
      </w:pPr>
      <w:r>
        <w:rPr>
          <w:sz w:val="22"/>
        </w:rPr>
        <w:sym w:font="Wingdings 2" w:char="F0A1"/>
      </w:r>
      <w:r>
        <w:rPr>
          <w:sz w:val="22"/>
        </w:rPr>
        <w:tab/>
      </w:r>
      <w:r>
        <w:rPr>
          <w:b w:val="0"/>
          <w:caps w:val="0"/>
          <w:sz w:val="22"/>
        </w:rPr>
        <w:t>Управление Народного защитника</w:t>
      </w:r>
    </w:p>
    <w:p w:rsidR="00000000" w:rsidRDefault="00000000">
      <w:pPr>
        <w:pStyle w:val="Heading1"/>
        <w:spacing w:before="0" w:after="0" w:line="260" w:lineRule="exact"/>
        <w:ind w:left="397" w:hanging="397"/>
        <w:jc w:val="both"/>
        <w:rPr>
          <w:b w:val="0"/>
          <w:caps w:val="0"/>
          <w:sz w:val="22"/>
        </w:rPr>
      </w:pPr>
      <w:r>
        <w:rPr>
          <w:sz w:val="22"/>
        </w:rPr>
        <w:sym w:font="Wingdings 2" w:char="F0A1"/>
      </w:r>
      <w:r>
        <w:rPr>
          <w:sz w:val="22"/>
        </w:rPr>
        <w:tab/>
      </w:r>
      <w:r>
        <w:rPr>
          <w:b w:val="0"/>
          <w:caps w:val="0"/>
          <w:sz w:val="22"/>
        </w:rPr>
        <w:t>Фонд ЭСКЕЛ</w:t>
      </w:r>
    </w:p>
    <w:p w:rsidR="00000000" w:rsidRDefault="00000000">
      <w:pPr>
        <w:spacing w:line="260" w:lineRule="exact"/>
        <w:ind w:left="397" w:hanging="397"/>
        <w:jc w:val="both"/>
        <w:rPr>
          <w:rFonts w:ascii="Arial" w:hAnsi="Arial"/>
          <w:sz w:val="22"/>
        </w:rPr>
      </w:pPr>
      <w:r>
        <w:rPr>
          <w:rFonts w:ascii="Arial" w:hAnsi="Arial"/>
          <w:sz w:val="22"/>
        </w:rPr>
        <w:sym w:font="Wingdings 2" w:char="F0A1"/>
      </w:r>
      <w:r>
        <w:rPr>
          <w:rFonts w:ascii="Arial" w:hAnsi="Arial"/>
          <w:sz w:val="22"/>
        </w:rPr>
        <w:tab/>
        <w:t>Эквадорская служба профессиональной подготовки (СЕКАП)</w:t>
      </w:r>
    </w:p>
    <w:p w:rsidR="00000000" w:rsidRDefault="00000000">
      <w:pPr>
        <w:spacing w:after="240" w:line="260" w:lineRule="exact"/>
        <w:jc w:val="both"/>
        <w:rPr>
          <w:rFonts w:ascii="Arial" w:hAnsi="Arial"/>
          <w:sz w:val="22"/>
        </w:rPr>
      </w:pPr>
    </w:p>
    <w:p w:rsidR="00000000" w:rsidRDefault="00000000">
      <w:pPr>
        <w:pStyle w:val="Heading1"/>
        <w:spacing w:before="0" w:after="240" w:line="260" w:lineRule="exact"/>
        <w:jc w:val="both"/>
        <w:rPr>
          <w:sz w:val="24"/>
          <w:lang w:val="en-US"/>
        </w:rPr>
      </w:pPr>
      <w:r>
        <w:rPr>
          <w:sz w:val="24"/>
        </w:rPr>
        <w:t>БИБЛИОГРАФИЯ</w:t>
      </w:r>
    </w:p>
    <w:p w:rsidR="00000000" w:rsidRDefault="00000000">
      <w:pPr>
        <w:autoSpaceDE w:val="0"/>
        <w:autoSpaceDN w:val="0"/>
        <w:adjustRightInd w:val="0"/>
        <w:spacing w:line="260" w:lineRule="exact"/>
        <w:ind w:left="397" w:hanging="397"/>
        <w:jc w:val="both"/>
        <w:rPr>
          <w:rFonts w:ascii="Arial" w:hAnsi="Arial"/>
          <w:noProof/>
          <w:sz w:val="22"/>
        </w:rPr>
      </w:pPr>
      <w:r>
        <w:rPr>
          <w:rFonts w:ascii="Arial" w:hAnsi="Arial"/>
          <w:sz w:val="22"/>
          <w:lang w:val="en-US"/>
        </w:rPr>
        <w:t>1.</w:t>
      </w:r>
      <w:r>
        <w:rPr>
          <w:rFonts w:ascii="Arial" w:hAnsi="Arial"/>
          <w:sz w:val="22"/>
          <w:lang w:val="en-US"/>
        </w:rPr>
        <w:tab/>
        <w:t xml:space="preserve">Banco Central del Ecuador, Sistema de Información Económica, </w:t>
      </w:r>
      <w:r>
        <w:rPr>
          <w:rFonts w:ascii="Arial" w:hAnsi="Arial"/>
          <w:noProof/>
          <w:sz w:val="22"/>
        </w:rPr>
        <w:t>1999</w:t>
      </w:r>
    </w:p>
    <w:p w:rsidR="00000000" w:rsidRDefault="00000000">
      <w:pPr>
        <w:autoSpaceDE w:val="0"/>
        <w:autoSpaceDN w:val="0"/>
        <w:adjustRightInd w:val="0"/>
        <w:spacing w:line="260" w:lineRule="exact"/>
        <w:ind w:left="397" w:hanging="397"/>
        <w:jc w:val="both"/>
        <w:rPr>
          <w:rFonts w:ascii="Arial" w:hAnsi="Arial"/>
          <w:noProof/>
          <w:sz w:val="22"/>
        </w:rPr>
      </w:pPr>
      <w:r>
        <w:rPr>
          <w:rFonts w:ascii="Arial" w:hAnsi="Arial"/>
          <w:sz w:val="22"/>
          <w:lang w:val="en-US"/>
        </w:rPr>
        <w:t>2.</w:t>
      </w:r>
      <w:r>
        <w:rPr>
          <w:rFonts w:ascii="Arial" w:hAnsi="Arial"/>
          <w:sz w:val="22"/>
          <w:lang w:val="en-US"/>
        </w:rPr>
        <w:tab/>
        <w:t>Comision Interventora del IESS. La Quincena,</w:t>
      </w:r>
      <w:r>
        <w:rPr>
          <w:rFonts w:ascii="Arial" w:hAnsi="Arial"/>
          <w:noProof/>
          <w:sz w:val="22"/>
        </w:rPr>
        <w:t xml:space="preserve"> 1998</w:t>
      </w:r>
      <w:r>
        <w:rPr>
          <w:rFonts w:ascii="Arial" w:hAnsi="Arial"/>
          <w:sz w:val="22"/>
          <w:lang w:val="en-US"/>
        </w:rPr>
        <w:t xml:space="preserve"> </w:t>
      </w:r>
    </w:p>
    <w:p w:rsidR="00000000" w:rsidRDefault="00000000">
      <w:pPr>
        <w:autoSpaceDE w:val="0"/>
        <w:autoSpaceDN w:val="0"/>
        <w:adjustRightInd w:val="0"/>
        <w:spacing w:line="260" w:lineRule="exact"/>
        <w:ind w:left="397" w:hanging="397"/>
        <w:jc w:val="both"/>
        <w:rPr>
          <w:rFonts w:ascii="Arial" w:hAnsi="Arial"/>
          <w:noProof/>
          <w:sz w:val="22"/>
        </w:rPr>
      </w:pPr>
      <w:r>
        <w:rPr>
          <w:rFonts w:ascii="Arial" w:hAnsi="Arial"/>
          <w:sz w:val="22"/>
          <w:lang w:val="en-US"/>
        </w:rPr>
        <w:t>3.</w:t>
      </w:r>
      <w:r>
        <w:rPr>
          <w:rFonts w:ascii="Arial" w:hAnsi="Arial"/>
          <w:sz w:val="22"/>
          <w:lang w:val="en-US"/>
        </w:rPr>
        <w:tab/>
        <w:t>CONAMU e INEC, Mujeres y Hombres del Ecuador en Cifras,</w:t>
      </w:r>
      <w:r>
        <w:rPr>
          <w:rFonts w:ascii="Arial" w:hAnsi="Arial"/>
          <w:noProof/>
          <w:sz w:val="22"/>
        </w:rPr>
        <w:t xml:space="preserve"> 1999</w:t>
      </w:r>
    </w:p>
    <w:p w:rsidR="00000000" w:rsidRDefault="00000000">
      <w:pPr>
        <w:autoSpaceDE w:val="0"/>
        <w:autoSpaceDN w:val="0"/>
        <w:adjustRightInd w:val="0"/>
        <w:spacing w:line="260" w:lineRule="exact"/>
        <w:ind w:left="397" w:hanging="397"/>
        <w:jc w:val="both"/>
        <w:rPr>
          <w:rFonts w:ascii="Arial" w:hAnsi="Arial"/>
          <w:sz w:val="22"/>
          <w:lang w:val="en-US"/>
        </w:rPr>
      </w:pPr>
      <w:r>
        <w:rPr>
          <w:rFonts w:ascii="Arial" w:hAnsi="Arial"/>
          <w:sz w:val="22"/>
          <w:lang w:val="en-US"/>
        </w:rPr>
        <w:t>4.</w:t>
      </w:r>
      <w:r>
        <w:rPr>
          <w:rFonts w:ascii="Arial" w:hAnsi="Arial"/>
          <w:sz w:val="22"/>
          <w:lang w:val="en-US"/>
        </w:rPr>
        <w:tab/>
        <w:t>CONAMU, Ley reformatoria a la Ley de Maternidad Gratuita, 1999</w:t>
      </w:r>
    </w:p>
    <w:p w:rsidR="00000000" w:rsidRDefault="00000000">
      <w:pPr>
        <w:autoSpaceDE w:val="0"/>
        <w:autoSpaceDN w:val="0"/>
        <w:adjustRightInd w:val="0"/>
        <w:spacing w:line="260" w:lineRule="exact"/>
        <w:ind w:left="397" w:hanging="397"/>
        <w:jc w:val="both"/>
        <w:rPr>
          <w:rFonts w:ascii="Arial" w:hAnsi="Arial"/>
          <w:sz w:val="22"/>
          <w:lang w:val="en-US"/>
        </w:rPr>
      </w:pPr>
      <w:r>
        <w:rPr>
          <w:rFonts w:ascii="Arial" w:hAnsi="Arial"/>
          <w:sz w:val="22"/>
          <w:lang w:val="en-US"/>
        </w:rPr>
        <w:t>5.</w:t>
      </w:r>
      <w:r>
        <w:rPr>
          <w:rFonts w:ascii="Arial" w:hAnsi="Arial"/>
          <w:sz w:val="22"/>
          <w:lang w:val="en-US"/>
        </w:rPr>
        <w:tab/>
        <w:t>Consejo Nacional de las Mujeres, Ley contra la Violencia a la Mujer y la Familia</w:t>
      </w:r>
    </w:p>
    <w:p w:rsidR="00000000" w:rsidRDefault="00000000">
      <w:pPr>
        <w:autoSpaceDE w:val="0"/>
        <w:autoSpaceDN w:val="0"/>
        <w:adjustRightInd w:val="0"/>
        <w:spacing w:line="260" w:lineRule="exact"/>
        <w:ind w:left="397" w:hanging="397"/>
        <w:jc w:val="both"/>
        <w:rPr>
          <w:rFonts w:ascii="Arial" w:hAnsi="Arial"/>
          <w:noProof/>
          <w:sz w:val="22"/>
        </w:rPr>
      </w:pPr>
      <w:r>
        <w:rPr>
          <w:rFonts w:ascii="Arial" w:hAnsi="Arial"/>
          <w:sz w:val="22"/>
          <w:lang w:val="en-US"/>
        </w:rPr>
        <w:t>6.</w:t>
      </w:r>
      <w:r>
        <w:rPr>
          <w:rFonts w:ascii="Arial" w:hAnsi="Arial"/>
          <w:sz w:val="22"/>
          <w:lang w:val="en-US"/>
        </w:rPr>
        <w:tab/>
        <w:t>Corporación de Estudios y Publicaciones, Código Civil,</w:t>
      </w:r>
      <w:r>
        <w:rPr>
          <w:rFonts w:ascii="Arial" w:hAnsi="Arial"/>
          <w:noProof/>
          <w:sz w:val="22"/>
        </w:rPr>
        <w:t xml:space="preserve"> 1996</w:t>
      </w:r>
    </w:p>
    <w:p w:rsidR="00000000" w:rsidRDefault="00000000">
      <w:pPr>
        <w:autoSpaceDE w:val="0"/>
        <w:autoSpaceDN w:val="0"/>
        <w:adjustRightInd w:val="0"/>
        <w:spacing w:line="260" w:lineRule="exact"/>
        <w:ind w:left="397" w:hanging="397"/>
        <w:jc w:val="both"/>
        <w:rPr>
          <w:rFonts w:ascii="Arial" w:hAnsi="Arial"/>
          <w:sz w:val="22"/>
          <w:lang w:val="en-US"/>
        </w:rPr>
      </w:pPr>
      <w:r>
        <w:rPr>
          <w:rFonts w:ascii="Arial" w:hAnsi="Arial"/>
          <w:sz w:val="22"/>
          <w:lang w:val="en-US"/>
        </w:rPr>
        <w:t>7.</w:t>
      </w:r>
      <w:r>
        <w:rPr>
          <w:rFonts w:ascii="Arial" w:hAnsi="Arial"/>
          <w:sz w:val="22"/>
          <w:lang w:val="en-US"/>
        </w:rPr>
        <w:tab/>
        <w:t>Corporación de Estudios y Publicaciones, Código de Comercio, 1998</w:t>
      </w:r>
    </w:p>
    <w:p w:rsidR="00000000" w:rsidRDefault="00000000">
      <w:pPr>
        <w:autoSpaceDE w:val="0"/>
        <w:autoSpaceDN w:val="0"/>
        <w:adjustRightInd w:val="0"/>
        <w:spacing w:line="260" w:lineRule="exact"/>
        <w:ind w:left="397" w:hanging="397"/>
        <w:jc w:val="both"/>
        <w:rPr>
          <w:rFonts w:ascii="Arial" w:hAnsi="Arial"/>
          <w:sz w:val="22"/>
          <w:lang w:val="en-US"/>
        </w:rPr>
      </w:pPr>
      <w:r>
        <w:rPr>
          <w:rFonts w:ascii="Arial" w:hAnsi="Arial"/>
          <w:sz w:val="22"/>
          <w:lang w:val="en-US"/>
        </w:rPr>
        <w:t>8.</w:t>
      </w:r>
      <w:r>
        <w:rPr>
          <w:rFonts w:ascii="Arial" w:hAnsi="Arial"/>
          <w:sz w:val="22"/>
          <w:lang w:val="en-US"/>
        </w:rPr>
        <w:tab/>
        <w:t>Corporación de Estudios y Publicaciones, Código de Menores, 1998</w:t>
      </w:r>
    </w:p>
    <w:p w:rsidR="00000000" w:rsidRDefault="00000000">
      <w:pPr>
        <w:autoSpaceDE w:val="0"/>
        <w:autoSpaceDN w:val="0"/>
        <w:adjustRightInd w:val="0"/>
        <w:spacing w:line="260" w:lineRule="exact"/>
        <w:ind w:left="397" w:hanging="397"/>
        <w:jc w:val="both"/>
        <w:rPr>
          <w:rFonts w:ascii="Arial" w:hAnsi="Arial"/>
          <w:sz w:val="22"/>
          <w:lang w:val="en-US"/>
        </w:rPr>
      </w:pPr>
      <w:r>
        <w:rPr>
          <w:rFonts w:ascii="Arial" w:hAnsi="Arial"/>
          <w:sz w:val="22"/>
          <w:lang w:val="en-US"/>
        </w:rPr>
        <w:t>9.</w:t>
      </w:r>
      <w:r>
        <w:rPr>
          <w:rFonts w:ascii="Arial" w:hAnsi="Arial"/>
          <w:sz w:val="22"/>
          <w:lang w:val="en-US"/>
        </w:rPr>
        <w:tab/>
        <w:t>Corporación de Estudios y Publicaciones, Código del Trabajo,</w:t>
      </w:r>
      <w:r>
        <w:rPr>
          <w:rFonts w:ascii="Arial" w:hAnsi="Arial"/>
          <w:noProof/>
          <w:sz w:val="22"/>
        </w:rPr>
        <w:t xml:space="preserve"> 1998</w:t>
      </w:r>
    </w:p>
    <w:p w:rsidR="00000000" w:rsidRDefault="00000000">
      <w:pPr>
        <w:autoSpaceDE w:val="0"/>
        <w:autoSpaceDN w:val="0"/>
        <w:adjustRightInd w:val="0"/>
        <w:spacing w:line="260" w:lineRule="exact"/>
        <w:ind w:left="397" w:hanging="397"/>
        <w:jc w:val="both"/>
        <w:rPr>
          <w:rFonts w:ascii="Arial" w:hAnsi="Arial"/>
          <w:noProof/>
          <w:sz w:val="22"/>
        </w:rPr>
      </w:pPr>
      <w:r>
        <w:rPr>
          <w:rFonts w:ascii="Arial" w:hAnsi="Arial"/>
          <w:sz w:val="22"/>
          <w:lang w:val="en-US"/>
        </w:rPr>
        <w:t>10.</w:t>
      </w:r>
      <w:r>
        <w:rPr>
          <w:rFonts w:ascii="Arial" w:hAnsi="Arial"/>
          <w:sz w:val="22"/>
          <w:lang w:val="en-US"/>
        </w:rPr>
        <w:tab/>
        <w:t>Corporación de Estudios y Publicaciones, Constitución Política del Estado,</w:t>
      </w:r>
      <w:r>
        <w:rPr>
          <w:rFonts w:ascii="Arial" w:hAnsi="Arial"/>
          <w:noProof/>
          <w:sz w:val="22"/>
        </w:rPr>
        <w:t xml:space="preserve"> 1998</w:t>
      </w:r>
    </w:p>
    <w:p w:rsidR="00000000" w:rsidRDefault="00000000">
      <w:pPr>
        <w:autoSpaceDE w:val="0"/>
        <w:autoSpaceDN w:val="0"/>
        <w:adjustRightInd w:val="0"/>
        <w:spacing w:line="260" w:lineRule="exact"/>
        <w:ind w:left="397" w:hanging="397"/>
        <w:jc w:val="both"/>
        <w:rPr>
          <w:rFonts w:ascii="Arial" w:hAnsi="Arial"/>
          <w:noProof/>
          <w:sz w:val="22"/>
        </w:rPr>
      </w:pPr>
      <w:r>
        <w:rPr>
          <w:rFonts w:ascii="Arial" w:hAnsi="Arial"/>
          <w:sz w:val="22"/>
          <w:lang w:val="en-US"/>
        </w:rPr>
        <w:t>11.</w:t>
      </w:r>
      <w:r>
        <w:rPr>
          <w:rFonts w:ascii="Arial" w:hAnsi="Arial"/>
          <w:sz w:val="22"/>
          <w:lang w:val="en-US"/>
        </w:rPr>
        <w:tab/>
        <w:t>Corporación de Estudios y Publicaciones, Ley de Desarrollo Agrario,</w:t>
      </w:r>
      <w:r>
        <w:rPr>
          <w:rFonts w:ascii="Arial" w:hAnsi="Arial"/>
          <w:noProof/>
          <w:sz w:val="22"/>
        </w:rPr>
        <w:t xml:space="preserve"> 1995</w:t>
      </w:r>
    </w:p>
    <w:p w:rsidR="00000000" w:rsidRDefault="00000000">
      <w:pPr>
        <w:autoSpaceDE w:val="0"/>
        <w:autoSpaceDN w:val="0"/>
        <w:adjustRightInd w:val="0"/>
        <w:spacing w:line="260" w:lineRule="exact"/>
        <w:ind w:left="397" w:hanging="397"/>
        <w:jc w:val="both"/>
        <w:rPr>
          <w:rFonts w:ascii="Arial" w:hAnsi="Arial"/>
          <w:noProof/>
          <w:sz w:val="22"/>
        </w:rPr>
      </w:pPr>
      <w:r>
        <w:rPr>
          <w:rFonts w:ascii="Arial" w:hAnsi="Arial"/>
          <w:sz w:val="22"/>
          <w:lang w:val="en-US"/>
        </w:rPr>
        <w:t>12.</w:t>
      </w:r>
      <w:r>
        <w:rPr>
          <w:rFonts w:ascii="Arial" w:hAnsi="Arial"/>
          <w:sz w:val="22"/>
          <w:lang w:val="en-US"/>
        </w:rPr>
        <w:tab/>
        <w:t>Corporación de Estudios y Publicaciones, Ley Reformatoria a la Ley de Seguridad Social,</w:t>
      </w:r>
      <w:r>
        <w:rPr>
          <w:rFonts w:ascii="Arial" w:hAnsi="Arial"/>
          <w:noProof/>
          <w:sz w:val="22"/>
        </w:rPr>
        <w:t xml:space="preserve"> 1999 </w:t>
      </w:r>
    </w:p>
    <w:p w:rsidR="00000000" w:rsidRDefault="00000000">
      <w:pPr>
        <w:autoSpaceDE w:val="0"/>
        <w:autoSpaceDN w:val="0"/>
        <w:adjustRightInd w:val="0"/>
        <w:spacing w:line="260" w:lineRule="exact"/>
        <w:ind w:left="397" w:hanging="397"/>
        <w:jc w:val="both"/>
        <w:rPr>
          <w:rFonts w:ascii="Arial" w:hAnsi="Arial"/>
          <w:noProof/>
          <w:sz w:val="22"/>
        </w:rPr>
      </w:pPr>
      <w:r>
        <w:rPr>
          <w:rFonts w:ascii="Arial" w:hAnsi="Arial"/>
          <w:sz w:val="22"/>
          <w:lang w:val="en-US"/>
        </w:rPr>
        <w:t>13.</w:t>
      </w:r>
      <w:r>
        <w:rPr>
          <w:rFonts w:ascii="Arial" w:hAnsi="Arial"/>
          <w:sz w:val="22"/>
          <w:lang w:val="en-US"/>
        </w:rPr>
        <w:tab/>
        <w:t>Ecuador, Poverty Report, Banco Mundial,</w:t>
      </w:r>
      <w:r>
        <w:rPr>
          <w:rFonts w:ascii="Arial" w:hAnsi="Arial"/>
          <w:noProof/>
          <w:sz w:val="22"/>
        </w:rPr>
        <w:t xml:space="preserve"> 1995 </w:t>
      </w:r>
    </w:p>
    <w:p w:rsidR="00000000" w:rsidRDefault="00000000">
      <w:pPr>
        <w:autoSpaceDE w:val="0"/>
        <w:autoSpaceDN w:val="0"/>
        <w:adjustRightInd w:val="0"/>
        <w:spacing w:line="260" w:lineRule="exact"/>
        <w:ind w:left="397" w:hanging="397"/>
        <w:jc w:val="both"/>
        <w:rPr>
          <w:rFonts w:ascii="Arial" w:hAnsi="Arial"/>
          <w:noProof/>
          <w:sz w:val="22"/>
        </w:rPr>
      </w:pPr>
      <w:r>
        <w:rPr>
          <w:rFonts w:ascii="Arial" w:hAnsi="Arial"/>
          <w:sz w:val="22"/>
          <w:lang w:val="en-US"/>
        </w:rPr>
        <w:t>14.</w:t>
      </w:r>
      <w:r>
        <w:rPr>
          <w:rFonts w:ascii="Arial" w:hAnsi="Arial"/>
          <w:sz w:val="22"/>
          <w:lang w:val="en-US"/>
        </w:rPr>
        <w:tab/>
        <w:t>Encalada Eduardo, Garcia Fernando, Ivarsdotter Kristine, Pobreza Indígena y Negra en Ecuador. Indigenous people and Community Development in Social Programs and Sustainable Development Department, Inter-american Development Bank,</w:t>
      </w:r>
      <w:r>
        <w:rPr>
          <w:rFonts w:ascii="Arial" w:hAnsi="Arial"/>
          <w:noProof/>
          <w:sz w:val="22"/>
        </w:rPr>
        <w:t xml:space="preserve"> 1998</w:t>
      </w:r>
    </w:p>
    <w:p w:rsidR="00000000" w:rsidRDefault="00000000">
      <w:pPr>
        <w:autoSpaceDE w:val="0"/>
        <w:autoSpaceDN w:val="0"/>
        <w:adjustRightInd w:val="0"/>
        <w:spacing w:line="260" w:lineRule="exact"/>
        <w:ind w:left="397" w:hanging="397"/>
        <w:jc w:val="both"/>
        <w:rPr>
          <w:rFonts w:ascii="Arial" w:hAnsi="Arial"/>
          <w:sz w:val="22"/>
          <w:lang w:val="en-US"/>
        </w:rPr>
      </w:pPr>
      <w:r>
        <w:rPr>
          <w:rFonts w:ascii="Arial" w:hAnsi="Arial"/>
          <w:sz w:val="22"/>
          <w:lang w:val="en-US"/>
        </w:rPr>
        <w:t>15.</w:t>
      </w:r>
      <w:r>
        <w:rPr>
          <w:rFonts w:ascii="Arial" w:hAnsi="Arial"/>
          <w:sz w:val="22"/>
          <w:lang w:val="en-US"/>
        </w:rPr>
        <w:tab/>
        <w:t>ESQUEL, Fundación/ UNICEF, Una agenda para combatir a la pobreza,</w:t>
      </w:r>
      <w:r>
        <w:rPr>
          <w:rFonts w:ascii="Arial" w:hAnsi="Arial"/>
          <w:noProof/>
          <w:sz w:val="22"/>
        </w:rPr>
        <w:t xml:space="preserve"> 1996</w:t>
      </w:r>
    </w:p>
    <w:p w:rsidR="00000000" w:rsidRDefault="00000000">
      <w:pPr>
        <w:autoSpaceDE w:val="0"/>
        <w:autoSpaceDN w:val="0"/>
        <w:adjustRightInd w:val="0"/>
        <w:spacing w:line="260" w:lineRule="exact"/>
        <w:ind w:left="397" w:hanging="397"/>
        <w:jc w:val="both"/>
        <w:rPr>
          <w:rFonts w:ascii="Arial" w:hAnsi="Arial"/>
          <w:noProof/>
          <w:sz w:val="22"/>
        </w:rPr>
      </w:pPr>
      <w:r>
        <w:rPr>
          <w:rFonts w:ascii="Arial" w:hAnsi="Arial"/>
          <w:sz w:val="22"/>
          <w:lang w:val="en-US"/>
        </w:rPr>
        <w:t>16.</w:t>
      </w:r>
      <w:r>
        <w:rPr>
          <w:rFonts w:ascii="Arial" w:hAnsi="Arial"/>
          <w:sz w:val="22"/>
          <w:lang w:val="en-US"/>
        </w:rPr>
        <w:tab/>
        <w:t>Fundacion Maria Guare, Informe Estadístico Anual, La Violencia contra la Mujer, Guayaquil,</w:t>
      </w:r>
      <w:r>
        <w:rPr>
          <w:rFonts w:ascii="Arial" w:hAnsi="Arial"/>
          <w:noProof/>
          <w:sz w:val="22"/>
        </w:rPr>
        <w:t xml:space="preserve"> 1995</w:t>
      </w:r>
    </w:p>
    <w:p w:rsidR="00000000" w:rsidRDefault="00000000">
      <w:pPr>
        <w:autoSpaceDE w:val="0"/>
        <w:autoSpaceDN w:val="0"/>
        <w:adjustRightInd w:val="0"/>
        <w:spacing w:line="260" w:lineRule="exact"/>
        <w:ind w:left="397" w:hanging="397"/>
        <w:jc w:val="both"/>
        <w:rPr>
          <w:rFonts w:ascii="Arial" w:hAnsi="Arial"/>
          <w:noProof/>
          <w:sz w:val="22"/>
        </w:rPr>
      </w:pPr>
      <w:r>
        <w:rPr>
          <w:rFonts w:ascii="Arial" w:hAnsi="Arial"/>
          <w:sz w:val="22"/>
          <w:lang w:val="en-US"/>
        </w:rPr>
        <w:t>17.</w:t>
      </w:r>
      <w:r>
        <w:rPr>
          <w:rFonts w:ascii="Arial" w:hAnsi="Arial"/>
          <w:sz w:val="22"/>
          <w:lang w:val="en-US"/>
        </w:rPr>
        <w:tab/>
        <w:t>Fundacion Maria Guare/UNIFEM, La violencia contra la mujer, Informe Estadístico, número</w:t>
      </w:r>
      <w:r>
        <w:rPr>
          <w:rFonts w:ascii="Arial" w:hAnsi="Arial"/>
          <w:noProof/>
          <w:sz w:val="22"/>
        </w:rPr>
        <w:t xml:space="preserve"> 9</w:t>
      </w:r>
      <w:r>
        <w:rPr>
          <w:rFonts w:ascii="Arial" w:hAnsi="Arial"/>
          <w:sz w:val="22"/>
          <w:lang w:val="en-US"/>
        </w:rPr>
        <w:t xml:space="preserve"> y</w:t>
      </w:r>
      <w:r>
        <w:rPr>
          <w:rFonts w:ascii="Arial" w:hAnsi="Arial"/>
          <w:noProof/>
          <w:sz w:val="22"/>
        </w:rPr>
        <w:t xml:space="preserve"> 10</w:t>
      </w:r>
    </w:p>
    <w:p w:rsidR="00000000" w:rsidRDefault="00000000">
      <w:pPr>
        <w:autoSpaceDE w:val="0"/>
        <w:autoSpaceDN w:val="0"/>
        <w:adjustRightInd w:val="0"/>
        <w:spacing w:line="260" w:lineRule="exact"/>
        <w:ind w:left="397" w:hanging="397"/>
        <w:jc w:val="both"/>
        <w:rPr>
          <w:rFonts w:ascii="Arial" w:hAnsi="Arial"/>
          <w:sz w:val="22"/>
          <w:lang w:val="en-US"/>
        </w:rPr>
      </w:pPr>
      <w:r>
        <w:rPr>
          <w:rFonts w:ascii="Arial" w:hAnsi="Arial"/>
          <w:sz w:val="22"/>
          <w:lang w:val="en-US"/>
        </w:rPr>
        <w:t>18.</w:t>
      </w:r>
      <w:r>
        <w:rPr>
          <w:rFonts w:ascii="Arial" w:hAnsi="Arial"/>
          <w:sz w:val="22"/>
          <w:lang w:val="en-US"/>
        </w:rPr>
        <w:tab/>
        <w:t>INEC y CONAMU, Mujeres y Hombres del Ecuador en Cifras,</w:t>
      </w:r>
      <w:r>
        <w:rPr>
          <w:rFonts w:ascii="Arial" w:hAnsi="Arial"/>
          <w:noProof/>
          <w:sz w:val="22"/>
        </w:rPr>
        <w:t xml:space="preserve"> 1999 </w:t>
      </w:r>
    </w:p>
    <w:p w:rsidR="00000000" w:rsidRDefault="00000000">
      <w:pPr>
        <w:autoSpaceDE w:val="0"/>
        <w:autoSpaceDN w:val="0"/>
        <w:adjustRightInd w:val="0"/>
        <w:spacing w:line="260" w:lineRule="exact"/>
        <w:ind w:left="397" w:hanging="397"/>
        <w:jc w:val="both"/>
        <w:rPr>
          <w:rFonts w:ascii="Arial" w:hAnsi="Arial"/>
          <w:sz w:val="22"/>
          <w:lang w:val="en-US"/>
        </w:rPr>
      </w:pPr>
      <w:r>
        <w:rPr>
          <w:rFonts w:ascii="Arial" w:hAnsi="Arial"/>
          <w:sz w:val="22"/>
          <w:lang w:val="en-US"/>
        </w:rPr>
        <w:t>19.</w:t>
      </w:r>
      <w:r>
        <w:rPr>
          <w:rFonts w:ascii="Arial" w:hAnsi="Arial"/>
          <w:sz w:val="22"/>
          <w:lang w:val="en-US"/>
        </w:rPr>
        <w:tab/>
        <w:t xml:space="preserve">Larre Holgui, Juan. Temas Constitucionales, Documento preparado por la Asamblea Nacional </w:t>
      </w:r>
    </w:p>
    <w:p w:rsidR="00000000" w:rsidRDefault="00000000">
      <w:pPr>
        <w:autoSpaceDE w:val="0"/>
        <w:autoSpaceDN w:val="0"/>
        <w:adjustRightInd w:val="0"/>
        <w:spacing w:line="260" w:lineRule="exact"/>
        <w:ind w:left="397" w:hanging="397"/>
        <w:jc w:val="both"/>
        <w:rPr>
          <w:rFonts w:ascii="Arial" w:hAnsi="Arial"/>
          <w:sz w:val="22"/>
          <w:lang w:val="en-US"/>
        </w:rPr>
      </w:pPr>
      <w:r>
        <w:rPr>
          <w:rFonts w:ascii="Arial" w:hAnsi="Arial"/>
          <w:sz w:val="22"/>
          <w:lang w:val="en-US"/>
        </w:rPr>
        <w:t>20.</w:t>
      </w:r>
      <w:r>
        <w:rPr>
          <w:rFonts w:ascii="Arial" w:hAnsi="Arial"/>
          <w:sz w:val="22"/>
          <w:lang w:val="en-US"/>
        </w:rPr>
        <w:tab/>
        <w:t>MBS, INNFA, ORI, MEC, PRONEPE, Cartilla de Indicadores de la Infancia, 1998</w:t>
      </w:r>
    </w:p>
    <w:p w:rsidR="00000000" w:rsidRDefault="00000000">
      <w:pPr>
        <w:autoSpaceDE w:val="0"/>
        <w:autoSpaceDN w:val="0"/>
        <w:adjustRightInd w:val="0"/>
        <w:spacing w:line="260" w:lineRule="exact"/>
        <w:ind w:left="397" w:hanging="397"/>
        <w:jc w:val="both"/>
        <w:rPr>
          <w:rFonts w:ascii="Arial" w:hAnsi="Arial"/>
          <w:sz w:val="22"/>
          <w:lang w:val="en-US"/>
        </w:rPr>
      </w:pPr>
      <w:r>
        <w:rPr>
          <w:rFonts w:ascii="Arial" w:hAnsi="Arial"/>
          <w:sz w:val="22"/>
          <w:lang w:val="en-US"/>
        </w:rPr>
        <w:t>21.</w:t>
      </w:r>
      <w:r>
        <w:rPr>
          <w:rFonts w:ascii="Arial" w:hAnsi="Arial"/>
          <w:sz w:val="22"/>
          <w:lang w:val="en-US"/>
        </w:rPr>
        <w:tab/>
        <w:t>Ministerio de Bienestar Social, Direccion Nacional de la Mujer, Sistema de Indicadores para el seguimiento del tema 18: El fortalecimiento del papel de la mujer en la sociedad, 1997</w:t>
      </w:r>
    </w:p>
    <w:p w:rsidR="00000000" w:rsidRDefault="00000000">
      <w:pPr>
        <w:autoSpaceDE w:val="0"/>
        <w:autoSpaceDN w:val="0"/>
        <w:adjustRightInd w:val="0"/>
        <w:spacing w:line="260" w:lineRule="exact"/>
        <w:ind w:left="397" w:hanging="397"/>
        <w:jc w:val="both"/>
        <w:rPr>
          <w:rFonts w:ascii="Arial" w:hAnsi="Arial"/>
          <w:sz w:val="22"/>
          <w:lang w:val="en-US"/>
        </w:rPr>
      </w:pPr>
      <w:r>
        <w:rPr>
          <w:rFonts w:ascii="Arial" w:hAnsi="Arial"/>
          <w:sz w:val="22"/>
          <w:lang w:val="en-US"/>
        </w:rPr>
        <w:t>22.</w:t>
      </w:r>
      <w:r>
        <w:rPr>
          <w:rFonts w:ascii="Arial" w:hAnsi="Arial"/>
          <w:sz w:val="22"/>
          <w:lang w:val="en-US"/>
        </w:rPr>
        <w:tab/>
        <w:t xml:space="preserve">Ministerio de Salud Publica, INEC, OMS, Situación de la Salud en el Ecuador, Tendencias de la natalidad y mortalidad, 1998  </w:t>
      </w:r>
    </w:p>
    <w:p w:rsidR="00000000" w:rsidRDefault="00000000">
      <w:pPr>
        <w:autoSpaceDE w:val="0"/>
        <w:autoSpaceDN w:val="0"/>
        <w:adjustRightInd w:val="0"/>
        <w:spacing w:line="260" w:lineRule="exact"/>
        <w:ind w:left="397" w:hanging="397"/>
        <w:jc w:val="both"/>
        <w:rPr>
          <w:rFonts w:ascii="Arial" w:hAnsi="Arial"/>
          <w:sz w:val="22"/>
          <w:lang w:val="en-US"/>
        </w:rPr>
      </w:pPr>
      <w:r>
        <w:rPr>
          <w:rFonts w:ascii="Arial" w:hAnsi="Arial"/>
          <w:sz w:val="22"/>
          <w:lang w:val="en-US"/>
        </w:rPr>
        <w:t>23.</w:t>
      </w:r>
      <w:r>
        <w:rPr>
          <w:rFonts w:ascii="Arial" w:hAnsi="Arial"/>
          <w:sz w:val="22"/>
          <w:lang w:val="en-US"/>
        </w:rPr>
        <w:tab/>
        <w:t xml:space="preserve">Ministerio de Salud Publica, Informe "Prevención del </w:t>
      </w:r>
      <w:r>
        <w:rPr>
          <w:rFonts w:ascii="Arial" w:hAnsi="Arial"/>
          <w:noProof/>
          <w:sz w:val="22"/>
        </w:rPr>
        <w:t>VIH-SIDA entre Trabajadoras Sexuales, 1999</w:t>
      </w:r>
    </w:p>
    <w:p w:rsidR="00000000" w:rsidRDefault="00000000">
      <w:pPr>
        <w:autoSpaceDE w:val="0"/>
        <w:autoSpaceDN w:val="0"/>
        <w:adjustRightInd w:val="0"/>
        <w:spacing w:line="260" w:lineRule="exact"/>
        <w:ind w:left="397" w:hanging="397"/>
        <w:jc w:val="both"/>
        <w:rPr>
          <w:rFonts w:ascii="Arial" w:hAnsi="Arial"/>
          <w:sz w:val="22"/>
          <w:lang w:val="en-US"/>
        </w:rPr>
      </w:pPr>
      <w:r>
        <w:rPr>
          <w:rFonts w:ascii="Arial" w:hAnsi="Arial"/>
          <w:sz w:val="22"/>
          <w:lang w:val="en-US"/>
        </w:rPr>
        <w:t>24.</w:t>
      </w:r>
      <w:r>
        <w:rPr>
          <w:rFonts w:ascii="Arial" w:hAnsi="Arial"/>
          <w:sz w:val="22"/>
          <w:lang w:val="en-US"/>
        </w:rPr>
        <w:tab/>
        <w:t>Ministerio de Salud Publica, Proyecto FASBASE,</w:t>
      </w:r>
      <w:r>
        <w:rPr>
          <w:rFonts w:ascii="Arial" w:hAnsi="Arial"/>
          <w:noProof/>
          <w:sz w:val="22"/>
        </w:rPr>
        <w:t xml:space="preserve"> 1999</w:t>
      </w:r>
    </w:p>
    <w:p w:rsidR="00000000" w:rsidRDefault="00000000">
      <w:pPr>
        <w:autoSpaceDE w:val="0"/>
        <w:autoSpaceDN w:val="0"/>
        <w:adjustRightInd w:val="0"/>
        <w:spacing w:line="260" w:lineRule="exact"/>
        <w:ind w:left="397" w:hanging="397"/>
        <w:jc w:val="both"/>
        <w:rPr>
          <w:rFonts w:ascii="Arial" w:hAnsi="Arial"/>
          <w:sz w:val="22"/>
          <w:lang w:val="en-US"/>
        </w:rPr>
      </w:pPr>
      <w:r>
        <w:rPr>
          <w:rFonts w:ascii="Arial" w:hAnsi="Arial"/>
          <w:sz w:val="22"/>
          <w:lang w:val="en-US"/>
        </w:rPr>
        <w:t>25.</w:t>
      </w:r>
      <w:r>
        <w:rPr>
          <w:rFonts w:ascii="Arial" w:hAnsi="Arial"/>
          <w:sz w:val="22"/>
          <w:lang w:val="en-US"/>
        </w:rPr>
        <w:tab/>
        <w:t>Ministerio de Salud Publica, Proyecto FASBASE,</w:t>
      </w:r>
      <w:r>
        <w:rPr>
          <w:rFonts w:ascii="Arial" w:hAnsi="Arial"/>
          <w:noProof/>
          <w:sz w:val="22"/>
        </w:rPr>
        <w:t xml:space="preserve"> 1999</w:t>
      </w:r>
    </w:p>
    <w:p w:rsidR="00000000" w:rsidRDefault="00000000">
      <w:pPr>
        <w:autoSpaceDE w:val="0"/>
        <w:autoSpaceDN w:val="0"/>
        <w:adjustRightInd w:val="0"/>
        <w:spacing w:line="260" w:lineRule="exact"/>
        <w:ind w:left="397" w:hanging="397"/>
        <w:jc w:val="both"/>
        <w:rPr>
          <w:rFonts w:ascii="Arial" w:hAnsi="Arial"/>
          <w:noProof/>
          <w:sz w:val="22"/>
        </w:rPr>
      </w:pPr>
      <w:r>
        <w:rPr>
          <w:rFonts w:ascii="Arial" w:hAnsi="Arial"/>
          <w:sz w:val="22"/>
          <w:lang w:val="en-US"/>
        </w:rPr>
        <w:t>26.</w:t>
      </w:r>
      <w:r>
        <w:rPr>
          <w:rFonts w:ascii="Arial" w:hAnsi="Arial"/>
          <w:sz w:val="22"/>
          <w:lang w:val="en-US"/>
        </w:rPr>
        <w:tab/>
        <w:t>Secretaria Tecnica del Frente Social, Gobierno del Ecuador, Fondo de Naciones Unidas Para la Mujer, Retrato de Mujeres, Trabajo y Economía,</w:t>
      </w:r>
      <w:r>
        <w:rPr>
          <w:rFonts w:ascii="Arial" w:hAnsi="Arial"/>
          <w:noProof/>
          <w:sz w:val="22"/>
        </w:rPr>
        <w:t xml:space="preserve"> 1998</w:t>
      </w:r>
    </w:p>
    <w:p w:rsidR="00000000" w:rsidRDefault="00000000">
      <w:pPr>
        <w:autoSpaceDE w:val="0"/>
        <w:autoSpaceDN w:val="0"/>
        <w:adjustRightInd w:val="0"/>
        <w:spacing w:line="260" w:lineRule="exact"/>
        <w:ind w:left="397" w:hanging="397"/>
        <w:jc w:val="both"/>
        <w:rPr>
          <w:rFonts w:ascii="Arial" w:hAnsi="Arial"/>
          <w:sz w:val="22"/>
          <w:lang w:val="en-US"/>
        </w:rPr>
      </w:pPr>
      <w:r>
        <w:rPr>
          <w:rFonts w:ascii="Arial" w:hAnsi="Arial"/>
          <w:sz w:val="22"/>
          <w:lang w:val="en-US"/>
        </w:rPr>
        <w:t>27.</w:t>
      </w:r>
      <w:r>
        <w:rPr>
          <w:rFonts w:ascii="Arial" w:hAnsi="Arial"/>
          <w:sz w:val="22"/>
          <w:lang w:val="en-US"/>
        </w:rPr>
        <w:tab/>
        <w:t>SIISE, Sistema Integrado de Indicadores Sociales, Versión</w:t>
      </w:r>
      <w:r>
        <w:rPr>
          <w:rFonts w:ascii="Arial" w:hAnsi="Arial"/>
          <w:noProof/>
          <w:sz w:val="22"/>
        </w:rPr>
        <w:t xml:space="preserve"> 0.1.</w:t>
      </w:r>
      <w:r>
        <w:rPr>
          <w:rFonts w:ascii="Arial" w:hAnsi="Arial"/>
          <w:sz w:val="22"/>
          <w:lang w:val="en-US"/>
        </w:rPr>
        <w:t xml:space="preserve">   </w:t>
      </w:r>
    </w:p>
    <w:p w:rsidR="00000000" w:rsidRDefault="00000000">
      <w:pPr>
        <w:autoSpaceDE w:val="0"/>
        <w:autoSpaceDN w:val="0"/>
        <w:adjustRightInd w:val="0"/>
        <w:spacing w:line="260" w:lineRule="exact"/>
        <w:ind w:left="397" w:hanging="397"/>
        <w:jc w:val="both"/>
        <w:rPr>
          <w:rFonts w:ascii="Arial" w:hAnsi="Arial"/>
          <w:sz w:val="22"/>
          <w:lang w:val="en-US"/>
        </w:rPr>
      </w:pPr>
      <w:r>
        <w:rPr>
          <w:rFonts w:ascii="Arial" w:hAnsi="Arial"/>
          <w:sz w:val="22"/>
          <w:lang w:val="en-US"/>
        </w:rPr>
        <w:t>28.</w:t>
      </w:r>
      <w:r>
        <w:rPr>
          <w:rFonts w:ascii="Arial" w:hAnsi="Arial"/>
          <w:sz w:val="22"/>
          <w:lang w:val="en-US"/>
        </w:rPr>
        <w:tab/>
        <w:t>SINEC, Boletín Estadístico, Año Lectivo</w:t>
      </w:r>
      <w:r>
        <w:rPr>
          <w:rFonts w:ascii="Arial" w:hAnsi="Arial"/>
          <w:noProof/>
          <w:sz w:val="22"/>
        </w:rPr>
        <w:t xml:space="preserve"> 1996-1997,</w:t>
      </w:r>
      <w:r>
        <w:rPr>
          <w:rFonts w:ascii="Arial" w:hAnsi="Arial"/>
          <w:sz w:val="22"/>
          <w:lang w:val="en-US"/>
        </w:rPr>
        <w:t xml:space="preserve"> No.</w:t>
      </w:r>
      <w:r>
        <w:rPr>
          <w:rFonts w:ascii="Arial" w:hAnsi="Arial"/>
          <w:noProof/>
          <w:sz w:val="22"/>
        </w:rPr>
        <w:t xml:space="preserve"> 8</w:t>
      </w:r>
      <w:r>
        <w:rPr>
          <w:rFonts w:ascii="Arial" w:hAnsi="Arial"/>
          <w:sz w:val="22"/>
          <w:lang w:val="en-US"/>
        </w:rPr>
        <w:t xml:space="preserve"> MEC. </w:t>
      </w:r>
    </w:p>
    <w:p w:rsidR="00000000" w:rsidRDefault="00000000">
      <w:pPr>
        <w:autoSpaceDE w:val="0"/>
        <w:autoSpaceDN w:val="0"/>
        <w:adjustRightInd w:val="0"/>
        <w:spacing w:line="260" w:lineRule="exact"/>
        <w:ind w:left="397" w:hanging="397"/>
        <w:jc w:val="both"/>
        <w:rPr>
          <w:rFonts w:ascii="Arial" w:hAnsi="Arial"/>
          <w:sz w:val="22"/>
          <w:lang w:val="en-US"/>
        </w:rPr>
      </w:pPr>
      <w:r>
        <w:rPr>
          <w:rFonts w:ascii="Arial" w:hAnsi="Arial"/>
          <w:sz w:val="22"/>
          <w:lang w:val="en-US"/>
        </w:rPr>
        <w:t>29.</w:t>
      </w:r>
      <w:r>
        <w:rPr>
          <w:rFonts w:ascii="Arial" w:hAnsi="Arial"/>
          <w:sz w:val="22"/>
          <w:lang w:val="en-US"/>
        </w:rPr>
        <w:tab/>
        <w:t>UNICEF</w:t>
      </w:r>
      <w:r>
        <w:rPr>
          <w:rFonts w:ascii="Arial" w:hAnsi="Arial"/>
          <w:noProof/>
          <w:sz w:val="22"/>
        </w:rPr>
        <w:t xml:space="preserve"> 1999-2003. </w:t>
      </w:r>
      <w:r>
        <w:rPr>
          <w:rFonts w:ascii="Arial" w:hAnsi="Arial"/>
          <w:sz w:val="22"/>
          <w:lang w:val="en-US"/>
        </w:rPr>
        <w:t>Situación de la Niñez, Adolescencia y Mujer en el Ecuador</w:t>
      </w:r>
    </w:p>
    <w:p w:rsidR="00000000" w:rsidRDefault="00000000">
      <w:pPr>
        <w:autoSpaceDE w:val="0"/>
        <w:autoSpaceDN w:val="0"/>
        <w:adjustRightInd w:val="0"/>
        <w:spacing w:line="260" w:lineRule="exact"/>
        <w:ind w:left="397" w:hanging="397"/>
        <w:jc w:val="both"/>
        <w:rPr>
          <w:rFonts w:ascii="Arial" w:hAnsi="Arial"/>
          <w:noProof/>
          <w:sz w:val="22"/>
        </w:rPr>
      </w:pPr>
      <w:r>
        <w:rPr>
          <w:rFonts w:ascii="Arial" w:hAnsi="Arial"/>
          <w:sz w:val="22"/>
          <w:lang w:val="en-US"/>
        </w:rPr>
        <w:t>30.</w:t>
      </w:r>
      <w:r>
        <w:rPr>
          <w:rFonts w:ascii="Arial" w:hAnsi="Arial"/>
          <w:sz w:val="22"/>
          <w:lang w:val="en-US"/>
        </w:rPr>
        <w:tab/>
        <w:t>UNICEF, García Mauricio, El trabajo y la educación de los niños en el Ecuador,</w:t>
      </w:r>
      <w:r>
        <w:rPr>
          <w:rFonts w:ascii="Arial" w:hAnsi="Arial"/>
          <w:noProof/>
          <w:sz w:val="22"/>
        </w:rPr>
        <w:t xml:space="preserve"> 1996</w:t>
      </w:r>
    </w:p>
    <w:p w:rsidR="00000000" w:rsidRDefault="00000000">
      <w:pPr>
        <w:autoSpaceDE w:val="0"/>
        <w:autoSpaceDN w:val="0"/>
        <w:adjustRightInd w:val="0"/>
        <w:spacing w:line="260" w:lineRule="exact"/>
        <w:ind w:left="397" w:hanging="397"/>
        <w:jc w:val="both"/>
        <w:rPr>
          <w:rFonts w:ascii="Arial" w:hAnsi="Arial"/>
          <w:noProof/>
          <w:sz w:val="22"/>
        </w:rPr>
      </w:pPr>
      <w:r>
        <w:rPr>
          <w:rFonts w:ascii="Arial" w:hAnsi="Arial"/>
          <w:sz w:val="22"/>
          <w:lang w:val="en-US"/>
        </w:rPr>
        <w:t>31.</w:t>
      </w:r>
      <w:r>
        <w:rPr>
          <w:rFonts w:ascii="Arial" w:hAnsi="Arial"/>
          <w:sz w:val="22"/>
          <w:lang w:val="en-US"/>
        </w:rPr>
        <w:tab/>
        <w:t>Verdesoto, Luis, Temas para una sociedad en crisis, Fundación EsqueI-Foro de la Ciudadanía</w:t>
      </w:r>
      <w:r>
        <w:rPr>
          <w:rFonts w:ascii="Arial" w:hAnsi="Arial"/>
          <w:noProof/>
          <w:sz w:val="22"/>
        </w:rPr>
        <w:t xml:space="preserve"> 1996</w:t>
      </w:r>
    </w:p>
    <w:p w:rsidR="00000000" w:rsidRDefault="00000000">
      <w:pPr>
        <w:spacing w:after="240" w:line="260" w:lineRule="exact"/>
        <w:jc w:val="both"/>
        <w:rPr>
          <w:rFonts w:ascii="Arial" w:hAnsi="Arial"/>
          <w:sz w:val="22"/>
          <w:lang w:val="en-US"/>
        </w:rPr>
      </w:pPr>
    </w:p>
    <w:p w:rsidR="00000000" w:rsidRDefault="00000000">
      <w:pPr>
        <w:pStyle w:val="Heading6"/>
        <w:spacing w:after="240" w:line="260" w:lineRule="exact"/>
        <w:ind w:left="0"/>
        <w:jc w:val="both"/>
        <w:rPr>
          <w:rFonts w:ascii="Arial" w:hAnsi="Arial"/>
          <w:sz w:val="22"/>
        </w:rPr>
      </w:pPr>
      <w:r>
        <w:rPr>
          <w:rFonts w:ascii="Arial" w:hAnsi="Arial"/>
          <w:sz w:val="22"/>
        </w:rPr>
        <w:t>СОКРАЩЕНИЯ</w:t>
      </w:r>
    </w:p>
    <w:tbl>
      <w:tblPr>
        <w:tblW w:w="0" w:type="auto"/>
        <w:tblInd w:w="-106" w:type="dxa"/>
        <w:tblLayout w:type="fixed"/>
        <w:tblLook w:val="0000" w:firstRow="0" w:lastRow="0" w:firstColumn="0" w:lastColumn="0" w:noHBand="0" w:noVBand="0"/>
      </w:tblPr>
      <w:tblGrid>
        <w:gridCol w:w="1723"/>
        <w:gridCol w:w="7333"/>
      </w:tblGrid>
      <w:tr w:rsidR="00000000">
        <w:tblPrEx>
          <w:tblCellMar>
            <w:top w:w="0" w:type="dxa"/>
            <w:bottom w:w="0" w:type="dxa"/>
          </w:tblCellMar>
        </w:tblPrEx>
        <w:tc>
          <w:tcPr>
            <w:tcW w:w="1723" w:type="dxa"/>
          </w:tcPr>
          <w:p w:rsidR="00000000" w:rsidRDefault="00000000">
            <w:pPr>
              <w:spacing w:line="260" w:lineRule="exact"/>
              <w:jc w:val="both"/>
              <w:rPr>
                <w:rFonts w:ascii="Arial" w:hAnsi="Arial"/>
                <w:sz w:val="22"/>
              </w:rPr>
            </w:pPr>
            <w:r>
              <w:rPr>
                <w:rFonts w:ascii="Arial" w:hAnsi="Arial"/>
                <w:sz w:val="22"/>
              </w:rPr>
              <w:t>АПРЕНДО</w:t>
            </w:r>
          </w:p>
        </w:tc>
        <w:tc>
          <w:tcPr>
            <w:tcW w:w="7333" w:type="dxa"/>
          </w:tcPr>
          <w:p w:rsidR="00000000" w:rsidRDefault="00000000">
            <w:pPr>
              <w:spacing w:line="260" w:lineRule="exact"/>
              <w:rPr>
                <w:rFonts w:ascii="Arial" w:hAnsi="Arial"/>
                <w:sz w:val="22"/>
              </w:rPr>
            </w:pPr>
            <w:r>
              <w:rPr>
                <w:rFonts w:ascii="Arial" w:hAnsi="Arial"/>
                <w:sz w:val="22"/>
              </w:rPr>
              <w:t>проверка школьной успеваемости</w:t>
            </w:r>
          </w:p>
        </w:tc>
      </w:tr>
      <w:tr w:rsidR="00000000">
        <w:tblPrEx>
          <w:tblCellMar>
            <w:top w:w="0" w:type="dxa"/>
            <w:bottom w:w="0" w:type="dxa"/>
          </w:tblCellMar>
        </w:tblPrEx>
        <w:tc>
          <w:tcPr>
            <w:tcW w:w="1723" w:type="dxa"/>
          </w:tcPr>
          <w:p w:rsidR="00000000" w:rsidRDefault="00000000">
            <w:pPr>
              <w:spacing w:line="260" w:lineRule="exact"/>
              <w:jc w:val="both"/>
              <w:rPr>
                <w:rFonts w:ascii="Arial" w:hAnsi="Arial"/>
                <w:sz w:val="22"/>
              </w:rPr>
            </w:pPr>
            <w:r>
              <w:rPr>
                <w:rFonts w:ascii="Arial" w:hAnsi="Arial"/>
                <w:sz w:val="22"/>
              </w:rPr>
              <w:t>ВВП</w:t>
            </w:r>
          </w:p>
        </w:tc>
        <w:tc>
          <w:tcPr>
            <w:tcW w:w="7333" w:type="dxa"/>
          </w:tcPr>
          <w:p w:rsidR="00000000" w:rsidRDefault="00000000">
            <w:pPr>
              <w:spacing w:line="260" w:lineRule="exact"/>
              <w:rPr>
                <w:rFonts w:ascii="Arial" w:hAnsi="Arial"/>
                <w:sz w:val="22"/>
              </w:rPr>
            </w:pPr>
            <w:r>
              <w:rPr>
                <w:rFonts w:ascii="Arial" w:hAnsi="Arial"/>
                <w:sz w:val="22"/>
              </w:rPr>
              <w:t>валовой внутренний продукт</w:t>
            </w:r>
          </w:p>
        </w:tc>
      </w:tr>
      <w:tr w:rsidR="00000000">
        <w:tblPrEx>
          <w:tblCellMar>
            <w:top w:w="0" w:type="dxa"/>
            <w:bottom w:w="0" w:type="dxa"/>
          </w:tblCellMar>
        </w:tblPrEx>
        <w:tc>
          <w:tcPr>
            <w:tcW w:w="1723" w:type="dxa"/>
          </w:tcPr>
          <w:p w:rsidR="00000000" w:rsidRDefault="00000000">
            <w:pPr>
              <w:spacing w:line="260" w:lineRule="exact"/>
              <w:jc w:val="both"/>
              <w:rPr>
                <w:rFonts w:ascii="Arial" w:hAnsi="Arial"/>
                <w:sz w:val="22"/>
              </w:rPr>
            </w:pPr>
            <w:r>
              <w:rPr>
                <w:rFonts w:ascii="Arial" w:hAnsi="Arial"/>
                <w:sz w:val="22"/>
              </w:rPr>
              <w:t>ДИНАМУ</w:t>
            </w:r>
          </w:p>
        </w:tc>
        <w:tc>
          <w:tcPr>
            <w:tcW w:w="7333" w:type="dxa"/>
          </w:tcPr>
          <w:p w:rsidR="00000000" w:rsidRDefault="00000000">
            <w:pPr>
              <w:spacing w:line="260" w:lineRule="exact"/>
              <w:rPr>
                <w:rFonts w:ascii="Arial" w:hAnsi="Arial"/>
                <w:sz w:val="22"/>
              </w:rPr>
            </w:pPr>
            <w:r>
              <w:rPr>
                <w:rFonts w:ascii="Arial" w:hAnsi="Arial"/>
                <w:sz w:val="22"/>
              </w:rPr>
              <w:t>Национальное управление по делам женщин</w:t>
            </w:r>
          </w:p>
        </w:tc>
      </w:tr>
      <w:tr w:rsidR="00000000">
        <w:tblPrEx>
          <w:tblCellMar>
            <w:top w:w="0" w:type="dxa"/>
            <w:bottom w:w="0" w:type="dxa"/>
          </w:tblCellMar>
        </w:tblPrEx>
        <w:tc>
          <w:tcPr>
            <w:tcW w:w="1723" w:type="dxa"/>
          </w:tcPr>
          <w:p w:rsidR="00000000" w:rsidRDefault="00000000">
            <w:pPr>
              <w:spacing w:line="260" w:lineRule="exact"/>
              <w:jc w:val="both"/>
              <w:rPr>
                <w:rFonts w:ascii="Arial" w:hAnsi="Arial"/>
                <w:sz w:val="22"/>
              </w:rPr>
            </w:pPr>
            <w:r>
              <w:rPr>
                <w:rFonts w:ascii="Arial" w:hAnsi="Arial"/>
                <w:sz w:val="22"/>
              </w:rPr>
              <w:t>ИИКА</w:t>
            </w:r>
          </w:p>
        </w:tc>
        <w:tc>
          <w:tcPr>
            <w:tcW w:w="7333" w:type="dxa"/>
          </w:tcPr>
          <w:p w:rsidR="00000000" w:rsidRDefault="00000000">
            <w:pPr>
              <w:spacing w:line="260" w:lineRule="exact"/>
              <w:rPr>
                <w:rFonts w:ascii="Arial" w:hAnsi="Arial"/>
                <w:sz w:val="22"/>
              </w:rPr>
            </w:pPr>
            <w:r>
              <w:rPr>
                <w:rFonts w:ascii="Arial" w:hAnsi="Arial"/>
                <w:sz w:val="22"/>
              </w:rPr>
              <w:t>Межамериканский институт по вопросам сотрудничества в области сельского хозяйства</w:t>
            </w:r>
          </w:p>
        </w:tc>
      </w:tr>
      <w:tr w:rsidR="00000000">
        <w:tblPrEx>
          <w:tblCellMar>
            <w:top w:w="0" w:type="dxa"/>
            <w:bottom w:w="0" w:type="dxa"/>
          </w:tblCellMar>
        </w:tblPrEx>
        <w:tc>
          <w:tcPr>
            <w:tcW w:w="1723" w:type="dxa"/>
          </w:tcPr>
          <w:p w:rsidR="00000000" w:rsidRDefault="00000000">
            <w:pPr>
              <w:spacing w:line="260" w:lineRule="exact"/>
              <w:jc w:val="both"/>
              <w:rPr>
                <w:rFonts w:ascii="Arial" w:hAnsi="Arial"/>
                <w:sz w:val="22"/>
              </w:rPr>
            </w:pPr>
            <w:r>
              <w:rPr>
                <w:rFonts w:ascii="Arial" w:hAnsi="Arial"/>
                <w:sz w:val="22"/>
              </w:rPr>
              <w:t>ИЛДИС</w:t>
            </w:r>
          </w:p>
        </w:tc>
        <w:tc>
          <w:tcPr>
            <w:tcW w:w="7333" w:type="dxa"/>
          </w:tcPr>
          <w:p w:rsidR="00000000" w:rsidRDefault="00000000">
            <w:pPr>
              <w:spacing w:line="260" w:lineRule="exact"/>
              <w:rPr>
                <w:rFonts w:ascii="Arial" w:hAnsi="Arial"/>
                <w:sz w:val="22"/>
              </w:rPr>
            </w:pPr>
            <w:r>
              <w:rPr>
                <w:rFonts w:ascii="Arial" w:hAnsi="Arial"/>
                <w:sz w:val="22"/>
              </w:rPr>
              <w:t>Латиноамериканский институт социальных исследований</w:t>
            </w:r>
          </w:p>
        </w:tc>
      </w:tr>
      <w:tr w:rsidR="00000000">
        <w:tblPrEx>
          <w:tblCellMar>
            <w:top w:w="0" w:type="dxa"/>
            <w:bottom w:w="0" w:type="dxa"/>
          </w:tblCellMar>
        </w:tblPrEx>
        <w:tc>
          <w:tcPr>
            <w:tcW w:w="1723" w:type="dxa"/>
          </w:tcPr>
          <w:p w:rsidR="00000000" w:rsidRDefault="00000000">
            <w:pPr>
              <w:spacing w:line="260" w:lineRule="exact"/>
              <w:jc w:val="both"/>
              <w:rPr>
                <w:rFonts w:ascii="Arial" w:hAnsi="Arial"/>
                <w:sz w:val="22"/>
              </w:rPr>
            </w:pPr>
            <w:r>
              <w:rPr>
                <w:rFonts w:ascii="Arial" w:hAnsi="Arial"/>
                <w:sz w:val="22"/>
              </w:rPr>
              <w:t>ИНДА</w:t>
            </w:r>
          </w:p>
        </w:tc>
        <w:tc>
          <w:tcPr>
            <w:tcW w:w="7333" w:type="dxa"/>
          </w:tcPr>
          <w:p w:rsidR="00000000" w:rsidRDefault="00000000">
            <w:pPr>
              <w:spacing w:line="260" w:lineRule="exact"/>
              <w:rPr>
                <w:rFonts w:ascii="Arial" w:hAnsi="Arial"/>
                <w:sz w:val="22"/>
              </w:rPr>
            </w:pPr>
            <w:r>
              <w:rPr>
                <w:rFonts w:ascii="Arial" w:hAnsi="Arial"/>
                <w:sz w:val="22"/>
              </w:rPr>
              <w:t>Национальный институт сельскохозяйственного развития</w:t>
            </w:r>
          </w:p>
        </w:tc>
      </w:tr>
      <w:tr w:rsidR="00000000">
        <w:tblPrEx>
          <w:tblCellMar>
            <w:top w:w="0" w:type="dxa"/>
            <w:bottom w:w="0" w:type="dxa"/>
          </w:tblCellMar>
        </w:tblPrEx>
        <w:tc>
          <w:tcPr>
            <w:tcW w:w="1723" w:type="dxa"/>
          </w:tcPr>
          <w:p w:rsidR="00000000" w:rsidRDefault="00000000">
            <w:pPr>
              <w:spacing w:line="260" w:lineRule="exact"/>
              <w:jc w:val="both"/>
              <w:rPr>
                <w:rFonts w:ascii="Arial" w:hAnsi="Arial"/>
                <w:sz w:val="22"/>
              </w:rPr>
            </w:pPr>
            <w:r>
              <w:rPr>
                <w:rFonts w:ascii="Arial" w:hAnsi="Arial"/>
                <w:sz w:val="22"/>
              </w:rPr>
              <w:t>ИНЕК</w:t>
            </w:r>
          </w:p>
        </w:tc>
        <w:tc>
          <w:tcPr>
            <w:tcW w:w="7333" w:type="dxa"/>
          </w:tcPr>
          <w:p w:rsidR="00000000" w:rsidRDefault="00000000">
            <w:pPr>
              <w:spacing w:line="260" w:lineRule="exact"/>
              <w:rPr>
                <w:rFonts w:ascii="Arial" w:hAnsi="Arial"/>
                <w:sz w:val="22"/>
              </w:rPr>
            </w:pPr>
            <w:r>
              <w:rPr>
                <w:rFonts w:ascii="Arial" w:hAnsi="Arial"/>
                <w:sz w:val="22"/>
              </w:rPr>
              <w:t>Национальный институт статистики и переписи населения</w:t>
            </w:r>
          </w:p>
        </w:tc>
      </w:tr>
      <w:tr w:rsidR="00000000">
        <w:tblPrEx>
          <w:tblCellMar>
            <w:top w:w="0" w:type="dxa"/>
            <w:bottom w:w="0" w:type="dxa"/>
          </w:tblCellMar>
        </w:tblPrEx>
        <w:tc>
          <w:tcPr>
            <w:tcW w:w="1723" w:type="dxa"/>
          </w:tcPr>
          <w:p w:rsidR="00000000" w:rsidRDefault="00000000">
            <w:pPr>
              <w:spacing w:line="260" w:lineRule="exact"/>
              <w:jc w:val="both"/>
              <w:rPr>
                <w:rFonts w:ascii="Arial" w:hAnsi="Arial"/>
                <w:sz w:val="22"/>
              </w:rPr>
            </w:pPr>
            <w:r>
              <w:rPr>
                <w:rFonts w:ascii="Arial" w:hAnsi="Arial"/>
                <w:sz w:val="22"/>
              </w:rPr>
              <w:t>ИНЕМ</w:t>
            </w:r>
          </w:p>
        </w:tc>
        <w:tc>
          <w:tcPr>
            <w:tcW w:w="7333" w:type="dxa"/>
          </w:tcPr>
          <w:p w:rsidR="00000000" w:rsidRDefault="00000000">
            <w:pPr>
              <w:spacing w:line="260" w:lineRule="exact"/>
              <w:rPr>
                <w:rFonts w:ascii="Arial" w:hAnsi="Arial"/>
                <w:sz w:val="22"/>
              </w:rPr>
            </w:pPr>
            <w:r>
              <w:rPr>
                <w:rFonts w:ascii="Arial" w:hAnsi="Arial"/>
                <w:sz w:val="22"/>
              </w:rPr>
              <w:t>Национальный институт по проблемам занятости</w:t>
            </w:r>
          </w:p>
        </w:tc>
      </w:tr>
      <w:tr w:rsidR="00000000">
        <w:tblPrEx>
          <w:tblCellMar>
            <w:top w:w="0" w:type="dxa"/>
            <w:bottom w:w="0" w:type="dxa"/>
          </w:tblCellMar>
        </w:tblPrEx>
        <w:tc>
          <w:tcPr>
            <w:tcW w:w="1723" w:type="dxa"/>
          </w:tcPr>
          <w:p w:rsidR="00000000" w:rsidRDefault="00000000">
            <w:pPr>
              <w:spacing w:line="260" w:lineRule="exact"/>
              <w:jc w:val="both"/>
              <w:rPr>
                <w:rFonts w:ascii="Arial" w:hAnsi="Arial"/>
                <w:sz w:val="22"/>
              </w:rPr>
            </w:pPr>
            <w:r>
              <w:rPr>
                <w:rFonts w:ascii="Arial" w:hAnsi="Arial"/>
                <w:sz w:val="22"/>
              </w:rPr>
              <w:t>ИННФА</w:t>
            </w:r>
          </w:p>
        </w:tc>
        <w:tc>
          <w:tcPr>
            <w:tcW w:w="7333" w:type="dxa"/>
          </w:tcPr>
          <w:p w:rsidR="00000000" w:rsidRDefault="00000000">
            <w:pPr>
              <w:spacing w:line="260" w:lineRule="exact"/>
              <w:rPr>
                <w:rFonts w:ascii="Arial" w:hAnsi="Arial"/>
                <w:sz w:val="22"/>
              </w:rPr>
            </w:pPr>
            <w:r>
              <w:rPr>
                <w:rFonts w:ascii="Arial" w:hAnsi="Arial"/>
                <w:sz w:val="22"/>
              </w:rPr>
              <w:t>Национальный институт по проблемам детства и семьи</w:t>
            </w:r>
          </w:p>
        </w:tc>
      </w:tr>
      <w:tr w:rsidR="00000000">
        <w:tblPrEx>
          <w:tblCellMar>
            <w:top w:w="0" w:type="dxa"/>
            <w:bottom w:w="0" w:type="dxa"/>
          </w:tblCellMar>
        </w:tblPrEx>
        <w:tc>
          <w:tcPr>
            <w:tcW w:w="1723" w:type="dxa"/>
          </w:tcPr>
          <w:p w:rsidR="00000000" w:rsidRDefault="00000000">
            <w:pPr>
              <w:spacing w:line="260" w:lineRule="exact"/>
              <w:jc w:val="both"/>
              <w:rPr>
                <w:rFonts w:ascii="Arial" w:hAnsi="Arial"/>
                <w:sz w:val="22"/>
              </w:rPr>
            </w:pPr>
            <w:r>
              <w:rPr>
                <w:rFonts w:ascii="Arial" w:hAnsi="Arial"/>
                <w:sz w:val="22"/>
              </w:rPr>
              <w:t>ИПЕДС</w:t>
            </w:r>
          </w:p>
        </w:tc>
        <w:tc>
          <w:tcPr>
            <w:tcW w:w="7333" w:type="dxa"/>
          </w:tcPr>
          <w:p w:rsidR="00000000" w:rsidRDefault="00000000">
            <w:pPr>
              <w:spacing w:line="260" w:lineRule="exact"/>
              <w:rPr>
                <w:rFonts w:ascii="Arial" w:hAnsi="Arial"/>
                <w:sz w:val="22"/>
              </w:rPr>
            </w:pPr>
            <w:r>
              <w:rPr>
                <w:rFonts w:ascii="Arial" w:hAnsi="Arial"/>
                <w:sz w:val="22"/>
              </w:rPr>
              <w:t>высшие педагогические институты</w:t>
            </w:r>
          </w:p>
        </w:tc>
      </w:tr>
      <w:tr w:rsidR="00000000">
        <w:tblPrEx>
          <w:tblCellMar>
            <w:top w:w="0" w:type="dxa"/>
            <w:bottom w:w="0" w:type="dxa"/>
          </w:tblCellMar>
        </w:tblPrEx>
        <w:tc>
          <w:tcPr>
            <w:tcW w:w="1723" w:type="dxa"/>
          </w:tcPr>
          <w:p w:rsidR="00000000" w:rsidRDefault="00000000">
            <w:pPr>
              <w:spacing w:line="260" w:lineRule="exact"/>
              <w:jc w:val="both"/>
              <w:rPr>
                <w:rFonts w:ascii="Arial" w:hAnsi="Arial"/>
                <w:sz w:val="22"/>
              </w:rPr>
            </w:pPr>
            <w:r>
              <w:rPr>
                <w:rFonts w:ascii="Arial" w:hAnsi="Arial"/>
                <w:sz w:val="22"/>
              </w:rPr>
              <w:t>ИССПОЛ</w:t>
            </w:r>
          </w:p>
        </w:tc>
        <w:tc>
          <w:tcPr>
            <w:tcW w:w="7333" w:type="dxa"/>
          </w:tcPr>
          <w:p w:rsidR="00000000" w:rsidRDefault="00000000">
            <w:pPr>
              <w:spacing w:line="260" w:lineRule="exact"/>
              <w:rPr>
                <w:rFonts w:ascii="Arial" w:hAnsi="Arial"/>
                <w:sz w:val="22"/>
              </w:rPr>
            </w:pPr>
            <w:r>
              <w:rPr>
                <w:rFonts w:ascii="Arial" w:hAnsi="Arial"/>
                <w:sz w:val="22"/>
              </w:rPr>
              <w:t>Институт социального обеспечения полиции</w:t>
            </w:r>
          </w:p>
        </w:tc>
      </w:tr>
      <w:tr w:rsidR="00000000">
        <w:tblPrEx>
          <w:tblCellMar>
            <w:top w:w="0" w:type="dxa"/>
            <w:bottom w:w="0" w:type="dxa"/>
          </w:tblCellMar>
        </w:tblPrEx>
        <w:tc>
          <w:tcPr>
            <w:tcW w:w="1723" w:type="dxa"/>
          </w:tcPr>
          <w:p w:rsidR="00000000" w:rsidRDefault="00000000">
            <w:pPr>
              <w:spacing w:line="260" w:lineRule="exact"/>
              <w:jc w:val="both"/>
              <w:rPr>
                <w:rFonts w:ascii="Arial" w:hAnsi="Arial"/>
                <w:sz w:val="22"/>
              </w:rPr>
            </w:pPr>
            <w:r>
              <w:rPr>
                <w:rFonts w:ascii="Arial" w:hAnsi="Arial"/>
                <w:sz w:val="22"/>
              </w:rPr>
              <w:t>ИССФА</w:t>
            </w:r>
          </w:p>
        </w:tc>
        <w:tc>
          <w:tcPr>
            <w:tcW w:w="7333" w:type="dxa"/>
          </w:tcPr>
          <w:p w:rsidR="00000000" w:rsidRDefault="00000000">
            <w:pPr>
              <w:spacing w:line="260" w:lineRule="exact"/>
              <w:rPr>
                <w:rFonts w:ascii="Arial" w:hAnsi="Arial"/>
                <w:sz w:val="22"/>
              </w:rPr>
            </w:pPr>
            <w:r>
              <w:rPr>
                <w:rFonts w:ascii="Arial" w:hAnsi="Arial"/>
                <w:sz w:val="22"/>
              </w:rPr>
              <w:t>Институт социального обеспечения Вооруженных сил</w:t>
            </w:r>
          </w:p>
        </w:tc>
      </w:tr>
      <w:tr w:rsidR="00000000">
        <w:tblPrEx>
          <w:tblCellMar>
            <w:top w:w="0" w:type="dxa"/>
            <w:bottom w:w="0" w:type="dxa"/>
          </w:tblCellMar>
        </w:tblPrEx>
        <w:tc>
          <w:tcPr>
            <w:tcW w:w="1723" w:type="dxa"/>
          </w:tcPr>
          <w:p w:rsidR="00000000" w:rsidRDefault="00000000">
            <w:pPr>
              <w:spacing w:line="260" w:lineRule="exact"/>
              <w:jc w:val="both"/>
              <w:rPr>
                <w:rFonts w:ascii="Arial" w:hAnsi="Arial"/>
                <w:sz w:val="22"/>
              </w:rPr>
            </w:pPr>
            <w:r>
              <w:rPr>
                <w:rFonts w:ascii="Arial" w:hAnsi="Arial"/>
                <w:sz w:val="22"/>
              </w:rPr>
              <w:t>ИЭСС</w:t>
            </w:r>
          </w:p>
        </w:tc>
        <w:tc>
          <w:tcPr>
            <w:tcW w:w="7333" w:type="dxa"/>
          </w:tcPr>
          <w:p w:rsidR="00000000" w:rsidRDefault="00000000">
            <w:pPr>
              <w:spacing w:line="260" w:lineRule="exact"/>
              <w:rPr>
                <w:rFonts w:ascii="Arial" w:hAnsi="Arial"/>
                <w:sz w:val="22"/>
              </w:rPr>
            </w:pPr>
            <w:r>
              <w:rPr>
                <w:rFonts w:ascii="Arial" w:hAnsi="Arial"/>
                <w:sz w:val="22"/>
              </w:rPr>
              <w:t>Эквадорский институт социального страхования</w:t>
            </w:r>
          </w:p>
        </w:tc>
      </w:tr>
      <w:tr w:rsidR="00000000">
        <w:tblPrEx>
          <w:tblCellMar>
            <w:top w:w="0" w:type="dxa"/>
            <w:bottom w:w="0" w:type="dxa"/>
          </w:tblCellMar>
        </w:tblPrEx>
        <w:tc>
          <w:tcPr>
            <w:tcW w:w="1723" w:type="dxa"/>
          </w:tcPr>
          <w:p w:rsidR="00000000" w:rsidRDefault="00000000">
            <w:pPr>
              <w:spacing w:line="260" w:lineRule="exact"/>
              <w:jc w:val="both"/>
              <w:rPr>
                <w:rFonts w:ascii="Arial" w:hAnsi="Arial"/>
                <w:sz w:val="22"/>
              </w:rPr>
            </w:pPr>
            <w:r>
              <w:rPr>
                <w:rFonts w:ascii="Arial" w:hAnsi="Arial"/>
                <w:sz w:val="22"/>
              </w:rPr>
              <w:t>КЕОСЛ</w:t>
            </w:r>
          </w:p>
        </w:tc>
        <w:tc>
          <w:tcPr>
            <w:tcW w:w="7333" w:type="dxa"/>
          </w:tcPr>
          <w:p w:rsidR="00000000" w:rsidRDefault="00000000">
            <w:pPr>
              <w:spacing w:line="260" w:lineRule="exact"/>
              <w:rPr>
                <w:rFonts w:ascii="Arial" w:hAnsi="Arial"/>
                <w:sz w:val="22"/>
              </w:rPr>
            </w:pPr>
            <w:r>
              <w:rPr>
                <w:rFonts w:ascii="Arial" w:hAnsi="Arial"/>
                <w:sz w:val="22"/>
              </w:rPr>
              <w:t>Конфедерация свободных профсоюзов Эквадора</w:t>
            </w:r>
          </w:p>
        </w:tc>
      </w:tr>
      <w:tr w:rsidR="00000000">
        <w:tblPrEx>
          <w:tblCellMar>
            <w:top w:w="0" w:type="dxa"/>
            <w:bottom w:w="0" w:type="dxa"/>
          </w:tblCellMar>
        </w:tblPrEx>
        <w:tc>
          <w:tcPr>
            <w:tcW w:w="1723" w:type="dxa"/>
          </w:tcPr>
          <w:p w:rsidR="00000000" w:rsidRDefault="00000000">
            <w:pPr>
              <w:spacing w:line="260" w:lineRule="exact"/>
              <w:jc w:val="both"/>
              <w:rPr>
                <w:rFonts w:ascii="Arial" w:hAnsi="Arial"/>
                <w:sz w:val="22"/>
              </w:rPr>
            </w:pPr>
            <w:r>
              <w:rPr>
                <w:rFonts w:ascii="Arial" w:hAnsi="Arial"/>
                <w:color w:val="000000"/>
                <w:sz w:val="22"/>
              </w:rPr>
              <w:t>КОДАЭ</w:t>
            </w:r>
          </w:p>
        </w:tc>
        <w:tc>
          <w:tcPr>
            <w:tcW w:w="7333" w:type="dxa"/>
          </w:tcPr>
          <w:p w:rsidR="00000000" w:rsidRDefault="00000000">
            <w:pPr>
              <w:spacing w:line="260" w:lineRule="exact"/>
              <w:rPr>
                <w:rFonts w:ascii="Arial" w:hAnsi="Arial"/>
                <w:sz w:val="22"/>
              </w:rPr>
            </w:pPr>
            <w:r>
              <w:rPr>
                <w:rFonts w:ascii="Arial" w:hAnsi="Arial"/>
                <w:color w:val="000000"/>
                <w:sz w:val="22"/>
              </w:rPr>
              <w:t xml:space="preserve">Совет по развитию афроэквадорцев </w:t>
            </w:r>
          </w:p>
        </w:tc>
      </w:tr>
      <w:tr w:rsidR="00000000">
        <w:tblPrEx>
          <w:tblCellMar>
            <w:top w:w="0" w:type="dxa"/>
            <w:bottom w:w="0" w:type="dxa"/>
          </w:tblCellMar>
        </w:tblPrEx>
        <w:tc>
          <w:tcPr>
            <w:tcW w:w="1723" w:type="dxa"/>
          </w:tcPr>
          <w:p w:rsidR="00000000" w:rsidRDefault="00000000">
            <w:pPr>
              <w:spacing w:line="260" w:lineRule="exact"/>
              <w:jc w:val="both"/>
              <w:rPr>
                <w:rFonts w:ascii="Arial" w:hAnsi="Arial"/>
                <w:sz w:val="22"/>
              </w:rPr>
            </w:pPr>
            <w:r>
              <w:rPr>
                <w:rFonts w:ascii="Arial" w:hAnsi="Arial"/>
                <w:sz w:val="22"/>
              </w:rPr>
              <w:t>КОДЕНПЭ</w:t>
            </w:r>
          </w:p>
        </w:tc>
        <w:tc>
          <w:tcPr>
            <w:tcW w:w="7333" w:type="dxa"/>
          </w:tcPr>
          <w:p w:rsidR="00000000" w:rsidRDefault="00000000">
            <w:pPr>
              <w:spacing w:line="260" w:lineRule="exact"/>
              <w:rPr>
                <w:rFonts w:ascii="Arial" w:hAnsi="Arial"/>
                <w:sz w:val="22"/>
              </w:rPr>
            </w:pPr>
            <w:r>
              <w:rPr>
                <w:rFonts w:ascii="Arial" w:hAnsi="Arial"/>
                <w:sz w:val="22"/>
              </w:rPr>
              <w:t xml:space="preserve">Совет по развитию народностей и народов Эквадора </w:t>
            </w:r>
          </w:p>
        </w:tc>
      </w:tr>
      <w:tr w:rsidR="00000000">
        <w:tblPrEx>
          <w:tblCellMar>
            <w:top w:w="0" w:type="dxa"/>
            <w:bottom w:w="0" w:type="dxa"/>
          </w:tblCellMar>
        </w:tblPrEx>
        <w:tc>
          <w:tcPr>
            <w:tcW w:w="1723" w:type="dxa"/>
          </w:tcPr>
          <w:p w:rsidR="00000000" w:rsidRDefault="00000000">
            <w:pPr>
              <w:spacing w:line="260" w:lineRule="exact"/>
              <w:jc w:val="both"/>
              <w:rPr>
                <w:rFonts w:ascii="Arial" w:hAnsi="Arial"/>
                <w:sz w:val="22"/>
              </w:rPr>
            </w:pPr>
            <w:r>
              <w:rPr>
                <w:rFonts w:ascii="Arial" w:hAnsi="Arial"/>
                <w:sz w:val="22"/>
              </w:rPr>
              <w:t>КОНАДЕ</w:t>
            </w:r>
          </w:p>
        </w:tc>
        <w:tc>
          <w:tcPr>
            <w:tcW w:w="7333" w:type="dxa"/>
          </w:tcPr>
          <w:p w:rsidR="00000000" w:rsidRDefault="00000000">
            <w:pPr>
              <w:spacing w:line="260" w:lineRule="exact"/>
              <w:rPr>
                <w:rFonts w:ascii="Arial" w:hAnsi="Arial"/>
                <w:sz w:val="22"/>
              </w:rPr>
            </w:pPr>
            <w:r>
              <w:rPr>
                <w:rFonts w:ascii="Arial" w:hAnsi="Arial"/>
                <w:sz w:val="22"/>
              </w:rPr>
              <w:t>Национальный совет по развитию</w:t>
            </w:r>
          </w:p>
        </w:tc>
      </w:tr>
      <w:tr w:rsidR="00000000">
        <w:tblPrEx>
          <w:tblCellMar>
            <w:top w:w="0" w:type="dxa"/>
            <w:bottom w:w="0" w:type="dxa"/>
          </w:tblCellMar>
        </w:tblPrEx>
        <w:tc>
          <w:tcPr>
            <w:tcW w:w="1723" w:type="dxa"/>
          </w:tcPr>
          <w:p w:rsidR="00000000" w:rsidRDefault="00000000">
            <w:pPr>
              <w:spacing w:line="260" w:lineRule="exact"/>
              <w:jc w:val="both"/>
              <w:rPr>
                <w:rFonts w:ascii="Arial" w:hAnsi="Arial"/>
                <w:sz w:val="22"/>
              </w:rPr>
            </w:pPr>
            <w:r>
              <w:rPr>
                <w:rFonts w:ascii="Arial" w:hAnsi="Arial"/>
                <w:sz w:val="22"/>
              </w:rPr>
              <w:t>КОНАДИС</w:t>
            </w:r>
          </w:p>
        </w:tc>
        <w:tc>
          <w:tcPr>
            <w:tcW w:w="7333" w:type="dxa"/>
          </w:tcPr>
          <w:p w:rsidR="00000000" w:rsidRDefault="00000000">
            <w:pPr>
              <w:spacing w:line="260" w:lineRule="exact"/>
              <w:rPr>
                <w:rFonts w:ascii="Arial" w:hAnsi="Arial"/>
                <w:sz w:val="22"/>
              </w:rPr>
            </w:pPr>
            <w:r>
              <w:rPr>
                <w:rFonts w:ascii="Arial" w:hAnsi="Arial"/>
                <w:sz w:val="22"/>
              </w:rPr>
              <w:t>Национальный совет по делам инвалидов</w:t>
            </w:r>
          </w:p>
        </w:tc>
      </w:tr>
      <w:tr w:rsidR="00000000">
        <w:tblPrEx>
          <w:tblCellMar>
            <w:top w:w="0" w:type="dxa"/>
            <w:bottom w:w="0" w:type="dxa"/>
          </w:tblCellMar>
        </w:tblPrEx>
        <w:tc>
          <w:tcPr>
            <w:tcW w:w="1723" w:type="dxa"/>
          </w:tcPr>
          <w:p w:rsidR="00000000" w:rsidRDefault="00000000">
            <w:pPr>
              <w:spacing w:line="260" w:lineRule="exact"/>
              <w:jc w:val="both"/>
              <w:rPr>
                <w:rFonts w:ascii="Arial" w:hAnsi="Arial"/>
                <w:sz w:val="22"/>
              </w:rPr>
            </w:pPr>
            <w:r>
              <w:rPr>
                <w:rFonts w:ascii="Arial" w:hAnsi="Arial"/>
                <w:sz w:val="22"/>
              </w:rPr>
              <w:t>КОНАЛМА</w:t>
            </w:r>
          </w:p>
        </w:tc>
        <w:tc>
          <w:tcPr>
            <w:tcW w:w="7333" w:type="dxa"/>
          </w:tcPr>
          <w:p w:rsidR="00000000" w:rsidRDefault="00000000">
            <w:pPr>
              <w:spacing w:line="260" w:lineRule="exact"/>
              <w:rPr>
                <w:rFonts w:ascii="Arial" w:hAnsi="Arial"/>
                <w:sz w:val="22"/>
              </w:rPr>
            </w:pPr>
            <w:r>
              <w:rPr>
                <w:rFonts w:ascii="Arial" w:hAnsi="Arial"/>
                <w:sz w:val="22"/>
              </w:rPr>
              <w:t>Национальный совет по содействию грудному вскармливанию</w:t>
            </w:r>
          </w:p>
        </w:tc>
      </w:tr>
      <w:tr w:rsidR="00000000">
        <w:tblPrEx>
          <w:tblCellMar>
            <w:top w:w="0" w:type="dxa"/>
            <w:bottom w:w="0" w:type="dxa"/>
          </w:tblCellMar>
        </w:tblPrEx>
        <w:tc>
          <w:tcPr>
            <w:tcW w:w="1723" w:type="dxa"/>
          </w:tcPr>
          <w:p w:rsidR="00000000" w:rsidRDefault="00000000">
            <w:pPr>
              <w:spacing w:line="260" w:lineRule="exact"/>
              <w:jc w:val="both"/>
              <w:rPr>
                <w:rFonts w:ascii="Arial" w:hAnsi="Arial"/>
                <w:sz w:val="22"/>
              </w:rPr>
            </w:pPr>
            <w:r>
              <w:rPr>
                <w:rFonts w:ascii="Arial" w:hAnsi="Arial"/>
                <w:sz w:val="22"/>
              </w:rPr>
              <w:t>КОНАМУ</w:t>
            </w:r>
          </w:p>
        </w:tc>
        <w:tc>
          <w:tcPr>
            <w:tcW w:w="7333" w:type="dxa"/>
          </w:tcPr>
          <w:p w:rsidR="00000000" w:rsidRDefault="00000000">
            <w:pPr>
              <w:spacing w:line="260" w:lineRule="exact"/>
              <w:rPr>
                <w:rFonts w:ascii="Arial" w:hAnsi="Arial"/>
                <w:sz w:val="22"/>
              </w:rPr>
            </w:pPr>
            <w:r>
              <w:rPr>
                <w:rFonts w:ascii="Arial" w:hAnsi="Arial"/>
                <w:sz w:val="22"/>
              </w:rPr>
              <w:t>Национальный совет по делам женщин</w:t>
            </w:r>
          </w:p>
        </w:tc>
      </w:tr>
      <w:tr w:rsidR="00000000">
        <w:tblPrEx>
          <w:tblCellMar>
            <w:top w:w="0" w:type="dxa"/>
            <w:bottom w:w="0" w:type="dxa"/>
          </w:tblCellMar>
        </w:tblPrEx>
        <w:tc>
          <w:tcPr>
            <w:tcW w:w="1723" w:type="dxa"/>
          </w:tcPr>
          <w:p w:rsidR="00000000" w:rsidRDefault="00000000">
            <w:pPr>
              <w:spacing w:line="260" w:lineRule="exact"/>
              <w:jc w:val="both"/>
              <w:rPr>
                <w:rFonts w:ascii="Arial" w:hAnsi="Arial"/>
                <w:sz w:val="22"/>
              </w:rPr>
            </w:pPr>
            <w:r>
              <w:rPr>
                <w:rFonts w:ascii="Arial" w:hAnsi="Arial"/>
                <w:caps/>
                <w:sz w:val="22"/>
              </w:rPr>
              <w:t>КОНАСИДА</w:t>
            </w:r>
          </w:p>
        </w:tc>
        <w:tc>
          <w:tcPr>
            <w:tcW w:w="7333" w:type="dxa"/>
          </w:tcPr>
          <w:p w:rsidR="00000000" w:rsidRDefault="00000000">
            <w:pPr>
              <w:spacing w:line="260" w:lineRule="exact"/>
              <w:rPr>
                <w:rFonts w:ascii="Arial" w:hAnsi="Arial"/>
                <w:sz w:val="22"/>
              </w:rPr>
            </w:pPr>
            <w:r>
              <w:rPr>
                <w:rFonts w:ascii="Arial" w:hAnsi="Arial"/>
                <w:sz w:val="22"/>
              </w:rPr>
              <w:t xml:space="preserve">Национальный совет по предупреждению, контролю и помощи при ВИЧ/СПИДе/ЗППП </w:t>
            </w:r>
          </w:p>
        </w:tc>
      </w:tr>
      <w:tr w:rsidR="00000000">
        <w:tblPrEx>
          <w:tblCellMar>
            <w:top w:w="0" w:type="dxa"/>
            <w:bottom w:w="0" w:type="dxa"/>
          </w:tblCellMar>
        </w:tblPrEx>
        <w:tc>
          <w:tcPr>
            <w:tcW w:w="1723" w:type="dxa"/>
          </w:tcPr>
          <w:p w:rsidR="00000000" w:rsidRDefault="00000000">
            <w:pPr>
              <w:spacing w:line="260" w:lineRule="exact"/>
              <w:jc w:val="both"/>
              <w:rPr>
                <w:rFonts w:ascii="Arial" w:hAnsi="Arial"/>
                <w:caps/>
                <w:sz w:val="22"/>
              </w:rPr>
            </w:pPr>
            <w:r>
              <w:rPr>
                <w:rFonts w:ascii="Arial" w:hAnsi="Arial"/>
                <w:caps/>
                <w:sz w:val="22"/>
              </w:rPr>
              <w:t>кпмэ</w:t>
            </w:r>
          </w:p>
        </w:tc>
        <w:tc>
          <w:tcPr>
            <w:tcW w:w="7333" w:type="dxa"/>
          </w:tcPr>
          <w:p w:rsidR="00000000" w:rsidRDefault="00000000">
            <w:pPr>
              <w:spacing w:line="260" w:lineRule="exact"/>
              <w:rPr>
                <w:rFonts w:ascii="Arial" w:hAnsi="Arial"/>
                <w:sz w:val="22"/>
              </w:rPr>
            </w:pPr>
            <w:r>
              <w:rPr>
                <w:rFonts w:ascii="Arial" w:hAnsi="Arial"/>
                <w:sz w:val="22"/>
              </w:rPr>
              <w:t>Политический координационный совет по делам женщин Эквадора</w:t>
            </w:r>
          </w:p>
        </w:tc>
      </w:tr>
      <w:tr w:rsidR="00000000">
        <w:tblPrEx>
          <w:tblCellMar>
            <w:top w:w="0" w:type="dxa"/>
            <w:bottom w:w="0" w:type="dxa"/>
          </w:tblCellMar>
        </w:tblPrEx>
        <w:tc>
          <w:tcPr>
            <w:tcW w:w="1723" w:type="dxa"/>
          </w:tcPr>
          <w:p w:rsidR="00000000" w:rsidRDefault="00000000">
            <w:pPr>
              <w:spacing w:line="260" w:lineRule="exact"/>
              <w:jc w:val="both"/>
              <w:rPr>
                <w:rFonts w:ascii="Arial" w:hAnsi="Arial"/>
                <w:sz w:val="22"/>
              </w:rPr>
            </w:pPr>
            <w:r>
              <w:rPr>
                <w:rFonts w:ascii="Arial" w:hAnsi="Arial"/>
                <w:sz w:val="22"/>
              </w:rPr>
              <w:t>КТЭ</w:t>
            </w:r>
          </w:p>
        </w:tc>
        <w:tc>
          <w:tcPr>
            <w:tcW w:w="7333" w:type="dxa"/>
          </w:tcPr>
          <w:p w:rsidR="00000000" w:rsidRDefault="00000000">
            <w:pPr>
              <w:spacing w:line="260" w:lineRule="exact"/>
              <w:rPr>
                <w:rFonts w:ascii="Arial" w:hAnsi="Arial"/>
                <w:sz w:val="22"/>
              </w:rPr>
            </w:pPr>
            <w:r>
              <w:rPr>
                <w:rFonts w:ascii="Arial" w:hAnsi="Arial"/>
                <w:sz w:val="22"/>
              </w:rPr>
              <w:t>Конфедерация трудящихся Эквадора</w:t>
            </w:r>
          </w:p>
        </w:tc>
      </w:tr>
      <w:tr w:rsidR="00000000">
        <w:tblPrEx>
          <w:tblCellMar>
            <w:top w:w="0" w:type="dxa"/>
            <w:bottom w:w="0" w:type="dxa"/>
          </w:tblCellMar>
        </w:tblPrEx>
        <w:tc>
          <w:tcPr>
            <w:tcW w:w="1723" w:type="dxa"/>
          </w:tcPr>
          <w:p w:rsidR="00000000" w:rsidRDefault="00000000">
            <w:pPr>
              <w:spacing w:line="260" w:lineRule="exact"/>
              <w:jc w:val="both"/>
              <w:rPr>
                <w:rFonts w:ascii="Arial" w:hAnsi="Arial"/>
                <w:sz w:val="22"/>
              </w:rPr>
            </w:pPr>
            <w:r>
              <w:rPr>
                <w:rFonts w:ascii="Arial" w:hAnsi="Arial"/>
                <w:sz w:val="22"/>
              </w:rPr>
              <w:t>МАКЖ</w:t>
            </w:r>
          </w:p>
        </w:tc>
        <w:tc>
          <w:tcPr>
            <w:tcW w:w="7333" w:type="dxa"/>
          </w:tcPr>
          <w:p w:rsidR="00000000" w:rsidRDefault="00000000">
            <w:pPr>
              <w:spacing w:line="260" w:lineRule="exact"/>
              <w:rPr>
                <w:rFonts w:ascii="Arial" w:hAnsi="Arial"/>
                <w:sz w:val="22"/>
              </w:rPr>
            </w:pPr>
            <w:r>
              <w:rPr>
                <w:rFonts w:ascii="Arial" w:hAnsi="Arial"/>
                <w:sz w:val="22"/>
              </w:rPr>
              <w:t>Межамериканская комиссия женщин</w:t>
            </w:r>
          </w:p>
        </w:tc>
      </w:tr>
      <w:tr w:rsidR="00000000">
        <w:tblPrEx>
          <w:tblCellMar>
            <w:top w:w="0" w:type="dxa"/>
            <w:bottom w:w="0" w:type="dxa"/>
          </w:tblCellMar>
        </w:tblPrEx>
        <w:tc>
          <w:tcPr>
            <w:tcW w:w="1723" w:type="dxa"/>
          </w:tcPr>
          <w:p w:rsidR="00000000" w:rsidRDefault="00000000">
            <w:pPr>
              <w:spacing w:line="260" w:lineRule="exact"/>
              <w:jc w:val="both"/>
              <w:rPr>
                <w:rFonts w:ascii="Arial" w:hAnsi="Arial"/>
                <w:sz w:val="22"/>
              </w:rPr>
            </w:pPr>
            <w:r>
              <w:rPr>
                <w:rFonts w:ascii="Arial" w:hAnsi="Arial"/>
                <w:sz w:val="22"/>
              </w:rPr>
              <w:t>МБР</w:t>
            </w:r>
          </w:p>
        </w:tc>
        <w:tc>
          <w:tcPr>
            <w:tcW w:w="7333" w:type="dxa"/>
          </w:tcPr>
          <w:p w:rsidR="00000000" w:rsidRDefault="00000000">
            <w:pPr>
              <w:spacing w:line="260" w:lineRule="exact"/>
              <w:rPr>
                <w:rFonts w:ascii="Arial" w:hAnsi="Arial"/>
                <w:sz w:val="22"/>
              </w:rPr>
            </w:pPr>
            <w:r>
              <w:rPr>
                <w:rFonts w:ascii="Arial" w:hAnsi="Arial"/>
                <w:sz w:val="22"/>
              </w:rPr>
              <w:t>Межамериканский банк развития</w:t>
            </w:r>
          </w:p>
        </w:tc>
      </w:tr>
      <w:tr w:rsidR="00000000">
        <w:tblPrEx>
          <w:tblCellMar>
            <w:top w:w="0" w:type="dxa"/>
            <w:bottom w:w="0" w:type="dxa"/>
          </w:tblCellMar>
        </w:tblPrEx>
        <w:tc>
          <w:tcPr>
            <w:tcW w:w="1723" w:type="dxa"/>
          </w:tcPr>
          <w:p w:rsidR="00000000" w:rsidRDefault="00000000">
            <w:pPr>
              <w:spacing w:line="260" w:lineRule="exact"/>
              <w:jc w:val="both"/>
              <w:rPr>
                <w:rFonts w:ascii="Arial" w:hAnsi="Arial"/>
                <w:sz w:val="22"/>
              </w:rPr>
            </w:pPr>
            <w:r>
              <w:rPr>
                <w:rFonts w:ascii="Arial" w:hAnsi="Arial"/>
                <w:sz w:val="22"/>
              </w:rPr>
              <w:t>МОТ</w:t>
            </w:r>
          </w:p>
        </w:tc>
        <w:tc>
          <w:tcPr>
            <w:tcW w:w="7333" w:type="dxa"/>
          </w:tcPr>
          <w:p w:rsidR="00000000" w:rsidRDefault="00000000">
            <w:pPr>
              <w:spacing w:line="260" w:lineRule="exact"/>
              <w:rPr>
                <w:rFonts w:ascii="Arial" w:hAnsi="Arial"/>
                <w:sz w:val="22"/>
              </w:rPr>
            </w:pPr>
            <w:r>
              <w:rPr>
                <w:rFonts w:ascii="Arial" w:hAnsi="Arial"/>
                <w:sz w:val="22"/>
              </w:rPr>
              <w:t>Международная организация труда</w:t>
            </w:r>
          </w:p>
        </w:tc>
      </w:tr>
      <w:tr w:rsidR="00000000">
        <w:tblPrEx>
          <w:tblCellMar>
            <w:top w:w="0" w:type="dxa"/>
            <w:bottom w:w="0" w:type="dxa"/>
          </w:tblCellMar>
        </w:tblPrEx>
        <w:tc>
          <w:tcPr>
            <w:tcW w:w="1723" w:type="dxa"/>
          </w:tcPr>
          <w:p w:rsidR="00000000" w:rsidRDefault="00000000">
            <w:pPr>
              <w:spacing w:line="260" w:lineRule="exact"/>
              <w:jc w:val="both"/>
              <w:rPr>
                <w:rFonts w:ascii="Arial" w:hAnsi="Arial"/>
                <w:sz w:val="22"/>
              </w:rPr>
            </w:pPr>
            <w:r>
              <w:rPr>
                <w:rFonts w:ascii="Arial" w:hAnsi="Arial"/>
                <w:sz w:val="22"/>
              </w:rPr>
              <w:t>НПО</w:t>
            </w:r>
          </w:p>
        </w:tc>
        <w:tc>
          <w:tcPr>
            <w:tcW w:w="7333" w:type="dxa"/>
          </w:tcPr>
          <w:p w:rsidR="00000000" w:rsidRDefault="00000000">
            <w:pPr>
              <w:spacing w:line="260" w:lineRule="exact"/>
              <w:rPr>
                <w:rFonts w:ascii="Arial" w:hAnsi="Arial"/>
                <w:sz w:val="22"/>
              </w:rPr>
            </w:pPr>
            <w:r>
              <w:rPr>
                <w:rFonts w:ascii="Arial" w:hAnsi="Arial"/>
                <w:sz w:val="22"/>
              </w:rPr>
              <w:t>неправительственная организация</w:t>
            </w:r>
          </w:p>
        </w:tc>
      </w:tr>
      <w:tr w:rsidR="00000000">
        <w:tblPrEx>
          <w:tblCellMar>
            <w:top w:w="0" w:type="dxa"/>
            <w:bottom w:w="0" w:type="dxa"/>
          </w:tblCellMar>
        </w:tblPrEx>
        <w:tc>
          <w:tcPr>
            <w:tcW w:w="1723" w:type="dxa"/>
          </w:tcPr>
          <w:p w:rsidR="00000000" w:rsidRDefault="00000000">
            <w:pPr>
              <w:spacing w:line="260" w:lineRule="exact"/>
              <w:jc w:val="both"/>
              <w:rPr>
                <w:rFonts w:ascii="Arial" w:hAnsi="Arial"/>
                <w:sz w:val="22"/>
              </w:rPr>
            </w:pPr>
            <w:r>
              <w:rPr>
                <w:rFonts w:ascii="Arial" w:hAnsi="Arial"/>
                <w:sz w:val="22"/>
              </w:rPr>
              <w:t>ОДМУ</w:t>
            </w:r>
          </w:p>
        </w:tc>
        <w:tc>
          <w:tcPr>
            <w:tcW w:w="7333" w:type="dxa"/>
          </w:tcPr>
          <w:p w:rsidR="00000000" w:rsidRDefault="00000000">
            <w:pPr>
              <w:spacing w:line="260" w:lineRule="exact"/>
              <w:rPr>
                <w:rFonts w:ascii="Arial" w:hAnsi="Arial"/>
                <w:sz w:val="22"/>
              </w:rPr>
            </w:pPr>
            <w:r>
              <w:rPr>
                <w:rFonts w:ascii="Arial" w:hAnsi="Arial"/>
                <w:sz w:val="22"/>
              </w:rPr>
              <w:t>Управление Национальной полиции по защите прав женщин</w:t>
            </w:r>
          </w:p>
        </w:tc>
      </w:tr>
      <w:tr w:rsidR="00000000">
        <w:tblPrEx>
          <w:tblCellMar>
            <w:top w:w="0" w:type="dxa"/>
            <w:bottom w:w="0" w:type="dxa"/>
          </w:tblCellMar>
        </w:tblPrEx>
        <w:tc>
          <w:tcPr>
            <w:tcW w:w="1723" w:type="dxa"/>
          </w:tcPr>
          <w:p w:rsidR="00000000" w:rsidRDefault="00000000">
            <w:pPr>
              <w:spacing w:line="260" w:lineRule="exact"/>
              <w:jc w:val="both"/>
              <w:rPr>
                <w:rFonts w:ascii="Arial" w:hAnsi="Arial"/>
                <w:sz w:val="22"/>
              </w:rPr>
            </w:pPr>
            <w:r>
              <w:rPr>
                <w:rFonts w:ascii="Arial" w:hAnsi="Arial"/>
                <w:sz w:val="22"/>
              </w:rPr>
              <w:t>ОРИ</w:t>
            </w:r>
          </w:p>
        </w:tc>
        <w:tc>
          <w:tcPr>
            <w:tcW w:w="7333" w:type="dxa"/>
          </w:tcPr>
          <w:p w:rsidR="00000000" w:rsidRDefault="00000000">
            <w:pPr>
              <w:spacing w:line="260" w:lineRule="exact"/>
              <w:rPr>
                <w:rFonts w:ascii="Arial" w:hAnsi="Arial"/>
                <w:sz w:val="22"/>
              </w:rPr>
            </w:pPr>
            <w:r>
              <w:rPr>
                <w:rFonts w:ascii="Arial" w:hAnsi="Arial"/>
                <w:sz w:val="22"/>
              </w:rPr>
              <w:t>Оперативно-исполнительный отдел спасения детей</w:t>
            </w:r>
          </w:p>
        </w:tc>
      </w:tr>
      <w:tr w:rsidR="00000000">
        <w:tblPrEx>
          <w:tblCellMar>
            <w:top w:w="0" w:type="dxa"/>
            <w:bottom w:w="0" w:type="dxa"/>
          </w:tblCellMar>
        </w:tblPrEx>
        <w:tc>
          <w:tcPr>
            <w:tcW w:w="1723" w:type="dxa"/>
          </w:tcPr>
          <w:p w:rsidR="00000000" w:rsidRDefault="00000000">
            <w:pPr>
              <w:spacing w:line="260" w:lineRule="exact"/>
              <w:jc w:val="both"/>
              <w:rPr>
                <w:rFonts w:ascii="Arial" w:hAnsi="Arial"/>
                <w:sz w:val="22"/>
              </w:rPr>
            </w:pPr>
            <w:r>
              <w:rPr>
                <w:rFonts w:ascii="Arial" w:hAnsi="Arial"/>
                <w:sz w:val="22"/>
              </w:rPr>
              <w:t>ОССИДИ</w:t>
            </w:r>
          </w:p>
        </w:tc>
        <w:tc>
          <w:tcPr>
            <w:tcW w:w="7333" w:type="dxa"/>
          </w:tcPr>
          <w:p w:rsidR="00000000" w:rsidRDefault="00000000">
            <w:pPr>
              <w:spacing w:line="260" w:lineRule="exact"/>
              <w:rPr>
                <w:rFonts w:ascii="Arial" w:hAnsi="Arial"/>
                <w:sz w:val="22"/>
              </w:rPr>
            </w:pPr>
            <w:r>
              <w:rPr>
                <w:rFonts w:ascii="Arial" w:hAnsi="Arial"/>
                <w:sz w:val="22"/>
              </w:rPr>
              <w:t xml:space="preserve">Бюро гражданской службы и институционального развития </w:t>
            </w:r>
          </w:p>
        </w:tc>
      </w:tr>
      <w:tr w:rsidR="00000000">
        <w:tblPrEx>
          <w:tblCellMar>
            <w:top w:w="0" w:type="dxa"/>
            <w:bottom w:w="0" w:type="dxa"/>
          </w:tblCellMar>
        </w:tblPrEx>
        <w:tc>
          <w:tcPr>
            <w:tcW w:w="1723" w:type="dxa"/>
          </w:tcPr>
          <w:p w:rsidR="00000000" w:rsidRDefault="00000000">
            <w:pPr>
              <w:spacing w:line="260" w:lineRule="exact"/>
              <w:jc w:val="both"/>
              <w:rPr>
                <w:rFonts w:ascii="Arial" w:hAnsi="Arial"/>
                <w:sz w:val="22"/>
              </w:rPr>
            </w:pPr>
            <w:r>
              <w:rPr>
                <w:rFonts w:ascii="Arial" w:hAnsi="Arial"/>
                <w:sz w:val="22"/>
              </w:rPr>
              <w:t>ПРОКАЛМУК</w:t>
            </w:r>
          </w:p>
        </w:tc>
        <w:tc>
          <w:tcPr>
            <w:tcW w:w="7333" w:type="dxa"/>
          </w:tcPr>
          <w:p w:rsidR="00000000" w:rsidRDefault="00000000">
            <w:pPr>
              <w:spacing w:line="260" w:lineRule="exact"/>
              <w:rPr>
                <w:rFonts w:ascii="Arial" w:hAnsi="Arial"/>
                <w:sz w:val="22"/>
              </w:rPr>
            </w:pPr>
            <w:r>
              <w:rPr>
                <w:rFonts w:ascii="Arial" w:hAnsi="Arial"/>
                <w:sz w:val="22"/>
              </w:rPr>
              <w:t>Программа ликвидации неграмотности в целях повышения качества жизни крестьянок</w:t>
            </w:r>
          </w:p>
        </w:tc>
      </w:tr>
      <w:tr w:rsidR="00000000">
        <w:tblPrEx>
          <w:tblCellMar>
            <w:top w:w="0" w:type="dxa"/>
            <w:bottom w:w="0" w:type="dxa"/>
          </w:tblCellMar>
        </w:tblPrEx>
        <w:tc>
          <w:tcPr>
            <w:tcW w:w="1723" w:type="dxa"/>
          </w:tcPr>
          <w:p w:rsidR="00000000" w:rsidRDefault="00000000">
            <w:pPr>
              <w:spacing w:line="260" w:lineRule="exact"/>
              <w:jc w:val="both"/>
              <w:rPr>
                <w:rFonts w:ascii="Arial" w:hAnsi="Arial"/>
                <w:sz w:val="22"/>
              </w:rPr>
            </w:pPr>
            <w:r>
              <w:rPr>
                <w:rFonts w:ascii="Arial" w:hAnsi="Arial"/>
                <w:sz w:val="22"/>
              </w:rPr>
              <w:t>ПРОЛОКАЛ</w:t>
            </w:r>
          </w:p>
        </w:tc>
        <w:tc>
          <w:tcPr>
            <w:tcW w:w="7333" w:type="dxa"/>
          </w:tcPr>
          <w:p w:rsidR="00000000" w:rsidRDefault="00000000">
            <w:pPr>
              <w:spacing w:line="260" w:lineRule="exact"/>
              <w:rPr>
                <w:rFonts w:ascii="Arial" w:hAnsi="Arial"/>
                <w:sz w:val="22"/>
              </w:rPr>
            </w:pPr>
            <w:r>
              <w:rPr>
                <w:rFonts w:ascii="Arial" w:hAnsi="Arial"/>
                <w:color w:val="000000"/>
                <w:sz w:val="22"/>
              </w:rPr>
              <w:t>Программа устойчивого развития на местном уровне</w:t>
            </w:r>
          </w:p>
        </w:tc>
      </w:tr>
      <w:tr w:rsidR="00000000">
        <w:tblPrEx>
          <w:tblCellMar>
            <w:top w:w="0" w:type="dxa"/>
            <w:bottom w:w="0" w:type="dxa"/>
          </w:tblCellMar>
        </w:tblPrEx>
        <w:tc>
          <w:tcPr>
            <w:tcW w:w="1723" w:type="dxa"/>
          </w:tcPr>
          <w:p w:rsidR="00000000" w:rsidRDefault="00000000">
            <w:pPr>
              <w:spacing w:line="260" w:lineRule="exact"/>
              <w:jc w:val="both"/>
              <w:rPr>
                <w:rFonts w:ascii="Arial" w:hAnsi="Arial"/>
                <w:sz w:val="22"/>
              </w:rPr>
            </w:pPr>
            <w:r>
              <w:rPr>
                <w:rFonts w:ascii="Arial" w:hAnsi="Arial"/>
                <w:sz w:val="22"/>
              </w:rPr>
              <w:t>ПРОНАДЕР</w:t>
            </w:r>
          </w:p>
        </w:tc>
        <w:tc>
          <w:tcPr>
            <w:tcW w:w="7333" w:type="dxa"/>
          </w:tcPr>
          <w:p w:rsidR="00000000" w:rsidRDefault="00000000">
            <w:pPr>
              <w:spacing w:line="260" w:lineRule="exact"/>
              <w:rPr>
                <w:rFonts w:ascii="Arial" w:hAnsi="Arial"/>
                <w:sz w:val="22"/>
              </w:rPr>
            </w:pPr>
            <w:r>
              <w:rPr>
                <w:rFonts w:ascii="Arial" w:hAnsi="Arial"/>
                <w:sz w:val="22"/>
              </w:rPr>
              <w:t>Национальный план экономического развития</w:t>
            </w:r>
          </w:p>
        </w:tc>
      </w:tr>
    </w:tbl>
    <w:p w:rsidR="00000000" w:rsidRDefault="00000000"/>
    <w:tbl>
      <w:tblPr>
        <w:tblW w:w="0" w:type="auto"/>
        <w:tblInd w:w="-106" w:type="dxa"/>
        <w:tblLayout w:type="fixed"/>
        <w:tblLook w:val="0000" w:firstRow="0" w:lastRow="0" w:firstColumn="0" w:lastColumn="0" w:noHBand="0" w:noVBand="0"/>
      </w:tblPr>
      <w:tblGrid>
        <w:gridCol w:w="1723"/>
        <w:gridCol w:w="7333"/>
      </w:tblGrid>
      <w:tr w:rsidR="00000000">
        <w:tblPrEx>
          <w:tblCellMar>
            <w:top w:w="0" w:type="dxa"/>
            <w:bottom w:w="0" w:type="dxa"/>
          </w:tblCellMar>
        </w:tblPrEx>
        <w:tc>
          <w:tcPr>
            <w:tcW w:w="1723" w:type="dxa"/>
          </w:tcPr>
          <w:p w:rsidR="00000000" w:rsidRDefault="00000000">
            <w:pPr>
              <w:spacing w:line="260" w:lineRule="exact"/>
              <w:jc w:val="both"/>
              <w:rPr>
                <w:rFonts w:ascii="Arial" w:hAnsi="Arial"/>
                <w:sz w:val="22"/>
              </w:rPr>
            </w:pPr>
            <w:r>
              <w:rPr>
                <w:rFonts w:ascii="Arial" w:hAnsi="Arial"/>
                <w:sz w:val="22"/>
              </w:rPr>
              <w:t>ПРОНЕПЕ</w:t>
            </w:r>
          </w:p>
        </w:tc>
        <w:tc>
          <w:tcPr>
            <w:tcW w:w="7333" w:type="dxa"/>
          </w:tcPr>
          <w:p w:rsidR="00000000" w:rsidRDefault="00000000">
            <w:pPr>
              <w:spacing w:line="260" w:lineRule="exact"/>
              <w:rPr>
                <w:rFonts w:ascii="Arial" w:hAnsi="Arial"/>
                <w:sz w:val="22"/>
              </w:rPr>
            </w:pPr>
            <w:r>
              <w:rPr>
                <w:rFonts w:ascii="Arial" w:hAnsi="Arial"/>
                <w:sz w:val="22"/>
              </w:rPr>
              <w:t>Национальная программа альтернативного дошкольного образования</w:t>
            </w:r>
          </w:p>
        </w:tc>
      </w:tr>
      <w:tr w:rsidR="00000000">
        <w:tblPrEx>
          <w:tblCellMar>
            <w:top w:w="0" w:type="dxa"/>
            <w:bottom w:w="0" w:type="dxa"/>
          </w:tblCellMar>
        </w:tblPrEx>
        <w:tc>
          <w:tcPr>
            <w:tcW w:w="1723" w:type="dxa"/>
          </w:tcPr>
          <w:p w:rsidR="00000000" w:rsidRDefault="00000000">
            <w:pPr>
              <w:spacing w:line="260" w:lineRule="exact"/>
              <w:jc w:val="both"/>
              <w:rPr>
                <w:rFonts w:ascii="Arial" w:hAnsi="Arial"/>
                <w:sz w:val="22"/>
              </w:rPr>
            </w:pPr>
            <w:r>
              <w:rPr>
                <w:rFonts w:ascii="Arial" w:hAnsi="Arial"/>
                <w:sz w:val="22"/>
              </w:rPr>
              <w:t>СЕКАП</w:t>
            </w:r>
          </w:p>
        </w:tc>
        <w:tc>
          <w:tcPr>
            <w:tcW w:w="7333" w:type="dxa"/>
          </w:tcPr>
          <w:p w:rsidR="00000000" w:rsidRDefault="00000000">
            <w:pPr>
              <w:spacing w:line="260" w:lineRule="exact"/>
              <w:rPr>
                <w:rFonts w:ascii="Arial" w:hAnsi="Arial"/>
                <w:sz w:val="22"/>
              </w:rPr>
            </w:pPr>
            <w:r>
              <w:rPr>
                <w:rFonts w:ascii="Arial" w:hAnsi="Arial"/>
                <w:sz w:val="22"/>
              </w:rPr>
              <w:t>Служба профессиональной подготовки</w:t>
            </w:r>
          </w:p>
        </w:tc>
      </w:tr>
      <w:tr w:rsidR="00000000">
        <w:tblPrEx>
          <w:tblCellMar>
            <w:top w:w="0" w:type="dxa"/>
            <w:bottom w:w="0" w:type="dxa"/>
          </w:tblCellMar>
        </w:tblPrEx>
        <w:tc>
          <w:tcPr>
            <w:tcW w:w="1723" w:type="dxa"/>
          </w:tcPr>
          <w:p w:rsidR="00000000" w:rsidRDefault="00000000">
            <w:pPr>
              <w:spacing w:line="260" w:lineRule="exact"/>
              <w:jc w:val="both"/>
              <w:rPr>
                <w:rFonts w:ascii="Arial" w:hAnsi="Arial"/>
                <w:sz w:val="22"/>
              </w:rPr>
            </w:pPr>
            <w:r>
              <w:rPr>
                <w:rFonts w:ascii="Arial" w:hAnsi="Arial"/>
                <w:sz w:val="22"/>
              </w:rPr>
              <w:t>СЕНДА</w:t>
            </w:r>
          </w:p>
        </w:tc>
        <w:tc>
          <w:tcPr>
            <w:tcW w:w="7333" w:type="dxa"/>
          </w:tcPr>
          <w:p w:rsidR="00000000" w:rsidRDefault="00000000">
            <w:pPr>
              <w:spacing w:line="260" w:lineRule="exact"/>
              <w:rPr>
                <w:rFonts w:ascii="Arial" w:hAnsi="Arial"/>
                <w:sz w:val="22"/>
              </w:rPr>
            </w:pPr>
            <w:r>
              <w:rPr>
                <w:rFonts w:ascii="Arial" w:hAnsi="Arial"/>
                <w:sz w:val="22"/>
              </w:rPr>
              <w:t>Национальный секретариат административного развития</w:t>
            </w:r>
          </w:p>
        </w:tc>
      </w:tr>
      <w:tr w:rsidR="00000000">
        <w:tblPrEx>
          <w:tblCellMar>
            <w:top w:w="0" w:type="dxa"/>
            <w:bottom w:w="0" w:type="dxa"/>
          </w:tblCellMar>
        </w:tblPrEx>
        <w:tc>
          <w:tcPr>
            <w:tcW w:w="1723" w:type="dxa"/>
          </w:tcPr>
          <w:p w:rsidR="00000000" w:rsidRDefault="00000000">
            <w:pPr>
              <w:spacing w:line="260" w:lineRule="exact"/>
              <w:jc w:val="both"/>
              <w:rPr>
                <w:rFonts w:ascii="Arial" w:hAnsi="Arial"/>
                <w:sz w:val="22"/>
              </w:rPr>
            </w:pPr>
            <w:r>
              <w:rPr>
                <w:rFonts w:ascii="Arial" w:hAnsi="Arial"/>
                <w:sz w:val="22"/>
              </w:rPr>
              <w:t>СЕПАМ</w:t>
            </w:r>
          </w:p>
        </w:tc>
        <w:tc>
          <w:tcPr>
            <w:tcW w:w="7333" w:type="dxa"/>
          </w:tcPr>
          <w:p w:rsidR="00000000" w:rsidRDefault="00000000">
            <w:pPr>
              <w:spacing w:line="260" w:lineRule="exact"/>
              <w:rPr>
                <w:rFonts w:ascii="Arial" w:hAnsi="Arial"/>
                <w:sz w:val="22"/>
              </w:rPr>
            </w:pPr>
            <w:r>
              <w:rPr>
                <w:rFonts w:ascii="Arial" w:hAnsi="Arial"/>
                <w:sz w:val="22"/>
              </w:rPr>
              <w:t>Народный центр помощи женщинам</w:t>
            </w:r>
          </w:p>
        </w:tc>
      </w:tr>
      <w:tr w:rsidR="00000000">
        <w:tblPrEx>
          <w:tblCellMar>
            <w:top w:w="0" w:type="dxa"/>
            <w:bottom w:w="0" w:type="dxa"/>
          </w:tblCellMar>
        </w:tblPrEx>
        <w:tc>
          <w:tcPr>
            <w:tcW w:w="1723" w:type="dxa"/>
          </w:tcPr>
          <w:p w:rsidR="00000000" w:rsidRDefault="00000000">
            <w:pPr>
              <w:spacing w:line="260" w:lineRule="exact"/>
              <w:jc w:val="both"/>
              <w:rPr>
                <w:rFonts w:ascii="Arial" w:hAnsi="Arial"/>
                <w:sz w:val="22"/>
              </w:rPr>
            </w:pPr>
            <w:r>
              <w:rPr>
                <w:rFonts w:ascii="Arial" w:hAnsi="Arial"/>
                <w:sz w:val="22"/>
              </w:rPr>
              <w:t>СЕСИМ</w:t>
            </w:r>
          </w:p>
        </w:tc>
        <w:tc>
          <w:tcPr>
            <w:tcW w:w="7333" w:type="dxa"/>
          </w:tcPr>
          <w:p w:rsidR="00000000" w:rsidRDefault="00000000">
            <w:pPr>
              <w:spacing w:line="260" w:lineRule="exact"/>
              <w:rPr>
                <w:rFonts w:ascii="Arial" w:hAnsi="Arial"/>
                <w:sz w:val="22"/>
              </w:rPr>
            </w:pPr>
            <w:r>
              <w:rPr>
                <w:rFonts w:ascii="Arial" w:hAnsi="Arial"/>
                <w:sz w:val="22"/>
              </w:rPr>
              <w:t>Эквадорский комитет сотрудничества со Службой информации по делам женщин (СИМ)</w:t>
            </w:r>
          </w:p>
        </w:tc>
      </w:tr>
      <w:tr w:rsidR="00000000">
        <w:tblPrEx>
          <w:tblCellMar>
            <w:top w:w="0" w:type="dxa"/>
            <w:bottom w:w="0" w:type="dxa"/>
          </w:tblCellMar>
        </w:tblPrEx>
        <w:tc>
          <w:tcPr>
            <w:tcW w:w="1723" w:type="dxa"/>
          </w:tcPr>
          <w:p w:rsidR="00000000" w:rsidRDefault="00000000">
            <w:pPr>
              <w:spacing w:line="260" w:lineRule="exact"/>
              <w:jc w:val="both"/>
              <w:rPr>
                <w:rFonts w:ascii="Arial" w:hAnsi="Arial"/>
                <w:sz w:val="22"/>
              </w:rPr>
            </w:pPr>
            <w:r>
              <w:rPr>
                <w:rFonts w:ascii="Arial" w:hAnsi="Arial"/>
                <w:sz w:val="22"/>
              </w:rPr>
              <w:t>СИВ</w:t>
            </w:r>
          </w:p>
        </w:tc>
        <w:tc>
          <w:tcPr>
            <w:tcW w:w="7333" w:type="dxa"/>
          </w:tcPr>
          <w:p w:rsidR="00000000" w:rsidRDefault="00000000">
            <w:pPr>
              <w:spacing w:line="260" w:lineRule="exact"/>
              <w:rPr>
                <w:rFonts w:ascii="Arial" w:hAnsi="Arial"/>
                <w:sz w:val="22"/>
              </w:rPr>
            </w:pPr>
            <w:r>
              <w:rPr>
                <w:rFonts w:ascii="Arial" w:hAnsi="Arial"/>
                <w:sz w:val="22"/>
              </w:rPr>
              <w:t>Система экономического стимулирования в области жилищного строительства</w:t>
            </w:r>
          </w:p>
        </w:tc>
      </w:tr>
      <w:tr w:rsidR="00000000">
        <w:tblPrEx>
          <w:tblCellMar>
            <w:top w:w="0" w:type="dxa"/>
            <w:bottom w:w="0" w:type="dxa"/>
          </w:tblCellMar>
        </w:tblPrEx>
        <w:tc>
          <w:tcPr>
            <w:tcW w:w="1723" w:type="dxa"/>
          </w:tcPr>
          <w:p w:rsidR="00000000" w:rsidRDefault="00000000">
            <w:pPr>
              <w:spacing w:line="260" w:lineRule="exact"/>
              <w:jc w:val="both"/>
              <w:rPr>
                <w:rFonts w:ascii="Arial" w:hAnsi="Arial"/>
                <w:sz w:val="22"/>
              </w:rPr>
            </w:pPr>
            <w:r>
              <w:rPr>
                <w:rFonts w:ascii="Arial" w:hAnsi="Arial"/>
                <w:sz w:val="22"/>
              </w:rPr>
              <w:t>СИИСЕ</w:t>
            </w:r>
          </w:p>
        </w:tc>
        <w:tc>
          <w:tcPr>
            <w:tcW w:w="7333" w:type="dxa"/>
          </w:tcPr>
          <w:p w:rsidR="00000000" w:rsidRDefault="00000000">
            <w:pPr>
              <w:spacing w:line="260" w:lineRule="exact"/>
              <w:rPr>
                <w:rFonts w:ascii="Arial" w:hAnsi="Arial"/>
                <w:sz w:val="22"/>
              </w:rPr>
            </w:pPr>
            <w:r>
              <w:rPr>
                <w:rFonts w:ascii="Arial" w:hAnsi="Arial"/>
                <w:sz w:val="22"/>
              </w:rPr>
              <w:t>Комплексная система социальных показателей Эквадора</w:t>
            </w:r>
          </w:p>
        </w:tc>
      </w:tr>
      <w:tr w:rsidR="00000000">
        <w:tblPrEx>
          <w:tblCellMar>
            <w:top w:w="0" w:type="dxa"/>
            <w:bottom w:w="0" w:type="dxa"/>
          </w:tblCellMar>
        </w:tblPrEx>
        <w:tc>
          <w:tcPr>
            <w:tcW w:w="1723" w:type="dxa"/>
          </w:tcPr>
          <w:p w:rsidR="00000000" w:rsidRDefault="00000000">
            <w:pPr>
              <w:spacing w:line="260" w:lineRule="exact"/>
              <w:jc w:val="both"/>
              <w:rPr>
                <w:rFonts w:ascii="Arial" w:hAnsi="Arial"/>
                <w:sz w:val="22"/>
              </w:rPr>
            </w:pPr>
            <w:r>
              <w:rPr>
                <w:rFonts w:ascii="Arial" w:hAnsi="Arial"/>
                <w:sz w:val="22"/>
              </w:rPr>
              <w:t>СИМУХЕРЕС</w:t>
            </w:r>
          </w:p>
        </w:tc>
        <w:tc>
          <w:tcPr>
            <w:tcW w:w="7333" w:type="dxa"/>
          </w:tcPr>
          <w:p w:rsidR="00000000" w:rsidRDefault="00000000">
            <w:pPr>
              <w:spacing w:line="260" w:lineRule="exact"/>
              <w:rPr>
                <w:rFonts w:ascii="Arial" w:hAnsi="Arial"/>
                <w:sz w:val="22"/>
              </w:rPr>
            </w:pPr>
            <w:r>
              <w:rPr>
                <w:rFonts w:ascii="Arial" w:hAnsi="Arial"/>
                <w:sz w:val="22"/>
              </w:rPr>
              <w:t>Комплексная система социальных показателей положения женщин</w:t>
            </w:r>
          </w:p>
        </w:tc>
      </w:tr>
      <w:tr w:rsidR="00000000">
        <w:tblPrEx>
          <w:tblCellMar>
            <w:top w:w="0" w:type="dxa"/>
            <w:bottom w:w="0" w:type="dxa"/>
          </w:tblCellMar>
        </w:tblPrEx>
        <w:tc>
          <w:tcPr>
            <w:tcW w:w="1723" w:type="dxa"/>
          </w:tcPr>
          <w:p w:rsidR="00000000" w:rsidRDefault="00000000">
            <w:pPr>
              <w:spacing w:line="260" w:lineRule="exact"/>
              <w:jc w:val="both"/>
              <w:rPr>
                <w:rFonts w:ascii="Arial" w:hAnsi="Arial"/>
                <w:sz w:val="22"/>
              </w:rPr>
            </w:pPr>
            <w:r>
              <w:rPr>
                <w:rFonts w:ascii="Arial" w:hAnsi="Arial"/>
                <w:sz w:val="22"/>
              </w:rPr>
              <w:t>СИНЕК</w:t>
            </w:r>
          </w:p>
        </w:tc>
        <w:tc>
          <w:tcPr>
            <w:tcW w:w="7333" w:type="dxa"/>
          </w:tcPr>
          <w:p w:rsidR="00000000" w:rsidRDefault="00000000">
            <w:pPr>
              <w:spacing w:line="260" w:lineRule="exact"/>
              <w:rPr>
                <w:rFonts w:ascii="Arial" w:hAnsi="Arial"/>
                <w:sz w:val="22"/>
              </w:rPr>
            </w:pPr>
            <w:r>
              <w:rPr>
                <w:rFonts w:ascii="Arial" w:hAnsi="Arial"/>
                <w:sz w:val="22"/>
              </w:rPr>
              <w:t>Национальная система социальных показателей в области образования и культуры</w:t>
            </w:r>
          </w:p>
        </w:tc>
      </w:tr>
      <w:tr w:rsidR="00000000">
        <w:tblPrEx>
          <w:tblCellMar>
            <w:top w:w="0" w:type="dxa"/>
            <w:bottom w:w="0" w:type="dxa"/>
          </w:tblCellMar>
        </w:tblPrEx>
        <w:tc>
          <w:tcPr>
            <w:tcW w:w="1723" w:type="dxa"/>
          </w:tcPr>
          <w:p w:rsidR="00000000" w:rsidRDefault="00000000">
            <w:pPr>
              <w:spacing w:line="260" w:lineRule="exact"/>
              <w:jc w:val="both"/>
              <w:rPr>
                <w:rFonts w:ascii="Arial" w:hAnsi="Arial"/>
                <w:sz w:val="22"/>
              </w:rPr>
            </w:pPr>
            <w:r>
              <w:rPr>
                <w:rFonts w:ascii="Arial" w:hAnsi="Arial"/>
                <w:sz w:val="22"/>
              </w:rPr>
              <w:t>СИНИНЬЕС</w:t>
            </w:r>
          </w:p>
        </w:tc>
        <w:tc>
          <w:tcPr>
            <w:tcW w:w="7333" w:type="dxa"/>
          </w:tcPr>
          <w:p w:rsidR="00000000" w:rsidRDefault="00000000">
            <w:pPr>
              <w:spacing w:line="260" w:lineRule="exact"/>
              <w:rPr>
                <w:rFonts w:ascii="Arial" w:hAnsi="Arial"/>
                <w:sz w:val="22"/>
              </w:rPr>
            </w:pPr>
            <w:r>
              <w:rPr>
                <w:rFonts w:ascii="Arial" w:hAnsi="Arial"/>
                <w:sz w:val="22"/>
              </w:rPr>
              <w:t>Комплексная система социальных показателей положения детей</w:t>
            </w:r>
          </w:p>
        </w:tc>
      </w:tr>
      <w:tr w:rsidR="00000000">
        <w:tblPrEx>
          <w:tblCellMar>
            <w:top w:w="0" w:type="dxa"/>
            <w:bottom w:w="0" w:type="dxa"/>
          </w:tblCellMar>
        </w:tblPrEx>
        <w:tc>
          <w:tcPr>
            <w:tcW w:w="1723" w:type="dxa"/>
          </w:tcPr>
          <w:p w:rsidR="00000000" w:rsidRDefault="00000000">
            <w:pPr>
              <w:spacing w:line="260" w:lineRule="exact"/>
              <w:jc w:val="both"/>
              <w:rPr>
                <w:rFonts w:ascii="Arial" w:hAnsi="Arial"/>
                <w:sz w:val="22"/>
              </w:rPr>
            </w:pPr>
            <w:r>
              <w:rPr>
                <w:rFonts w:ascii="Arial" w:hAnsi="Arial"/>
                <w:sz w:val="22"/>
              </w:rPr>
              <w:t>СИПИ</w:t>
            </w:r>
          </w:p>
        </w:tc>
        <w:tc>
          <w:tcPr>
            <w:tcW w:w="7333" w:type="dxa"/>
          </w:tcPr>
          <w:p w:rsidR="00000000" w:rsidRDefault="00000000">
            <w:pPr>
              <w:spacing w:line="260" w:lineRule="exact"/>
              <w:rPr>
                <w:rFonts w:ascii="Arial" w:hAnsi="Arial"/>
                <w:sz w:val="22"/>
              </w:rPr>
            </w:pPr>
            <w:r>
              <w:rPr>
                <w:rFonts w:ascii="Arial" w:hAnsi="Arial"/>
                <w:sz w:val="22"/>
              </w:rPr>
              <w:t>Система информации по вопросам детства</w:t>
            </w:r>
          </w:p>
        </w:tc>
      </w:tr>
      <w:tr w:rsidR="00000000">
        <w:tblPrEx>
          <w:tblCellMar>
            <w:top w:w="0" w:type="dxa"/>
            <w:bottom w:w="0" w:type="dxa"/>
          </w:tblCellMar>
        </w:tblPrEx>
        <w:tc>
          <w:tcPr>
            <w:tcW w:w="1723" w:type="dxa"/>
          </w:tcPr>
          <w:p w:rsidR="00000000" w:rsidRDefault="00000000">
            <w:pPr>
              <w:spacing w:line="260" w:lineRule="exact"/>
              <w:jc w:val="both"/>
              <w:rPr>
                <w:rFonts w:ascii="Arial" w:hAnsi="Arial"/>
                <w:sz w:val="22"/>
              </w:rPr>
            </w:pPr>
            <w:r>
              <w:rPr>
                <w:rFonts w:ascii="Arial" w:hAnsi="Arial"/>
                <w:sz w:val="22"/>
              </w:rPr>
              <w:t>СИСВАН</w:t>
            </w:r>
          </w:p>
        </w:tc>
        <w:tc>
          <w:tcPr>
            <w:tcW w:w="7333" w:type="dxa"/>
          </w:tcPr>
          <w:p w:rsidR="00000000" w:rsidRDefault="00000000">
            <w:pPr>
              <w:spacing w:line="260" w:lineRule="exact"/>
              <w:rPr>
                <w:rFonts w:ascii="Arial" w:hAnsi="Arial"/>
                <w:sz w:val="22"/>
              </w:rPr>
            </w:pPr>
            <w:r>
              <w:rPr>
                <w:rFonts w:ascii="Arial" w:hAnsi="Arial"/>
                <w:sz w:val="22"/>
              </w:rPr>
              <w:t>Система контроля за питанием и продовольствием</w:t>
            </w:r>
          </w:p>
        </w:tc>
      </w:tr>
      <w:tr w:rsidR="00000000">
        <w:tblPrEx>
          <w:tblCellMar>
            <w:top w:w="0" w:type="dxa"/>
            <w:bottom w:w="0" w:type="dxa"/>
          </w:tblCellMar>
        </w:tblPrEx>
        <w:tc>
          <w:tcPr>
            <w:tcW w:w="1723" w:type="dxa"/>
          </w:tcPr>
          <w:p w:rsidR="00000000" w:rsidRDefault="00000000">
            <w:pPr>
              <w:spacing w:line="260" w:lineRule="exact"/>
              <w:jc w:val="both"/>
              <w:rPr>
                <w:rFonts w:ascii="Arial" w:hAnsi="Arial"/>
                <w:sz w:val="22"/>
              </w:rPr>
            </w:pPr>
            <w:r>
              <w:rPr>
                <w:rFonts w:ascii="Arial" w:hAnsi="Arial"/>
                <w:sz w:val="22"/>
              </w:rPr>
              <w:t>СОЛКА</w:t>
            </w:r>
          </w:p>
        </w:tc>
        <w:tc>
          <w:tcPr>
            <w:tcW w:w="7333" w:type="dxa"/>
          </w:tcPr>
          <w:p w:rsidR="00000000" w:rsidRDefault="00000000">
            <w:pPr>
              <w:spacing w:line="260" w:lineRule="exact"/>
              <w:rPr>
                <w:rFonts w:ascii="Arial" w:hAnsi="Arial"/>
                <w:sz w:val="22"/>
              </w:rPr>
            </w:pPr>
            <w:r>
              <w:rPr>
                <w:rFonts w:ascii="Arial" w:hAnsi="Arial"/>
                <w:sz w:val="22"/>
              </w:rPr>
              <w:t>Общество борьбы с раком</w:t>
            </w:r>
          </w:p>
        </w:tc>
      </w:tr>
      <w:tr w:rsidR="00000000">
        <w:tblPrEx>
          <w:tblCellMar>
            <w:top w:w="0" w:type="dxa"/>
            <w:bottom w:w="0" w:type="dxa"/>
          </w:tblCellMar>
        </w:tblPrEx>
        <w:tc>
          <w:tcPr>
            <w:tcW w:w="1723" w:type="dxa"/>
          </w:tcPr>
          <w:p w:rsidR="00000000" w:rsidRDefault="00000000">
            <w:pPr>
              <w:spacing w:line="260" w:lineRule="exact"/>
              <w:jc w:val="both"/>
              <w:rPr>
                <w:rFonts w:ascii="Arial" w:hAnsi="Arial"/>
                <w:sz w:val="22"/>
              </w:rPr>
            </w:pPr>
            <w:r>
              <w:rPr>
                <w:rFonts w:ascii="Arial" w:hAnsi="Arial"/>
                <w:sz w:val="22"/>
              </w:rPr>
              <w:t>ФАО</w:t>
            </w:r>
          </w:p>
        </w:tc>
        <w:tc>
          <w:tcPr>
            <w:tcW w:w="7333" w:type="dxa"/>
          </w:tcPr>
          <w:p w:rsidR="00000000" w:rsidRDefault="00000000">
            <w:pPr>
              <w:spacing w:line="260" w:lineRule="exact"/>
              <w:rPr>
                <w:rFonts w:ascii="Arial" w:hAnsi="Arial"/>
                <w:sz w:val="22"/>
              </w:rPr>
            </w:pPr>
            <w:r>
              <w:rPr>
                <w:rFonts w:ascii="Arial" w:hAnsi="Arial"/>
                <w:sz w:val="22"/>
              </w:rPr>
              <w:t>Продовольственная и сельскохозяйственная организация Объединенных Наций</w:t>
            </w:r>
          </w:p>
        </w:tc>
      </w:tr>
      <w:tr w:rsidR="00000000">
        <w:tblPrEx>
          <w:tblCellMar>
            <w:top w:w="0" w:type="dxa"/>
            <w:bottom w:w="0" w:type="dxa"/>
          </w:tblCellMar>
        </w:tblPrEx>
        <w:tc>
          <w:tcPr>
            <w:tcW w:w="1723" w:type="dxa"/>
          </w:tcPr>
          <w:p w:rsidR="00000000" w:rsidRDefault="00000000">
            <w:pPr>
              <w:spacing w:line="260" w:lineRule="exact"/>
              <w:jc w:val="both"/>
              <w:rPr>
                <w:rFonts w:ascii="Arial" w:hAnsi="Arial"/>
                <w:sz w:val="22"/>
              </w:rPr>
            </w:pPr>
            <w:r>
              <w:rPr>
                <w:rFonts w:ascii="Arial" w:hAnsi="Arial"/>
                <w:sz w:val="22"/>
              </w:rPr>
              <w:t>ФАСБАСЕ</w:t>
            </w:r>
          </w:p>
        </w:tc>
        <w:tc>
          <w:tcPr>
            <w:tcW w:w="7333" w:type="dxa"/>
          </w:tcPr>
          <w:p w:rsidR="00000000" w:rsidRDefault="00000000">
            <w:pPr>
              <w:spacing w:line="260" w:lineRule="exact"/>
              <w:rPr>
                <w:rFonts w:ascii="Arial" w:hAnsi="Arial"/>
                <w:sz w:val="22"/>
              </w:rPr>
            </w:pPr>
            <w:r>
              <w:rPr>
                <w:rFonts w:ascii="Arial" w:hAnsi="Arial"/>
                <w:sz w:val="22"/>
              </w:rPr>
              <w:t>Укрепление и развитие базовых услуг в области здравоохранения в Эквадоре</w:t>
            </w:r>
          </w:p>
        </w:tc>
      </w:tr>
      <w:tr w:rsidR="00000000">
        <w:tblPrEx>
          <w:tblCellMar>
            <w:top w:w="0" w:type="dxa"/>
            <w:bottom w:w="0" w:type="dxa"/>
          </w:tblCellMar>
        </w:tblPrEx>
        <w:tc>
          <w:tcPr>
            <w:tcW w:w="1723" w:type="dxa"/>
          </w:tcPr>
          <w:p w:rsidR="00000000" w:rsidRDefault="00000000">
            <w:pPr>
              <w:spacing w:line="260" w:lineRule="exact"/>
              <w:jc w:val="both"/>
              <w:rPr>
                <w:rFonts w:ascii="Arial" w:hAnsi="Arial"/>
                <w:sz w:val="22"/>
              </w:rPr>
            </w:pPr>
            <w:r>
              <w:rPr>
                <w:rFonts w:ascii="Arial" w:hAnsi="Arial"/>
                <w:sz w:val="22"/>
              </w:rPr>
              <w:t>ФЛАКСО</w:t>
            </w:r>
          </w:p>
        </w:tc>
        <w:tc>
          <w:tcPr>
            <w:tcW w:w="7333" w:type="dxa"/>
          </w:tcPr>
          <w:p w:rsidR="00000000" w:rsidRDefault="00000000">
            <w:pPr>
              <w:spacing w:line="260" w:lineRule="exact"/>
              <w:rPr>
                <w:rFonts w:ascii="Arial" w:hAnsi="Arial"/>
                <w:sz w:val="22"/>
              </w:rPr>
            </w:pPr>
            <w:r>
              <w:rPr>
                <w:rFonts w:ascii="Arial" w:hAnsi="Arial"/>
                <w:sz w:val="22"/>
              </w:rPr>
              <w:t>Латиноамериканский факультет общественных наук</w:t>
            </w:r>
          </w:p>
        </w:tc>
      </w:tr>
      <w:tr w:rsidR="00000000">
        <w:tblPrEx>
          <w:tblCellMar>
            <w:top w:w="0" w:type="dxa"/>
            <w:bottom w:w="0" w:type="dxa"/>
          </w:tblCellMar>
        </w:tblPrEx>
        <w:tc>
          <w:tcPr>
            <w:tcW w:w="1723" w:type="dxa"/>
          </w:tcPr>
          <w:p w:rsidR="00000000" w:rsidRDefault="00000000">
            <w:pPr>
              <w:spacing w:line="260" w:lineRule="exact"/>
              <w:jc w:val="both"/>
              <w:rPr>
                <w:rFonts w:ascii="Arial" w:hAnsi="Arial"/>
                <w:sz w:val="22"/>
              </w:rPr>
            </w:pPr>
            <w:r>
              <w:rPr>
                <w:rFonts w:ascii="Arial" w:hAnsi="Arial"/>
                <w:sz w:val="22"/>
              </w:rPr>
              <w:t>ФОДЕКО</w:t>
            </w:r>
          </w:p>
        </w:tc>
        <w:tc>
          <w:tcPr>
            <w:tcW w:w="7333" w:type="dxa"/>
          </w:tcPr>
          <w:p w:rsidR="00000000" w:rsidRDefault="00000000">
            <w:pPr>
              <w:spacing w:line="260" w:lineRule="exact"/>
              <w:rPr>
                <w:rFonts w:ascii="Arial" w:hAnsi="Arial"/>
                <w:sz w:val="22"/>
              </w:rPr>
            </w:pPr>
            <w:r>
              <w:rPr>
                <w:rFonts w:ascii="Arial" w:hAnsi="Arial"/>
                <w:sz w:val="22"/>
              </w:rPr>
              <w:t>Фонд общинного развития</w:t>
            </w:r>
          </w:p>
        </w:tc>
      </w:tr>
      <w:tr w:rsidR="00000000">
        <w:tblPrEx>
          <w:tblCellMar>
            <w:top w:w="0" w:type="dxa"/>
            <w:bottom w:w="0" w:type="dxa"/>
          </w:tblCellMar>
        </w:tblPrEx>
        <w:tc>
          <w:tcPr>
            <w:tcW w:w="1723" w:type="dxa"/>
          </w:tcPr>
          <w:p w:rsidR="00000000" w:rsidRDefault="00000000">
            <w:pPr>
              <w:spacing w:line="260" w:lineRule="exact"/>
              <w:jc w:val="both"/>
              <w:rPr>
                <w:rFonts w:ascii="Arial" w:hAnsi="Arial"/>
                <w:sz w:val="22"/>
              </w:rPr>
            </w:pPr>
            <w:r>
              <w:rPr>
                <w:rFonts w:ascii="Arial" w:hAnsi="Arial"/>
                <w:sz w:val="22"/>
              </w:rPr>
              <w:t>ЦБЭ</w:t>
            </w:r>
          </w:p>
        </w:tc>
        <w:tc>
          <w:tcPr>
            <w:tcW w:w="7333" w:type="dxa"/>
          </w:tcPr>
          <w:p w:rsidR="00000000" w:rsidRDefault="00000000">
            <w:pPr>
              <w:spacing w:line="260" w:lineRule="exact"/>
              <w:rPr>
                <w:rFonts w:ascii="Arial" w:hAnsi="Arial"/>
                <w:sz w:val="22"/>
              </w:rPr>
            </w:pPr>
            <w:r>
              <w:rPr>
                <w:rFonts w:ascii="Arial" w:hAnsi="Arial"/>
                <w:sz w:val="22"/>
              </w:rPr>
              <w:t>Центральный банк Эквадора</w:t>
            </w:r>
          </w:p>
        </w:tc>
      </w:tr>
      <w:tr w:rsidR="00000000">
        <w:tblPrEx>
          <w:tblCellMar>
            <w:top w:w="0" w:type="dxa"/>
            <w:bottom w:w="0" w:type="dxa"/>
          </w:tblCellMar>
        </w:tblPrEx>
        <w:tc>
          <w:tcPr>
            <w:tcW w:w="1723" w:type="dxa"/>
          </w:tcPr>
          <w:p w:rsidR="00000000" w:rsidRDefault="00000000">
            <w:pPr>
              <w:spacing w:line="260" w:lineRule="exact"/>
              <w:jc w:val="both"/>
              <w:rPr>
                <w:rFonts w:ascii="Arial" w:hAnsi="Arial"/>
                <w:sz w:val="22"/>
              </w:rPr>
            </w:pPr>
            <w:r>
              <w:rPr>
                <w:rFonts w:ascii="Arial" w:hAnsi="Arial"/>
                <w:sz w:val="22"/>
              </w:rPr>
              <w:t>ЭАН</w:t>
            </w:r>
          </w:p>
        </w:tc>
        <w:tc>
          <w:tcPr>
            <w:tcW w:w="7333" w:type="dxa"/>
          </w:tcPr>
          <w:p w:rsidR="00000000" w:rsidRDefault="00000000">
            <w:pPr>
              <w:spacing w:line="260" w:lineRule="exact"/>
              <w:rPr>
                <w:rFonts w:ascii="Arial" w:hAnsi="Arial"/>
                <w:sz w:val="22"/>
              </w:rPr>
            </w:pPr>
            <w:r>
              <w:rPr>
                <w:rFonts w:ascii="Arial" w:hAnsi="Arial"/>
                <w:sz w:val="22"/>
              </w:rPr>
              <w:t>экономически активное население</w:t>
            </w:r>
          </w:p>
        </w:tc>
      </w:tr>
      <w:tr w:rsidR="00000000">
        <w:tblPrEx>
          <w:tblCellMar>
            <w:top w:w="0" w:type="dxa"/>
            <w:bottom w:w="0" w:type="dxa"/>
          </w:tblCellMar>
        </w:tblPrEx>
        <w:tc>
          <w:tcPr>
            <w:tcW w:w="1723" w:type="dxa"/>
          </w:tcPr>
          <w:p w:rsidR="00000000" w:rsidRDefault="00000000">
            <w:pPr>
              <w:spacing w:line="260" w:lineRule="exact"/>
              <w:jc w:val="both"/>
              <w:rPr>
                <w:rFonts w:ascii="Arial" w:hAnsi="Arial"/>
                <w:sz w:val="22"/>
              </w:rPr>
            </w:pPr>
            <w:r>
              <w:rPr>
                <w:rFonts w:ascii="Arial" w:hAnsi="Arial"/>
                <w:sz w:val="22"/>
              </w:rPr>
              <w:t>ЭКВ</w:t>
            </w:r>
          </w:p>
        </w:tc>
        <w:tc>
          <w:tcPr>
            <w:tcW w:w="7333" w:type="dxa"/>
          </w:tcPr>
          <w:p w:rsidR="00000000" w:rsidRDefault="00000000">
            <w:pPr>
              <w:spacing w:line="260" w:lineRule="exact"/>
              <w:rPr>
                <w:rFonts w:ascii="Arial" w:hAnsi="Arial"/>
                <w:sz w:val="22"/>
              </w:rPr>
            </w:pPr>
            <w:r>
              <w:rPr>
                <w:rFonts w:ascii="Arial" w:hAnsi="Arial"/>
                <w:sz w:val="22"/>
              </w:rPr>
              <w:t>опрос по условиям жизни</w:t>
            </w:r>
          </w:p>
        </w:tc>
      </w:tr>
      <w:tr w:rsidR="00000000">
        <w:tblPrEx>
          <w:tblCellMar>
            <w:top w:w="0" w:type="dxa"/>
            <w:bottom w:w="0" w:type="dxa"/>
          </w:tblCellMar>
        </w:tblPrEx>
        <w:tc>
          <w:tcPr>
            <w:tcW w:w="1723" w:type="dxa"/>
          </w:tcPr>
          <w:p w:rsidR="00000000" w:rsidRDefault="00000000">
            <w:pPr>
              <w:spacing w:line="260" w:lineRule="exact"/>
              <w:jc w:val="both"/>
              <w:rPr>
                <w:rFonts w:ascii="Arial" w:hAnsi="Arial"/>
                <w:sz w:val="22"/>
              </w:rPr>
            </w:pPr>
            <w:r>
              <w:rPr>
                <w:rFonts w:ascii="Arial" w:hAnsi="Arial"/>
                <w:sz w:val="22"/>
              </w:rPr>
              <w:t>ЮНИСЕФ</w:t>
            </w:r>
          </w:p>
        </w:tc>
        <w:tc>
          <w:tcPr>
            <w:tcW w:w="7333" w:type="dxa"/>
          </w:tcPr>
          <w:p w:rsidR="00000000" w:rsidRDefault="00000000">
            <w:pPr>
              <w:spacing w:line="260" w:lineRule="exact"/>
              <w:rPr>
                <w:rFonts w:ascii="Arial" w:hAnsi="Arial"/>
                <w:sz w:val="22"/>
              </w:rPr>
            </w:pPr>
            <w:r>
              <w:rPr>
                <w:rFonts w:ascii="Arial" w:hAnsi="Arial"/>
                <w:sz w:val="22"/>
              </w:rPr>
              <w:t>Детский фонд Организации Объединенный Наций</w:t>
            </w:r>
          </w:p>
        </w:tc>
      </w:tr>
      <w:tr w:rsidR="00000000">
        <w:tblPrEx>
          <w:tblCellMar>
            <w:top w:w="0" w:type="dxa"/>
            <w:bottom w:w="0" w:type="dxa"/>
          </w:tblCellMar>
        </w:tblPrEx>
        <w:tc>
          <w:tcPr>
            <w:tcW w:w="1723" w:type="dxa"/>
          </w:tcPr>
          <w:p w:rsidR="00000000" w:rsidRDefault="00000000">
            <w:pPr>
              <w:spacing w:line="260" w:lineRule="exact"/>
              <w:jc w:val="both"/>
              <w:rPr>
                <w:rFonts w:ascii="Arial" w:hAnsi="Arial"/>
                <w:sz w:val="22"/>
              </w:rPr>
            </w:pPr>
            <w:r>
              <w:rPr>
                <w:rFonts w:ascii="Arial" w:hAnsi="Arial"/>
                <w:sz w:val="22"/>
              </w:rPr>
              <w:t>ЮНИФЕМ</w:t>
            </w:r>
          </w:p>
        </w:tc>
        <w:tc>
          <w:tcPr>
            <w:tcW w:w="7333" w:type="dxa"/>
          </w:tcPr>
          <w:p w:rsidR="00000000" w:rsidRDefault="00000000">
            <w:pPr>
              <w:spacing w:line="260" w:lineRule="exact"/>
              <w:rPr>
                <w:rFonts w:ascii="Arial" w:hAnsi="Arial"/>
                <w:sz w:val="22"/>
              </w:rPr>
            </w:pPr>
            <w:r>
              <w:rPr>
                <w:rFonts w:ascii="Arial" w:hAnsi="Arial"/>
                <w:sz w:val="22"/>
              </w:rPr>
              <w:t>Фонд Организации Объединенных Наций для развития в интересах женщин</w:t>
            </w:r>
          </w:p>
        </w:tc>
      </w:tr>
    </w:tbl>
    <w:p w:rsidR="00000000" w:rsidRDefault="00000000">
      <w:pPr>
        <w:spacing w:after="240" w:line="260" w:lineRule="exact"/>
        <w:jc w:val="both"/>
        <w:rPr>
          <w:rFonts w:ascii="Arial" w:hAnsi="Arial"/>
          <w:sz w:val="22"/>
        </w:rPr>
      </w:pPr>
    </w:p>
    <w:p w:rsidR="00000000" w:rsidRDefault="00000000">
      <w:pPr>
        <w:spacing w:after="240" w:line="260" w:lineRule="exact"/>
        <w:jc w:val="both"/>
        <w:rPr>
          <w:rFonts w:ascii="Arial" w:hAnsi="Arial"/>
          <w:b/>
        </w:rPr>
      </w:pPr>
      <w:r>
        <w:rPr>
          <w:rFonts w:ascii="Arial" w:hAnsi="Arial"/>
          <w:b/>
        </w:rPr>
        <w:t>Сотрудники, участвовавшие в подготовке и составлении доклада, а также в проверке сведений:</w:t>
      </w:r>
    </w:p>
    <w:p w:rsidR="00000000" w:rsidRDefault="00000000">
      <w:pPr>
        <w:spacing w:line="260" w:lineRule="exact"/>
        <w:jc w:val="both"/>
        <w:rPr>
          <w:rFonts w:ascii="Arial" w:hAnsi="Arial"/>
          <w:sz w:val="22"/>
        </w:rPr>
      </w:pPr>
      <w:r>
        <w:rPr>
          <w:rFonts w:ascii="Arial" w:hAnsi="Arial"/>
          <w:sz w:val="22"/>
        </w:rPr>
        <w:t>Ванесса Ньето, Министерство труда и людских ресурсов</w:t>
      </w:r>
    </w:p>
    <w:p w:rsidR="00000000" w:rsidRDefault="00000000">
      <w:pPr>
        <w:spacing w:line="260" w:lineRule="exact"/>
        <w:jc w:val="both"/>
        <w:rPr>
          <w:rFonts w:ascii="Arial" w:hAnsi="Arial"/>
          <w:sz w:val="22"/>
        </w:rPr>
      </w:pPr>
      <w:r>
        <w:rPr>
          <w:rFonts w:ascii="Arial" w:hAnsi="Arial"/>
          <w:sz w:val="22"/>
        </w:rPr>
        <w:t>Мария Эухения Санчес, Министерство социального обеспечения</w:t>
      </w:r>
    </w:p>
    <w:p w:rsidR="00000000" w:rsidRDefault="00000000">
      <w:pPr>
        <w:spacing w:line="260" w:lineRule="exact"/>
        <w:jc w:val="both"/>
        <w:rPr>
          <w:rFonts w:ascii="Arial" w:hAnsi="Arial"/>
          <w:sz w:val="22"/>
        </w:rPr>
      </w:pPr>
      <w:r>
        <w:rPr>
          <w:rFonts w:ascii="Arial" w:hAnsi="Arial"/>
          <w:sz w:val="22"/>
        </w:rPr>
        <w:t>Мария Фернандес Навас, Национальный совет по делам женщин</w:t>
      </w:r>
    </w:p>
    <w:p w:rsidR="00000000" w:rsidRDefault="00000000">
      <w:pPr>
        <w:spacing w:after="240" w:line="260" w:lineRule="exact"/>
        <w:jc w:val="both"/>
        <w:rPr>
          <w:rFonts w:ascii="Arial" w:hAnsi="Arial"/>
          <w:sz w:val="22"/>
        </w:rPr>
      </w:pPr>
      <w:r>
        <w:rPr>
          <w:rFonts w:ascii="Arial" w:hAnsi="Arial"/>
          <w:sz w:val="22"/>
        </w:rPr>
        <w:t>Моника Мартинес, Министерство иностранных дел</w:t>
      </w:r>
    </w:p>
    <w:p w:rsidR="00000000" w:rsidRDefault="00000000">
      <w:pPr>
        <w:autoSpaceDE w:val="0"/>
        <w:autoSpaceDN w:val="0"/>
        <w:adjustRightInd w:val="0"/>
        <w:spacing w:after="240" w:line="260" w:lineRule="exact"/>
        <w:jc w:val="both"/>
        <w:rPr>
          <w:rFonts w:ascii="Arial" w:hAnsi="Arial"/>
          <w:sz w:val="22"/>
        </w:rPr>
      </w:pPr>
    </w:p>
    <w:p w:rsidR="00000000" w:rsidRDefault="00000000">
      <w:pPr>
        <w:pStyle w:val="BodyText"/>
        <w:pBdr>
          <w:bottom w:val="single" w:sz="4" w:space="1" w:color="auto"/>
        </w:pBdr>
        <w:ind w:left="3402" w:right="3402"/>
        <w:jc w:val="center"/>
      </w:pPr>
    </w:p>
    <w:sectPr w:rsidR="00000000">
      <w:footerReference w:type="default" r:id="rId10"/>
      <w:footerReference w:type="first" r:id="rId11"/>
      <w:pgSz w:w="12242" w:h="15842" w:code="1"/>
      <w:pgMar w:top="1418" w:right="1701" w:bottom="1701" w:left="1701" w:header="709" w:footer="907"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DGAACS User" w:initials="DU">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w:t>
      </w:r>
      <w:r>
        <w:rPr>
          <w:lang w:val="en-US"/>
        </w:rPr>
        <w:t>0223193</w:t>
      </w:r>
      <w:r>
        <w:t>R&lt;&lt;ODS JOB NO&gt;&gt;</w:t>
      </w:r>
    </w:p>
    <w:p w:rsidR="00000000" w:rsidRDefault="00000000">
      <w:pPr>
        <w:pStyle w:val="CommentText"/>
      </w:pPr>
      <w:r>
        <w:t>&lt;&lt;ODS DOC SYMBOL1&gt;&gt;</w:t>
      </w:r>
      <w:r>
        <w:rPr>
          <w:lang w:val="en-US"/>
        </w:rPr>
        <w:t>CEDAW/C/ECU/4-5</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0"/>
        <w:lang w:val="en-US"/>
      </w:rPr>
    </w:pPr>
    <w:r>
      <w:rPr>
        <w:sz w:val="20"/>
        <w:lang w:val="en-US"/>
      </w:rPr>
      <w:t>02-23193.R</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center"/>
      <w:rPr>
        <w:rFonts w:ascii="Arial" w:hAnsi="Arial"/>
        <w:sz w:val="22"/>
      </w:rPr>
    </w:pPr>
    <w:r>
      <w:rPr>
        <w:rStyle w:val="PageNumber"/>
        <w:rFonts w:ascii="Arial" w:hAnsi="Arial"/>
        <w:sz w:val="22"/>
      </w:rPr>
      <w:fldChar w:fldCharType="begin"/>
    </w:r>
    <w:r>
      <w:rPr>
        <w:rStyle w:val="PageNumber"/>
        <w:rFonts w:ascii="Arial" w:hAnsi="Arial"/>
        <w:sz w:val="22"/>
      </w:rPr>
      <w:instrText xml:space="preserve"> PAGE </w:instrText>
    </w:r>
    <w:r>
      <w:rPr>
        <w:rStyle w:val="PageNumber"/>
        <w:rFonts w:ascii="Arial" w:hAnsi="Arial"/>
        <w:sz w:val="22"/>
      </w:rPr>
      <w:fldChar w:fldCharType="separate"/>
    </w:r>
    <w:r>
      <w:rPr>
        <w:rStyle w:val="PageNumber"/>
        <w:rFonts w:ascii="Arial" w:hAnsi="Arial"/>
        <w:noProof/>
        <w:sz w:val="22"/>
      </w:rPr>
      <w:t>64</w:t>
    </w:r>
    <w:r>
      <w:rPr>
        <w:rStyle w:val="PageNumber"/>
        <w:rFonts w:ascii="Arial" w:hAnsi="Arial"/>
        <w:sz w:val="22"/>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0"/>
        <w:lang w:val="en-US"/>
      </w:rPr>
    </w:pPr>
    <w:r>
      <w:rPr>
        <w:sz w:val="20"/>
        <w:lang w:val="en-US"/>
      </w:rPr>
      <w:t>02-23193.R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sz w:val="20"/>
          <w:lang w:val="ru-RU"/>
        </w:rPr>
        <w:t>*</w:t>
      </w:r>
      <w:r>
        <w:rPr>
          <w:lang w:val="ru-RU"/>
        </w:rPr>
        <w:t xml:space="preserve"> Первоначальный доклад, представленный правительством Эквадора и рассмотренный на пятой сессии Комитета, см. </w:t>
      </w:r>
      <w:r>
        <w:rPr>
          <w:lang w:val="en-US"/>
        </w:rPr>
        <w:t xml:space="preserve">CEDAW/C/5/Add.23. </w:t>
      </w:r>
      <w:r>
        <w:rPr>
          <w:lang w:val="ru-RU"/>
        </w:rPr>
        <w:t xml:space="preserve">Второй периодический доклад, представленный правительством Эквадора и рассмотренный на тринадцатой сессии Комитета, см. </w:t>
      </w:r>
      <w:r>
        <w:rPr>
          <w:lang w:val="en-US"/>
        </w:rPr>
        <w:t xml:space="preserve">CEDAW/C/13/Add.31. </w:t>
      </w:r>
      <w:r>
        <w:rPr>
          <w:lang w:val="ru-RU"/>
        </w:rPr>
        <w:t xml:space="preserve">Третий периодический доклад, представленный правительством Эквадора и рассмотренный на тринадцатой сессии Комитета, см. </w:t>
      </w:r>
      <w:r>
        <w:t>CEDAW/C/ECU/3.</w:t>
      </w:r>
    </w:p>
  </w:footnote>
  <w:footnote w:id="2">
    <w:p w:rsidR="00000000" w:rsidRDefault="00000000">
      <w:pPr>
        <w:pStyle w:val="FootnoteText"/>
        <w:rPr>
          <w:lang w:val="en-US"/>
        </w:rPr>
      </w:pPr>
      <w:r>
        <w:rPr>
          <w:rStyle w:val="FootnoteReference"/>
        </w:rPr>
        <w:footnoteRef/>
      </w:r>
      <w:r>
        <w:rPr>
          <w:lang w:val="en-US"/>
        </w:rPr>
        <w:tab/>
      </w:r>
      <w:r>
        <w:t>Instituto Nacional de Estadísticas y Censos, 2000</w:t>
      </w:r>
      <w:r>
        <w:rPr>
          <w:lang w:val="en-US"/>
        </w:rPr>
        <w:t>.</w:t>
      </w:r>
    </w:p>
  </w:footnote>
  <w:footnote w:id="3">
    <w:p w:rsidR="00000000" w:rsidRDefault="00000000">
      <w:pPr>
        <w:pStyle w:val="FootnoteText"/>
        <w:rPr>
          <w:lang w:val="en-US"/>
        </w:rPr>
      </w:pPr>
      <w:r>
        <w:rPr>
          <w:rStyle w:val="FootnoteReference"/>
        </w:rPr>
        <w:footnoteRef/>
      </w:r>
      <w:r>
        <w:rPr>
          <w:lang w:val="en-US"/>
        </w:rPr>
        <w:tab/>
        <w:t>Ibid.</w:t>
      </w:r>
    </w:p>
  </w:footnote>
  <w:footnote w:id="4">
    <w:p w:rsidR="00000000" w:rsidRDefault="00000000">
      <w:pPr>
        <w:pStyle w:val="FootnoteText"/>
        <w:rPr>
          <w:lang w:val="en-US"/>
        </w:rPr>
      </w:pPr>
      <w:r>
        <w:rPr>
          <w:rStyle w:val="FootnoteReference"/>
        </w:rPr>
        <w:footnoteRef/>
      </w:r>
      <w:r>
        <w:rPr>
          <w:lang w:val="en-US"/>
        </w:rPr>
        <w:tab/>
        <w:t>Ibid.</w:t>
      </w:r>
    </w:p>
  </w:footnote>
  <w:footnote w:id="5">
    <w:p w:rsidR="00000000" w:rsidRDefault="00000000">
      <w:pPr>
        <w:pStyle w:val="FootnoteText"/>
      </w:pPr>
      <w:r>
        <w:rPr>
          <w:rStyle w:val="FootnoteReference"/>
        </w:rPr>
        <w:footnoteRef/>
      </w:r>
      <w:r>
        <w:tab/>
        <w:t xml:space="preserve">CONAMU e IMEC. “Mujeres y Hombres del Ecuador en </w:t>
      </w:r>
      <w:r>
        <w:rPr>
          <w:caps/>
        </w:rPr>
        <w:t>c</w:t>
      </w:r>
      <w:r>
        <w:t>ifras”, 1999</w:t>
      </w:r>
      <w:r>
        <w:rPr>
          <w:lang w:val="en-US"/>
        </w:rPr>
        <w:t xml:space="preserve">, </w:t>
      </w:r>
      <w:r>
        <w:t>pág. 9.</w:t>
      </w:r>
    </w:p>
  </w:footnote>
  <w:footnote w:id="6">
    <w:p w:rsidR="00000000" w:rsidRDefault="00000000">
      <w:pPr>
        <w:pStyle w:val="FootnoteText"/>
        <w:rPr>
          <w:lang w:val="en-US"/>
        </w:rPr>
      </w:pPr>
      <w:r>
        <w:rPr>
          <w:rStyle w:val="FootnoteReference"/>
        </w:rPr>
        <w:footnoteRef/>
      </w:r>
      <w:r>
        <w:rPr>
          <w:lang w:val="en-US"/>
        </w:rPr>
        <w:tab/>
      </w:r>
      <w:r>
        <w:t>Banco Central del Ecuador, Sistema de Información Económica, 1999</w:t>
      </w:r>
      <w:r>
        <w:rPr>
          <w:lang w:val="en-US"/>
        </w:rPr>
        <w:t>.</w:t>
      </w:r>
    </w:p>
  </w:footnote>
  <w:footnote w:id="7">
    <w:p w:rsidR="00000000" w:rsidRDefault="00000000">
      <w:pPr>
        <w:pStyle w:val="FootnoteText"/>
        <w:rPr>
          <w:lang w:val="en-US"/>
        </w:rPr>
      </w:pPr>
      <w:r>
        <w:rPr>
          <w:rStyle w:val="FootnoteReference"/>
        </w:rPr>
        <w:footnoteRef/>
      </w:r>
      <w:r>
        <w:rPr>
          <w:lang w:val="en-US"/>
        </w:rPr>
        <w:tab/>
        <w:t>Ibid.</w:t>
      </w:r>
    </w:p>
  </w:footnote>
  <w:footnote w:id="8">
    <w:p w:rsidR="00000000" w:rsidRDefault="00000000">
      <w:pPr>
        <w:pStyle w:val="FootnoteText"/>
        <w:rPr>
          <w:lang w:val="en-US"/>
        </w:rPr>
      </w:pPr>
      <w:r>
        <w:rPr>
          <w:rStyle w:val="FootnoteReference"/>
        </w:rPr>
        <w:footnoteRef/>
      </w:r>
      <w:r>
        <w:rPr>
          <w:lang w:val="en-US"/>
        </w:rPr>
        <w:tab/>
      </w:r>
      <w:r>
        <w:t>SIISE, Sistema Integrado de Indicadores Sociales, 1999</w:t>
      </w:r>
      <w:r>
        <w:rPr>
          <w:lang w:val="en-US"/>
        </w:rPr>
        <w:t>.</w:t>
      </w:r>
    </w:p>
  </w:footnote>
  <w:footnote w:id="9">
    <w:p w:rsidR="00000000" w:rsidRDefault="00000000">
      <w:pPr>
        <w:pStyle w:val="FootnoteText"/>
        <w:rPr>
          <w:lang w:val="en-US"/>
        </w:rPr>
      </w:pPr>
      <w:r>
        <w:rPr>
          <w:rStyle w:val="FootnoteReference"/>
        </w:rPr>
        <w:footnoteRef/>
      </w:r>
      <w:r>
        <w:rPr>
          <w:lang w:val="en-US"/>
        </w:rPr>
        <w:tab/>
      </w:r>
      <w:r>
        <w:t>Tribunal Supremo Electoral, 1999</w:t>
      </w:r>
      <w:r>
        <w:rPr>
          <w:lang w:val="en-US"/>
        </w:rPr>
        <w:t>.</w:t>
      </w:r>
    </w:p>
  </w:footnote>
  <w:footnote w:id="10">
    <w:p w:rsidR="00000000" w:rsidRDefault="00000000">
      <w:pPr>
        <w:pStyle w:val="FootnoteText"/>
      </w:pPr>
      <w:r>
        <w:rPr>
          <w:rStyle w:val="FootnoteReference"/>
        </w:rPr>
        <w:footnoteRef/>
      </w:r>
      <w:r>
        <w:rPr>
          <w:lang w:val="en-US"/>
        </w:rPr>
        <w:tab/>
      </w:r>
      <w:r>
        <w:t>SINEC</w:t>
      </w:r>
      <w:r>
        <w:rPr>
          <w:lang w:val="en-US"/>
        </w:rPr>
        <w:t>,</w:t>
      </w:r>
      <w:r>
        <w:t xml:space="preserve"> Boletín Estadístico</w:t>
      </w:r>
      <w:r>
        <w:rPr>
          <w:lang w:val="en-US"/>
        </w:rPr>
        <w:t>,</w:t>
      </w:r>
      <w:r>
        <w:t xml:space="preserve"> Año Lectivo 1996-1997</w:t>
      </w:r>
      <w:r>
        <w:rPr>
          <w:lang w:val="en-US"/>
        </w:rPr>
        <w:t>,</w:t>
      </w:r>
      <w:r>
        <w:t xml:space="preserve"> No.</w:t>
      </w:r>
      <w:r>
        <w:rPr>
          <w:lang w:val="en-US"/>
        </w:rPr>
        <w:t xml:space="preserve"> </w:t>
      </w:r>
      <w:r>
        <w:t>8</w:t>
      </w:r>
      <w:r>
        <w:rPr>
          <w:lang w:val="en-US"/>
        </w:rPr>
        <w:t>,</w:t>
      </w:r>
      <w:r>
        <w:t xml:space="preserve"> MEC.</w:t>
      </w:r>
    </w:p>
  </w:footnote>
  <w:footnote w:id="11">
    <w:p w:rsidR="00000000" w:rsidRDefault="00000000">
      <w:pPr>
        <w:pStyle w:val="FootnoteText"/>
        <w:rPr>
          <w:lang w:val="ru-RU"/>
        </w:rPr>
      </w:pPr>
      <w:r>
        <w:rPr>
          <w:rStyle w:val="FootnoteReference"/>
        </w:rPr>
        <w:footnoteRef/>
      </w:r>
      <w:r>
        <w:rPr>
          <w:lang w:val="ru-RU"/>
        </w:rPr>
        <w:tab/>
      </w:r>
      <w:r>
        <w:rPr>
          <w:caps/>
          <w:lang w:val="ru-RU"/>
        </w:rPr>
        <w:t xml:space="preserve">коденпЭ </w:t>
      </w:r>
      <w:r>
        <w:rPr>
          <w:lang w:val="ru-RU"/>
        </w:rPr>
        <w:t>представляет собой орган, ответственный за планирование развития народностей и народов Эквадора. Он был создан Декретом № 386, который был обнародован в № 86 "Рехистро офисиаль" от 11 декабря 1998 года.</w:t>
      </w:r>
    </w:p>
  </w:footnote>
  <w:footnote w:id="12">
    <w:p w:rsidR="00000000" w:rsidRDefault="00000000">
      <w:pPr>
        <w:pStyle w:val="FootnoteText"/>
        <w:rPr>
          <w:lang w:val="en-US"/>
        </w:rPr>
      </w:pPr>
      <w:r>
        <w:rPr>
          <w:rStyle w:val="FootnoteReference"/>
        </w:rPr>
        <w:footnoteRef/>
      </w:r>
      <w:r>
        <w:rPr>
          <w:lang w:val="en-US"/>
        </w:rPr>
        <w:tab/>
      </w:r>
      <w:r>
        <w:t>Situación de los Niños, Adolescencia y Mujer en el Ecuador, UNICEF Ecuador, 1999-2003.</w:t>
      </w:r>
    </w:p>
  </w:footnote>
  <w:footnote w:id="13">
    <w:p w:rsidR="00000000" w:rsidRDefault="00000000">
      <w:pPr>
        <w:pStyle w:val="FootnoteText"/>
        <w:rPr>
          <w:lang w:val="en-US"/>
        </w:rPr>
      </w:pPr>
      <w:r>
        <w:rPr>
          <w:rStyle w:val="FootnoteReference"/>
        </w:rPr>
        <w:footnoteRef/>
      </w:r>
      <w:r>
        <w:tab/>
      </w:r>
      <w:r>
        <w:rPr>
          <w:lang w:val="en-US"/>
        </w:rPr>
        <w:t>Ibid.</w:t>
      </w:r>
    </w:p>
  </w:footnote>
  <w:footnote w:id="14">
    <w:p w:rsidR="00000000" w:rsidRDefault="00000000">
      <w:pPr>
        <w:pStyle w:val="FootnoteText"/>
      </w:pPr>
      <w:r>
        <w:rPr>
          <w:rStyle w:val="FootnoteReference"/>
        </w:rPr>
        <w:footnoteRef/>
      </w:r>
      <w:r>
        <w:tab/>
        <w:t>"Prevención del VIH entre Trabajadoras Sexuales", Ministerio de Salud Pública, 1999.</w:t>
      </w:r>
    </w:p>
  </w:footnote>
  <w:footnote w:id="15">
    <w:p w:rsidR="00000000" w:rsidRDefault="00000000">
      <w:pPr>
        <w:pStyle w:val="FootnoteText"/>
      </w:pPr>
      <w:r>
        <w:rPr>
          <w:rStyle w:val="FootnoteReference"/>
        </w:rPr>
        <w:footnoteRef/>
      </w:r>
      <w:r>
        <w:rPr>
          <w:lang w:val="en-US"/>
        </w:rPr>
        <w:tab/>
      </w:r>
      <w:r>
        <w:t>Centro de Orientación Juvenil “Virgilio Guerrero” del Ministerio de Bienestar Social, Revista El Amigo, estadística 1998</w:t>
      </w:r>
      <w:r>
        <w:rPr>
          <w:lang w:val="en-US"/>
        </w:rPr>
        <w:t>,</w:t>
      </w:r>
      <w:r>
        <w:t xml:space="preserve"> No. 25, 1999, dirigida por los Religiosos Terciarios Capuchinos.</w:t>
      </w:r>
    </w:p>
  </w:footnote>
  <w:footnote w:id="16">
    <w:p w:rsidR="00000000" w:rsidRDefault="00000000">
      <w:pPr>
        <w:pStyle w:val="FootnoteText"/>
        <w:rPr>
          <w:lang w:val="en-US"/>
        </w:rPr>
      </w:pPr>
      <w:r>
        <w:rPr>
          <w:rStyle w:val="FootnoteReference"/>
        </w:rPr>
        <w:footnoteRef/>
      </w:r>
      <w:r>
        <w:rPr>
          <w:lang w:val="en-US"/>
        </w:rPr>
        <w:tab/>
      </w:r>
      <w:r>
        <w:t>CONAMU e INEC, Mujeres y Hombres del Ecuador en Cifras, 1999, pág. 59.</w:t>
      </w:r>
    </w:p>
  </w:footnote>
  <w:footnote w:id="17">
    <w:p w:rsidR="00000000" w:rsidRDefault="00000000">
      <w:pPr>
        <w:pStyle w:val="FootnoteText"/>
      </w:pPr>
      <w:r>
        <w:rPr>
          <w:rStyle w:val="FootnoteReference"/>
        </w:rPr>
        <w:footnoteRef/>
      </w:r>
      <w:r>
        <w:rPr>
          <w:lang w:val="en-US"/>
        </w:rPr>
        <w:tab/>
      </w:r>
      <w:r>
        <w:t>Dirección General de Recursos Humanos del Ministerio de Relaciones Exteriores.</w:t>
      </w:r>
    </w:p>
  </w:footnote>
  <w:footnote w:id="18">
    <w:p w:rsidR="00000000" w:rsidRDefault="00000000">
      <w:pPr>
        <w:pStyle w:val="FootnoteText"/>
      </w:pPr>
      <w:r>
        <w:rPr>
          <w:rStyle w:val="FootnoteReference"/>
        </w:rPr>
        <w:footnoteRef/>
      </w:r>
      <w:r>
        <w:rPr>
          <w:lang w:val="en-US"/>
        </w:rPr>
        <w:tab/>
        <w:t>Ibid.</w:t>
      </w:r>
    </w:p>
  </w:footnote>
  <w:footnote w:id="19">
    <w:p w:rsidR="00000000" w:rsidRDefault="00000000">
      <w:pPr>
        <w:pStyle w:val="FootnoteText"/>
      </w:pPr>
      <w:r>
        <w:rPr>
          <w:rStyle w:val="FootnoteReference"/>
        </w:rPr>
        <w:footnoteRef/>
      </w:r>
      <w:r>
        <w:rPr>
          <w:lang w:val="en-US"/>
        </w:rPr>
        <w:tab/>
      </w:r>
      <w:r>
        <w:t>SINEC, Boletín Estadístico, año lectivo 1996-1997, No. 8, Ministerio de Educación y Cultura</w:t>
      </w:r>
      <w:r>
        <w:rPr>
          <w:lang w:val="en-US"/>
        </w:rPr>
        <w:t>,</w:t>
      </w:r>
      <w:r>
        <w:t xml:space="preserve"> MEC.</w:t>
      </w:r>
    </w:p>
  </w:footnote>
  <w:footnote w:id="20">
    <w:p w:rsidR="00000000" w:rsidRDefault="00000000">
      <w:pPr>
        <w:pStyle w:val="FootnoteText"/>
      </w:pPr>
      <w:r>
        <w:rPr>
          <w:rStyle w:val="FootnoteReference"/>
        </w:rPr>
        <w:footnoteRef/>
      </w:r>
      <w:r>
        <w:tab/>
        <w:t xml:space="preserve">Propuesta consensuada de la </w:t>
      </w:r>
      <w:r>
        <w:rPr>
          <w:caps/>
        </w:rPr>
        <w:t>r</w:t>
      </w:r>
      <w:r>
        <w:t>eforma Curricular para la Educación Básica, 1996, MEC.</w:t>
      </w:r>
    </w:p>
  </w:footnote>
  <w:footnote w:id="21">
    <w:p w:rsidR="00000000" w:rsidRDefault="00000000">
      <w:pPr>
        <w:pStyle w:val="FootnoteText"/>
      </w:pPr>
      <w:r>
        <w:rPr>
          <w:rStyle w:val="FootnoteReference"/>
        </w:rPr>
        <w:footnoteRef/>
      </w:r>
      <w:r>
        <w:rPr>
          <w:lang w:val="en-US"/>
        </w:rPr>
        <w:tab/>
      </w:r>
      <w:r>
        <w:t xml:space="preserve">Propuesta consensuada de la </w:t>
      </w:r>
      <w:r>
        <w:rPr>
          <w:caps/>
        </w:rPr>
        <w:t>r</w:t>
      </w:r>
      <w:r>
        <w:t>eforma Curricular para la Educación Básica, 1996, MEC.</w:t>
      </w:r>
    </w:p>
  </w:footnote>
  <w:footnote w:id="22">
    <w:p w:rsidR="00000000" w:rsidRDefault="00000000">
      <w:pPr>
        <w:pStyle w:val="FootnoteText"/>
        <w:rPr>
          <w:lang w:val="en-US"/>
        </w:rPr>
      </w:pPr>
      <w:r>
        <w:rPr>
          <w:rStyle w:val="FootnoteReference"/>
        </w:rPr>
        <w:footnoteRef/>
      </w:r>
      <w:r>
        <w:rPr>
          <w:lang w:val="en-US"/>
        </w:rPr>
        <w:tab/>
      </w:r>
      <w:r>
        <w:t>CONAMU e INEC, Mujeres y Hombres del Ecuador en Cifras, 1999</w:t>
      </w:r>
      <w:r>
        <w:rPr>
          <w:lang w:val="en-US"/>
        </w:rPr>
        <w:t>.</w:t>
      </w:r>
    </w:p>
  </w:footnote>
  <w:footnote w:id="23">
    <w:p w:rsidR="00000000" w:rsidRDefault="00000000">
      <w:pPr>
        <w:pStyle w:val="FootnoteText"/>
        <w:rPr>
          <w:lang w:val="en-US"/>
        </w:rPr>
      </w:pPr>
      <w:r>
        <w:rPr>
          <w:rStyle w:val="FootnoteReference"/>
        </w:rPr>
        <w:footnoteRef/>
      </w:r>
      <w:r>
        <w:rPr>
          <w:lang w:val="en-US"/>
        </w:rPr>
        <w:tab/>
        <w:t>Ibid.</w:t>
      </w:r>
    </w:p>
  </w:footnote>
  <w:footnote w:id="24">
    <w:p w:rsidR="00000000" w:rsidRDefault="00000000">
      <w:pPr>
        <w:pStyle w:val="FootnoteText"/>
        <w:rPr>
          <w:lang w:val="en-US"/>
        </w:rPr>
      </w:pPr>
      <w:r>
        <w:rPr>
          <w:rStyle w:val="FootnoteReference"/>
        </w:rPr>
        <w:footnoteRef/>
      </w:r>
      <w:r>
        <w:rPr>
          <w:lang w:val="en-US"/>
        </w:rPr>
        <w:t xml:space="preserve"> Ibid.</w:t>
      </w:r>
    </w:p>
  </w:footnote>
  <w:footnote w:id="25">
    <w:p w:rsidR="00000000" w:rsidRDefault="00000000">
      <w:pPr>
        <w:pStyle w:val="FootnoteText"/>
      </w:pPr>
      <w:r>
        <w:rPr>
          <w:rStyle w:val="FootnoteReference"/>
        </w:rPr>
        <w:footnoteRef/>
      </w:r>
      <w:r>
        <w:t xml:space="preserve"> </w:t>
      </w:r>
      <w:r>
        <w:rPr>
          <w:lang w:val="en-US"/>
        </w:rPr>
        <w:t>Ibid.</w:t>
      </w:r>
    </w:p>
  </w:footnote>
  <w:footnote w:id="26">
    <w:p w:rsidR="00000000" w:rsidRDefault="00000000">
      <w:pPr>
        <w:pStyle w:val="FootnoteText"/>
      </w:pPr>
      <w:r>
        <w:rPr>
          <w:rStyle w:val="FootnoteReference"/>
        </w:rPr>
        <w:footnoteRef/>
      </w:r>
      <w:r>
        <w:rPr>
          <w:lang w:val="en-US"/>
        </w:rPr>
        <w:tab/>
      </w:r>
      <w:r>
        <w:t>SINEC, Bo</w:t>
      </w:r>
      <w:r>
        <w:rPr>
          <w:lang w:val="en-US"/>
        </w:rPr>
        <w:t>l</w:t>
      </w:r>
      <w:r>
        <w:t>etín Estadístico, año lectivo 1996-1997, No. 8, MEC.</w:t>
      </w:r>
    </w:p>
  </w:footnote>
  <w:footnote w:id="27">
    <w:p w:rsidR="00000000" w:rsidRDefault="00000000">
      <w:pPr>
        <w:pStyle w:val="FootnoteText"/>
        <w:rPr>
          <w:lang w:val="en-US"/>
        </w:rPr>
      </w:pPr>
      <w:r>
        <w:rPr>
          <w:rStyle w:val="FootnoteReference"/>
        </w:rPr>
        <w:footnoteRef/>
      </w:r>
      <w:r>
        <w:rPr>
          <w:lang w:val="en-US"/>
        </w:rPr>
        <w:tab/>
      </w:r>
      <w:r>
        <w:t>CONAMU e INEC, Mujeres y Hombres del Ecuador en Cifras, 1999</w:t>
      </w:r>
      <w:r>
        <w:rPr>
          <w:lang w:val="en-US"/>
        </w:rPr>
        <w:t>.</w:t>
      </w:r>
    </w:p>
  </w:footnote>
  <w:footnote w:id="28">
    <w:p w:rsidR="00000000" w:rsidRDefault="00000000">
      <w:pPr>
        <w:pStyle w:val="FootnoteText"/>
        <w:rPr>
          <w:lang w:val="en-US"/>
        </w:rPr>
      </w:pPr>
      <w:r>
        <w:rPr>
          <w:rStyle w:val="FootnoteReference"/>
        </w:rPr>
        <w:footnoteRef/>
      </w:r>
      <w:r>
        <w:rPr>
          <w:lang w:val="en-US"/>
        </w:rPr>
        <w:tab/>
      </w:r>
      <w:r>
        <w:t>Fondo de Desarrollo de las Naciones Unidas para la Mujer, UNIFEM, Retrato de Mujeres, 1998</w:t>
      </w:r>
      <w:r>
        <w:rPr>
          <w:lang w:val="en-US"/>
        </w:rPr>
        <w:t>.</w:t>
      </w:r>
    </w:p>
  </w:footnote>
  <w:footnote w:id="29">
    <w:p w:rsidR="00000000" w:rsidRDefault="00000000">
      <w:pPr>
        <w:pStyle w:val="FootnoteText"/>
        <w:rPr>
          <w:lang w:val="ru-RU"/>
        </w:rPr>
      </w:pPr>
      <w:r>
        <w:rPr>
          <w:rStyle w:val="FootnoteReference"/>
        </w:rPr>
        <w:footnoteRef/>
      </w:r>
      <w:r>
        <w:rPr>
          <w:lang w:val="ru-RU"/>
        </w:rPr>
        <w:tab/>
      </w:r>
      <w:r>
        <w:t>SIISE</w:t>
      </w:r>
      <w:r>
        <w:rPr>
          <w:lang w:val="ru-RU"/>
        </w:rPr>
        <w:t xml:space="preserve">, </w:t>
      </w:r>
      <w:r>
        <w:t>Ecuador</w:t>
      </w:r>
      <w:r>
        <w:rPr>
          <w:lang w:val="ru-RU"/>
        </w:rPr>
        <w:t>, 1999.</w:t>
      </w:r>
    </w:p>
  </w:footnote>
  <w:footnote w:id="30">
    <w:p w:rsidR="00000000" w:rsidRDefault="00000000">
      <w:pPr>
        <w:pStyle w:val="FootnoteText"/>
        <w:jc w:val="both"/>
        <w:rPr>
          <w:lang w:val="ru-RU"/>
        </w:rPr>
      </w:pPr>
      <w:r>
        <w:rPr>
          <w:rStyle w:val="FootnoteReference"/>
        </w:rPr>
        <w:footnoteRef/>
      </w:r>
      <w:r>
        <w:rPr>
          <w:lang w:val="ru-RU"/>
        </w:rPr>
        <w:tab/>
        <w:t>Важно отметить значительный рост показателей участия женщин в период 1990–1995 годов: 26 и 55 процентов, соответственно, что в значительной степени связано с новой методикой измерения. ЭКВ 1995 года показывает важность применения надлежащих методов для более точного представления об участии женщин в социально-экономической деятельности.</w:t>
      </w:r>
    </w:p>
  </w:footnote>
  <w:footnote w:id="31">
    <w:p w:rsidR="00000000" w:rsidRDefault="00000000">
      <w:pPr>
        <w:pStyle w:val="FootnoteText"/>
        <w:jc w:val="both"/>
        <w:rPr>
          <w:lang w:val="en-US"/>
        </w:rPr>
      </w:pPr>
      <w:r>
        <w:rPr>
          <w:rStyle w:val="FootnoteReference"/>
        </w:rPr>
        <w:footnoteRef/>
      </w:r>
      <w:r>
        <w:rPr>
          <w:lang w:val="en-US"/>
        </w:rPr>
        <w:tab/>
      </w:r>
      <w:r>
        <w:t>CONAMU e INEC, Mujeres y Hombres del Ecuador en Cifras, 1999, pág. 27</w:t>
      </w:r>
      <w:r>
        <w:rPr>
          <w:lang w:val="en-US"/>
        </w:rPr>
        <w:t>.</w:t>
      </w:r>
    </w:p>
  </w:footnote>
  <w:footnote w:id="32">
    <w:p w:rsidR="00000000" w:rsidRDefault="00000000">
      <w:pPr>
        <w:pStyle w:val="FootnoteText"/>
        <w:jc w:val="both"/>
        <w:rPr>
          <w:lang w:val="en-US"/>
        </w:rPr>
      </w:pPr>
      <w:r>
        <w:rPr>
          <w:rStyle w:val="FootnoteReference"/>
        </w:rPr>
        <w:footnoteRef/>
      </w:r>
      <w:r>
        <w:rPr>
          <w:lang w:val="en-US"/>
        </w:rPr>
        <w:tab/>
        <w:t>Ibid.</w:t>
      </w:r>
    </w:p>
  </w:footnote>
  <w:footnote w:id="33">
    <w:p w:rsidR="00000000" w:rsidRDefault="00000000">
      <w:pPr>
        <w:pStyle w:val="FootnoteText"/>
        <w:rPr>
          <w:lang w:val="en-US"/>
        </w:rPr>
      </w:pPr>
      <w:r>
        <w:rPr>
          <w:rStyle w:val="FootnoteReference"/>
        </w:rPr>
        <w:footnoteRef/>
      </w:r>
      <w:r>
        <w:rPr>
          <w:lang w:val="en-US"/>
        </w:rPr>
        <w:tab/>
      </w:r>
      <w:r>
        <w:t>CONAMU e INEC, Mujeres y Hombres del Ecuador en Cifras, 1999</w:t>
      </w:r>
      <w:r>
        <w:rPr>
          <w:lang w:val="en-US"/>
        </w:rPr>
        <w:t xml:space="preserve">. </w:t>
      </w:r>
    </w:p>
  </w:footnote>
  <w:footnote w:id="34">
    <w:p w:rsidR="00000000" w:rsidRDefault="00000000">
      <w:pPr>
        <w:pStyle w:val="FootnoteText"/>
        <w:rPr>
          <w:lang w:val="en-US"/>
        </w:rPr>
      </w:pPr>
      <w:r>
        <w:rPr>
          <w:rStyle w:val="FootnoteReference"/>
        </w:rPr>
        <w:footnoteRef/>
      </w:r>
      <w:r>
        <w:rPr>
          <w:lang w:val="en-US"/>
        </w:rPr>
        <w:tab/>
        <w:t>Ibid.</w:t>
      </w:r>
    </w:p>
  </w:footnote>
  <w:footnote w:id="35">
    <w:p w:rsidR="00000000" w:rsidRDefault="00000000">
      <w:pPr>
        <w:pStyle w:val="FootnoteText"/>
        <w:rPr>
          <w:lang w:val="en-US"/>
        </w:rPr>
      </w:pPr>
      <w:r>
        <w:rPr>
          <w:rStyle w:val="FootnoteReference"/>
        </w:rPr>
        <w:footnoteRef/>
      </w:r>
      <w:r>
        <w:rPr>
          <w:lang w:val="en-US"/>
        </w:rPr>
        <w:tab/>
        <w:t>Ibid.</w:t>
      </w:r>
    </w:p>
  </w:footnote>
  <w:footnote w:id="36">
    <w:p w:rsidR="00000000" w:rsidRDefault="00000000">
      <w:pPr>
        <w:pStyle w:val="FootnoteText"/>
        <w:rPr>
          <w:lang w:val="en-US"/>
        </w:rPr>
      </w:pPr>
      <w:r>
        <w:rPr>
          <w:rStyle w:val="FootnoteReference"/>
        </w:rPr>
        <w:footnoteRef/>
      </w:r>
      <w:r>
        <w:rPr>
          <w:lang w:val="en-US"/>
        </w:rPr>
        <w:tab/>
        <w:t>Ibid.</w:t>
      </w:r>
    </w:p>
  </w:footnote>
  <w:footnote w:id="37">
    <w:p w:rsidR="00000000" w:rsidRDefault="00000000">
      <w:pPr>
        <w:pStyle w:val="FootnoteText"/>
      </w:pPr>
      <w:r>
        <w:rPr>
          <w:rStyle w:val="FootnoteReference"/>
        </w:rPr>
        <w:footnoteRef/>
      </w:r>
      <w:r>
        <w:rPr>
          <w:lang w:val="en-US"/>
        </w:rPr>
        <w:tab/>
      </w:r>
      <w:r>
        <w:t>CONAMU e INEC, Mujeres y Hombres del Ecuador en Cifras, 1999</w:t>
      </w:r>
      <w:r>
        <w:rPr>
          <w:lang w:val="en-US"/>
        </w:rPr>
        <w:t>.</w:t>
      </w:r>
    </w:p>
  </w:footnote>
  <w:footnote w:id="38">
    <w:p w:rsidR="00000000" w:rsidRDefault="00000000">
      <w:pPr>
        <w:pStyle w:val="FootnoteText"/>
        <w:jc w:val="both"/>
        <w:rPr>
          <w:lang w:val="en-US"/>
        </w:rPr>
      </w:pPr>
      <w:r>
        <w:rPr>
          <w:rStyle w:val="FootnoteReference"/>
        </w:rPr>
        <w:footnoteRef/>
      </w:r>
      <w:r>
        <w:rPr>
          <w:lang w:val="en-US"/>
        </w:rPr>
        <w:tab/>
      </w:r>
      <w:r>
        <w:t>Barreiro, Pedro</w:t>
      </w:r>
      <w:r>
        <w:rPr>
          <w:lang w:val="en-US"/>
        </w:rPr>
        <w:t>,</w:t>
      </w:r>
      <w:r>
        <w:t xml:space="preserve"> "Historia y Reformas del Seguro Social Campesino</w:t>
      </w:r>
      <w:r>
        <w:rPr>
          <w:lang w:val="en-US"/>
        </w:rPr>
        <w:t>"</w:t>
      </w:r>
      <w:r>
        <w:t>, 1998</w:t>
      </w:r>
      <w:r>
        <w:rPr>
          <w:lang w:val="en-US"/>
        </w:rPr>
        <w:t>.</w:t>
      </w:r>
    </w:p>
  </w:footnote>
  <w:footnote w:id="39">
    <w:p w:rsidR="00000000" w:rsidRDefault="00000000">
      <w:pPr>
        <w:pStyle w:val="FootnoteText"/>
        <w:jc w:val="both"/>
        <w:rPr>
          <w:lang w:val="ru-RU"/>
        </w:rPr>
      </w:pPr>
      <w:r>
        <w:rPr>
          <w:rStyle w:val="FootnoteReference"/>
        </w:rPr>
        <w:footnoteRef/>
      </w:r>
      <w:r>
        <w:rPr>
          <w:lang w:val="ru-RU"/>
        </w:rPr>
        <w:tab/>
        <w:t>В течение 12 недель отпуска по родам женщины, работающие в частном секторе, получают от работодателя 25 процентов заработной платы, а оставшиеся 75 процентов они получают в виде субсидии системы социального страхования.</w:t>
      </w:r>
    </w:p>
  </w:footnote>
  <w:footnote w:id="40">
    <w:p w:rsidR="00000000" w:rsidRDefault="00000000">
      <w:pPr>
        <w:pStyle w:val="FootnoteText"/>
      </w:pPr>
      <w:r>
        <w:rPr>
          <w:rStyle w:val="FootnoteReference"/>
        </w:rPr>
        <w:footnoteRef/>
      </w:r>
      <w:r>
        <w:rPr>
          <w:lang w:val="en-US"/>
        </w:rPr>
        <w:tab/>
      </w:r>
      <w:r>
        <w:t>CONAMU e INEC, Mujeres y Hombres del Ecuador en Cifras, 1999</w:t>
      </w:r>
      <w:r>
        <w:rPr>
          <w:lang w:val="en-US"/>
        </w:rPr>
        <w:t xml:space="preserve">. </w:t>
      </w:r>
    </w:p>
  </w:footnote>
  <w:footnote w:id="41">
    <w:p w:rsidR="00000000" w:rsidRDefault="00000000">
      <w:pPr>
        <w:pStyle w:val="FootnoteText"/>
        <w:rPr>
          <w:lang w:val="en-US"/>
        </w:rPr>
      </w:pPr>
      <w:r>
        <w:rPr>
          <w:rStyle w:val="FootnoteReference"/>
        </w:rPr>
        <w:footnoteRef/>
      </w:r>
      <w:r>
        <w:rPr>
          <w:lang w:val="en-US"/>
        </w:rPr>
        <w:tab/>
        <w:t>Ibid.</w:t>
      </w:r>
    </w:p>
  </w:footnote>
  <w:footnote w:id="42">
    <w:p w:rsidR="00000000" w:rsidRDefault="00000000">
      <w:pPr>
        <w:pStyle w:val="FootnoteText"/>
        <w:rPr>
          <w:lang w:val="ru-RU"/>
        </w:rPr>
      </w:pPr>
      <w:r>
        <w:rPr>
          <w:rStyle w:val="FootnoteReference"/>
        </w:rPr>
        <w:footnoteRef/>
      </w:r>
      <w:r>
        <w:rPr>
          <w:lang w:val="ru-RU"/>
        </w:rPr>
        <w:tab/>
      </w:r>
      <w:r>
        <w:rPr>
          <w:lang w:val="en-US"/>
        </w:rPr>
        <w:t>Ibid</w:t>
      </w:r>
      <w:r>
        <w:rPr>
          <w:lang w:val="ru-RU"/>
        </w:rPr>
        <w:t>.</w:t>
      </w:r>
    </w:p>
  </w:footnote>
  <w:footnote w:id="43">
    <w:p w:rsidR="00000000" w:rsidRDefault="00000000">
      <w:pPr>
        <w:pStyle w:val="FootnoteText"/>
        <w:rPr>
          <w:lang w:val="ru-RU"/>
        </w:rPr>
      </w:pPr>
      <w:r>
        <w:rPr>
          <w:rStyle w:val="FootnoteReference"/>
          <w:lang w:val="ru-RU"/>
        </w:rPr>
        <w:t>*</w:t>
      </w:r>
      <w:r>
        <w:rPr>
          <w:lang w:val="ru-RU"/>
        </w:rPr>
        <w:tab/>
        <w:t>Нумерация по оригиналу.</w:t>
      </w:r>
    </w:p>
  </w:footnote>
  <w:footnote w:id="44">
    <w:p w:rsidR="00000000" w:rsidRDefault="00000000">
      <w:pPr>
        <w:pStyle w:val="FootnoteText"/>
        <w:rPr>
          <w:lang w:val="en-US"/>
        </w:rPr>
      </w:pPr>
      <w:r>
        <w:rPr>
          <w:rStyle w:val="FootnoteReference"/>
        </w:rPr>
        <w:footnoteRef/>
      </w:r>
      <w:r>
        <w:rPr>
          <w:lang w:val="en-US"/>
        </w:rPr>
        <w:tab/>
      </w:r>
      <w:r>
        <w:t>Fondo de Desarrollo de las Naciones Unidas para la Mujer, UNIFEM, Retrato de Mujeres, 1998</w:t>
      </w:r>
      <w:r>
        <w:rPr>
          <w:lang w:val="en-US"/>
        </w:rPr>
        <w:t>.</w:t>
      </w:r>
    </w:p>
  </w:footnote>
  <w:footnote w:id="45">
    <w:p w:rsidR="00000000" w:rsidRDefault="00000000">
      <w:pPr>
        <w:pStyle w:val="FootnoteText"/>
        <w:rPr>
          <w:lang w:val="en-US"/>
        </w:rPr>
      </w:pPr>
      <w:r>
        <w:rPr>
          <w:rStyle w:val="FootnoteReference"/>
        </w:rPr>
        <w:footnoteRef/>
      </w:r>
      <w:r>
        <w:rPr>
          <w:lang w:val="en-US"/>
        </w:rPr>
        <w:tab/>
      </w:r>
      <w:r>
        <w:t>MBS, INNFA, ORI, MEC, PRONEPE,  Cartilla de Indicadores de la Infancia, 1998</w:t>
      </w:r>
      <w:r>
        <w:rPr>
          <w:lang w:val="en-US"/>
        </w:rPr>
        <w:t>.</w:t>
      </w:r>
    </w:p>
  </w:footnote>
  <w:footnote w:id="46">
    <w:p w:rsidR="00000000" w:rsidRDefault="00000000">
      <w:pPr>
        <w:pStyle w:val="FootnoteText"/>
        <w:rPr>
          <w:lang w:val="en-US"/>
        </w:rPr>
      </w:pPr>
      <w:r>
        <w:rPr>
          <w:rStyle w:val="FootnoteReference"/>
        </w:rPr>
        <w:footnoteRef/>
      </w:r>
      <w:r>
        <w:rPr>
          <w:lang w:val="en-US"/>
        </w:rPr>
        <w:tab/>
      </w:r>
      <w:r>
        <w:t>Encalada, Eduardo, García, Fernando, Ivarsdotter, Kristine</w:t>
      </w:r>
      <w:r>
        <w:rPr>
          <w:lang w:val="en-US"/>
        </w:rPr>
        <w:t>,</w:t>
      </w:r>
      <w:r>
        <w:t xml:space="preserve"> Pobreza  Indígena y Negra del Ecuador</w:t>
      </w:r>
      <w:r>
        <w:rPr>
          <w:lang w:val="en-US"/>
        </w:rPr>
        <w:t>,</w:t>
      </w:r>
      <w:r>
        <w:t xml:space="preserve"> Septiembre, 1998</w:t>
      </w:r>
      <w:r>
        <w:rPr>
          <w:lang w:val="en-US"/>
        </w:rPr>
        <w:t>.</w:t>
      </w:r>
    </w:p>
  </w:footnote>
  <w:footnote w:id="47">
    <w:p w:rsidR="00000000" w:rsidRDefault="00000000">
      <w:pPr>
        <w:pStyle w:val="FootnoteText"/>
        <w:rPr>
          <w:lang w:val="en-US"/>
        </w:rPr>
      </w:pPr>
      <w:r>
        <w:rPr>
          <w:rStyle w:val="FootnoteReference"/>
        </w:rPr>
        <w:footnoteRef/>
      </w:r>
      <w:r>
        <w:rPr>
          <w:lang w:val="en-US"/>
        </w:rPr>
        <w:tab/>
      </w:r>
      <w:r>
        <w:t>IICA</w:t>
      </w:r>
      <w:r>
        <w:rPr>
          <w:lang w:val="en-US"/>
        </w:rPr>
        <w:t>,</w:t>
      </w:r>
      <w:r>
        <w:t xml:space="preserve"> Informe sobre la </w:t>
      </w:r>
      <w:r>
        <w:rPr>
          <w:caps/>
        </w:rPr>
        <w:t>e</w:t>
      </w:r>
      <w:r>
        <w:t>strategia de incorporación del enfoque de género y apoyo al trabajo de mujeres, 1998</w:t>
      </w:r>
      <w:r>
        <w:rPr>
          <w:lang w:val="en-US"/>
        </w:rPr>
        <w:t>.</w:t>
      </w:r>
    </w:p>
  </w:footnote>
  <w:footnote w:id="48">
    <w:p w:rsidR="00000000" w:rsidRDefault="00000000">
      <w:pPr>
        <w:pStyle w:val="FootnoteText"/>
      </w:pPr>
      <w:r>
        <w:rPr>
          <w:rStyle w:val="FootnoteReference"/>
        </w:rPr>
        <w:footnoteRef/>
      </w:r>
      <w:r>
        <w:rPr>
          <w:lang w:val="en-US"/>
        </w:rPr>
        <w:tab/>
      </w:r>
      <w:r>
        <w:t>CONAMU e INEC, Mujeres y Hombres del Ecuador en Cifras, 1999</w:t>
      </w:r>
      <w:r>
        <w:rPr>
          <w:lang w:val="en-US"/>
        </w:rPr>
        <w:t>, pág. 5</w:t>
      </w:r>
      <w:r>
        <w:t>.</w:t>
      </w:r>
    </w:p>
  </w:footnote>
  <w:footnote w:id="49">
    <w:p w:rsidR="00000000" w:rsidRDefault="00000000">
      <w:pPr>
        <w:pStyle w:val="FootnoteText"/>
      </w:pPr>
      <w:r>
        <w:rPr>
          <w:rStyle w:val="FootnoteReference"/>
        </w:rPr>
        <w:footnoteRef/>
      </w:r>
      <w:r>
        <w:rPr>
          <w:lang w:val="en-US"/>
        </w:rPr>
        <w:tab/>
      </w:r>
      <w:r>
        <w:t>UNIFEM y Secretaría del Frente Social, Retrato de Mujeres, 1998.</w:t>
      </w:r>
    </w:p>
  </w:footnote>
  <w:footnote w:id="50">
    <w:p w:rsidR="00000000" w:rsidRDefault="00000000">
      <w:pPr>
        <w:pStyle w:val="FootnoteText"/>
      </w:pPr>
      <w:r>
        <w:rPr>
          <w:rStyle w:val="FootnoteReference"/>
        </w:rPr>
        <w:footnoteRef/>
      </w:r>
      <w:r>
        <w:tab/>
        <w:t>Ibid.</w:t>
      </w:r>
    </w:p>
  </w:footnote>
  <w:footnote w:id="51">
    <w:p w:rsidR="00000000" w:rsidRDefault="00000000">
      <w:pPr>
        <w:pStyle w:val="FootnoteText"/>
        <w:rPr>
          <w:lang w:val="en-US"/>
        </w:rPr>
      </w:pPr>
      <w:r>
        <w:rPr>
          <w:rStyle w:val="FootnoteReference"/>
        </w:rPr>
        <w:footnoteRef/>
      </w:r>
      <w:r>
        <w:rPr>
          <w:lang w:val="en-US"/>
        </w:rPr>
        <w:tab/>
      </w:r>
      <w:r>
        <w:t>SISVAN Ecuador, 1994, 1995,1996.</w:t>
      </w:r>
    </w:p>
  </w:footnote>
  <w:footnote w:id="52">
    <w:p w:rsidR="00000000" w:rsidRDefault="00000000">
      <w:pPr>
        <w:pStyle w:val="FootnoteText"/>
        <w:jc w:val="both"/>
        <w:rPr>
          <w:lang w:val="en-US"/>
        </w:rPr>
      </w:pPr>
      <w:r>
        <w:rPr>
          <w:rStyle w:val="FootnoteReference"/>
        </w:rPr>
        <w:footnoteRef/>
      </w:r>
      <w:r>
        <w:tab/>
      </w:r>
      <w:r>
        <w:rPr>
          <w:spacing w:val="-2"/>
          <w:lang w:val="ru-RU"/>
        </w:rPr>
        <w:t>Показатель</w:t>
      </w:r>
      <w:r>
        <w:rPr>
          <w:spacing w:val="-2"/>
        </w:rPr>
        <w:t xml:space="preserve"> </w:t>
      </w:r>
      <w:r>
        <w:rPr>
          <w:spacing w:val="-2"/>
          <w:lang w:val="ru-RU"/>
        </w:rPr>
        <w:t>на</w:t>
      </w:r>
      <w:r>
        <w:rPr>
          <w:spacing w:val="-2"/>
        </w:rPr>
        <w:t xml:space="preserve"> </w:t>
      </w:r>
      <w:r>
        <w:rPr>
          <w:spacing w:val="-2"/>
          <w:lang w:val="ru-RU"/>
        </w:rPr>
        <w:t>1 тыс.</w:t>
      </w:r>
      <w:r>
        <w:rPr>
          <w:spacing w:val="-2"/>
        </w:rPr>
        <w:t xml:space="preserve"> </w:t>
      </w:r>
      <w:r>
        <w:rPr>
          <w:spacing w:val="-2"/>
          <w:lang w:val="ru-RU"/>
        </w:rPr>
        <w:t>женщин</w:t>
      </w:r>
      <w:r>
        <w:rPr>
          <w:spacing w:val="-2"/>
        </w:rPr>
        <w:t xml:space="preserve"> </w:t>
      </w:r>
      <w:r>
        <w:rPr>
          <w:spacing w:val="-2"/>
          <w:lang w:val="ru-RU"/>
        </w:rPr>
        <w:t>фертильного</w:t>
      </w:r>
      <w:r>
        <w:rPr>
          <w:spacing w:val="-2"/>
        </w:rPr>
        <w:t xml:space="preserve"> </w:t>
      </w:r>
      <w:r>
        <w:rPr>
          <w:spacing w:val="-2"/>
          <w:lang w:val="ru-RU"/>
        </w:rPr>
        <w:t>возраста</w:t>
      </w:r>
      <w:r>
        <w:rPr>
          <w:spacing w:val="-2"/>
        </w:rPr>
        <w:t xml:space="preserve"> </w:t>
      </w:r>
      <w:r>
        <w:rPr>
          <w:spacing w:val="-2"/>
          <w:lang w:val="ru-RU"/>
        </w:rPr>
        <w:t>(</w:t>
      </w:r>
      <w:r>
        <w:rPr>
          <w:spacing w:val="-2"/>
        </w:rPr>
        <w:t>15</w:t>
      </w:r>
      <w:r>
        <w:rPr>
          <w:spacing w:val="-2"/>
          <w:lang w:val="ru-RU"/>
        </w:rPr>
        <w:t>–</w:t>
      </w:r>
      <w:r>
        <w:rPr>
          <w:spacing w:val="-2"/>
        </w:rPr>
        <w:t xml:space="preserve">49 </w:t>
      </w:r>
      <w:r>
        <w:rPr>
          <w:spacing w:val="-2"/>
          <w:lang w:val="ru-RU"/>
        </w:rPr>
        <w:t>лет)</w:t>
      </w:r>
      <w:r>
        <w:rPr>
          <w:spacing w:val="-2"/>
        </w:rPr>
        <w:t>. Ministerio de Salud P</w:t>
      </w:r>
      <w:r>
        <w:rPr>
          <w:spacing w:val="-2"/>
          <w:lang w:val="en-US"/>
        </w:rPr>
        <w:t>u</w:t>
      </w:r>
      <w:r>
        <w:rPr>
          <w:spacing w:val="-2"/>
        </w:rPr>
        <w:t>blica, Proyecto FASBASE, 1999</w:t>
      </w:r>
      <w:r>
        <w:rPr>
          <w:spacing w:val="-2"/>
          <w:lang w:val="en-US"/>
        </w:rPr>
        <w:t>.</w:t>
      </w:r>
    </w:p>
  </w:footnote>
  <w:footnote w:id="53">
    <w:p w:rsidR="00000000" w:rsidRDefault="00000000">
      <w:pPr>
        <w:pStyle w:val="FootnoteText"/>
      </w:pPr>
      <w:r>
        <w:rPr>
          <w:rStyle w:val="FootnoteReference"/>
        </w:rPr>
        <w:footnoteRef/>
      </w:r>
      <w:r>
        <w:rPr>
          <w:lang w:val="en-US"/>
        </w:rPr>
        <w:tab/>
      </w:r>
      <w:r>
        <w:t>SIISE, Sistema Integrado de Indicadores Sociales.</w:t>
      </w:r>
    </w:p>
  </w:footnote>
  <w:footnote w:id="54">
    <w:p w:rsidR="00000000" w:rsidRDefault="00000000">
      <w:pPr>
        <w:pStyle w:val="FootnoteText"/>
        <w:rPr>
          <w:lang w:val="en-US"/>
        </w:rPr>
      </w:pPr>
      <w:r>
        <w:rPr>
          <w:rStyle w:val="FootnoteReference"/>
        </w:rPr>
        <w:footnoteRef/>
      </w:r>
      <w:r>
        <w:rPr>
          <w:lang w:val="en-US"/>
        </w:rPr>
        <w:tab/>
      </w:r>
      <w:r>
        <w:t>CONAMU e INEC, Mujeres y Hombres del Ecuador en Cifras, 1999</w:t>
      </w:r>
      <w:r>
        <w:rPr>
          <w:lang w:val="en-US"/>
        </w:rPr>
        <w:t>, p</w:t>
      </w:r>
      <w:r>
        <w:t>ág.</w:t>
      </w:r>
      <w:r>
        <w:rPr>
          <w:lang w:val="en-US"/>
        </w:rPr>
        <w:t xml:space="preserve"> </w:t>
      </w:r>
      <w:r>
        <w:t>50</w:t>
      </w:r>
      <w:r>
        <w:rPr>
          <w:lang w:val="en-US"/>
        </w:rPr>
        <w:t>.</w:t>
      </w:r>
    </w:p>
  </w:footnote>
  <w:footnote w:id="55">
    <w:p w:rsidR="00000000" w:rsidRDefault="00000000">
      <w:pPr>
        <w:pStyle w:val="FootnoteText"/>
        <w:rPr>
          <w:lang w:val="en-US"/>
        </w:rPr>
      </w:pPr>
      <w:r>
        <w:rPr>
          <w:rStyle w:val="FootnoteReference"/>
        </w:rPr>
        <w:footnoteRef/>
      </w:r>
      <w:r>
        <w:rPr>
          <w:lang w:val="en-US"/>
        </w:rPr>
        <w:tab/>
      </w:r>
      <w:r>
        <w:t>SIISE y Retrato de Mujeres, tomado de Encuesta de Condiciones de Vida</w:t>
      </w:r>
      <w:r>
        <w:rPr>
          <w:lang w:val="en-US"/>
        </w:rPr>
        <w:t>,</w:t>
      </w:r>
      <w:r>
        <w:t xml:space="preserve"> 1995, pág. 90</w:t>
      </w:r>
      <w:r>
        <w:rPr>
          <w:lang w:val="en-US"/>
        </w:rPr>
        <w:t>.</w:t>
      </w:r>
    </w:p>
  </w:footnote>
  <w:footnote w:id="56">
    <w:p w:rsidR="00000000" w:rsidRDefault="00000000">
      <w:pPr>
        <w:pStyle w:val="FootnoteText"/>
        <w:rPr>
          <w:lang w:val="en-US"/>
        </w:rPr>
      </w:pPr>
      <w:r>
        <w:rPr>
          <w:rStyle w:val="FootnoteReference"/>
        </w:rPr>
        <w:footnoteRef/>
      </w:r>
      <w:r>
        <w:rPr>
          <w:lang w:val="en-US"/>
        </w:rPr>
        <w:tab/>
      </w:r>
      <w:r>
        <w:t>Ibid</w:t>
      </w:r>
      <w:r>
        <w:rPr>
          <w:lang w:val="en-US"/>
        </w:rPr>
        <w:t>.</w:t>
      </w:r>
      <w:r>
        <w:t>, pág. 84</w:t>
      </w:r>
      <w:r>
        <w:rPr>
          <w:lang w:val="en-US"/>
        </w:rPr>
        <w:t>.</w:t>
      </w:r>
    </w:p>
  </w:footnote>
  <w:footnote w:id="57">
    <w:p w:rsidR="00000000" w:rsidRDefault="00000000">
      <w:pPr>
        <w:pStyle w:val="FootnoteText"/>
        <w:rPr>
          <w:lang w:val="en-US"/>
        </w:rPr>
      </w:pPr>
      <w:r>
        <w:rPr>
          <w:rStyle w:val="FootnoteReference"/>
        </w:rPr>
        <w:footnoteRef/>
      </w:r>
      <w:r>
        <w:rPr>
          <w:lang w:val="en-US"/>
        </w:rPr>
        <w:tab/>
      </w:r>
      <w:r>
        <w:t xml:space="preserve">CONAMU e INEC, Mujeres y Hombres del Ecuador en </w:t>
      </w:r>
      <w:r>
        <w:rPr>
          <w:caps/>
          <w:lang w:val="ru-RU"/>
        </w:rPr>
        <w:t>с</w:t>
      </w:r>
      <w:r>
        <w:t>ifras, 1999, pág. 50</w:t>
      </w:r>
      <w:r>
        <w:rPr>
          <w:lang w:val="en-US"/>
        </w:rPr>
        <w:t>.</w:t>
      </w:r>
    </w:p>
  </w:footnote>
  <w:footnote w:id="58">
    <w:p w:rsidR="00000000" w:rsidRDefault="00000000">
      <w:pPr>
        <w:pStyle w:val="FootnoteText"/>
      </w:pPr>
      <w:r>
        <w:rPr>
          <w:rStyle w:val="FootnoteReference"/>
        </w:rPr>
        <w:footnoteRef/>
      </w:r>
      <w:r>
        <w:rPr>
          <w:lang w:val="en-US"/>
        </w:rPr>
        <w:tab/>
      </w:r>
      <w:r>
        <w:t>SIISE, Sistema Integrado de indicadores sociales del Ecuador, 1997.</w:t>
      </w:r>
    </w:p>
  </w:footnote>
  <w:footnote w:id="59">
    <w:p w:rsidR="00000000" w:rsidRDefault="00000000">
      <w:pPr>
        <w:pStyle w:val="FootnoteText"/>
        <w:rPr>
          <w:lang w:val="en-US"/>
        </w:rPr>
      </w:pPr>
      <w:r>
        <w:rPr>
          <w:rStyle w:val="FootnoteReference"/>
        </w:rPr>
        <w:footnoteRef/>
      </w:r>
      <w:r>
        <w:tab/>
        <w:t>Secretaría Técnica del Frente Social, UNIFEM, Retrato de Mujeres, 1998, págs. 99 y 100.</w:t>
      </w:r>
    </w:p>
  </w:footnote>
  <w:footnote w:id="60">
    <w:p w:rsidR="00000000" w:rsidRDefault="00000000">
      <w:pPr>
        <w:pStyle w:val="FootnoteText"/>
        <w:rPr>
          <w:lang w:val="en-US"/>
        </w:rPr>
      </w:pPr>
      <w:r>
        <w:rPr>
          <w:rStyle w:val="FootnoteReference"/>
        </w:rPr>
        <w:footnoteRef/>
      </w:r>
      <w:r>
        <w:rPr>
          <w:lang w:val="en-US"/>
        </w:rPr>
        <w:tab/>
      </w:r>
      <w:r>
        <w:t xml:space="preserve">CONAMU e INEC, Mujeres y Hombres del Ecuador en </w:t>
      </w:r>
      <w:r>
        <w:rPr>
          <w:caps/>
          <w:lang w:val="ru-RU"/>
        </w:rPr>
        <w:t>с</w:t>
      </w:r>
      <w:r>
        <w:t>ifras, 1999</w:t>
      </w:r>
      <w:r>
        <w:rPr>
          <w:lang w:val="en-US"/>
        </w:rPr>
        <w:t>.</w:t>
      </w:r>
    </w:p>
  </w:footnote>
  <w:footnote w:id="61">
    <w:p w:rsidR="00000000" w:rsidRDefault="00000000">
      <w:pPr>
        <w:pStyle w:val="FootnoteText"/>
        <w:rPr>
          <w:lang w:val="en-US"/>
        </w:rPr>
      </w:pPr>
      <w:r>
        <w:rPr>
          <w:rStyle w:val="FootnoteReference"/>
        </w:rPr>
        <w:footnoteRef/>
      </w:r>
      <w:r>
        <w:rPr>
          <w:lang w:val="en-US"/>
        </w:rPr>
        <w:tab/>
        <w:t>Ibid.</w:t>
      </w:r>
    </w:p>
  </w:footnote>
  <w:footnote w:id="62">
    <w:p w:rsidR="00000000" w:rsidRDefault="00000000">
      <w:pPr>
        <w:pStyle w:val="FootnoteText"/>
        <w:rPr>
          <w:lang w:val="en-US"/>
        </w:rPr>
      </w:pPr>
      <w:r>
        <w:rPr>
          <w:rStyle w:val="FootnoteReference"/>
        </w:rPr>
        <w:footnoteRef/>
      </w:r>
      <w:r>
        <w:rPr>
          <w:lang w:val="en-US"/>
        </w:rPr>
        <w:tab/>
        <w:t>Ibid.</w:t>
      </w:r>
    </w:p>
  </w:footnote>
  <w:footnote w:id="63">
    <w:p w:rsidR="00000000" w:rsidRDefault="00000000">
      <w:pPr>
        <w:pStyle w:val="FootnoteText"/>
      </w:pPr>
      <w:r>
        <w:rPr>
          <w:rStyle w:val="FootnoteReference"/>
        </w:rPr>
        <w:footnoteRef/>
      </w:r>
      <w:r>
        <w:t xml:space="preserve"> </w:t>
      </w:r>
      <w:r>
        <w:rPr>
          <w:lang w:val="en-US"/>
        </w:rPr>
        <w:t>Ibid.</w:t>
      </w:r>
    </w:p>
  </w:footnote>
  <w:footnote w:id="64">
    <w:p w:rsidR="00000000" w:rsidRDefault="00000000">
      <w:pPr>
        <w:pStyle w:val="FootnoteText"/>
        <w:jc w:val="both"/>
        <w:rPr>
          <w:lang w:val="en-US"/>
        </w:rPr>
      </w:pPr>
      <w:r>
        <w:rPr>
          <w:rStyle w:val="FootnoteReference"/>
        </w:rPr>
        <w:footnoteRef/>
      </w:r>
      <w:r>
        <w:rPr>
          <w:lang w:val="en-US"/>
        </w:rPr>
        <w:tab/>
      </w:r>
      <w:r>
        <w:t>Ministerio de Salud Publica, INEC, OPS, Situación de la Salud en el Ecuador, Tendencias de la natalidad y mortalidad, 1998.</w:t>
      </w:r>
    </w:p>
  </w:footnote>
  <w:footnote w:id="65">
    <w:p w:rsidR="00000000" w:rsidRDefault="00000000">
      <w:pPr>
        <w:pStyle w:val="FootnoteText"/>
      </w:pPr>
      <w:r>
        <w:rPr>
          <w:rStyle w:val="FootnoteReference"/>
        </w:rPr>
        <w:footnoteRef/>
      </w:r>
      <w:r>
        <w:tab/>
        <w:t>SIISE, Sistema Integrado de Indicadores Sociales del Ecuador, versión 0.1, 1999.</w:t>
      </w:r>
    </w:p>
  </w:footnote>
  <w:footnote w:id="66">
    <w:p w:rsidR="00000000" w:rsidRDefault="00000000">
      <w:pPr>
        <w:pStyle w:val="FootnoteText"/>
        <w:rPr>
          <w:lang w:val="en-US"/>
        </w:rPr>
      </w:pPr>
      <w:r>
        <w:rPr>
          <w:rStyle w:val="FootnoteReference"/>
        </w:rPr>
        <w:footnoteRef/>
      </w:r>
      <w:r>
        <w:tab/>
        <w:t>CONAMU</w:t>
      </w:r>
      <w:r>
        <w:rPr>
          <w:lang w:val="en-US"/>
        </w:rPr>
        <w:t>,</w:t>
      </w:r>
      <w:r>
        <w:t xml:space="preserve"> Area Técnica de Salud, Septiembre de 1998.</w:t>
      </w:r>
    </w:p>
  </w:footnote>
  <w:footnote w:id="67">
    <w:p w:rsidR="00000000" w:rsidRDefault="00000000">
      <w:pPr>
        <w:pStyle w:val="FootnoteText"/>
        <w:rPr>
          <w:lang w:val="en-US"/>
        </w:rPr>
      </w:pPr>
      <w:r>
        <w:rPr>
          <w:rStyle w:val="FootnoteReference"/>
        </w:rPr>
        <w:footnoteRef/>
      </w:r>
      <w:r>
        <w:rPr>
          <w:lang w:val="en-US"/>
        </w:rPr>
        <w:tab/>
      </w:r>
      <w:r>
        <w:t>SIISE, Sistema Integrado de Indicadores Sociales del Ecuador, 1999</w:t>
      </w:r>
      <w:r>
        <w:rPr>
          <w:lang w:val="en-US"/>
        </w:rPr>
        <w:t>.</w:t>
      </w:r>
    </w:p>
  </w:footnote>
  <w:footnote w:id="68">
    <w:p w:rsidR="00000000" w:rsidRDefault="00000000">
      <w:pPr>
        <w:pStyle w:val="FootnoteText"/>
        <w:rPr>
          <w:lang w:val="en-US"/>
        </w:rPr>
      </w:pPr>
      <w:r>
        <w:rPr>
          <w:rStyle w:val="FootnoteReference"/>
        </w:rPr>
        <w:footnoteRef/>
      </w:r>
      <w:r>
        <w:rPr>
          <w:lang w:val="en-US"/>
        </w:rPr>
        <w:tab/>
      </w:r>
      <w:r>
        <w:t>CONAMU e INEC, Mujeres y Hombres del Ecuador en Cifras, 1999</w:t>
      </w:r>
      <w:r>
        <w:rPr>
          <w:lang w:val="en-US"/>
        </w:rPr>
        <w:t>.</w:t>
      </w:r>
    </w:p>
  </w:footnote>
  <w:footnote w:id="69">
    <w:p w:rsidR="00000000" w:rsidRDefault="00000000">
      <w:pPr>
        <w:pStyle w:val="FootnoteText"/>
        <w:rPr>
          <w:lang w:val="en-US"/>
        </w:rPr>
      </w:pPr>
      <w:r>
        <w:rPr>
          <w:rStyle w:val="FootnoteReference"/>
        </w:rPr>
        <w:footnoteRef/>
      </w:r>
      <w:r>
        <w:rPr>
          <w:lang w:val="en-US"/>
        </w:rPr>
        <w:tab/>
      </w:r>
      <w:r>
        <w:t>SIISE, 1999</w:t>
      </w:r>
      <w:r>
        <w:rPr>
          <w:lang w:val="en-US"/>
        </w:rPr>
        <w:t>.</w:t>
      </w:r>
    </w:p>
  </w:footnote>
  <w:footnote w:id="70">
    <w:p w:rsidR="00000000" w:rsidRDefault="00000000">
      <w:pPr>
        <w:pStyle w:val="FootnoteText"/>
        <w:rPr>
          <w:lang w:val="en-US"/>
        </w:rPr>
      </w:pPr>
      <w:r>
        <w:rPr>
          <w:rStyle w:val="FootnoteReference"/>
        </w:rPr>
        <w:footnoteRef/>
      </w:r>
      <w:r>
        <w:rPr>
          <w:lang w:val="en-US"/>
        </w:rPr>
        <w:tab/>
      </w:r>
      <w:r>
        <w:t>CONAMU e INEC, Mujeres y Hombres del Ecuador en Cifras, 1999</w:t>
      </w:r>
      <w:r>
        <w:rPr>
          <w:lang w:val="en-US"/>
        </w:rPr>
        <w:t xml:space="preserve">, </w:t>
      </w:r>
      <w:r>
        <w:t xml:space="preserve">pág. </w:t>
      </w:r>
      <w:r>
        <w:rPr>
          <w:lang w:val="en-US"/>
        </w:rPr>
        <w:t>4</w:t>
      </w:r>
      <w:r>
        <w:t>9</w:t>
      </w:r>
      <w:r>
        <w:rPr>
          <w:lang w:val="en-US"/>
        </w:rPr>
        <w:t>.</w:t>
      </w:r>
    </w:p>
  </w:footnote>
  <w:footnote w:id="71">
    <w:p w:rsidR="00000000" w:rsidRDefault="00000000">
      <w:pPr>
        <w:pStyle w:val="FootnoteText"/>
        <w:rPr>
          <w:lang w:val="en-US"/>
        </w:rPr>
      </w:pPr>
      <w:r>
        <w:rPr>
          <w:rStyle w:val="FootnoteReference"/>
        </w:rPr>
        <w:footnoteRef/>
      </w:r>
      <w:r>
        <w:rPr>
          <w:lang w:val="en-US"/>
        </w:rPr>
        <w:tab/>
        <w:t>Ibid.</w:t>
      </w:r>
    </w:p>
  </w:footnote>
  <w:footnote w:id="72">
    <w:p w:rsidR="00000000" w:rsidRDefault="00000000">
      <w:pPr>
        <w:pStyle w:val="FootnoteText"/>
      </w:pPr>
      <w:r>
        <w:rPr>
          <w:rStyle w:val="FootnoteReference"/>
        </w:rPr>
        <w:footnoteRef/>
      </w:r>
      <w:r>
        <w:tab/>
        <w:t>SIISE, 1999.</w:t>
      </w:r>
    </w:p>
  </w:footnote>
  <w:footnote w:id="73">
    <w:p w:rsidR="00000000" w:rsidRDefault="00000000">
      <w:pPr>
        <w:pStyle w:val="FootnoteText"/>
      </w:pPr>
      <w:r>
        <w:rPr>
          <w:rStyle w:val="FootnoteReference"/>
        </w:rPr>
        <w:footnoteRef/>
      </w:r>
      <w:r>
        <w:tab/>
        <w:t>Ministerio de Salud Publica, FASBASE,  Subsecretaría de Saneamiento Ambiental, 1999.</w:t>
      </w:r>
    </w:p>
  </w:footnote>
  <w:footnote w:id="74">
    <w:p w:rsidR="00000000" w:rsidRDefault="00000000">
      <w:pPr>
        <w:pStyle w:val="FootnoteText"/>
        <w:rPr>
          <w:lang w:val="ru-RU"/>
        </w:rPr>
      </w:pPr>
      <w:r>
        <w:rPr>
          <w:rStyle w:val="FootnoteReference"/>
        </w:rPr>
        <w:footnoteRef/>
      </w:r>
      <w:r>
        <w:rPr>
          <w:lang w:val="ru-RU"/>
        </w:rPr>
        <w:tab/>
      </w:r>
      <w:r>
        <w:rPr>
          <w:lang w:val="en-US"/>
        </w:rPr>
        <w:t>Ibid.</w:t>
      </w:r>
    </w:p>
  </w:footnote>
  <w:footnote w:id="75">
    <w:p w:rsidR="00000000" w:rsidRDefault="00000000">
      <w:pPr>
        <w:pStyle w:val="FootnoteText"/>
        <w:rPr>
          <w:lang w:val="en-US"/>
        </w:rPr>
      </w:pPr>
      <w:r>
        <w:rPr>
          <w:rStyle w:val="FootnoteReference"/>
          <w:lang w:val="ru-RU"/>
        </w:rPr>
        <w:footnoteRef/>
      </w:r>
      <w:r>
        <w:rPr>
          <w:lang w:val="en-US"/>
        </w:rPr>
        <w:tab/>
        <w:t>CONAMU, Proyecto Políticas de Género hacia el año 2000, 1999.</w:t>
      </w:r>
    </w:p>
  </w:footnote>
  <w:footnote w:id="76">
    <w:p w:rsidR="00000000" w:rsidRDefault="00000000">
      <w:pPr>
        <w:pStyle w:val="FootnoteText"/>
        <w:rPr>
          <w:lang w:val="en-US"/>
        </w:rPr>
      </w:pPr>
      <w:r>
        <w:rPr>
          <w:rStyle w:val="FootnoteReference"/>
          <w:lang w:val="ru-RU"/>
        </w:rPr>
        <w:footnoteRef/>
      </w:r>
      <w:r>
        <w:rPr>
          <w:lang w:val="en-US"/>
        </w:rPr>
        <w:tab/>
        <w:t>UNIFEM, Secretaría Técnica del Frente Social, Retrato de Mujeres, 1998.</w:t>
      </w:r>
    </w:p>
  </w:footnote>
  <w:footnote w:id="77">
    <w:p w:rsidR="00000000" w:rsidRDefault="00000000">
      <w:pPr>
        <w:pStyle w:val="FootnoteText"/>
        <w:rPr>
          <w:lang w:val="en-US"/>
        </w:rPr>
      </w:pPr>
      <w:r>
        <w:rPr>
          <w:rStyle w:val="FootnoteReference"/>
          <w:lang w:val="ru-RU"/>
        </w:rPr>
        <w:footnoteRef/>
      </w:r>
      <w:r>
        <w:rPr>
          <w:lang w:val="en-US"/>
        </w:rPr>
        <w:tab/>
        <w:t>CONAMU, Resultado del Estudio "Inserción del enfoque de Género en el Programa de Apoyo al sector de Vivienda del MIDUVI", Agosto de 1999.</w:t>
      </w:r>
    </w:p>
  </w:footnote>
  <w:footnote w:id="78">
    <w:p w:rsidR="00000000" w:rsidRDefault="00000000">
      <w:pPr>
        <w:pStyle w:val="FootnoteText"/>
        <w:rPr>
          <w:lang w:val="en-US"/>
        </w:rPr>
      </w:pPr>
      <w:r>
        <w:rPr>
          <w:rStyle w:val="FootnoteReference"/>
          <w:lang w:val="ru-RU"/>
        </w:rPr>
        <w:footnoteRef/>
      </w:r>
      <w:r>
        <w:rPr>
          <w:lang w:val="en-US"/>
        </w:rPr>
        <w:tab/>
        <w:t>UNIFEM, Secretaría Técnica del Frente Social, Retrato de Mujeres, 1998.</w:t>
      </w:r>
    </w:p>
  </w:footnote>
  <w:footnote w:id="79">
    <w:p w:rsidR="00000000" w:rsidRDefault="00000000">
      <w:pPr>
        <w:pStyle w:val="FootnoteText"/>
        <w:rPr>
          <w:lang w:val="en-US"/>
        </w:rPr>
      </w:pPr>
      <w:r>
        <w:rPr>
          <w:rStyle w:val="FootnoteReference"/>
          <w:lang w:val="ru-RU"/>
        </w:rPr>
        <w:footnoteRef/>
      </w:r>
      <w:r>
        <w:rPr>
          <w:lang w:val="en-US"/>
        </w:rPr>
        <w:tab/>
        <w:t>Ibid.</w:t>
      </w:r>
    </w:p>
  </w:footnote>
  <w:footnote w:id="80">
    <w:p w:rsidR="00000000" w:rsidRDefault="00000000">
      <w:pPr>
        <w:pStyle w:val="FootnoteText"/>
        <w:rPr>
          <w:lang w:val="en-US"/>
        </w:rPr>
      </w:pPr>
      <w:r>
        <w:rPr>
          <w:rStyle w:val="FootnoteReference"/>
          <w:lang w:val="ru-RU"/>
        </w:rPr>
        <w:footnoteRef/>
      </w:r>
      <w:r>
        <w:rPr>
          <w:lang w:val="en-US"/>
        </w:rPr>
        <w:tab/>
        <w:t>Ibid.</w:t>
      </w:r>
    </w:p>
  </w:footnote>
  <w:footnote w:id="81">
    <w:p w:rsidR="00000000" w:rsidRDefault="00000000">
      <w:pPr>
        <w:pStyle w:val="FootnoteText"/>
        <w:rPr>
          <w:lang w:val="en-US"/>
        </w:rPr>
      </w:pPr>
      <w:r>
        <w:rPr>
          <w:rStyle w:val="FootnoteReference"/>
          <w:lang w:val="ru-RU"/>
        </w:rPr>
        <w:footnoteRef/>
      </w:r>
      <w:r>
        <w:rPr>
          <w:lang w:val="en-US"/>
        </w:rPr>
        <w:tab/>
        <w:t xml:space="preserve">CONAMU </w:t>
      </w:r>
      <w:r>
        <w:rPr>
          <w:lang w:val="ru-RU"/>
        </w:rPr>
        <w:t>е</w:t>
      </w:r>
      <w:r>
        <w:rPr>
          <w:lang w:val="en-US"/>
        </w:rPr>
        <w:t xml:space="preserve"> INEC, Mujeres y Hombres del Ecuador en </w:t>
      </w:r>
      <w:r>
        <w:rPr>
          <w:lang w:val="ru-RU"/>
        </w:rPr>
        <w:t>С</w:t>
      </w:r>
      <w:r>
        <w:rPr>
          <w:lang w:val="en-US"/>
        </w:rPr>
        <w:t>ifras, 1999.</w:t>
      </w:r>
    </w:p>
  </w:footnote>
  <w:footnote w:id="82">
    <w:p w:rsidR="00000000" w:rsidRDefault="00000000">
      <w:pPr>
        <w:pStyle w:val="FootnoteText"/>
        <w:rPr>
          <w:lang w:val="en-US"/>
        </w:rPr>
      </w:pPr>
      <w:r>
        <w:rPr>
          <w:rStyle w:val="FootnoteReference"/>
          <w:lang w:val="ru-RU"/>
        </w:rPr>
        <w:footnoteRef/>
      </w:r>
      <w:r>
        <w:rPr>
          <w:lang w:val="en-US"/>
        </w:rPr>
        <w:tab/>
        <w:t>Ibid.</w:t>
      </w:r>
    </w:p>
  </w:footnote>
  <w:footnote w:id="83">
    <w:p w:rsidR="00000000" w:rsidRDefault="00000000">
      <w:pPr>
        <w:pStyle w:val="FootnoteText"/>
        <w:rPr>
          <w:lang w:val="en-US"/>
        </w:rPr>
      </w:pPr>
      <w:r>
        <w:rPr>
          <w:rStyle w:val="FootnoteReference"/>
          <w:lang w:val="ru-RU"/>
        </w:rPr>
        <w:footnoteRef/>
      </w:r>
      <w:r>
        <w:rPr>
          <w:lang w:val="en-US"/>
        </w:rPr>
        <w:tab/>
        <w:t>UNIFEM, Secretaría Técnica del Frente Social, Retrato de Mujeres, 1998.</w:t>
      </w:r>
    </w:p>
  </w:footnote>
  <w:footnote w:id="84">
    <w:p w:rsidR="00000000" w:rsidRDefault="00000000">
      <w:pPr>
        <w:pStyle w:val="FootnoteText"/>
        <w:rPr>
          <w:lang w:val="en-US"/>
        </w:rPr>
      </w:pPr>
      <w:r>
        <w:rPr>
          <w:rStyle w:val="FootnoteReference"/>
          <w:lang w:val="ru-RU"/>
        </w:rPr>
        <w:footnoteRef/>
      </w:r>
      <w:r>
        <w:rPr>
          <w:lang w:val="en-US"/>
        </w:rPr>
        <w:tab/>
        <w:t>UNIFEM, Secretaría Técnica del Frente Social, Retrato de Mujeres, 1998.</w:t>
      </w:r>
    </w:p>
  </w:footnote>
  <w:footnote w:id="85">
    <w:p w:rsidR="00000000" w:rsidRDefault="00000000">
      <w:pPr>
        <w:pStyle w:val="FootnoteText"/>
        <w:rPr>
          <w:lang w:val="en-US"/>
        </w:rPr>
      </w:pPr>
      <w:r>
        <w:rPr>
          <w:rStyle w:val="FootnoteReference"/>
          <w:lang w:val="ru-RU"/>
        </w:rPr>
        <w:footnoteRef/>
      </w:r>
      <w:r>
        <w:rPr>
          <w:lang w:val="en-US"/>
        </w:rPr>
        <w:tab/>
        <w:t>Ibid.</w:t>
      </w:r>
    </w:p>
  </w:footnote>
  <w:footnote w:id="86">
    <w:p w:rsidR="00000000" w:rsidRDefault="00000000">
      <w:pPr>
        <w:pStyle w:val="FootnoteText"/>
        <w:rPr>
          <w:lang w:val="en-US"/>
        </w:rPr>
      </w:pPr>
      <w:r>
        <w:rPr>
          <w:rStyle w:val="FootnoteReference"/>
          <w:lang w:val="ru-RU"/>
        </w:rPr>
        <w:footnoteRef/>
      </w:r>
      <w:r>
        <w:rPr>
          <w:lang w:val="en-US"/>
        </w:rPr>
        <w:tab/>
        <w:t>Ibid.</w:t>
      </w:r>
    </w:p>
  </w:footnote>
  <w:footnote w:id="87">
    <w:p w:rsidR="00000000" w:rsidRDefault="00000000">
      <w:pPr>
        <w:pStyle w:val="FootnoteText"/>
        <w:rPr>
          <w:lang w:val="en-US"/>
        </w:rPr>
      </w:pPr>
      <w:r>
        <w:rPr>
          <w:rStyle w:val="FootnoteReference"/>
          <w:lang w:val="ru-RU"/>
        </w:rPr>
        <w:footnoteRef/>
      </w:r>
      <w:r>
        <w:rPr>
          <w:lang w:val="en-US"/>
        </w:rPr>
        <w:tab/>
        <w:t>Ibid.</w:t>
      </w:r>
    </w:p>
  </w:footnote>
  <w:footnote w:id="88">
    <w:p w:rsidR="00000000" w:rsidRDefault="00000000">
      <w:pPr>
        <w:pStyle w:val="FootnoteText"/>
        <w:rPr>
          <w:lang w:val="en-US"/>
        </w:rPr>
      </w:pPr>
      <w:r>
        <w:rPr>
          <w:rStyle w:val="FootnoteReference"/>
          <w:lang w:val="ru-RU"/>
        </w:rPr>
        <w:footnoteRef/>
      </w:r>
      <w:r>
        <w:rPr>
          <w:lang w:val="en-US"/>
        </w:rPr>
        <w:tab/>
        <w:t>Ibid.</w:t>
      </w:r>
    </w:p>
  </w:footnote>
  <w:footnote w:id="89">
    <w:p w:rsidR="00000000" w:rsidRDefault="00000000">
      <w:pPr>
        <w:pStyle w:val="FootnoteText"/>
        <w:rPr>
          <w:lang w:val="ru-RU"/>
        </w:rPr>
      </w:pPr>
      <w:r>
        <w:rPr>
          <w:rStyle w:val="FootnoteReference"/>
          <w:lang w:val="ru-RU"/>
        </w:rPr>
        <w:footnoteRef/>
      </w:r>
      <w:r>
        <w:rPr>
          <w:lang w:val="ru-RU"/>
        </w:rPr>
        <w:tab/>
        <w:t>Ibid.</w:t>
      </w:r>
    </w:p>
  </w:footnote>
  <w:footnote w:id="90">
    <w:p w:rsidR="00000000" w:rsidRDefault="00000000">
      <w:pPr>
        <w:pStyle w:val="FootnoteText"/>
        <w:rPr>
          <w:lang w:val="ru-RU"/>
        </w:rPr>
      </w:pPr>
      <w:r>
        <w:rPr>
          <w:rStyle w:val="FootnoteReference"/>
          <w:lang w:val="ru-RU"/>
        </w:rPr>
        <w:footnoteRef/>
      </w:r>
      <w:r>
        <w:rPr>
          <w:lang w:val="ru-RU"/>
        </w:rPr>
        <w:t xml:space="preserve"> </w:t>
      </w:r>
      <w:r>
        <w:rPr>
          <w:lang w:val="ru-RU"/>
        </w:rPr>
        <w:tab/>
        <w:t>Создан в соответствии с декретом правительства № 386, который был опубликован в № 88 "Рехистро офисиаль" от 11 декабря 1998 года.</w:t>
      </w:r>
    </w:p>
  </w:footnote>
  <w:footnote w:id="91">
    <w:p w:rsidR="00000000" w:rsidRDefault="00000000">
      <w:pPr>
        <w:pStyle w:val="FootnoteText"/>
        <w:jc w:val="both"/>
        <w:rPr>
          <w:lang w:val="ru-RU"/>
        </w:rPr>
      </w:pPr>
      <w:r>
        <w:rPr>
          <w:rStyle w:val="FootnoteReference"/>
          <w:lang w:val="ru-RU"/>
        </w:rPr>
        <w:footnoteRef/>
      </w:r>
      <w:r>
        <w:rPr>
          <w:lang w:val="ru-RU"/>
        </w:rPr>
        <w:tab/>
        <w:t xml:space="preserve">Под новой сельской реальностью понимаются новые формы жизни, организация приносящей доход деятельности, укрепление связи между городом и деревней, создание систем информации, моделей государственного управления, новых способов проведения политики, а также придание новой значимости демократии, бережное отношение к природным ресурсам и др. </w:t>
      </w:r>
    </w:p>
  </w:footnote>
  <w:footnote w:id="92">
    <w:p w:rsidR="00000000" w:rsidRDefault="00000000">
      <w:pPr>
        <w:pStyle w:val="FootnoteText"/>
        <w:rPr>
          <w:lang w:val="en-US"/>
        </w:rPr>
      </w:pPr>
      <w:r>
        <w:rPr>
          <w:rStyle w:val="FootnoteReference"/>
          <w:lang w:val="ru-RU"/>
        </w:rPr>
        <w:footnoteRef/>
      </w:r>
      <w:r>
        <w:rPr>
          <w:lang w:val="en-US"/>
        </w:rPr>
        <w:tab/>
        <w:t>Ministerio de Agricultura y Ganadería, 1999.</w:t>
      </w:r>
    </w:p>
  </w:footnote>
  <w:footnote w:id="93">
    <w:p w:rsidR="00000000" w:rsidRDefault="00000000">
      <w:pPr>
        <w:pStyle w:val="FootnoteText"/>
        <w:rPr>
          <w:lang w:val="en-US"/>
        </w:rPr>
      </w:pPr>
      <w:r>
        <w:rPr>
          <w:rStyle w:val="FootnoteReference"/>
          <w:lang w:val="ru-RU"/>
        </w:rPr>
        <w:footnoteRef/>
      </w:r>
      <w:r>
        <w:rPr>
          <w:lang w:val="en-US"/>
        </w:rPr>
        <w:tab/>
        <w:t>CONAMU e INEC, Mujeres y Hombres del Ecuador en Cifras, 1999.</w:t>
      </w:r>
    </w:p>
  </w:footnote>
  <w:footnote w:id="94">
    <w:p w:rsidR="00000000" w:rsidRDefault="00000000">
      <w:pPr>
        <w:pStyle w:val="FootnoteText"/>
        <w:rPr>
          <w:lang w:val="ru-RU"/>
        </w:rPr>
      </w:pPr>
      <w:r>
        <w:rPr>
          <w:rStyle w:val="FootnoteReference"/>
          <w:lang w:val="ru-RU"/>
        </w:rPr>
        <w:footnoteRef/>
      </w:r>
      <w:r>
        <w:rPr>
          <w:lang w:val="ru-RU"/>
        </w:rPr>
        <w:tab/>
        <w:t>Доля замужних женщин исчисляется в расчете на 1 тыс. женщин.</w:t>
      </w:r>
    </w:p>
  </w:footnote>
  <w:footnote w:id="95">
    <w:p w:rsidR="00000000" w:rsidRDefault="00000000">
      <w:pPr>
        <w:pStyle w:val="FootnoteText"/>
        <w:rPr>
          <w:lang w:val="ru-RU"/>
        </w:rPr>
      </w:pPr>
      <w:r>
        <w:rPr>
          <w:rStyle w:val="FootnoteReference"/>
          <w:lang w:val="ru-RU"/>
        </w:rPr>
        <w:footnoteRef/>
      </w:r>
      <w:r>
        <w:rPr>
          <w:lang w:val="ru-RU"/>
        </w:rPr>
        <w:tab/>
        <w:t>Доля разводов исчисляется в расчете на 10 тыс. жителей.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5107C"/>
    <w:multiLevelType w:val="hybridMultilevel"/>
    <w:tmpl w:val="3EA6F13A"/>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
    <w:nsid w:val="047400DF"/>
    <w:multiLevelType w:val="hybridMultilevel"/>
    <w:tmpl w:val="1F8A765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nsid w:val="0AA1765C"/>
    <w:multiLevelType w:val="hybridMultilevel"/>
    <w:tmpl w:val="08CA7A52"/>
    <w:lvl w:ilvl="0">
      <w:start w:val="1"/>
      <w:numFmt w:val="bullet"/>
      <w:lvlText w:val=""/>
      <w:lvlJc w:val="left"/>
      <w:pPr>
        <w:tabs>
          <w:tab w:val="num" w:pos="397"/>
        </w:tabs>
        <w:ind w:left="397" w:hanging="397"/>
      </w:pPr>
      <w:rPr>
        <w:rFonts w:ascii="Symbol" w:hAnsi="Symbol" w:hint="default"/>
        <w:b w:val="0"/>
        <w:i w:val="0"/>
        <w:sz w:val="22"/>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
    <w:nsid w:val="0D7B47E7"/>
    <w:multiLevelType w:val="hybridMultilevel"/>
    <w:tmpl w:val="5C4899CC"/>
    <w:lvl w:ilvl="0">
      <w:start w:val="99"/>
      <w:numFmt w:val="decimal"/>
      <w:lvlText w:val="%1."/>
      <w:lvlJc w:val="left"/>
      <w:pPr>
        <w:tabs>
          <w:tab w:val="num" w:pos="1044"/>
        </w:tabs>
        <w:ind w:left="1044" w:hanging="684"/>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111C0C48"/>
    <w:multiLevelType w:val="hybridMultilevel"/>
    <w:tmpl w:val="670EDC14"/>
    <w:lvl w:ilvl="0">
      <w:start w:val="234"/>
      <w:numFmt w:val="decimal"/>
      <w:lvlText w:val="%1."/>
      <w:lvlJc w:val="left"/>
      <w:pPr>
        <w:tabs>
          <w:tab w:val="num" w:pos="900"/>
        </w:tabs>
        <w:ind w:left="900" w:hanging="54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13EF7899"/>
    <w:multiLevelType w:val="hybridMultilevel"/>
    <w:tmpl w:val="B34E5A9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nsid w:val="199E7C8F"/>
    <w:multiLevelType w:val="hybridMultilevel"/>
    <w:tmpl w:val="21C038F2"/>
    <w:lvl w:ilvl="0">
      <w:start w:val="2"/>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1EBA79CE"/>
    <w:multiLevelType w:val="hybridMultilevel"/>
    <w:tmpl w:val="3D542360"/>
    <w:lvl w:ilvl="0">
      <w:start w:val="1"/>
      <w:numFmt w:val="bullet"/>
      <w:lvlText w:val=""/>
      <w:lvlJc w:val="left"/>
      <w:pPr>
        <w:tabs>
          <w:tab w:val="num" w:pos="757"/>
        </w:tabs>
        <w:ind w:left="737" w:hanging="34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nsid w:val="203A117A"/>
    <w:multiLevelType w:val="hybridMultilevel"/>
    <w:tmpl w:val="765AE69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21D820D1"/>
    <w:multiLevelType w:val="hybridMultilevel"/>
    <w:tmpl w:val="6FC2D39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nsid w:val="245C20B6"/>
    <w:multiLevelType w:val="hybridMultilevel"/>
    <w:tmpl w:val="5EB225AA"/>
    <w:lvl w:ilvl="0">
      <w:start w:val="2"/>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25265BC6"/>
    <w:multiLevelType w:val="hybridMultilevel"/>
    <w:tmpl w:val="0720A2E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
    <w:nsid w:val="2C03385B"/>
    <w:multiLevelType w:val="hybridMultilevel"/>
    <w:tmpl w:val="8B2811B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nsid w:val="3A656161"/>
    <w:multiLevelType w:val="hybridMultilevel"/>
    <w:tmpl w:val="29F86546"/>
    <w:lvl w:ilvl="0">
      <w:start w:val="1"/>
      <w:numFmt w:val="decimal"/>
      <w:lvlText w:val="%1."/>
      <w:lvlJc w:val="left"/>
      <w:pPr>
        <w:tabs>
          <w:tab w:val="num" w:pos="1428"/>
        </w:tabs>
        <w:ind w:left="1428" w:hanging="360"/>
      </w:pPr>
    </w:lvl>
    <w:lvl w:ilvl="1" w:tentative="1">
      <w:start w:val="1"/>
      <w:numFmt w:val="lowerLetter"/>
      <w:lvlText w:val="%2."/>
      <w:lvlJc w:val="left"/>
      <w:pPr>
        <w:tabs>
          <w:tab w:val="num" w:pos="2148"/>
        </w:tabs>
        <w:ind w:left="2148" w:hanging="360"/>
      </w:pPr>
    </w:lvl>
    <w:lvl w:ilvl="2" w:tentative="1">
      <w:start w:val="1"/>
      <w:numFmt w:val="lowerRoman"/>
      <w:lvlText w:val="%3."/>
      <w:lvlJc w:val="right"/>
      <w:pPr>
        <w:tabs>
          <w:tab w:val="num" w:pos="2868"/>
        </w:tabs>
        <w:ind w:left="2868" w:hanging="180"/>
      </w:pPr>
    </w:lvl>
    <w:lvl w:ilvl="3" w:tentative="1">
      <w:start w:val="1"/>
      <w:numFmt w:val="decimal"/>
      <w:lvlText w:val="%4."/>
      <w:lvlJc w:val="left"/>
      <w:pPr>
        <w:tabs>
          <w:tab w:val="num" w:pos="3588"/>
        </w:tabs>
        <w:ind w:left="3588" w:hanging="360"/>
      </w:pPr>
    </w:lvl>
    <w:lvl w:ilvl="4" w:tentative="1">
      <w:start w:val="1"/>
      <w:numFmt w:val="lowerLetter"/>
      <w:lvlText w:val="%5."/>
      <w:lvlJc w:val="left"/>
      <w:pPr>
        <w:tabs>
          <w:tab w:val="num" w:pos="4308"/>
        </w:tabs>
        <w:ind w:left="4308" w:hanging="360"/>
      </w:pPr>
    </w:lvl>
    <w:lvl w:ilvl="5" w:tentative="1">
      <w:start w:val="1"/>
      <w:numFmt w:val="lowerRoman"/>
      <w:lvlText w:val="%6."/>
      <w:lvlJc w:val="right"/>
      <w:pPr>
        <w:tabs>
          <w:tab w:val="num" w:pos="5028"/>
        </w:tabs>
        <w:ind w:left="5028" w:hanging="180"/>
      </w:pPr>
    </w:lvl>
    <w:lvl w:ilvl="6" w:tentative="1">
      <w:start w:val="1"/>
      <w:numFmt w:val="decimal"/>
      <w:lvlText w:val="%7."/>
      <w:lvlJc w:val="left"/>
      <w:pPr>
        <w:tabs>
          <w:tab w:val="num" w:pos="5748"/>
        </w:tabs>
        <w:ind w:left="5748" w:hanging="360"/>
      </w:pPr>
    </w:lvl>
    <w:lvl w:ilvl="7" w:tentative="1">
      <w:start w:val="1"/>
      <w:numFmt w:val="lowerLetter"/>
      <w:lvlText w:val="%8."/>
      <w:lvlJc w:val="left"/>
      <w:pPr>
        <w:tabs>
          <w:tab w:val="num" w:pos="6468"/>
        </w:tabs>
        <w:ind w:left="6468" w:hanging="360"/>
      </w:pPr>
    </w:lvl>
    <w:lvl w:ilvl="8" w:tentative="1">
      <w:start w:val="1"/>
      <w:numFmt w:val="lowerRoman"/>
      <w:lvlText w:val="%9."/>
      <w:lvlJc w:val="right"/>
      <w:pPr>
        <w:tabs>
          <w:tab w:val="num" w:pos="7188"/>
        </w:tabs>
        <w:ind w:left="7188" w:hanging="180"/>
      </w:pPr>
    </w:lvl>
  </w:abstractNum>
  <w:abstractNum w:abstractNumId="14">
    <w:nsid w:val="3BCC41C9"/>
    <w:multiLevelType w:val="hybridMultilevel"/>
    <w:tmpl w:val="EDB834C2"/>
    <w:lvl w:ilvl="0">
      <w:start w:val="1"/>
      <w:numFmt w:val="bullet"/>
      <w:lvlText w:val=""/>
      <w:lvlJc w:val="left"/>
      <w:pPr>
        <w:tabs>
          <w:tab w:val="num" w:pos="757"/>
        </w:tabs>
        <w:ind w:left="737" w:hanging="34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3CC50126"/>
    <w:multiLevelType w:val="hybridMultilevel"/>
    <w:tmpl w:val="59C6721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424459EE"/>
    <w:multiLevelType w:val="hybridMultilevel"/>
    <w:tmpl w:val="3D542360"/>
    <w:lvl w:ilvl="0">
      <w:start w:val="1"/>
      <w:numFmt w:val="bullet"/>
      <w:lvlText w:val=""/>
      <w:lvlJc w:val="left"/>
      <w:pPr>
        <w:tabs>
          <w:tab w:val="num" w:pos="757"/>
        </w:tabs>
        <w:ind w:left="757"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nsid w:val="43735C30"/>
    <w:multiLevelType w:val="hybridMultilevel"/>
    <w:tmpl w:val="7C869296"/>
    <w:lvl w:ilvl="0">
      <w:start w:val="173"/>
      <w:numFmt w:val="decimal"/>
      <w:lvlText w:val="%1."/>
      <w:lvlJc w:val="left"/>
      <w:pPr>
        <w:tabs>
          <w:tab w:val="num" w:pos="1068"/>
        </w:tabs>
        <w:ind w:left="1068" w:hanging="708"/>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47013068"/>
    <w:multiLevelType w:val="hybridMultilevel"/>
    <w:tmpl w:val="08CA7A52"/>
    <w:lvl w:ilvl="0">
      <w:start w:val="1"/>
      <w:numFmt w:val="bullet"/>
      <w:lvlText w:val=""/>
      <w:lvlJc w:val="left"/>
      <w:pPr>
        <w:tabs>
          <w:tab w:val="num" w:pos="397"/>
        </w:tabs>
        <w:ind w:left="397" w:hanging="397"/>
      </w:pPr>
      <w:rPr>
        <w:rFonts w:ascii="Symbol" w:hAnsi="Symbol" w:hint="default"/>
        <w:b w:val="0"/>
        <w:i w:val="0"/>
        <w:sz w:val="22"/>
      </w:rPr>
    </w:lvl>
    <w:lvl w:ilvl="1">
      <w:start w:val="1"/>
      <w:numFmt w:val="bullet"/>
      <w:lvlText w:val=""/>
      <w:lvlJc w:val="left"/>
      <w:pPr>
        <w:tabs>
          <w:tab w:val="num" w:pos="1477"/>
        </w:tabs>
        <w:ind w:left="1477" w:hanging="397"/>
      </w:pPr>
      <w:rPr>
        <w:rFonts w:ascii="Symbol" w:hAnsi="Symbol" w:hint="default"/>
        <w:b w:val="0"/>
        <w:i w:val="0"/>
        <w:sz w:val="22"/>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nsid w:val="477101B4"/>
    <w:multiLevelType w:val="hybridMultilevel"/>
    <w:tmpl w:val="EDB834C2"/>
    <w:lvl w:ilvl="0">
      <w:start w:val="1"/>
      <w:numFmt w:val="bullet"/>
      <w:lvlText w:val=""/>
      <w:lvlJc w:val="left"/>
      <w:pPr>
        <w:tabs>
          <w:tab w:val="num" w:pos="1428"/>
        </w:tabs>
        <w:ind w:left="1428"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
    <w:nsid w:val="4CE410FD"/>
    <w:multiLevelType w:val="hybridMultilevel"/>
    <w:tmpl w:val="CF1056F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nsid w:val="4D8067A8"/>
    <w:multiLevelType w:val="hybridMultilevel"/>
    <w:tmpl w:val="4A7AA21A"/>
    <w:lvl w:ilvl="0">
      <w:start w:val="149"/>
      <w:numFmt w:val="decimal"/>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4FC866A1"/>
    <w:multiLevelType w:val="hybridMultilevel"/>
    <w:tmpl w:val="0BB46378"/>
    <w:lvl w:ilvl="0">
      <w:start w:val="1"/>
      <w:numFmt w:val="bullet"/>
      <w:lvlText w:val=""/>
      <w:lvlJc w:val="left"/>
      <w:pPr>
        <w:tabs>
          <w:tab w:val="num" w:pos="397"/>
        </w:tabs>
        <w:ind w:left="397" w:hanging="397"/>
      </w:pPr>
      <w:rPr>
        <w:rFonts w:ascii="Symbol" w:hAnsi="Symbol" w:hint="default"/>
        <w:b w:val="0"/>
        <w:i w:val="0"/>
        <w:sz w:val="22"/>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nsid w:val="54A5123F"/>
    <w:multiLevelType w:val="hybridMultilevel"/>
    <w:tmpl w:val="7BB67088"/>
    <w:lvl w:ilvl="0">
      <w:start w:val="1"/>
      <w:numFmt w:val="bullet"/>
      <w:lvlText w:val=""/>
      <w:lvlJc w:val="left"/>
      <w:pPr>
        <w:tabs>
          <w:tab w:val="num" w:pos="757"/>
        </w:tabs>
        <w:ind w:left="737" w:hanging="34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nsid w:val="5AEB24A1"/>
    <w:multiLevelType w:val="hybridMultilevel"/>
    <w:tmpl w:val="EA124830"/>
    <w:lvl w:ilvl="0">
      <w:start w:val="1"/>
      <w:numFmt w:val="bullet"/>
      <w:lvlText w:val=""/>
      <w:lvlJc w:val="left"/>
      <w:pPr>
        <w:tabs>
          <w:tab w:val="num" w:pos="780"/>
        </w:tabs>
        <w:ind w:left="780" w:hanging="360"/>
      </w:pPr>
      <w:rPr>
        <w:rFonts w:ascii="Symbol" w:hAnsi="Symbol" w:hint="default"/>
      </w:rPr>
    </w:lvl>
    <w:lvl w:ilvl="1" w:tentative="1">
      <w:start w:val="1"/>
      <w:numFmt w:val="bullet"/>
      <w:lvlText w:val="o"/>
      <w:lvlJc w:val="left"/>
      <w:pPr>
        <w:tabs>
          <w:tab w:val="num" w:pos="1500"/>
        </w:tabs>
        <w:ind w:left="1500" w:hanging="360"/>
      </w:pPr>
      <w:rPr>
        <w:rFonts w:ascii="Courier New" w:hAnsi="Courier New" w:hint="default"/>
      </w:rPr>
    </w:lvl>
    <w:lvl w:ilvl="2" w:tentative="1">
      <w:start w:val="1"/>
      <w:numFmt w:val="bullet"/>
      <w:lvlText w:val=""/>
      <w:lvlJc w:val="left"/>
      <w:pPr>
        <w:tabs>
          <w:tab w:val="num" w:pos="2220"/>
        </w:tabs>
        <w:ind w:left="2220" w:hanging="360"/>
      </w:pPr>
      <w:rPr>
        <w:rFonts w:ascii="Wingdings" w:hAnsi="Wingdings" w:hint="default"/>
      </w:rPr>
    </w:lvl>
    <w:lvl w:ilvl="3" w:tentative="1">
      <w:start w:val="1"/>
      <w:numFmt w:val="bullet"/>
      <w:lvlText w:val=""/>
      <w:lvlJc w:val="left"/>
      <w:pPr>
        <w:tabs>
          <w:tab w:val="num" w:pos="2940"/>
        </w:tabs>
        <w:ind w:left="2940" w:hanging="360"/>
      </w:pPr>
      <w:rPr>
        <w:rFonts w:ascii="Symbol" w:hAnsi="Symbol" w:hint="default"/>
      </w:rPr>
    </w:lvl>
    <w:lvl w:ilvl="4" w:tentative="1">
      <w:start w:val="1"/>
      <w:numFmt w:val="bullet"/>
      <w:lvlText w:val="o"/>
      <w:lvlJc w:val="left"/>
      <w:pPr>
        <w:tabs>
          <w:tab w:val="num" w:pos="3660"/>
        </w:tabs>
        <w:ind w:left="3660" w:hanging="360"/>
      </w:pPr>
      <w:rPr>
        <w:rFonts w:ascii="Courier New" w:hAnsi="Courier New" w:hint="default"/>
      </w:rPr>
    </w:lvl>
    <w:lvl w:ilvl="5" w:tentative="1">
      <w:start w:val="1"/>
      <w:numFmt w:val="bullet"/>
      <w:lvlText w:val=""/>
      <w:lvlJc w:val="left"/>
      <w:pPr>
        <w:tabs>
          <w:tab w:val="num" w:pos="4380"/>
        </w:tabs>
        <w:ind w:left="4380" w:hanging="360"/>
      </w:pPr>
      <w:rPr>
        <w:rFonts w:ascii="Wingdings" w:hAnsi="Wingdings" w:hint="default"/>
      </w:rPr>
    </w:lvl>
    <w:lvl w:ilvl="6" w:tentative="1">
      <w:start w:val="1"/>
      <w:numFmt w:val="bullet"/>
      <w:lvlText w:val=""/>
      <w:lvlJc w:val="left"/>
      <w:pPr>
        <w:tabs>
          <w:tab w:val="num" w:pos="5100"/>
        </w:tabs>
        <w:ind w:left="5100" w:hanging="360"/>
      </w:pPr>
      <w:rPr>
        <w:rFonts w:ascii="Symbol" w:hAnsi="Symbol" w:hint="default"/>
      </w:rPr>
    </w:lvl>
    <w:lvl w:ilvl="7" w:tentative="1">
      <w:start w:val="1"/>
      <w:numFmt w:val="bullet"/>
      <w:lvlText w:val="o"/>
      <w:lvlJc w:val="left"/>
      <w:pPr>
        <w:tabs>
          <w:tab w:val="num" w:pos="5820"/>
        </w:tabs>
        <w:ind w:left="5820" w:hanging="360"/>
      </w:pPr>
      <w:rPr>
        <w:rFonts w:ascii="Courier New" w:hAnsi="Courier New" w:hint="default"/>
      </w:rPr>
    </w:lvl>
    <w:lvl w:ilvl="8" w:tentative="1">
      <w:start w:val="1"/>
      <w:numFmt w:val="bullet"/>
      <w:lvlText w:val=""/>
      <w:lvlJc w:val="left"/>
      <w:pPr>
        <w:tabs>
          <w:tab w:val="num" w:pos="6540"/>
        </w:tabs>
        <w:ind w:left="6540" w:hanging="360"/>
      </w:pPr>
      <w:rPr>
        <w:rFonts w:ascii="Wingdings" w:hAnsi="Wingdings" w:hint="default"/>
      </w:rPr>
    </w:lvl>
  </w:abstractNum>
  <w:abstractNum w:abstractNumId="25">
    <w:nsid w:val="69D6087C"/>
    <w:multiLevelType w:val="hybridMultilevel"/>
    <w:tmpl w:val="58C6169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
    <w:nsid w:val="6CD90DEE"/>
    <w:multiLevelType w:val="hybridMultilevel"/>
    <w:tmpl w:val="1D4410F0"/>
    <w:lvl w:ilvl="0">
      <w:start w:val="64"/>
      <w:numFmt w:val="decimal"/>
      <w:lvlText w:val="%1."/>
      <w:lvlJc w:val="left"/>
      <w:pPr>
        <w:tabs>
          <w:tab w:val="num" w:pos="1044"/>
        </w:tabs>
        <w:ind w:left="1044" w:hanging="684"/>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704F4CEA"/>
    <w:multiLevelType w:val="singleLevel"/>
    <w:tmpl w:val="FFFFFFFF"/>
    <w:lvl w:ilvl="0">
      <w:numFmt w:val="bullet"/>
      <w:lvlText w:val="·"/>
      <w:legacy w:legacy="1" w:legacySpace="0" w:legacyIndent="360"/>
      <w:lvlJc w:val="left"/>
      <w:pPr>
        <w:ind w:left="720" w:hanging="360"/>
      </w:pPr>
      <w:rPr>
        <w:rFonts w:ascii="Symbol" w:hAnsi="Symbol" w:hint="default"/>
      </w:rPr>
    </w:lvl>
  </w:abstractNum>
  <w:abstractNum w:abstractNumId="28">
    <w:nsid w:val="713E2C1D"/>
    <w:multiLevelType w:val="hybridMultilevel"/>
    <w:tmpl w:val="3EA6F13A"/>
    <w:lvl w:ilvl="0">
      <w:start w:val="1"/>
      <w:numFmt w:val="bullet"/>
      <w:lvlText w:val=""/>
      <w:lvlJc w:val="left"/>
      <w:pPr>
        <w:tabs>
          <w:tab w:val="num" w:pos="720"/>
        </w:tabs>
        <w:ind w:left="700" w:hanging="34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
    <w:nsid w:val="71DC572B"/>
    <w:multiLevelType w:val="hybridMultilevel"/>
    <w:tmpl w:val="A7284EC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0">
    <w:nsid w:val="74E700AD"/>
    <w:multiLevelType w:val="hybridMultilevel"/>
    <w:tmpl w:val="399090AE"/>
    <w:lvl w:ilvl="0">
      <w:start w:val="1"/>
      <w:numFmt w:val="bullet"/>
      <w:lvlText w:val=""/>
      <w:lvlJc w:val="left"/>
      <w:pPr>
        <w:tabs>
          <w:tab w:val="num" w:pos="397"/>
        </w:tabs>
        <w:ind w:left="397" w:hanging="397"/>
      </w:pPr>
      <w:rPr>
        <w:rFonts w:ascii="Symbol" w:hAnsi="Symbol" w:hint="default"/>
        <w:b w:val="0"/>
        <w:i w:val="0"/>
        <w:sz w:val="22"/>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1">
    <w:nsid w:val="7FE372A9"/>
    <w:multiLevelType w:val="hybridMultilevel"/>
    <w:tmpl w:val="08CA7A52"/>
    <w:lvl w:ilvl="0">
      <w:start w:val="1"/>
      <w:numFmt w:val="bullet"/>
      <w:lvlText w:val=""/>
      <w:lvlJc w:val="left"/>
      <w:pPr>
        <w:tabs>
          <w:tab w:val="num" w:pos="397"/>
        </w:tabs>
        <w:ind w:left="397" w:hanging="397"/>
      </w:pPr>
      <w:rPr>
        <w:rFonts w:ascii="Symbol" w:hAnsi="Symbol" w:hint="default"/>
        <w:b w:val="0"/>
        <w:i w:val="0"/>
        <w:sz w:val="22"/>
      </w:rPr>
    </w:lvl>
    <w:lvl w:ilvl="1">
      <w:start w:val="1"/>
      <w:numFmt w:val="bullet"/>
      <w:lvlText w:val=""/>
      <w:lvlJc w:val="left"/>
      <w:pPr>
        <w:tabs>
          <w:tab w:val="num" w:pos="397"/>
        </w:tabs>
        <w:ind w:left="397" w:hanging="397"/>
      </w:pPr>
      <w:rPr>
        <w:rFonts w:ascii="Symbol" w:hAnsi="Symbol" w:hint="default"/>
        <w:b w:val="0"/>
        <w:i w:val="0"/>
        <w:sz w:val="22"/>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29"/>
  </w:num>
  <w:num w:numId="2">
    <w:abstractNumId w:val="27"/>
  </w:num>
  <w:num w:numId="3">
    <w:abstractNumId w:val="24"/>
  </w:num>
  <w:num w:numId="4">
    <w:abstractNumId w:val="10"/>
  </w:num>
  <w:num w:numId="5">
    <w:abstractNumId w:val="1"/>
  </w:num>
  <w:num w:numId="6">
    <w:abstractNumId w:val="15"/>
  </w:num>
  <w:num w:numId="7">
    <w:abstractNumId w:val="5"/>
  </w:num>
  <w:num w:numId="8">
    <w:abstractNumId w:val="11"/>
  </w:num>
  <w:num w:numId="9">
    <w:abstractNumId w:val="25"/>
  </w:num>
  <w:num w:numId="10">
    <w:abstractNumId w:val="4"/>
  </w:num>
  <w:num w:numId="11">
    <w:abstractNumId w:val="19"/>
  </w:num>
  <w:num w:numId="12">
    <w:abstractNumId w:val="14"/>
  </w:num>
  <w:num w:numId="13">
    <w:abstractNumId w:val="23"/>
  </w:num>
  <w:num w:numId="14">
    <w:abstractNumId w:val="9"/>
  </w:num>
  <w:num w:numId="15">
    <w:abstractNumId w:val="7"/>
  </w:num>
  <w:num w:numId="16">
    <w:abstractNumId w:val="16"/>
  </w:num>
  <w:num w:numId="17">
    <w:abstractNumId w:val="0"/>
  </w:num>
  <w:num w:numId="18">
    <w:abstractNumId w:val="28"/>
  </w:num>
  <w:num w:numId="19">
    <w:abstractNumId w:val="6"/>
  </w:num>
  <w:num w:numId="20">
    <w:abstractNumId w:val="26"/>
  </w:num>
  <w:num w:numId="21">
    <w:abstractNumId w:val="22"/>
  </w:num>
  <w:num w:numId="22">
    <w:abstractNumId w:val="30"/>
  </w:num>
  <w:num w:numId="23">
    <w:abstractNumId w:val="2"/>
  </w:num>
  <w:num w:numId="24">
    <w:abstractNumId w:val="3"/>
  </w:num>
  <w:num w:numId="25">
    <w:abstractNumId w:val="18"/>
  </w:num>
  <w:num w:numId="26">
    <w:abstractNumId w:val="31"/>
  </w:num>
  <w:num w:numId="27">
    <w:abstractNumId w:val="13"/>
  </w:num>
  <w:num w:numId="28">
    <w:abstractNumId w:val="20"/>
  </w:num>
  <w:num w:numId="29">
    <w:abstractNumId w:val="21"/>
  </w:num>
  <w:num w:numId="30">
    <w:abstractNumId w:val="12"/>
  </w:num>
  <w:num w:numId="31">
    <w:abstractNumId w:val="17"/>
  </w:num>
  <w:num w:numId="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9"/>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JobNo" w:val="0223193"/>
    <w:docVar w:name="Symbol1" w:val="CEDAW/C/ECU/4-5"/>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ru-RU" w:eastAsia="ru-RU"/>
    </w:rPr>
  </w:style>
  <w:style w:type="paragraph" w:styleId="Heading1">
    <w:name w:val="heading 1"/>
    <w:basedOn w:val="Normal"/>
    <w:next w:val="Normal"/>
    <w:qFormat/>
    <w:pPr>
      <w:keepNext/>
      <w:spacing w:before="720" w:after="400"/>
      <w:jc w:val="center"/>
      <w:outlineLvl w:val="0"/>
    </w:pPr>
    <w:rPr>
      <w:rFonts w:ascii="Arial" w:hAnsi="Arial"/>
      <w:b/>
      <w:bCs/>
      <w:caps/>
      <w:sz w:val="26"/>
    </w:rPr>
  </w:style>
  <w:style w:type="paragraph" w:styleId="Heading2">
    <w:name w:val="heading 2"/>
    <w:basedOn w:val="Normal"/>
    <w:next w:val="Normal"/>
    <w:qFormat/>
    <w:pPr>
      <w:keepNext/>
      <w:spacing w:after="480"/>
      <w:jc w:val="center"/>
      <w:outlineLvl w:val="1"/>
    </w:pPr>
    <w:rPr>
      <w:rFonts w:ascii="Arial" w:hAnsi="Arial" w:cs="Arial"/>
      <w:b/>
      <w:bCs/>
      <w:iCs/>
      <w:caps/>
      <w:sz w:val="26"/>
      <w:szCs w:val="28"/>
      <w:u w:val="single"/>
    </w:rPr>
  </w:style>
  <w:style w:type="paragraph" w:styleId="Heading3">
    <w:name w:val="heading 3"/>
    <w:basedOn w:val="Normal"/>
    <w:next w:val="Normal"/>
    <w:qFormat/>
    <w:pPr>
      <w:keepNext/>
      <w:spacing w:after="240"/>
      <w:jc w:val="center"/>
      <w:outlineLvl w:val="2"/>
    </w:pPr>
    <w:rPr>
      <w:rFonts w:ascii="Arial" w:hAnsi="Arial" w:cs="Arial"/>
      <w:b/>
      <w:bCs/>
      <w:szCs w:val="26"/>
      <w:u w:val="single"/>
    </w:rPr>
  </w:style>
  <w:style w:type="paragraph" w:styleId="Heading4">
    <w:name w:val="heading 4"/>
    <w:basedOn w:val="Normal"/>
    <w:next w:val="Normal"/>
    <w:qFormat/>
    <w:pPr>
      <w:spacing w:before="360" w:after="240"/>
      <w:jc w:val="center"/>
      <w:outlineLvl w:val="3"/>
    </w:pPr>
    <w:rPr>
      <w:rFonts w:ascii="Arial" w:hAnsi="Arial"/>
      <w:bCs/>
      <w:i/>
      <w:szCs w:val="28"/>
    </w:rPr>
  </w:style>
  <w:style w:type="paragraph" w:styleId="Heading5">
    <w:name w:val="heading 5"/>
    <w:basedOn w:val="Normal"/>
    <w:next w:val="Normal"/>
    <w:qFormat/>
    <w:pPr>
      <w:keepNext/>
      <w:jc w:val="center"/>
      <w:outlineLvl w:val="4"/>
    </w:pPr>
    <w:rPr>
      <w:u w:val="single"/>
    </w:rPr>
  </w:style>
  <w:style w:type="paragraph" w:styleId="Heading6">
    <w:name w:val="heading 6"/>
    <w:basedOn w:val="Normal"/>
    <w:next w:val="Normal"/>
    <w:qFormat/>
    <w:pPr>
      <w:keepNext/>
      <w:ind w:left="60"/>
      <w:jc w:val="center"/>
      <w:outlineLvl w:val="5"/>
    </w:pPr>
    <w:rPr>
      <w:b/>
      <w:bCs/>
    </w:rPr>
  </w:style>
  <w:style w:type="paragraph" w:styleId="Heading9">
    <w:name w:val="heading 9"/>
    <w:basedOn w:val="Normal"/>
    <w:next w:val="Normal"/>
    <w:qFormat/>
    <w:pPr>
      <w:keepNext/>
      <w:shd w:val="clear" w:color="auto" w:fill="FFFFFF"/>
      <w:autoSpaceDE w:val="0"/>
      <w:autoSpaceDN w:val="0"/>
      <w:adjustRightInd w:val="0"/>
      <w:spacing w:line="480" w:lineRule="auto"/>
      <w:jc w:val="center"/>
      <w:outlineLvl w:val="8"/>
    </w:pPr>
    <w:rPr>
      <w:b/>
      <w:bCs/>
      <w:iCs/>
      <w:smallCaps/>
      <w:color w:val="00000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677"/>
        <w:tab w:val="right" w:pos="9355"/>
      </w:tabs>
    </w:pPr>
  </w:style>
  <w:style w:type="paragraph" w:styleId="BodyText">
    <w:name w:val="Body Text"/>
    <w:basedOn w:val="Normal"/>
    <w:semiHidden/>
    <w:pPr>
      <w:tabs>
        <w:tab w:val="left" w:pos="680"/>
      </w:tabs>
      <w:spacing w:after="240" w:line="260" w:lineRule="exact"/>
      <w:jc w:val="both"/>
    </w:pPr>
    <w:rPr>
      <w:rFonts w:ascii="Arial" w:hAnsi="Arial"/>
      <w:sz w:val="22"/>
    </w:rPr>
  </w:style>
  <w:style w:type="character" w:styleId="PageNumber">
    <w:name w:val="page number"/>
    <w:basedOn w:val="DefaultParagraphFont"/>
    <w:semiHidden/>
  </w:style>
  <w:style w:type="character" w:styleId="FootnoteReference">
    <w:name w:val="footnote reference"/>
    <w:semiHidden/>
    <w:rPr>
      <w:spacing w:val="0"/>
      <w:w w:val="100"/>
      <w:position w:val="0"/>
      <w:vertAlign w:val="superscript"/>
    </w:rPr>
  </w:style>
  <w:style w:type="paragraph" w:styleId="FootnoteText">
    <w:name w:val="footnote text"/>
    <w:basedOn w:val="Normal"/>
    <w:semiHidden/>
    <w:pPr>
      <w:tabs>
        <w:tab w:val="left" w:pos="170"/>
      </w:tabs>
    </w:pPr>
    <w:rPr>
      <w:rFonts w:ascii="Arial" w:hAnsi="Arial"/>
      <w:sz w:val="16"/>
      <w:szCs w:val="20"/>
      <w:lang w:val="es-ES"/>
    </w:rPr>
  </w:style>
  <w:style w:type="paragraph" w:styleId="TOC4">
    <w:name w:val="toc 4"/>
    <w:basedOn w:val="Normal"/>
    <w:next w:val="Normal"/>
    <w:autoRedefine/>
    <w:semiHidden/>
    <w:pPr>
      <w:spacing w:before="240" w:after="240"/>
      <w:jc w:val="center"/>
    </w:pPr>
    <w:rPr>
      <w:rFonts w:ascii="Arial" w:hAnsi="Arial"/>
      <w:i/>
    </w:rPr>
  </w:style>
  <w:style w:type="paragraph" w:styleId="BodyText2">
    <w:name w:val="Body Text 2"/>
    <w:basedOn w:val="Normal"/>
    <w:semiHidden/>
    <w:pPr>
      <w:jc w:val="center"/>
    </w:pPr>
    <w:rPr>
      <w:b/>
      <w:bCs/>
      <w:caps/>
    </w:rPr>
  </w:style>
  <w:style w:type="paragraph" w:styleId="Footer">
    <w:name w:val="footer"/>
    <w:basedOn w:val="Normal"/>
    <w:semiHidden/>
    <w:pPr>
      <w:tabs>
        <w:tab w:val="center" w:pos="4677"/>
        <w:tab w:val="right" w:pos="9355"/>
      </w:tabs>
    </w:pPr>
    <w:rPr>
      <w:lang w:val="es-ES"/>
    </w:rPr>
  </w:style>
  <w:style w:type="paragraph" w:styleId="BodyText3">
    <w:name w:val="Body Text 3"/>
    <w:basedOn w:val="Normal"/>
    <w:semiHidden/>
    <w:pPr>
      <w:autoSpaceDE w:val="0"/>
      <w:autoSpaceDN w:val="0"/>
      <w:adjustRightInd w:val="0"/>
    </w:pPr>
    <w:rPr>
      <w:color w:val="000000"/>
      <w:szCs w:val="21"/>
    </w:rPr>
  </w:style>
  <w:style w:type="paragraph" w:styleId="BodyTextIndent">
    <w:name w:val="Body Text Indent"/>
    <w:basedOn w:val="Normal"/>
    <w:semiHidden/>
    <w:pPr>
      <w:spacing w:line="260" w:lineRule="exact"/>
      <w:ind w:left="397" w:hanging="397"/>
      <w:jc w:val="both"/>
    </w:pPr>
    <w:rPr>
      <w:rFonts w:ascii="Arial" w:hAnsi="Arial" w:cs="Arial"/>
      <w:sz w:val="22"/>
    </w:rPr>
  </w:style>
  <w:style w:type="paragraph" w:styleId="BodyTextIndent2">
    <w:name w:val="Body Text Indent 2"/>
    <w:basedOn w:val="Normal"/>
    <w:semiHidden/>
    <w:pPr>
      <w:autoSpaceDE w:val="0"/>
      <w:autoSpaceDN w:val="0"/>
      <w:adjustRightInd w:val="0"/>
      <w:spacing w:after="240" w:line="260" w:lineRule="exact"/>
      <w:ind w:left="680" w:hanging="680"/>
      <w:jc w:val="both"/>
    </w:pPr>
    <w:rPr>
      <w:rFonts w:ascii="Arial" w:hAnsi="Arial" w:cs="Arial"/>
      <w:i/>
      <w:color w:val="000000"/>
      <w:sz w:val="22"/>
    </w:rPr>
  </w:style>
  <w:style w:type="paragraph" w:styleId="BodyTextIndent3">
    <w:name w:val="Body Text Indent 3"/>
    <w:basedOn w:val="Normal"/>
    <w:semiHidden/>
    <w:pPr>
      <w:autoSpaceDE w:val="0"/>
      <w:autoSpaceDN w:val="0"/>
      <w:adjustRightInd w:val="0"/>
      <w:spacing w:after="240" w:line="260" w:lineRule="exact"/>
      <w:ind w:left="397" w:hanging="397"/>
      <w:jc w:val="both"/>
    </w:pPr>
    <w:rPr>
      <w:rFonts w:ascii="Arial" w:hAnsi="Arial" w:cs="Arial"/>
      <w:i/>
      <w:color w:val="000000"/>
      <w:sz w:val="22"/>
    </w:rPr>
  </w:style>
  <w:style w:type="paragraph" w:customStyle="1" w:styleId="-">
    <w:name w:val="Втяжка-а)"/>
    <w:basedOn w:val="Normal"/>
    <w:pPr>
      <w:shd w:val="clear" w:color="auto" w:fill="FFFFFF"/>
      <w:autoSpaceDE w:val="0"/>
      <w:autoSpaceDN w:val="0"/>
      <w:adjustRightInd w:val="0"/>
      <w:spacing w:line="260" w:lineRule="exact"/>
      <w:ind w:left="397" w:hanging="397"/>
      <w:jc w:val="both"/>
    </w:pPr>
    <w:rPr>
      <w:rFonts w:ascii="Arial" w:hAnsi="Arial" w:cs="Arial"/>
      <w:i/>
      <w:color w:val="000000"/>
      <w:sz w:val="22"/>
    </w:rPr>
  </w:style>
  <w:style w:type="paragraph" w:customStyle="1" w:styleId="Rec">
    <w:name w:val="Rec_#"/>
    <w:basedOn w:val="Normal"/>
    <w:next w:val="Normal"/>
    <w:pPr>
      <w:keepNext/>
      <w:keepLines/>
      <w:tabs>
        <w:tab w:val="center" w:pos="4849"/>
        <w:tab w:val="right" w:pos="9696"/>
      </w:tabs>
      <w:overflowPunct w:val="0"/>
      <w:autoSpaceDE w:val="0"/>
      <w:autoSpaceDN w:val="0"/>
      <w:adjustRightInd w:val="0"/>
      <w:spacing w:before="720"/>
      <w:jc w:val="center"/>
      <w:textAlignment w:val="baseline"/>
    </w:pPr>
    <w:rPr>
      <w:sz w:val="20"/>
      <w:szCs w:val="20"/>
      <w:lang w:val="en-GB" w:eastAsia="en-US"/>
    </w:rPr>
  </w:style>
  <w:style w:type="character" w:styleId="CommentReference">
    <w:name w:val="annotation reference"/>
    <w:semiHidden/>
    <w:rPr>
      <w:sz w:val="16"/>
    </w:rPr>
  </w:style>
  <w:style w:type="paragraph" w:styleId="CommentText">
    <w:name w:val="annotation text"/>
    <w:basedOn w:val="Normal"/>
    <w:semiHidden/>
    <w:rPr>
      <w:sz w:val="20"/>
    </w:rPr>
  </w:style>
  <w:style w:type="paragraph" w:styleId="EndnoteText">
    <w:name w:val="endnote text"/>
    <w:basedOn w:val="FootnoteText"/>
    <w:semiHidden/>
    <w:pPr>
      <w:widowControl w:val="0"/>
      <w:tabs>
        <w:tab w:val="clear" w:pos="170"/>
        <w:tab w:val="right" w:pos="418"/>
      </w:tabs>
      <w:suppressAutoHyphens/>
      <w:spacing w:line="210" w:lineRule="exact"/>
      <w:ind w:left="475" w:hanging="475"/>
    </w:pPr>
    <w:rPr>
      <w:rFonts w:ascii="Times New Roman" w:hAnsi="Times New Roman"/>
      <w:spacing w:val="5"/>
      <w:w w:val="104"/>
      <w:kern w:val="14"/>
      <w:sz w:val="17"/>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23433</Words>
  <Characters>133570</Characters>
  <Application>Microsoft Office Word</Application>
  <DocSecurity>4</DocSecurity>
  <Lines>1113</Lines>
  <Paragraphs>267</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ID+</Company>
  <LinksUpToDate>false</LinksUpToDate>
  <CharactersWithSpaces>164033</CharactersWithSpaces>
  <SharedDoc>false</SharedDoc>
  <HLinks>
    <vt:vector size="6" baseType="variant">
      <vt:variant>
        <vt:i4>4325473</vt:i4>
      </vt:variant>
      <vt:variant>
        <vt:i4>1122</vt:i4>
      </vt:variant>
      <vt:variant>
        <vt:i4>1025</vt:i4>
      </vt:variant>
      <vt:variant>
        <vt:i4>1</vt:i4>
      </vt:variant>
      <vt:variant>
        <vt:lpwstr>..\..\LOGO\Log-OOH.tif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Raya</dc:creator>
  <cp:keywords/>
  <dc:description/>
  <cp:lastModifiedBy>DGAACS User</cp:lastModifiedBy>
  <cp:revision>4</cp:revision>
  <cp:lastPrinted>2002-04-16T13:30:00Z</cp:lastPrinted>
  <dcterms:created xsi:type="dcterms:W3CDTF">2002-04-19T07:08:00Z</dcterms:created>
  <dcterms:modified xsi:type="dcterms:W3CDTF">2002-04-19T07:10:00Z</dcterms:modified>
</cp:coreProperties>
</file>