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67B5663F" w14:textId="77777777" w:rsidTr="00B456A0">
        <w:trPr>
          <w:trHeight w:hRule="exact" w:val="810"/>
        </w:trPr>
        <w:tc>
          <w:tcPr>
            <w:tcW w:w="1266" w:type="dxa"/>
            <w:tcBorders>
              <w:top w:val="nil"/>
              <w:bottom w:val="single" w:sz="4" w:space="0" w:color="auto"/>
            </w:tcBorders>
            <w:shd w:val="clear" w:color="auto" w:fill="auto"/>
          </w:tcPr>
          <w:p w14:paraId="757C0F1D" w14:textId="77777777" w:rsidR="00712059" w:rsidRPr="00CA35DF" w:rsidRDefault="00712059" w:rsidP="00CD45CD">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335CAF91"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05C8140A" w14:textId="3B6CFCED" w:rsidR="006B3E27" w:rsidRPr="00F90122" w:rsidRDefault="00F90122" w:rsidP="00F90122">
            <w:pPr>
              <w:bidi w:val="0"/>
              <w:rPr>
                <w:szCs w:val="20"/>
              </w:rPr>
            </w:pPr>
            <w:r w:rsidRPr="00D76F0D">
              <w:rPr>
                <w:sz w:val="40"/>
                <w:szCs w:val="20"/>
              </w:rPr>
              <w:t>CAT</w:t>
            </w:r>
            <w:r w:rsidRPr="00D76F0D">
              <w:rPr>
                <w:szCs w:val="20"/>
              </w:rPr>
              <w:t>/C/74/3</w:t>
            </w:r>
          </w:p>
        </w:tc>
      </w:tr>
      <w:tr w:rsidR="006B3E27" w:rsidRPr="00CA35DF" w14:paraId="0C898689" w14:textId="77777777" w:rsidTr="00B456A0">
        <w:trPr>
          <w:trHeight w:hRule="exact" w:val="2835"/>
        </w:trPr>
        <w:tc>
          <w:tcPr>
            <w:tcW w:w="1266" w:type="dxa"/>
            <w:tcBorders>
              <w:top w:val="nil"/>
              <w:bottom w:val="single" w:sz="12" w:space="0" w:color="auto"/>
            </w:tcBorders>
            <w:shd w:val="clear" w:color="auto" w:fill="auto"/>
          </w:tcPr>
          <w:p w14:paraId="35207BF1" w14:textId="77777777" w:rsidR="006B3E27" w:rsidRPr="00CA35DF" w:rsidRDefault="00261289" w:rsidP="00CA35DF">
            <w:pPr>
              <w:jc w:val="center"/>
              <w:rPr>
                <w:rtl/>
              </w:rPr>
            </w:pPr>
            <w:r w:rsidRPr="00CA35DF">
              <w:rPr>
                <w:noProof/>
                <w:rtl/>
              </w:rPr>
              <w:drawing>
                <wp:inline distT="0" distB="0" distL="0" distR="0" wp14:anchorId="41A1873A" wp14:editId="6CCD9B01">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3A3FAC76" w14:textId="77777777" w:rsidR="00A67AF5" w:rsidRPr="00CA35DF" w:rsidRDefault="00817373" w:rsidP="00E2697F">
            <w:pPr>
              <w:spacing w:before="120" w:after="40" w:line="580" w:lineRule="exact"/>
              <w:ind w:left="57"/>
              <w:jc w:val="both"/>
              <w:rPr>
                <w:b/>
                <w:bCs/>
                <w:sz w:val="42"/>
                <w:szCs w:val="42"/>
              </w:rPr>
            </w:pPr>
            <w:r w:rsidRPr="00CA35D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2CB42AB5" w14:textId="425B7278" w:rsidR="006B3E27" w:rsidRDefault="00F90122" w:rsidP="00EE56C3">
            <w:pPr>
              <w:bidi w:val="0"/>
              <w:spacing w:before="240"/>
              <w:rPr>
                <w:szCs w:val="20"/>
              </w:rPr>
            </w:pPr>
            <w:r>
              <w:rPr>
                <w:szCs w:val="20"/>
              </w:rPr>
              <w:t>Dist</w:t>
            </w:r>
            <w:r w:rsidR="00D76F0D" w:rsidRPr="00D76F0D">
              <w:rPr>
                <w:szCs w:val="20"/>
              </w:rPr>
              <w:t>r.:</w:t>
            </w:r>
            <w:r>
              <w:rPr>
                <w:szCs w:val="20"/>
              </w:rPr>
              <w:t xml:space="preserve"> General</w:t>
            </w:r>
          </w:p>
          <w:p w14:paraId="579224DC" w14:textId="57DDA31B" w:rsidR="00F90122" w:rsidRDefault="002C0FF6" w:rsidP="00F90122">
            <w:pPr>
              <w:bidi w:val="0"/>
              <w:spacing w:line="240" w:lineRule="exact"/>
              <w:jc w:val="left"/>
              <w:rPr>
                <w:szCs w:val="20"/>
              </w:rPr>
            </w:pPr>
            <w:r>
              <w:t>9</w:t>
            </w:r>
            <w:r w:rsidRPr="0049746D">
              <w:t xml:space="preserve"> December 2022</w:t>
            </w:r>
          </w:p>
          <w:p w14:paraId="1149AB24" w14:textId="77777777" w:rsidR="00F90122" w:rsidRDefault="00F90122" w:rsidP="00F90122">
            <w:pPr>
              <w:bidi w:val="0"/>
              <w:spacing w:line="240" w:lineRule="exact"/>
              <w:jc w:val="left"/>
              <w:rPr>
                <w:szCs w:val="20"/>
              </w:rPr>
            </w:pPr>
            <w:r>
              <w:rPr>
                <w:szCs w:val="20"/>
              </w:rPr>
              <w:t>Arabic</w:t>
            </w:r>
          </w:p>
          <w:p w14:paraId="37C7F187" w14:textId="193BB665" w:rsidR="00F90122" w:rsidRPr="00F90122" w:rsidRDefault="00F90122" w:rsidP="00F90122">
            <w:pPr>
              <w:bidi w:val="0"/>
              <w:spacing w:line="240" w:lineRule="exact"/>
              <w:jc w:val="left"/>
              <w:rPr>
                <w:szCs w:val="20"/>
              </w:rPr>
            </w:pPr>
            <w:r>
              <w:rPr>
                <w:szCs w:val="20"/>
              </w:rPr>
              <w:t>Origina</w:t>
            </w:r>
            <w:r w:rsidR="00D76F0D" w:rsidRPr="00D76F0D">
              <w:rPr>
                <w:szCs w:val="20"/>
              </w:rPr>
              <w:t xml:space="preserve">l: </w:t>
            </w:r>
            <w:r>
              <w:rPr>
                <w:szCs w:val="20"/>
              </w:rPr>
              <w:t>English</w:t>
            </w:r>
          </w:p>
        </w:tc>
      </w:tr>
    </w:tbl>
    <w:p w14:paraId="5B875A84" w14:textId="03AA5018" w:rsidR="002D57DA" w:rsidRPr="005B0B2E" w:rsidRDefault="002D57DA" w:rsidP="006C0D06">
      <w:pPr>
        <w:spacing w:before="120" w:line="360" w:lineRule="exact"/>
        <w:textDirection w:val="tbRlV"/>
        <w:rPr>
          <w:rFonts w:ascii="Simplified Arabic" w:hAnsi="Simplified Arabic"/>
          <w:b/>
          <w:bCs/>
          <w:sz w:val="26"/>
          <w:szCs w:val="26"/>
          <w:lang w:eastAsia="zh-TW" w:bidi="en-GB"/>
        </w:rPr>
      </w:pPr>
      <w:r w:rsidRPr="006C0D06">
        <w:rPr>
          <w:rFonts w:ascii="Simplified Arabic" w:hAnsi="Simplified Arabic"/>
          <w:b/>
          <w:bCs/>
          <w:sz w:val="26"/>
          <w:szCs w:val="26"/>
          <w:rtl/>
        </w:rPr>
        <w:t>لجنة مناهضة التعذيب</w:t>
      </w:r>
    </w:p>
    <w:p w14:paraId="49067258" w14:textId="175D886A" w:rsidR="00487285" w:rsidRDefault="002D57DA" w:rsidP="006C0D06">
      <w:pPr>
        <w:pStyle w:val="HChGA"/>
      </w:pPr>
      <w:r w:rsidRPr="00B90DC4">
        <w:rPr>
          <w:rtl/>
        </w:rPr>
        <w:tab/>
      </w:r>
      <w:r w:rsidRPr="00B90DC4">
        <w:rPr>
          <w:rtl/>
        </w:rPr>
        <w:tab/>
        <w:t>تقرير متابعة بشأن القرارات المتعلقة بالبلاغات المقدمة بموجب المادة 22 من الاتفاقية</w:t>
      </w:r>
      <w:r w:rsidR="00487285" w:rsidRPr="00487285">
        <w:rPr>
          <w:rStyle w:val="FootnoteReference"/>
          <w:rFonts w:ascii="Times New Roman Bold" w:hAnsi="Times New Roman Bold"/>
          <w:position w:val="4"/>
          <w:sz w:val="22"/>
          <w:szCs w:val="22"/>
          <w:vertAlign w:val="baseline"/>
          <w:rtl/>
        </w:rPr>
        <w:footnoteReference w:customMarkFollows="1" w:id="1"/>
        <w:t>*</w:t>
      </w:r>
    </w:p>
    <w:p w14:paraId="3F3E9D6F" w14:textId="3AEFB2CB" w:rsidR="002D57DA" w:rsidRPr="00781DFF" w:rsidRDefault="00781DFF" w:rsidP="00781DFF">
      <w:pPr>
        <w:pStyle w:val="HChGA"/>
        <w:rPr>
          <w:lang w:val="en-US" w:eastAsia="zh-TW" w:bidi="en-GB"/>
        </w:rPr>
      </w:pPr>
      <w:r>
        <w:rPr>
          <w:rtl/>
        </w:rPr>
        <w:tab/>
      </w:r>
      <w:r w:rsidR="002D57DA" w:rsidRPr="00B90DC4">
        <w:rPr>
          <w:rtl/>
        </w:rPr>
        <w:t>أولا</w:t>
      </w:r>
      <w:r w:rsidR="006C0D06">
        <w:rPr>
          <w:rFonts w:hint="cs"/>
          <w:rtl/>
        </w:rPr>
        <w:t>ً</w:t>
      </w:r>
      <w:r w:rsidR="002D57DA" w:rsidRPr="00B90DC4">
        <w:rPr>
          <w:rtl/>
        </w:rPr>
        <w:t>-</w:t>
      </w:r>
      <w:r w:rsidR="002D57DA" w:rsidRPr="00B90DC4">
        <w:rPr>
          <w:rtl/>
        </w:rPr>
        <w:tab/>
        <w:t>مقدمة</w:t>
      </w:r>
    </w:p>
    <w:p w14:paraId="09CFC4A8" w14:textId="2835F3ED" w:rsidR="00D76F0D" w:rsidRPr="00D76F0D" w:rsidRDefault="002D57DA" w:rsidP="00D76F0D">
      <w:pPr>
        <w:pStyle w:val="SingleTxtGA"/>
        <w:rPr>
          <w:lang w:val="ar-SA" w:eastAsia="zh-TW" w:bidi="en-GB"/>
        </w:rPr>
      </w:pPr>
      <w:r w:rsidRPr="00D76F0D">
        <w:rPr>
          <w:rtl/>
        </w:rPr>
        <w:t>1-</w:t>
      </w:r>
      <w:r w:rsidRPr="00D76F0D">
        <w:rPr>
          <w:rtl/>
        </w:rPr>
        <w:tab/>
        <w:t>هذا التقرير تجميع للمعلومات عن الحالات التي أجرت فيها الدول الأطراف وأصحاب الشكاوى جولة واحدة على الأقل من تبادل الآراء منذ الدورة الثالثة والسبعين للجنة مناهضة التعذيب في إطار إجراء المتابعة الذي تتبعه اللجنة بشأن القرارات المتعلقة بالبلاغات المقدمة بموجب المادة 22 من الاتفاقية</w:t>
      </w:r>
      <w:r w:rsidR="00D76F0D">
        <w:rPr>
          <w:rStyle w:val="FootnoteReference"/>
          <w:rFonts w:ascii="Simplified Arabic" w:hAnsi="Simplified Arabic"/>
          <w:szCs w:val="22"/>
          <w:rtl/>
        </w:rPr>
        <w:t>(</w:t>
      </w:r>
      <w:r w:rsidR="00D76F0D" w:rsidRPr="00D76F0D">
        <w:rPr>
          <w:rStyle w:val="FootnoteReference"/>
          <w:rFonts w:ascii="Simplified Arabic" w:hAnsi="Simplified Arabic"/>
          <w:szCs w:val="22"/>
          <w:rtl/>
        </w:rPr>
        <w:footnoteReference w:id="2"/>
      </w:r>
      <w:r w:rsidR="00D76F0D" w:rsidRPr="00D76F0D">
        <w:rPr>
          <w:rStyle w:val="FootnoteReference"/>
          <w:rFonts w:ascii="Simplified Arabic" w:hAnsi="Simplified Arabic"/>
          <w:szCs w:val="22"/>
          <w:rtl/>
        </w:rPr>
        <w:t>)</w:t>
      </w:r>
      <w:r w:rsidR="00D76F0D" w:rsidRPr="00D76F0D">
        <w:rPr>
          <w:rtl/>
        </w:rPr>
        <w:t>.</w:t>
      </w:r>
      <w:bookmarkStart w:id="0" w:name="_Hlk73363843"/>
    </w:p>
    <w:bookmarkEnd w:id="0"/>
    <w:p w14:paraId="5B576183" w14:textId="02B82179" w:rsidR="002D57DA" w:rsidRPr="00487285" w:rsidRDefault="00781DFF" w:rsidP="00781DFF">
      <w:pPr>
        <w:pStyle w:val="HChGA"/>
        <w:rPr>
          <w:lang w:val="en-US" w:eastAsia="zh-TW" w:bidi="en-GB"/>
        </w:rPr>
      </w:pPr>
      <w:r>
        <w:rPr>
          <w:rtl/>
        </w:rPr>
        <w:tab/>
      </w:r>
      <w:r w:rsidR="002D57DA" w:rsidRPr="00B90DC4">
        <w:rPr>
          <w:rtl/>
        </w:rPr>
        <w:t>ثانيا</w:t>
      </w:r>
      <w:r>
        <w:rPr>
          <w:rFonts w:hint="cs"/>
          <w:rtl/>
        </w:rPr>
        <w:t>ً</w:t>
      </w:r>
      <w:r w:rsidR="002D57DA" w:rsidRPr="00B90DC4">
        <w:rPr>
          <w:rtl/>
        </w:rPr>
        <w:t>-</w:t>
      </w:r>
      <w:r w:rsidR="002D57DA" w:rsidRPr="00B90DC4">
        <w:rPr>
          <w:rtl/>
        </w:rPr>
        <w:tab/>
        <w:t>البلاغات</w:t>
      </w:r>
    </w:p>
    <w:p w14:paraId="4244D25B" w14:textId="33A62311" w:rsidR="002D57DA" w:rsidRPr="000C3E99" w:rsidRDefault="002D57DA" w:rsidP="00F37436">
      <w:pPr>
        <w:pStyle w:val="H1GA"/>
        <w:rPr>
          <w:lang w:val="en-US" w:eastAsia="zh-TW" w:bidi="en-GB"/>
        </w:rPr>
      </w:pPr>
      <w:r w:rsidRPr="00B90DC4">
        <w:rPr>
          <w:rtl/>
        </w:rPr>
        <w:tab/>
      </w:r>
      <w:r w:rsidRPr="00B90DC4">
        <w:rPr>
          <w:rtl/>
        </w:rPr>
        <w:tab/>
        <w:t>البلاغ رقم 477/2011</w:t>
      </w:r>
      <w:r w:rsidR="00D76F0D" w:rsidRPr="00487285">
        <w:rPr>
          <w:rStyle w:val="FootnoteReference"/>
          <w:rFonts w:ascii="Simplified Arabic" w:hAnsi="Simplified Arabic"/>
          <w:b w:val="0"/>
          <w:bCs w:val="0"/>
          <w:sz w:val="22"/>
          <w:szCs w:val="22"/>
          <w:rtl/>
        </w:rPr>
        <w:t>(</w:t>
      </w:r>
      <w:r w:rsidR="00D76F0D" w:rsidRPr="00487285">
        <w:rPr>
          <w:rStyle w:val="FootnoteReference"/>
          <w:rFonts w:ascii="Simplified Arabic" w:hAnsi="Simplified Arabic"/>
          <w:b w:val="0"/>
          <w:bCs w:val="0"/>
          <w:sz w:val="22"/>
          <w:szCs w:val="22"/>
          <w:rtl/>
        </w:rPr>
        <w:footnoteReference w:id="3"/>
      </w:r>
      <w:r w:rsidR="00846AB1" w:rsidRPr="00487285">
        <w:rPr>
          <w:rStyle w:val="FootnoteReference"/>
          <w:rFonts w:ascii="Simplified Arabic" w:hAnsi="Simplified Arabic"/>
          <w:b w:val="0"/>
          <w:bCs w:val="0"/>
          <w:sz w:val="22"/>
          <w:szCs w:val="22"/>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2D57DA" w:rsidRPr="000C3E99" w14:paraId="652FAF69" w14:textId="77777777" w:rsidTr="00F64C9A">
        <w:trPr>
          <w:trHeight w:val="330"/>
          <w:tblHeader/>
        </w:trPr>
        <w:tc>
          <w:tcPr>
            <w:tcW w:w="7370" w:type="dxa"/>
            <w:gridSpan w:val="2"/>
            <w:tcBorders>
              <w:top w:val="single" w:sz="4" w:space="0" w:color="auto"/>
              <w:bottom w:val="single" w:sz="12" w:space="0" w:color="auto"/>
            </w:tcBorders>
            <w:shd w:val="clear" w:color="auto" w:fill="auto"/>
            <w:vAlign w:val="bottom"/>
          </w:tcPr>
          <w:p w14:paraId="6546B8E2" w14:textId="2592BA0B" w:rsidR="002D57DA" w:rsidRPr="000C3E99" w:rsidRDefault="002D57DA" w:rsidP="00D76F0D">
            <w:pPr>
              <w:spacing w:after="120" w:line="360" w:lineRule="exact"/>
              <w:ind w:left="57" w:right="57"/>
              <w:textDirection w:val="tbRlV"/>
              <w:rPr>
                <w:rFonts w:ascii="Simplified Arabic" w:hAnsi="Simplified Arabic"/>
                <w:i/>
                <w:sz w:val="22"/>
                <w:lang w:val="ar-SA" w:eastAsia="zh-TW" w:bidi="en-GB"/>
              </w:rPr>
            </w:pPr>
            <w:r w:rsidRPr="000C3E99">
              <w:rPr>
                <w:rFonts w:ascii="Simplified Arabic" w:hAnsi="Simplified Arabic"/>
                <w:i/>
                <w:iCs/>
                <w:sz w:val="22"/>
                <w:rtl/>
              </w:rPr>
              <w:t>عراس ضد المغرب</w:t>
            </w:r>
            <w:r w:rsidRPr="000C3E99">
              <w:rPr>
                <w:rFonts w:ascii="Simplified Arabic" w:hAnsi="Simplified Arabic"/>
                <w:sz w:val="22"/>
                <w:rtl/>
              </w:rPr>
              <w:t xml:space="preserve"> (</w:t>
            </w:r>
            <w:hyperlink r:id="rId9" w:history="1">
              <w:r w:rsidRPr="00D76F0D">
                <w:rPr>
                  <w:rStyle w:val="Hyperlink"/>
                </w:rPr>
                <w:t>CAT/C/52/D/477/2011</w:t>
              </w:r>
              <w:r w:rsidRPr="00685480">
                <w:rPr>
                  <w:rtl/>
                </w:rPr>
                <w:t>)</w:t>
              </w:r>
            </w:hyperlink>
          </w:p>
        </w:tc>
      </w:tr>
      <w:tr w:rsidR="002D57DA" w:rsidRPr="000C3E99" w14:paraId="6AC6382C" w14:textId="77777777" w:rsidTr="00F64C9A">
        <w:trPr>
          <w:trHeight w:hRule="exact" w:val="103"/>
        </w:trPr>
        <w:tc>
          <w:tcPr>
            <w:tcW w:w="7370" w:type="dxa"/>
            <w:gridSpan w:val="2"/>
            <w:tcBorders>
              <w:top w:val="single" w:sz="12" w:space="0" w:color="auto"/>
            </w:tcBorders>
            <w:shd w:val="clear" w:color="auto" w:fill="auto"/>
          </w:tcPr>
          <w:p w14:paraId="71692BE7" w14:textId="77777777" w:rsidR="002D57DA" w:rsidRPr="000C3E99" w:rsidRDefault="002D57DA" w:rsidP="000C3E99">
            <w:pPr>
              <w:spacing w:after="120" w:line="360" w:lineRule="exact"/>
              <w:ind w:left="57" w:right="57"/>
              <w:rPr>
                <w:rFonts w:ascii="Simplified Arabic" w:hAnsi="Simplified Arabic"/>
                <w:sz w:val="22"/>
              </w:rPr>
            </w:pPr>
          </w:p>
        </w:tc>
      </w:tr>
      <w:tr w:rsidR="002D57DA" w:rsidRPr="000C3E99" w14:paraId="34F64196" w14:textId="77777777" w:rsidTr="00F64C9A">
        <w:trPr>
          <w:trHeight w:val="367"/>
        </w:trPr>
        <w:tc>
          <w:tcPr>
            <w:tcW w:w="1985" w:type="dxa"/>
            <w:shd w:val="clear" w:color="auto" w:fill="auto"/>
          </w:tcPr>
          <w:p w14:paraId="5165E88B" w14:textId="77777777" w:rsidR="002D57DA" w:rsidRPr="000C3E99" w:rsidRDefault="002D57DA" w:rsidP="000C3E99">
            <w:pPr>
              <w:spacing w:after="120" w:line="360" w:lineRule="exact"/>
              <w:ind w:left="57" w:right="57"/>
              <w:textDirection w:val="tbRlV"/>
              <w:rPr>
                <w:rFonts w:ascii="Simplified Arabic" w:hAnsi="Simplified Arabic"/>
                <w:sz w:val="22"/>
                <w:lang w:val="ar-SA" w:eastAsia="zh-TW" w:bidi="en-GB"/>
              </w:rPr>
            </w:pPr>
            <w:r w:rsidRPr="000C3E99">
              <w:rPr>
                <w:rFonts w:ascii="Simplified Arabic" w:hAnsi="Simplified Arabic"/>
                <w:sz w:val="22"/>
                <w:rtl/>
              </w:rPr>
              <w:t>تاريخ اعتماد القرار:</w:t>
            </w:r>
          </w:p>
        </w:tc>
        <w:tc>
          <w:tcPr>
            <w:tcW w:w="5385" w:type="dxa"/>
            <w:shd w:val="clear" w:color="auto" w:fill="auto"/>
          </w:tcPr>
          <w:p w14:paraId="4D970060" w14:textId="77777777" w:rsidR="002D57DA" w:rsidRPr="000C3E99" w:rsidRDefault="002D57DA" w:rsidP="000C3E99">
            <w:pPr>
              <w:spacing w:after="120" w:line="360" w:lineRule="exact"/>
              <w:ind w:left="57" w:right="57"/>
              <w:textDirection w:val="tbRlV"/>
              <w:rPr>
                <w:rFonts w:ascii="Simplified Arabic" w:hAnsi="Simplified Arabic"/>
                <w:sz w:val="22"/>
                <w:lang w:val="ar-SA" w:eastAsia="zh-TW" w:bidi="en-GB"/>
              </w:rPr>
            </w:pPr>
            <w:r w:rsidRPr="000C3E99">
              <w:rPr>
                <w:rFonts w:ascii="Simplified Arabic" w:hAnsi="Simplified Arabic"/>
                <w:sz w:val="22"/>
                <w:rtl/>
              </w:rPr>
              <w:t>19 أيار/مايو 2014</w:t>
            </w:r>
          </w:p>
        </w:tc>
      </w:tr>
      <w:tr w:rsidR="002D57DA" w:rsidRPr="000C3E99" w14:paraId="33A0C05B" w14:textId="77777777" w:rsidTr="00F64C9A">
        <w:trPr>
          <w:trHeight w:val="367"/>
        </w:trPr>
        <w:tc>
          <w:tcPr>
            <w:tcW w:w="1985" w:type="dxa"/>
            <w:shd w:val="clear" w:color="auto" w:fill="auto"/>
          </w:tcPr>
          <w:p w14:paraId="663EE1BE" w14:textId="77777777" w:rsidR="002D57DA" w:rsidRPr="000C3E99" w:rsidRDefault="002D57DA" w:rsidP="000C3E99">
            <w:pPr>
              <w:spacing w:after="120" w:line="360" w:lineRule="exact"/>
              <w:ind w:left="57" w:right="57"/>
              <w:textDirection w:val="tbRlV"/>
              <w:rPr>
                <w:rFonts w:ascii="Simplified Arabic" w:hAnsi="Simplified Arabic"/>
                <w:sz w:val="22"/>
                <w:lang w:val="ar-SA" w:eastAsia="zh-TW" w:bidi="en-GB"/>
              </w:rPr>
            </w:pPr>
            <w:r w:rsidRPr="000C3E99">
              <w:rPr>
                <w:rFonts w:ascii="Simplified Arabic" w:hAnsi="Simplified Arabic"/>
                <w:sz w:val="22"/>
                <w:rtl/>
              </w:rPr>
              <w:t>المواد المنتهكة:</w:t>
            </w:r>
          </w:p>
        </w:tc>
        <w:tc>
          <w:tcPr>
            <w:tcW w:w="5385" w:type="dxa"/>
            <w:shd w:val="clear" w:color="auto" w:fill="auto"/>
          </w:tcPr>
          <w:p w14:paraId="15673674" w14:textId="2F4B5502" w:rsidR="002D57DA" w:rsidRPr="000C3E99" w:rsidRDefault="002D57DA" w:rsidP="000C3E99">
            <w:pPr>
              <w:spacing w:after="120" w:line="360" w:lineRule="exact"/>
              <w:ind w:left="57" w:right="57"/>
              <w:textDirection w:val="tbRlV"/>
              <w:rPr>
                <w:rFonts w:ascii="Simplified Arabic" w:hAnsi="Simplified Arabic"/>
                <w:sz w:val="22"/>
                <w:lang w:val="ar-SA" w:eastAsia="zh-TW" w:bidi="en-GB"/>
              </w:rPr>
            </w:pPr>
            <w:r w:rsidRPr="000C3E99">
              <w:rPr>
                <w:rFonts w:ascii="Simplified Arabic" w:hAnsi="Simplified Arabic"/>
                <w:sz w:val="22"/>
                <w:rtl/>
              </w:rPr>
              <w:t>المواد 2(1</w:t>
            </w:r>
            <w:r w:rsidR="00D76F0D" w:rsidRPr="00D76F0D">
              <w:rPr>
                <w:rFonts w:ascii="Simplified Arabic" w:hAnsi="Simplified Arabic"/>
                <w:sz w:val="22"/>
                <w:rtl/>
              </w:rPr>
              <w:t xml:space="preserve">)، </w:t>
            </w:r>
            <w:r w:rsidRPr="000C3E99">
              <w:rPr>
                <w:rFonts w:ascii="Simplified Arabic" w:hAnsi="Simplified Arabic"/>
                <w:sz w:val="22"/>
                <w:rtl/>
              </w:rPr>
              <w:t>ومن 11 إلى 13، و15</w:t>
            </w:r>
          </w:p>
        </w:tc>
      </w:tr>
      <w:tr w:rsidR="002D57DA" w:rsidRPr="000C3E99" w14:paraId="088B7029" w14:textId="77777777" w:rsidTr="00F64C9A">
        <w:trPr>
          <w:trHeight w:val="2298"/>
        </w:trPr>
        <w:tc>
          <w:tcPr>
            <w:tcW w:w="1985" w:type="dxa"/>
            <w:shd w:val="clear" w:color="auto" w:fill="auto"/>
          </w:tcPr>
          <w:p w14:paraId="39003016" w14:textId="77777777" w:rsidR="002D57DA" w:rsidRPr="000C3E99" w:rsidRDefault="002D57DA" w:rsidP="000C3E99">
            <w:pPr>
              <w:spacing w:after="120" w:line="360" w:lineRule="exact"/>
              <w:ind w:left="57" w:right="57"/>
              <w:textDirection w:val="tbRlV"/>
              <w:rPr>
                <w:rFonts w:ascii="Simplified Arabic" w:hAnsi="Simplified Arabic"/>
                <w:sz w:val="22"/>
                <w:lang w:val="ar-SA" w:eastAsia="zh-TW" w:bidi="en-GB"/>
              </w:rPr>
            </w:pPr>
            <w:r w:rsidRPr="000C3E99">
              <w:rPr>
                <w:rFonts w:ascii="Simplified Arabic" w:hAnsi="Simplified Arabic"/>
                <w:sz w:val="22"/>
                <w:rtl/>
              </w:rPr>
              <w:t>وسيلة الانتصاف:</w:t>
            </w:r>
          </w:p>
        </w:tc>
        <w:tc>
          <w:tcPr>
            <w:tcW w:w="5385" w:type="dxa"/>
            <w:shd w:val="clear" w:color="auto" w:fill="auto"/>
          </w:tcPr>
          <w:p w14:paraId="57418B57" w14:textId="7C4009A6" w:rsidR="002D57DA" w:rsidRPr="000C3E99" w:rsidRDefault="002D57DA" w:rsidP="000C3E99">
            <w:pPr>
              <w:spacing w:after="120" w:line="360" w:lineRule="exact"/>
              <w:ind w:left="57" w:right="57"/>
              <w:textDirection w:val="tbRlV"/>
              <w:rPr>
                <w:rFonts w:ascii="Simplified Arabic" w:hAnsi="Simplified Arabic"/>
                <w:sz w:val="22"/>
                <w:lang w:val="ar-SA" w:eastAsia="zh-TW" w:bidi="en-GB"/>
              </w:rPr>
            </w:pPr>
            <w:r w:rsidRPr="000C3E99">
              <w:rPr>
                <w:rFonts w:ascii="Simplified Arabic" w:hAnsi="Simplified Arabic"/>
                <w:sz w:val="22"/>
                <w:rtl/>
              </w:rPr>
              <w:t>دعت اللجنة الدولة الطرف إلى إبلاغها، في غضون 90 يوماً من تاريخ إحالة هذا القرار إليها، بالخطوات التي اتَّخذتها استجابةً للملاحظات الواردة في القرار. وقالت اللجنة إن التدابير يجب أن تشمل الشروع في تحقيق نزيه ومتعمق في ادعاءات صاحب الشكوى بالتعرض للتعذيب، وأن هذا التحقيق يجب أن يشمل إجراء فحوص طبية تمشي</w:t>
            </w:r>
            <w:r w:rsidR="007B1DE0">
              <w:rPr>
                <w:rFonts w:ascii="Simplified Arabic" w:hAnsi="Simplified Arabic"/>
                <w:sz w:val="22"/>
                <w:rtl/>
              </w:rPr>
              <w:t xml:space="preserve">اً </w:t>
            </w:r>
            <w:r w:rsidRPr="000C3E99">
              <w:rPr>
                <w:rFonts w:ascii="Simplified Arabic" w:hAnsi="Simplified Arabic"/>
                <w:sz w:val="22"/>
                <w:rtl/>
              </w:rPr>
              <w:t>مع دليل التقصي والتوثيق الفعالين للتعذيب وغيره من ضروب المعاملة أو العقوبة القاسية أو اللاإنسانية أو المهينة (بروتوكول اسطنبول).</w:t>
            </w:r>
          </w:p>
        </w:tc>
      </w:tr>
    </w:tbl>
    <w:p w14:paraId="6E26A438" w14:textId="27C1D6B7" w:rsidR="00D76F0D" w:rsidRPr="007B1DE0" w:rsidRDefault="002D57DA" w:rsidP="00846AB1">
      <w:pPr>
        <w:pStyle w:val="SingleTxtGA"/>
        <w:rPr>
          <w:rtl/>
          <w:lang w:val="en-US" w:eastAsia="zh-TW"/>
        </w:rPr>
      </w:pPr>
      <w:r w:rsidRPr="00B90DC4">
        <w:rPr>
          <w:rtl/>
        </w:rPr>
        <w:lastRenderedPageBreak/>
        <w:t>2-</w:t>
      </w:r>
      <w:r w:rsidRPr="00B90DC4">
        <w:rPr>
          <w:rtl/>
        </w:rPr>
        <w:tab/>
        <w:t>وفي 3 كانون الأول/ديسمبر 2021، كررت الدولة الطرف، رد</w:t>
      </w:r>
      <w:r w:rsidR="007B1DE0">
        <w:rPr>
          <w:rtl/>
        </w:rPr>
        <w:t xml:space="preserve">اً </w:t>
      </w:r>
      <w:r w:rsidRPr="00B90DC4">
        <w:rPr>
          <w:rtl/>
        </w:rPr>
        <w:t>على تعليقات محامي صاحب الشكوى المؤرخة 22 تشرين الثاني/نوفمبر 2019، ملاحظاتها السابقة وأشارت إلى أن علي عراس قد أطلق سراحه في 2 نيسان/أبريل 202</w:t>
      </w:r>
      <w:r w:rsidR="00D76F0D" w:rsidRPr="00D76F0D">
        <w:rPr>
          <w:rtl/>
        </w:rPr>
        <w:t xml:space="preserve">0. </w:t>
      </w:r>
      <w:r w:rsidRPr="00B90DC4">
        <w:rPr>
          <w:rtl/>
        </w:rPr>
        <w:t>وبالإضافة إلى ذلك، ذكرت أنها قدمت جميع المعلومات والتوضيحات اللازمة التي طلبتها اللجنة، على الرغم مما وصفته بالطبيعة غير المبررة والمتكررة لادعاءات صاحب الشكوى، وطلبت إلى اللجنة إنهاء المتابعة المتعلقة بكل من البلاغ الحالي والبلاغ رقم</w:t>
      </w:r>
      <w:r w:rsidR="00B32057">
        <w:rPr>
          <w:rFonts w:hint="cs"/>
          <w:rtl/>
        </w:rPr>
        <w:t> </w:t>
      </w:r>
      <w:r w:rsidRPr="00B90DC4">
        <w:rPr>
          <w:rtl/>
        </w:rPr>
        <w:t>817/2017 (انظر الفقرات 15-19 أدناه</w:t>
      </w:r>
      <w:r w:rsidR="00D76F0D" w:rsidRPr="00D76F0D">
        <w:rPr>
          <w:rtl/>
        </w:rPr>
        <w:t>).</w:t>
      </w:r>
    </w:p>
    <w:p w14:paraId="7456B45F" w14:textId="63426E4E" w:rsidR="002D57DA" w:rsidRPr="00B90DC4" w:rsidRDefault="002D57DA" w:rsidP="002D57DA">
      <w:pPr>
        <w:pStyle w:val="SingleTxtGA"/>
        <w:rPr>
          <w:lang w:val="ar-SA" w:eastAsia="zh-TW" w:bidi="en-GB"/>
        </w:rPr>
      </w:pPr>
      <w:r w:rsidRPr="00B90DC4">
        <w:rPr>
          <w:rtl/>
        </w:rPr>
        <w:t>3-</w:t>
      </w:r>
      <w:r w:rsidRPr="00B90DC4">
        <w:rPr>
          <w:rtl/>
        </w:rPr>
        <w:tab/>
        <w:t>وفي 27 أيار/مايو 2022، قدم محامي صاحب الشكوى تقييم</w:t>
      </w:r>
      <w:r w:rsidR="007B1DE0">
        <w:rPr>
          <w:rtl/>
        </w:rPr>
        <w:t xml:space="preserve">اً </w:t>
      </w:r>
      <w:r w:rsidRPr="00B90DC4">
        <w:rPr>
          <w:rtl/>
        </w:rPr>
        <w:t>طبي</w:t>
      </w:r>
      <w:r w:rsidR="007B1DE0">
        <w:rPr>
          <w:rtl/>
        </w:rPr>
        <w:t xml:space="preserve">اً </w:t>
      </w:r>
      <w:r w:rsidRPr="00B90DC4">
        <w:rPr>
          <w:rtl/>
        </w:rPr>
        <w:t>وقانوني</w:t>
      </w:r>
      <w:r w:rsidR="007B1DE0">
        <w:rPr>
          <w:rtl/>
        </w:rPr>
        <w:t xml:space="preserve">اً </w:t>
      </w:r>
      <w:r>
        <w:rPr>
          <w:rtl/>
        </w:rPr>
        <w:t>عن ا</w:t>
      </w:r>
      <w:r w:rsidRPr="00B90DC4">
        <w:rPr>
          <w:rtl/>
        </w:rPr>
        <w:t>لسيد عراس أعده فريق خبراء الطب الشرعي المستقل بتاريخ 26 نيسان/أبريل 202</w:t>
      </w:r>
      <w:r w:rsidR="00D76F0D" w:rsidRPr="00D76F0D">
        <w:rPr>
          <w:rtl/>
        </w:rPr>
        <w:t xml:space="preserve">2. </w:t>
      </w:r>
      <w:r w:rsidRPr="00B90DC4">
        <w:rPr>
          <w:rtl/>
        </w:rPr>
        <w:t>وذُكر في التقييم أن الفريق أعد التقرير باستخدام المعايير الطبية - القانونية المقبولة دولي</w:t>
      </w:r>
      <w:r w:rsidR="007B1DE0">
        <w:rPr>
          <w:rtl/>
        </w:rPr>
        <w:t xml:space="preserve">اً </w:t>
      </w:r>
      <w:r w:rsidRPr="00B90DC4">
        <w:rPr>
          <w:rtl/>
        </w:rPr>
        <w:t>ومبادئ التحقيق في التعذيب وتوثيقه الواردة في دليل التقصي والتوثيق الفعالين للتعذيب وغيره من ضروب المعاملة أو العقوبة القاسية أو اللاإنسانية أو المهينة (بروتوكول اسطنبول</w:t>
      </w:r>
      <w:r w:rsidR="00D76F0D" w:rsidRPr="00D76F0D">
        <w:rPr>
          <w:rtl/>
        </w:rPr>
        <w:t xml:space="preserve">). </w:t>
      </w:r>
      <w:r w:rsidRPr="00B90DC4">
        <w:rPr>
          <w:rtl/>
        </w:rPr>
        <w:t>وخلص الفريق إلى أن الأدلة التي جمعت من التقييمات البدنية والنفسية للسيد عراس تتسق إلى حد كبير مع ادعاءات السيد عراس بأنه تلقى ضربات متعددة، وأنه قيد بحبل، وضرب على ركبتيه بأشياء مثل الحجارة أثناء احتجازه. وكان الفريق قد استعرض تقييمين طبيين قانونيين سابقين للسيد عراس، أجريا في الرباط في كانون الأول/ديسمبر 2011 وتشرين الثاني/نوفمبر 2014، ووجد أنهما معيبان وغير مرضيين، حيث لم يمتثل كلاهما للمعايير الطبية القانونية المقبولة.</w:t>
      </w:r>
    </w:p>
    <w:p w14:paraId="3D528CEF" w14:textId="77777777" w:rsidR="002D57DA" w:rsidRPr="00B90DC4" w:rsidRDefault="002D57DA" w:rsidP="002D57DA">
      <w:pPr>
        <w:pStyle w:val="SingleTxtGA"/>
        <w:rPr>
          <w:lang w:val="ar-SA" w:eastAsia="zh-TW" w:bidi="en-GB"/>
        </w:rPr>
      </w:pPr>
      <w:r w:rsidRPr="00B90DC4">
        <w:rPr>
          <w:rtl/>
        </w:rPr>
        <w:t>4-</w:t>
      </w:r>
      <w:r w:rsidRPr="00B90DC4">
        <w:rPr>
          <w:rtl/>
        </w:rPr>
        <w:tab/>
        <w:t xml:space="preserve">وأوصى فريق خبراء الطب الشرعي المستقل بأن يتلقى السيد عراس الرعاية النفسية والعقلية في المستقبل، على نحو يتجاوز الإجراءات القانونية المتعلقة به، من أجل علاج الاضطرابات النفسية التالية للصدمة، ورصد رفاهه، والكشف عن احتمال إصابته بالاكتئاب. وقال إن من </w:t>
      </w:r>
      <w:proofErr w:type="spellStart"/>
      <w:r w:rsidRPr="00B90DC4">
        <w:rPr>
          <w:rtl/>
        </w:rPr>
        <w:t>المستصوب</w:t>
      </w:r>
      <w:proofErr w:type="spellEnd"/>
      <w:r w:rsidRPr="00B90DC4">
        <w:rPr>
          <w:rtl/>
        </w:rPr>
        <w:t xml:space="preserve"> إجراء متابعة علاجية محددة لتحقيق هذه الغاية، وأنه ينبغي اتخاذ جميع الخطوات المعقولة لمنع أي تأخير في إقامة العدل والمساءلة في قضية السيد عراس، لأن عدم الاعتراف بأنه كان ضحية للتعذيب وإفلات الجناة من العقاب حتى الآن قد أعاقا بشدة قدرة السيد عراس على بدء عملية التعافي.</w:t>
      </w:r>
    </w:p>
    <w:p w14:paraId="22F5805F" w14:textId="6CA4B032" w:rsidR="002D57DA" w:rsidRPr="00B90DC4" w:rsidRDefault="002D57DA" w:rsidP="002D57DA">
      <w:pPr>
        <w:pStyle w:val="SingleTxtGA"/>
        <w:rPr>
          <w:lang w:val="ar-SA" w:eastAsia="zh-TW" w:bidi="en-GB"/>
        </w:rPr>
      </w:pPr>
      <w:r w:rsidRPr="00B90DC4">
        <w:rPr>
          <w:rtl/>
        </w:rPr>
        <w:t>5-</w:t>
      </w:r>
      <w:r w:rsidRPr="00B90DC4">
        <w:rPr>
          <w:rtl/>
        </w:rPr>
        <w:tab/>
        <w:t>واستنادا</w:t>
      </w:r>
      <w:r w:rsidR="00B437ED">
        <w:rPr>
          <w:rFonts w:hint="cs"/>
          <w:rtl/>
        </w:rPr>
        <w:t>ً</w:t>
      </w:r>
      <w:r w:rsidRPr="00B90DC4">
        <w:rPr>
          <w:rtl/>
        </w:rPr>
        <w:t xml:space="preserve"> إلى تقرير الطب الشرعي الذي أعده فريق خبراء الطب الشرعي المستقل، التمس محامي صاحب الشكوى من الدولة الطرف جبر الضرر للسيد عراس، بما في ذلك التعويض.</w:t>
      </w:r>
    </w:p>
    <w:p w14:paraId="22DAC2D5" w14:textId="1B413858" w:rsidR="00D76F0D" w:rsidRPr="00D76F0D" w:rsidRDefault="002D57DA" w:rsidP="002D57DA">
      <w:pPr>
        <w:pStyle w:val="SingleTxtGA"/>
        <w:rPr>
          <w:lang w:val="ar-SA" w:eastAsia="zh-TW" w:bidi="en-GB"/>
        </w:rPr>
      </w:pPr>
      <w:r w:rsidRPr="00B90DC4">
        <w:rPr>
          <w:rtl/>
        </w:rPr>
        <w:t>6-</w:t>
      </w:r>
      <w:r w:rsidRPr="00B90DC4">
        <w:rPr>
          <w:rtl/>
        </w:rPr>
        <w:tab/>
        <w:t>وفي 8 تموز/يوليه 2022</w:t>
      </w:r>
      <w:r w:rsidR="00D76F0D" w:rsidRPr="00D76F0D">
        <w:rPr>
          <w:rtl/>
        </w:rPr>
        <w:t>،</w:t>
      </w:r>
      <w:r w:rsidRPr="00B90DC4">
        <w:rPr>
          <w:rtl/>
        </w:rPr>
        <w:t xml:space="preserve"> أحالت اللجنة ملاحظات صاحب الشكوى إلى الدولة الطرف للتعليق عليها، وكان موعد تقديمها في 8 أيلول/سبتمبر 202</w:t>
      </w:r>
      <w:r w:rsidR="00D76F0D" w:rsidRPr="00D76F0D">
        <w:rPr>
          <w:rtl/>
        </w:rPr>
        <w:t>2.</w:t>
      </w:r>
    </w:p>
    <w:p w14:paraId="28C20B89" w14:textId="289804C8" w:rsidR="002D57DA" w:rsidRPr="00B90DC4" w:rsidRDefault="002D57DA" w:rsidP="002D57DA">
      <w:pPr>
        <w:pStyle w:val="SingleTxtGA"/>
        <w:rPr>
          <w:lang w:val="ar-SA" w:eastAsia="zh-TW" w:bidi="en-GB"/>
        </w:rPr>
      </w:pPr>
      <w:r w:rsidRPr="00B90DC4">
        <w:rPr>
          <w:rtl/>
        </w:rPr>
        <w:t>7-</w:t>
      </w:r>
      <w:r w:rsidRPr="00B90DC4">
        <w:rPr>
          <w:rtl/>
        </w:rPr>
        <w:tab/>
        <w:t>وأظهرت الملاحظات والتعليقات المقدمة في إطار المتابعة قصوراً في تنفيذ قرار اللجنة. وبالإضافة إلى ذلك، تأسف اللجنة لأن الدولة الطرف اكتفت بتكرار المعلومات التي قدمتها في السابق بدل</w:t>
      </w:r>
      <w:r w:rsidR="007B1DE0">
        <w:rPr>
          <w:rtl/>
        </w:rPr>
        <w:t xml:space="preserve">اً </w:t>
      </w:r>
      <w:r w:rsidRPr="00B90DC4">
        <w:rPr>
          <w:rtl/>
        </w:rPr>
        <w:t>من تقديم ملاحظات ردا</w:t>
      </w:r>
      <w:r w:rsidR="00B437ED">
        <w:rPr>
          <w:rFonts w:hint="cs"/>
          <w:rtl/>
        </w:rPr>
        <w:t>ً</w:t>
      </w:r>
      <w:r w:rsidRPr="00B90DC4">
        <w:rPr>
          <w:rtl/>
        </w:rPr>
        <w:t xml:space="preserve"> على تعليقات المتابعة التي أبداها محامي صاحب الشكوى في 22 تشرين الثاني/نوفمبر 201</w:t>
      </w:r>
      <w:r w:rsidR="00D76F0D" w:rsidRPr="00D76F0D">
        <w:rPr>
          <w:rtl/>
        </w:rPr>
        <w:t xml:space="preserve">9. </w:t>
      </w:r>
      <w:r w:rsidRPr="00B90DC4">
        <w:rPr>
          <w:rtl/>
        </w:rPr>
        <w:t>وعليه قررت اللجنة مواصلة حوار المتابعة والنظر في اتخاذ خطوات أخرى في ضوء تعليقات المحامي. وبالإضافة إلى ذلك، وتماشياً مع قرار سابق، ستشير اللجنة في تقريرها السنوي إلى عدم تنفيذ القرار المذكور أعلاه.</w:t>
      </w:r>
    </w:p>
    <w:p w14:paraId="37415BE4" w14:textId="7F28C5B1" w:rsidR="002D57DA" w:rsidRPr="00B02E4B" w:rsidRDefault="002D57DA" w:rsidP="00B02E4B">
      <w:pPr>
        <w:pStyle w:val="H1GA"/>
        <w:rPr>
          <w:lang w:val="en-US" w:eastAsia="zh-TW" w:bidi="en-GB"/>
        </w:rPr>
      </w:pPr>
      <w:r w:rsidRPr="00B90DC4">
        <w:rPr>
          <w:rtl/>
        </w:rPr>
        <w:tab/>
      </w:r>
      <w:r w:rsidRPr="00B90DC4">
        <w:rPr>
          <w:rtl/>
        </w:rPr>
        <w:tab/>
        <w:t>البلاغ رقم 500/2012</w:t>
      </w:r>
      <w:r w:rsidR="00D76F0D" w:rsidRPr="00487285">
        <w:rPr>
          <w:rStyle w:val="FootnoteReference"/>
          <w:rFonts w:ascii="Simplified Arabic" w:hAnsi="Simplified Arabic"/>
          <w:b w:val="0"/>
          <w:bCs w:val="0"/>
          <w:sz w:val="22"/>
          <w:szCs w:val="22"/>
          <w:rtl/>
        </w:rPr>
        <w:t>(</w:t>
      </w:r>
      <w:r w:rsidR="00D76F0D" w:rsidRPr="00487285">
        <w:rPr>
          <w:rStyle w:val="FootnoteReference"/>
          <w:rFonts w:ascii="Simplified Arabic" w:hAnsi="Simplified Arabic"/>
          <w:b w:val="0"/>
          <w:bCs w:val="0"/>
          <w:sz w:val="22"/>
          <w:szCs w:val="22"/>
          <w:rtl/>
        </w:rPr>
        <w:footnoteReference w:id="4"/>
      </w:r>
      <w:r w:rsidR="00846AB1" w:rsidRPr="00487285">
        <w:rPr>
          <w:rStyle w:val="FootnoteReference"/>
          <w:rFonts w:ascii="Simplified Arabic" w:hAnsi="Simplified Arabic"/>
          <w:b w:val="0"/>
          <w:bCs w:val="0"/>
          <w:sz w:val="22"/>
          <w:szCs w:val="22"/>
          <w:rtl/>
        </w:rPr>
        <w:t>)</w:t>
      </w:r>
      <w:bookmarkStart w:id="1" w:name="_Hlk19862912"/>
      <w:bookmarkEnd w:id="1"/>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2D57DA" w:rsidRPr="00B02E4B" w14:paraId="798C843E" w14:textId="77777777" w:rsidTr="00F64C9A">
        <w:trPr>
          <w:tblHeader/>
        </w:trPr>
        <w:tc>
          <w:tcPr>
            <w:tcW w:w="7370" w:type="dxa"/>
            <w:gridSpan w:val="2"/>
            <w:tcBorders>
              <w:top w:val="single" w:sz="4" w:space="0" w:color="auto"/>
              <w:left w:val="nil"/>
              <w:bottom w:val="single" w:sz="12" w:space="0" w:color="auto"/>
              <w:right w:val="nil"/>
            </w:tcBorders>
            <w:vAlign w:val="bottom"/>
            <w:hideMark/>
          </w:tcPr>
          <w:p w14:paraId="616EFA7D" w14:textId="334C0953" w:rsidR="002D57DA" w:rsidRPr="00B02E4B" w:rsidRDefault="002D57DA" w:rsidP="00D76F0D">
            <w:pPr>
              <w:pStyle w:val="SingleTxtG"/>
              <w:bidi/>
              <w:spacing w:line="360" w:lineRule="exact"/>
              <w:ind w:left="57" w:right="57"/>
              <w:jc w:val="lowKashida"/>
              <w:textDirection w:val="tbRlV"/>
              <w:rPr>
                <w:rFonts w:ascii="Simplified Arabic" w:hAnsi="Simplified Arabic"/>
                <w:i/>
                <w:sz w:val="22"/>
                <w:szCs w:val="22"/>
                <w:u w:val="single"/>
                <w:lang w:val="ar-SA" w:eastAsia="zh-TW" w:bidi="en-GB"/>
              </w:rPr>
            </w:pPr>
            <w:r w:rsidRPr="00B02E4B">
              <w:rPr>
                <w:rFonts w:ascii="Simplified Arabic" w:hAnsi="Simplified Arabic"/>
                <w:sz w:val="22"/>
                <w:szCs w:val="22"/>
                <w:rtl/>
              </w:rPr>
              <w:t xml:space="preserve">قضية </w:t>
            </w:r>
            <w:r w:rsidRPr="00B02E4B">
              <w:rPr>
                <w:rFonts w:ascii="Simplified Arabic" w:hAnsi="Simplified Arabic"/>
                <w:i/>
                <w:iCs/>
                <w:sz w:val="22"/>
                <w:szCs w:val="22"/>
                <w:rtl/>
              </w:rPr>
              <w:t>راميريز مارتينيز وآخرون ضد المكسيك</w:t>
            </w:r>
            <w:r w:rsidRPr="00B02E4B">
              <w:rPr>
                <w:rFonts w:ascii="Simplified Arabic" w:hAnsi="Simplified Arabic"/>
                <w:sz w:val="22"/>
                <w:szCs w:val="22"/>
                <w:rtl/>
              </w:rPr>
              <w:t xml:space="preserve"> (</w:t>
            </w:r>
            <w:hyperlink r:id="rId10" w:history="1">
              <w:r w:rsidRPr="00D76F0D">
                <w:rPr>
                  <w:rStyle w:val="Hyperlink"/>
                  <w:lang w:val="en-US"/>
                </w:rPr>
                <w:t>CAT/C/55/D/500/2012</w:t>
              </w:r>
              <w:r w:rsidRPr="00685480">
                <w:rPr>
                  <w:rtl/>
                  <w:lang w:val="en-US"/>
                </w:rPr>
                <w:t>)</w:t>
              </w:r>
            </w:hyperlink>
          </w:p>
        </w:tc>
      </w:tr>
      <w:tr w:rsidR="002D57DA" w:rsidRPr="00B02E4B" w14:paraId="7CB55E30" w14:textId="77777777" w:rsidTr="00F64C9A">
        <w:tc>
          <w:tcPr>
            <w:tcW w:w="1985" w:type="dxa"/>
            <w:tcBorders>
              <w:top w:val="nil"/>
              <w:left w:val="nil"/>
              <w:bottom w:val="nil"/>
              <w:right w:val="nil"/>
            </w:tcBorders>
            <w:hideMark/>
          </w:tcPr>
          <w:p w14:paraId="1EBA41E0" w14:textId="77777777" w:rsidR="002D57DA" w:rsidRPr="00B02E4B" w:rsidRDefault="002D57DA" w:rsidP="00B02E4B">
            <w:pPr>
              <w:pStyle w:val="SingleTxtG"/>
              <w:bidi/>
              <w:spacing w:line="360" w:lineRule="exact"/>
              <w:ind w:left="57" w:right="57"/>
              <w:jc w:val="lowKashida"/>
              <w:textDirection w:val="tbRlV"/>
              <w:rPr>
                <w:rFonts w:ascii="Simplified Arabic" w:hAnsi="Simplified Arabic"/>
                <w:sz w:val="22"/>
                <w:szCs w:val="22"/>
                <w:lang w:val="ar-SA" w:eastAsia="zh-TW" w:bidi="en-GB"/>
              </w:rPr>
            </w:pPr>
            <w:r w:rsidRPr="00B02E4B">
              <w:rPr>
                <w:rFonts w:ascii="Simplified Arabic" w:hAnsi="Simplified Arabic"/>
                <w:sz w:val="22"/>
                <w:szCs w:val="22"/>
                <w:rtl/>
              </w:rPr>
              <w:t>تاريخ اعتماد القرار:</w:t>
            </w:r>
          </w:p>
        </w:tc>
        <w:tc>
          <w:tcPr>
            <w:tcW w:w="5385" w:type="dxa"/>
            <w:tcBorders>
              <w:top w:val="nil"/>
              <w:left w:val="nil"/>
              <w:bottom w:val="nil"/>
              <w:right w:val="nil"/>
            </w:tcBorders>
            <w:hideMark/>
          </w:tcPr>
          <w:p w14:paraId="6A7DF1E2" w14:textId="77777777" w:rsidR="002D57DA" w:rsidRPr="00B02E4B" w:rsidRDefault="002D57DA" w:rsidP="00B02E4B">
            <w:pPr>
              <w:pStyle w:val="SingleTxtG"/>
              <w:bidi/>
              <w:spacing w:line="360" w:lineRule="exact"/>
              <w:ind w:left="57" w:right="57"/>
              <w:jc w:val="lowKashida"/>
              <w:textDirection w:val="tbRlV"/>
              <w:rPr>
                <w:rFonts w:ascii="Simplified Arabic" w:hAnsi="Simplified Arabic"/>
                <w:sz w:val="22"/>
                <w:szCs w:val="22"/>
                <w:lang w:val="ar-SA" w:eastAsia="zh-TW" w:bidi="en-GB"/>
              </w:rPr>
            </w:pPr>
            <w:r w:rsidRPr="00B02E4B">
              <w:rPr>
                <w:rFonts w:ascii="Simplified Arabic" w:hAnsi="Simplified Arabic"/>
                <w:sz w:val="22"/>
                <w:szCs w:val="22"/>
                <w:rtl/>
              </w:rPr>
              <w:t>4 آب/أغسطس 2015</w:t>
            </w:r>
          </w:p>
        </w:tc>
      </w:tr>
      <w:tr w:rsidR="002D57DA" w:rsidRPr="00B02E4B" w14:paraId="59AF5082" w14:textId="77777777" w:rsidTr="00F64C9A">
        <w:tc>
          <w:tcPr>
            <w:tcW w:w="1985" w:type="dxa"/>
            <w:tcBorders>
              <w:top w:val="nil"/>
              <w:left w:val="nil"/>
              <w:bottom w:val="nil"/>
              <w:right w:val="nil"/>
            </w:tcBorders>
            <w:hideMark/>
          </w:tcPr>
          <w:p w14:paraId="54EB57A4" w14:textId="77777777" w:rsidR="002D57DA" w:rsidRPr="00B02E4B" w:rsidRDefault="002D57DA" w:rsidP="00B02E4B">
            <w:pPr>
              <w:pStyle w:val="SingleTxtG"/>
              <w:bidi/>
              <w:spacing w:line="360" w:lineRule="exact"/>
              <w:ind w:left="57" w:right="57"/>
              <w:jc w:val="lowKashida"/>
              <w:textDirection w:val="tbRlV"/>
              <w:rPr>
                <w:rFonts w:ascii="Simplified Arabic" w:hAnsi="Simplified Arabic"/>
                <w:sz w:val="22"/>
                <w:szCs w:val="22"/>
                <w:lang w:val="ar-SA" w:eastAsia="zh-TW" w:bidi="en-GB"/>
              </w:rPr>
            </w:pPr>
            <w:r w:rsidRPr="00B02E4B">
              <w:rPr>
                <w:rFonts w:ascii="Simplified Arabic" w:hAnsi="Simplified Arabic"/>
                <w:sz w:val="22"/>
                <w:szCs w:val="22"/>
                <w:rtl/>
              </w:rPr>
              <w:lastRenderedPageBreak/>
              <w:t>المواد المنتهكة:</w:t>
            </w:r>
          </w:p>
        </w:tc>
        <w:tc>
          <w:tcPr>
            <w:tcW w:w="5385" w:type="dxa"/>
            <w:tcBorders>
              <w:top w:val="nil"/>
              <w:left w:val="nil"/>
              <w:bottom w:val="nil"/>
              <w:right w:val="nil"/>
            </w:tcBorders>
            <w:hideMark/>
          </w:tcPr>
          <w:p w14:paraId="638E0053" w14:textId="3A503639" w:rsidR="002D57DA" w:rsidRPr="00B02E4B" w:rsidRDefault="002D57DA" w:rsidP="00B02E4B">
            <w:pPr>
              <w:pStyle w:val="SingleTxtG"/>
              <w:bidi/>
              <w:spacing w:line="360" w:lineRule="exact"/>
              <w:ind w:left="57" w:right="57"/>
              <w:jc w:val="lowKashida"/>
              <w:textDirection w:val="tbRlV"/>
              <w:rPr>
                <w:rFonts w:ascii="Simplified Arabic" w:hAnsi="Simplified Arabic"/>
                <w:sz w:val="22"/>
                <w:szCs w:val="22"/>
                <w:lang w:val="ar-SA" w:eastAsia="zh-TW" w:bidi="en-GB"/>
              </w:rPr>
            </w:pPr>
            <w:r w:rsidRPr="00B02E4B">
              <w:rPr>
                <w:rFonts w:ascii="Simplified Arabic" w:hAnsi="Simplified Arabic"/>
                <w:sz w:val="22"/>
                <w:szCs w:val="22"/>
                <w:rtl/>
              </w:rPr>
              <w:t>المواد 1، و2(1</w:t>
            </w:r>
            <w:r w:rsidR="00D76F0D" w:rsidRPr="00D76F0D">
              <w:rPr>
                <w:rFonts w:ascii="Simplified Arabic" w:hAnsi="Simplified Arabic"/>
                <w:sz w:val="22"/>
                <w:szCs w:val="22"/>
                <w:rtl/>
              </w:rPr>
              <w:t xml:space="preserve">)، </w:t>
            </w:r>
            <w:r w:rsidRPr="00B02E4B">
              <w:rPr>
                <w:rFonts w:ascii="Simplified Arabic" w:hAnsi="Simplified Arabic"/>
                <w:sz w:val="22"/>
                <w:szCs w:val="22"/>
                <w:rtl/>
              </w:rPr>
              <w:t>ومن 12 إلى 15، و22</w:t>
            </w:r>
          </w:p>
        </w:tc>
      </w:tr>
      <w:tr w:rsidR="002D57DA" w:rsidRPr="00B02E4B" w14:paraId="0BB15F35" w14:textId="77777777" w:rsidTr="00F64C9A">
        <w:tc>
          <w:tcPr>
            <w:tcW w:w="1985" w:type="dxa"/>
            <w:tcBorders>
              <w:top w:val="nil"/>
              <w:left w:val="nil"/>
              <w:bottom w:val="single" w:sz="12" w:space="0" w:color="auto"/>
              <w:right w:val="nil"/>
            </w:tcBorders>
            <w:hideMark/>
          </w:tcPr>
          <w:p w14:paraId="35B07BB2" w14:textId="77777777" w:rsidR="002D57DA" w:rsidRPr="00B02E4B" w:rsidRDefault="002D57DA" w:rsidP="00B02E4B">
            <w:pPr>
              <w:pStyle w:val="SingleTxtG"/>
              <w:keepNext/>
              <w:keepLines/>
              <w:bidi/>
              <w:spacing w:line="360" w:lineRule="exact"/>
              <w:ind w:left="57" w:right="57"/>
              <w:jc w:val="lowKashida"/>
              <w:textDirection w:val="tbRlV"/>
              <w:rPr>
                <w:rFonts w:ascii="Simplified Arabic" w:hAnsi="Simplified Arabic"/>
                <w:sz w:val="22"/>
                <w:szCs w:val="22"/>
                <w:lang w:val="ar-SA" w:eastAsia="zh-TW" w:bidi="en-GB"/>
              </w:rPr>
            </w:pPr>
            <w:r w:rsidRPr="00B02E4B">
              <w:rPr>
                <w:rFonts w:ascii="Simplified Arabic" w:hAnsi="Simplified Arabic"/>
                <w:sz w:val="22"/>
                <w:szCs w:val="22"/>
                <w:rtl/>
              </w:rPr>
              <w:t>وسيلة الانتصاف:</w:t>
            </w:r>
          </w:p>
        </w:tc>
        <w:tc>
          <w:tcPr>
            <w:tcW w:w="5385" w:type="dxa"/>
            <w:tcBorders>
              <w:top w:val="nil"/>
              <w:left w:val="nil"/>
              <w:bottom w:val="single" w:sz="12" w:space="0" w:color="auto"/>
              <w:right w:val="nil"/>
            </w:tcBorders>
            <w:hideMark/>
          </w:tcPr>
          <w:p w14:paraId="4E8627CA" w14:textId="77777777" w:rsidR="002D57DA" w:rsidRPr="00B02E4B" w:rsidRDefault="002D57DA" w:rsidP="00B02E4B">
            <w:pPr>
              <w:pStyle w:val="SingleTxtG"/>
              <w:keepNext/>
              <w:keepLines/>
              <w:bidi/>
              <w:spacing w:line="360" w:lineRule="exact"/>
              <w:ind w:left="57" w:right="57"/>
              <w:jc w:val="lowKashida"/>
              <w:textDirection w:val="tbRlV"/>
              <w:rPr>
                <w:rFonts w:ascii="Simplified Arabic" w:hAnsi="Simplified Arabic"/>
                <w:sz w:val="22"/>
                <w:szCs w:val="22"/>
                <w:lang w:val="ar-SA" w:eastAsia="zh-TW" w:bidi="en-GB"/>
              </w:rPr>
            </w:pPr>
            <w:r w:rsidRPr="00B02E4B">
              <w:rPr>
                <w:rFonts w:ascii="Simplified Arabic" w:hAnsi="Simplified Arabic"/>
                <w:sz w:val="22"/>
                <w:szCs w:val="22"/>
                <w:rtl/>
              </w:rPr>
              <w:t xml:space="preserve">حثت اللجنة الدولة الطرف على القيام بما يلي: (أ) فتح تحقيق شامل وفعال في أفعال التعذيب؛ (ب) مقاضاة الأشخاص الذين تثبت إدانتهم بارتكاب هذه الانتهاكات والحكم عليهم ومعاقبتهم على النحو المناسب؛ (ج) الأمر بالإفراج الفوري عن أصحاب الشكوى؛ و(د) منح أصحاب الشكوى وأفراد أسرهم كامل سبل جبر الضرر، بما في ذلك التعويض المنصف والكافي، وإعادة تأهيل أصحاب الشكوى على أكمل وجه ممكن. وأعادت اللجنة أيضاً تأكيد ضرورة إلغاء حكم الحبس الاحتياطي من التشريعات المحلية، ومواءمة قانون القضاء العسكري على نحو كامل مع قرارات محكمة البلدان الأمريكية لحقوق الإنسان، لكفالة أن تكون لمحاكم القضاء العام دون غيرها الولاية القضائية فيما يتعلق بالقضايا التي تنطوي على انتهاكات حقوق الإنسان. </w:t>
            </w:r>
          </w:p>
        </w:tc>
      </w:tr>
    </w:tbl>
    <w:p w14:paraId="286D6D69" w14:textId="4AADDAA1" w:rsidR="00D76F0D" w:rsidRPr="00D76F0D" w:rsidRDefault="002D57DA" w:rsidP="005B0B2E">
      <w:pPr>
        <w:pStyle w:val="SingleTxtGA"/>
        <w:spacing w:before="240"/>
        <w:rPr>
          <w:lang w:val="ar-SA" w:eastAsia="zh-TW" w:bidi="en-GB"/>
        </w:rPr>
      </w:pPr>
      <w:r w:rsidRPr="00B90DC4">
        <w:rPr>
          <w:rtl/>
        </w:rPr>
        <w:t>8-</w:t>
      </w:r>
      <w:r w:rsidRPr="00B90DC4">
        <w:rPr>
          <w:rtl/>
        </w:rPr>
        <w:tab/>
        <w:t>وفي رسالة مؤرخة 27 حزيران/يونيه 2022، ادعى محامي أصحاب الشكوى أن الدولة الطرف لم تعتمد أي تدابير فعالة رد</w:t>
      </w:r>
      <w:r w:rsidR="007B1DE0">
        <w:rPr>
          <w:rtl/>
        </w:rPr>
        <w:t xml:space="preserve">اً </w:t>
      </w:r>
      <w:r w:rsidRPr="00B90DC4">
        <w:rPr>
          <w:rtl/>
        </w:rPr>
        <w:t>على رسالتين أحالهما مقرر اللجنة المعني بالأعمال الانتقامية إلى الدولة الطرف في 23 أيلول/سبتمبر 2016 و16 تشرين الأول/أكتوبر 201</w:t>
      </w:r>
      <w:r w:rsidR="00D76F0D" w:rsidRPr="00D76F0D">
        <w:rPr>
          <w:rtl/>
        </w:rPr>
        <w:t xml:space="preserve">9. </w:t>
      </w:r>
      <w:r w:rsidRPr="00B90DC4">
        <w:rPr>
          <w:rtl/>
        </w:rPr>
        <w:t>وبالإضافة إلى ذلك، أثار المحامي ادعاءات بوقوع المزيد من الأعمال الانتقامية مؤخرا</w:t>
      </w:r>
      <w:r w:rsidR="00055205">
        <w:rPr>
          <w:rFonts w:hint="cs"/>
          <w:rtl/>
        </w:rPr>
        <w:t>ً</w:t>
      </w:r>
      <w:r w:rsidRPr="00B90DC4">
        <w:rPr>
          <w:rtl/>
        </w:rPr>
        <w:t xml:space="preserve"> ضد </w:t>
      </w:r>
      <w:proofErr w:type="spellStart"/>
      <w:r w:rsidRPr="00B90DC4">
        <w:rPr>
          <w:rtl/>
        </w:rPr>
        <w:t>راميرو</w:t>
      </w:r>
      <w:proofErr w:type="spellEnd"/>
      <w:r w:rsidRPr="00B90DC4">
        <w:rPr>
          <w:rtl/>
        </w:rPr>
        <w:t xml:space="preserve"> لوبيز </w:t>
      </w:r>
      <w:proofErr w:type="spellStart"/>
      <w:r w:rsidRPr="00B90DC4">
        <w:rPr>
          <w:rtl/>
        </w:rPr>
        <w:t>فاسكيز</w:t>
      </w:r>
      <w:proofErr w:type="spellEnd"/>
      <w:r w:rsidRPr="00B90DC4">
        <w:rPr>
          <w:rtl/>
        </w:rPr>
        <w:t>، في 23 حزيران/</w:t>
      </w:r>
      <w:r w:rsidR="00894129">
        <w:rPr>
          <w:rFonts w:hint="cs"/>
          <w:rtl/>
        </w:rPr>
        <w:t xml:space="preserve"> </w:t>
      </w:r>
      <w:r w:rsidRPr="00B90DC4">
        <w:rPr>
          <w:rtl/>
        </w:rPr>
        <w:t>يونيه 2022</w:t>
      </w:r>
      <w:r w:rsidR="00D76F0D">
        <w:rPr>
          <w:rStyle w:val="FootnoteReference"/>
          <w:rFonts w:ascii="Simplified Arabic" w:hAnsi="Simplified Arabic"/>
          <w:rtl/>
        </w:rPr>
        <w:t>(</w:t>
      </w:r>
      <w:r w:rsidR="00D76F0D" w:rsidRPr="00B90DC4">
        <w:rPr>
          <w:rStyle w:val="FootnoteReference"/>
          <w:rFonts w:ascii="Simplified Arabic" w:hAnsi="Simplified Arabic"/>
          <w:rtl/>
        </w:rPr>
        <w:footnoteReference w:id="5"/>
      </w:r>
      <w:r w:rsidR="00D76F0D" w:rsidRPr="00D76F0D">
        <w:rPr>
          <w:rStyle w:val="FootnoteReference"/>
          <w:rFonts w:ascii="Simplified Arabic" w:hAnsi="Simplified Arabic"/>
          <w:rtl/>
        </w:rPr>
        <w:t>)</w:t>
      </w:r>
      <w:r w:rsidR="00D76F0D" w:rsidRPr="00D76F0D">
        <w:rPr>
          <w:rtl/>
        </w:rPr>
        <w:t>.</w:t>
      </w:r>
    </w:p>
    <w:p w14:paraId="025EBA04" w14:textId="1198C018" w:rsidR="002D57DA" w:rsidRPr="00B90DC4" w:rsidRDefault="002D57DA" w:rsidP="002D57DA">
      <w:pPr>
        <w:pStyle w:val="SingleTxtGA"/>
        <w:rPr>
          <w:lang w:val="ar-SA" w:eastAsia="zh-TW" w:bidi="en-GB"/>
        </w:rPr>
      </w:pPr>
      <w:r w:rsidRPr="00B90DC4">
        <w:rPr>
          <w:rtl/>
        </w:rPr>
        <w:t>9-</w:t>
      </w:r>
      <w:r w:rsidRPr="00B90DC4">
        <w:rPr>
          <w:rtl/>
        </w:rPr>
        <w:tab/>
        <w:t>وفي الرسالة الأولى، المؤرخة 23 أيلول/سبتمبر 2016، طلب المقرر المعني بالأعمال الانتقامية إلى الدولة الطرف أن تنفذ فور</w:t>
      </w:r>
      <w:r w:rsidR="007B1DE0">
        <w:rPr>
          <w:rtl/>
        </w:rPr>
        <w:t xml:space="preserve">اً </w:t>
      </w:r>
      <w:r w:rsidRPr="00B90DC4">
        <w:rPr>
          <w:rtl/>
        </w:rPr>
        <w:t>جميع تدابير الحماية اللازمة لضمان السلامة البدنية والمعنوية للضحايا. وأفاد محامي الضحايا بأن الدولة الطرف لم تنفذ أي</w:t>
      </w:r>
      <w:r w:rsidR="007B1DE0">
        <w:rPr>
          <w:rtl/>
        </w:rPr>
        <w:t xml:space="preserve">اً </w:t>
      </w:r>
      <w:r w:rsidRPr="00B90DC4">
        <w:rPr>
          <w:rtl/>
        </w:rPr>
        <w:t>من هذه التدابير وبالتالي لم تمتثل للطلب. وأفاد المحامي أيضا</w:t>
      </w:r>
      <w:r w:rsidR="00B02E4B">
        <w:rPr>
          <w:rFonts w:hint="cs"/>
          <w:rtl/>
        </w:rPr>
        <w:t>ً</w:t>
      </w:r>
      <w:r w:rsidRPr="00B90DC4">
        <w:rPr>
          <w:rtl/>
        </w:rPr>
        <w:t xml:space="preserve"> أنه في 28 تموز/يوليه 2021، اقترح مكتب تنسيق الشؤون الدولية التابع لوزارة الداخلية عقد اجتماع مع الضحايا وممثليهم. وعُقد اجتماع عبر الإنترنت في 18 آب/أغسطس 2021</w:t>
      </w:r>
      <w:r w:rsidR="00D76F0D" w:rsidRPr="00D76F0D">
        <w:rPr>
          <w:rtl/>
        </w:rPr>
        <w:t>،</w:t>
      </w:r>
      <w:r w:rsidRPr="00B90DC4">
        <w:rPr>
          <w:rtl/>
        </w:rPr>
        <w:t xml:space="preserve"> ناقشت خلاله سلطات المكتب مع ممثلي الضحايا عزمهم على إجراء تحليل للمخاطر فيما يتعلق بالحوادث السابقة وإشراك آلية الحماية الوطنية للمدافعين عن حقوق الإنسان والصحفيين. وقد أجرت الآلية في نهاية المطاف تحليل</w:t>
      </w:r>
      <w:r w:rsidR="007B1DE0">
        <w:rPr>
          <w:rtl/>
        </w:rPr>
        <w:t xml:space="preserve">اً </w:t>
      </w:r>
      <w:r w:rsidRPr="00B90DC4">
        <w:rPr>
          <w:rtl/>
        </w:rPr>
        <w:t xml:space="preserve">للمخاطر، ولكنها لم تطلع الضحايا أو ممثليهم قط على النتائج. </w:t>
      </w:r>
    </w:p>
    <w:p w14:paraId="0712EF7E" w14:textId="3B72C2FA" w:rsidR="002D57DA" w:rsidRPr="00B90DC4" w:rsidRDefault="002D57DA" w:rsidP="002D57DA">
      <w:pPr>
        <w:pStyle w:val="SingleTxtGA"/>
        <w:rPr>
          <w:lang w:val="ar-SA" w:eastAsia="zh-TW" w:bidi="en-GB"/>
        </w:rPr>
      </w:pPr>
      <w:r w:rsidRPr="00B90DC4">
        <w:rPr>
          <w:rtl/>
        </w:rPr>
        <w:t>10-</w:t>
      </w:r>
      <w:r w:rsidRPr="00B90DC4">
        <w:rPr>
          <w:rtl/>
        </w:rPr>
        <w:tab/>
        <w:t>وفي الرسالة الثانية، المؤرخة 16 تشرين الأول/أكتوبر 2019، طلب المقرر المعني بالأعمال الانتقامية إلى الدولة الطرف، في جملة أمور، إجراء تحقيق فوري ومستقل ونزيه في أعمال التخويف والانتقام ضد المدعين وأسرهم ومحاميهم، ومحو السجلات الجنائية لصاحبي البلاغ اللذين أفرج عنهما بعد قرار اللجنة من أجل منع المزيد من الأعمال الانتقامية، والمضي قدم</w:t>
      </w:r>
      <w:r w:rsidR="007B1DE0">
        <w:rPr>
          <w:rtl/>
        </w:rPr>
        <w:t xml:space="preserve">اً </w:t>
      </w:r>
      <w:r w:rsidRPr="00B90DC4">
        <w:rPr>
          <w:rtl/>
        </w:rPr>
        <w:t>دون مزيد من التأخير في تقديم التعويض الكامل للضحايا وفق</w:t>
      </w:r>
      <w:r w:rsidR="007B1DE0">
        <w:rPr>
          <w:rtl/>
        </w:rPr>
        <w:t xml:space="preserve">اً </w:t>
      </w:r>
      <w:r w:rsidRPr="00B90DC4">
        <w:rPr>
          <w:rtl/>
        </w:rPr>
        <w:t>لقرار اللجنة. وذكر محامي أصحاب الشكوى أن سلطات الدولة الطرف لم تفتح تحقيق</w:t>
      </w:r>
      <w:r w:rsidR="007B1DE0">
        <w:rPr>
          <w:rtl/>
        </w:rPr>
        <w:t xml:space="preserve">اً </w:t>
      </w:r>
      <w:r w:rsidRPr="00B90DC4">
        <w:rPr>
          <w:rtl/>
        </w:rPr>
        <w:t>رسمي</w:t>
      </w:r>
      <w:r w:rsidR="007B1DE0">
        <w:rPr>
          <w:rtl/>
        </w:rPr>
        <w:t xml:space="preserve">اً </w:t>
      </w:r>
      <w:r w:rsidRPr="00B90DC4">
        <w:rPr>
          <w:rtl/>
        </w:rPr>
        <w:t xml:space="preserve">في أعمال التخويف والانتقام وأن الدولة الطرف لم تقدم أي معلومات إلى اللجنة تفيد بأنها فعلت ذلك، كما أن الدولة الطرف لم تشر إلى أنها امتثلت للعناصر الأخرى من طلبات المقرر. </w:t>
      </w:r>
    </w:p>
    <w:p w14:paraId="7C7A658D" w14:textId="10208E53" w:rsidR="002D57DA" w:rsidRPr="00B90DC4" w:rsidRDefault="002D57DA" w:rsidP="002D57DA">
      <w:pPr>
        <w:pStyle w:val="SingleTxtGA"/>
        <w:rPr>
          <w:lang w:val="ar-SA" w:eastAsia="zh-TW" w:bidi="en-GB"/>
        </w:rPr>
      </w:pPr>
      <w:r w:rsidRPr="00B90DC4">
        <w:rPr>
          <w:rtl/>
        </w:rPr>
        <w:t>11-</w:t>
      </w:r>
      <w:r w:rsidRPr="00B90DC4">
        <w:rPr>
          <w:rtl/>
        </w:rPr>
        <w:tab/>
        <w:t>ويشكل عدم تقديم الدولة الطرف تعليقات أو ملاحظات موضوعية ردا</w:t>
      </w:r>
      <w:r w:rsidR="00F87245">
        <w:rPr>
          <w:rFonts w:hint="cs"/>
          <w:rtl/>
        </w:rPr>
        <w:t>ً</w:t>
      </w:r>
      <w:r w:rsidRPr="00B90DC4">
        <w:rPr>
          <w:rtl/>
        </w:rPr>
        <w:t xml:space="preserve"> على الرسالتين عدم تعاون مع اللجنة ويثير قلقا</w:t>
      </w:r>
      <w:r w:rsidR="000B6120">
        <w:rPr>
          <w:rFonts w:hint="cs"/>
          <w:rtl/>
        </w:rPr>
        <w:t>ً</w:t>
      </w:r>
      <w:r w:rsidRPr="00B90DC4">
        <w:rPr>
          <w:rtl/>
        </w:rPr>
        <w:t xml:space="preserve"> متزايدا</w:t>
      </w:r>
      <w:r w:rsidR="000B6120">
        <w:rPr>
          <w:rFonts w:hint="cs"/>
          <w:rtl/>
        </w:rPr>
        <w:t>ً</w:t>
      </w:r>
      <w:r w:rsidRPr="00B90DC4">
        <w:rPr>
          <w:rtl/>
        </w:rPr>
        <w:t xml:space="preserve"> بشأن إمكانية وقوع المزيد من الانتهاكات والأعمال الانتقامية. وقررت اللجنة الإبقاء على حوار المتابعة مستمرا</w:t>
      </w:r>
      <w:r w:rsidR="000B6120">
        <w:rPr>
          <w:rFonts w:hint="cs"/>
          <w:rtl/>
        </w:rPr>
        <w:t>ً</w:t>
      </w:r>
      <w:r w:rsidRPr="00B90DC4">
        <w:rPr>
          <w:rtl/>
        </w:rPr>
        <w:t xml:space="preserve"> وتوجيه رسالة إضافية من مقرر اللجنة المعني بالأعمال </w:t>
      </w:r>
      <w:r w:rsidRPr="00B90DC4">
        <w:rPr>
          <w:rtl/>
        </w:rPr>
        <w:lastRenderedPageBreak/>
        <w:t>الانتقامية والمقرر المعني بمتابعة القرارات المعتمدة بموجب المادة 22، مع تجديد طلب اتخاذ تدابير للحماية. وبالإضافة إلى ذلك، ستشير اللجنة في تقريرها السنوي إلى عدم تنفيذ القرار المذكور أعلاه.</w:t>
      </w:r>
    </w:p>
    <w:p w14:paraId="7E96CC91" w14:textId="77777777" w:rsidR="002D57DA" w:rsidRPr="002B1EC1" w:rsidRDefault="002D57DA" w:rsidP="002B1EC1">
      <w:pPr>
        <w:pStyle w:val="H1GA"/>
        <w:rPr>
          <w:lang w:val="en-US" w:eastAsia="zh-TW" w:bidi="en-GB"/>
        </w:rPr>
      </w:pPr>
      <w:r w:rsidRPr="00B90DC4">
        <w:rPr>
          <w:rtl/>
        </w:rPr>
        <w:tab/>
      </w:r>
      <w:r w:rsidRPr="00B90DC4">
        <w:rPr>
          <w:rtl/>
        </w:rPr>
        <w:tab/>
        <w:t>البلاغ رقم 812/2017</w:t>
      </w:r>
      <w:bookmarkStart w:id="2" w:name="_Toc43472449"/>
      <w:bookmarkEnd w:id="2"/>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2D57DA" w:rsidRPr="002B1EC1" w14:paraId="0CB1F8BF" w14:textId="77777777" w:rsidTr="00F64C9A">
        <w:trPr>
          <w:tblHeader/>
        </w:trPr>
        <w:tc>
          <w:tcPr>
            <w:tcW w:w="7370" w:type="dxa"/>
            <w:gridSpan w:val="2"/>
            <w:tcBorders>
              <w:top w:val="single" w:sz="4" w:space="0" w:color="auto"/>
              <w:bottom w:val="single" w:sz="12" w:space="0" w:color="auto"/>
            </w:tcBorders>
            <w:shd w:val="clear" w:color="auto" w:fill="auto"/>
            <w:vAlign w:val="bottom"/>
          </w:tcPr>
          <w:p w14:paraId="7A32DF6B" w14:textId="0F677C84" w:rsidR="002D57DA" w:rsidRPr="002B1EC1" w:rsidRDefault="002D57DA" w:rsidP="00D76F0D">
            <w:pPr>
              <w:pStyle w:val="SingleTxtG"/>
              <w:bidi/>
              <w:spacing w:line="360" w:lineRule="exact"/>
              <w:ind w:left="57" w:right="57"/>
              <w:jc w:val="lowKashida"/>
              <w:textDirection w:val="tbRlV"/>
              <w:rPr>
                <w:rFonts w:ascii="Simplified Arabic" w:hAnsi="Simplified Arabic"/>
                <w:iCs/>
                <w:sz w:val="22"/>
                <w:szCs w:val="22"/>
                <w:lang w:val="ar-SA" w:eastAsia="zh-TW" w:bidi="en-GB"/>
              </w:rPr>
            </w:pPr>
            <w:r w:rsidRPr="002B1EC1">
              <w:rPr>
                <w:rFonts w:ascii="Simplified Arabic" w:hAnsi="Simplified Arabic"/>
                <w:i/>
                <w:iCs/>
                <w:sz w:val="22"/>
                <w:szCs w:val="22"/>
                <w:rtl/>
              </w:rPr>
              <w:t>أ. ب. س</w:t>
            </w:r>
            <w:r w:rsidR="00F87245">
              <w:rPr>
                <w:rFonts w:ascii="Simplified Arabic" w:hAnsi="Simplified Arabic" w:hint="cs"/>
                <w:i/>
                <w:iCs/>
                <w:sz w:val="22"/>
                <w:szCs w:val="22"/>
                <w:rtl/>
              </w:rPr>
              <w:t>.</w:t>
            </w:r>
            <w:r w:rsidRPr="002B1EC1">
              <w:rPr>
                <w:rFonts w:ascii="Simplified Arabic" w:hAnsi="Simplified Arabic"/>
                <w:i/>
                <w:iCs/>
                <w:sz w:val="22"/>
                <w:szCs w:val="22"/>
                <w:rtl/>
              </w:rPr>
              <w:t xml:space="preserve"> ضد سويسرا</w:t>
            </w:r>
            <w:r w:rsidRPr="002B1EC1">
              <w:rPr>
                <w:rFonts w:ascii="Simplified Arabic" w:hAnsi="Simplified Arabic"/>
                <w:sz w:val="22"/>
                <w:szCs w:val="22"/>
                <w:rtl/>
              </w:rPr>
              <w:t xml:space="preserve"> (</w:t>
            </w:r>
            <w:hyperlink r:id="rId11" w:history="1">
              <w:r w:rsidRPr="00D76F0D">
                <w:rPr>
                  <w:rStyle w:val="Hyperlink"/>
                  <w:lang w:val="en-US"/>
                </w:rPr>
                <w:t>CAT/C/71/D/812/2017</w:t>
              </w:r>
              <w:r w:rsidRPr="00894129">
                <w:rPr>
                  <w:rtl/>
                  <w:lang w:val="en-US"/>
                </w:rPr>
                <w:t>)</w:t>
              </w:r>
            </w:hyperlink>
          </w:p>
        </w:tc>
      </w:tr>
      <w:tr w:rsidR="002D57DA" w:rsidRPr="002B1EC1" w14:paraId="7EC336DE" w14:textId="77777777" w:rsidTr="00F64C9A">
        <w:trPr>
          <w:trHeight w:hRule="exact" w:val="113"/>
          <w:tblHeader/>
        </w:trPr>
        <w:tc>
          <w:tcPr>
            <w:tcW w:w="7370" w:type="dxa"/>
            <w:gridSpan w:val="2"/>
            <w:tcBorders>
              <w:top w:val="single" w:sz="12" w:space="0" w:color="auto"/>
            </w:tcBorders>
            <w:shd w:val="clear" w:color="auto" w:fill="auto"/>
          </w:tcPr>
          <w:p w14:paraId="22A06804" w14:textId="77777777" w:rsidR="002D57DA" w:rsidRPr="002B1EC1" w:rsidRDefault="002D57DA" w:rsidP="002B1EC1">
            <w:pPr>
              <w:pStyle w:val="SingleTxtG"/>
              <w:spacing w:line="360" w:lineRule="exact"/>
              <w:ind w:left="57" w:right="57"/>
              <w:jc w:val="lowKashida"/>
              <w:rPr>
                <w:rFonts w:ascii="Simplified Arabic" w:hAnsi="Simplified Arabic"/>
                <w:sz w:val="22"/>
                <w:szCs w:val="22"/>
              </w:rPr>
            </w:pPr>
          </w:p>
        </w:tc>
      </w:tr>
      <w:tr w:rsidR="002D57DA" w:rsidRPr="002B1EC1" w14:paraId="768D5FF8" w14:textId="77777777" w:rsidTr="00F64C9A">
        <w:tc>
          <w:tcPr>
            <w:tcW w:w="1985" w:type="dxa"/>
            <w:shd w:val="clear" w:color="auto" w:fill="auto"/>
          </w:tcPr>
          <w:p w14:paraId="221CE58D" w14:textId="77777777" w:rsidR="002D57DA" w:rsidRPr="002B1EC1" w:rsidRDefault="002D57DA" w:rsidP="002B1EC1">
            <w:pPr>
              <w:pStyle w:val="SingleTxtG"/>
              <w:bidi/>
              <w:spacing w:line="360" w:lineRule="exact"/>
              <w:ind w:left="57" w:right="57"/>
              <w:jc w:val="lowKashida"/>
              <w:textDirection w:val="tbRlV"/>
              <w:rPr>
                <w:rFonts w:ascii="Simplified Arabic" w:hAnsi="Simplified Arabic"/>
                <w:sz w:val="22"/>
                <w:szCs w:val="22"/>
                <w:lang w:val="ar-SA" w:eastAsia="zh-TW" w:bidi="en-GB"/>
              </w:rPr>
            </w:pPr>
            <w:r w:rsidRPr="002B1EC1">
              <w:rPr>
                <w:rFonts w:ascii="Simplified Arabic" w:hAnsi="Simplified Arabic"/>
                <w:sz w:val="22"/>
                <w:szCs w:val="22"/>
                <w:rtl/>
              </w:rPr>
              <w:t>تاريخ اعتماد القرار:</w:t>
            </w:r>
          </w:p>
        </w:tc>
        <w:tc>
          <w:tcPr>
            <w:tcW w:w="5385" w:type="dxa"/>
            <w:shd w:val="clear" w:color="auto" w:fill="auto"/>
          </w:tcPr>
          <w:p w14:paraId="499F1249" w14:textId="77777777" w:rsidR="002D57DA" w:rsidRPr="002B1EC1" w:rsidRDefault="002D57DA" w:rsidP="002B1EC1">
            <w:pPr>
              <w:pStyle w:val="SingleTxtG"/>
              <w:bidi/>
              <w:spacing w:line="360" w:lineRule="exact"/>
              <w:ind w:left="57" w:right="57"/>
              <w:jc w:val="lowKashida"/>
              <w:textDirection w:val="tbRlV"/>
              <w:rPr>
                <w:rFonts w:ascii="Simplified Arabic" w:hAnsi="Simplified Arabic"/>
                <w:sz w:val="22"/>
                <w:szCs w:val="22"/>
                <w:lang w:val="ar-SA" w:eastAsia="zh-TW" w:bidi="en-GB"/>
              </w:rPr>
            </w:pPr>
            <w:r w:rsidRPr="002B1EC1">
              <w:rPr>
                <w:rFonts w:ascii="Simplified Arabic" w:hAnsi="Simplified Arabic"/>
                <w:sz w:val="22"/>
                <w:szCs w:val="22"/>
                <w:rtl/>
              </w:rPr>
              <w:t>21 تموز/يوليه 2021</w:t>
            </w:r>
          </w:p>
        </w:tc>
      </w:tr>
      <w:tr w:rsidR="002D57DA" w:rsidRPr="002B1EC1" w14:paraId="67E330B2" w14:textId="77777777" w:rsidTr="00F64C9A">
        <w:tc>
          <w:tcPr>
            <w:tcW w:w="1985" w:type="dxa"/>
            <w:shd w:val="clear" w:color="auto" w:fill="auto"/>
          </w:tcPr>
          <w:p w14:paraId="28A7AB0D" w14:textId="77777777" w:rsidR="002D57DA" w:rsidRPr="002B1EC1" w:rsidRDefault="002D57DA" w:rsidP="002B1EC1">
            <w:pPr>
              <w:pStyle w:val="SingleTxtG"/>
              <w:bidi/>
              <w:spacing w:line="360" w:lineRule="exact"/>
              <w:ind w:left="57" w:right="57"/>
              <w:jc w:val="lowKashida"/>
              <w:textDirection w:val="tbRlV"/>
              <w:rPr>
                <w:rFonts w:ascii="Simplified Arabic" w:hAnsi="Simplified Arabic"/>
                <w:sz w:val="22"/>
                <w:szCs w:val="22"/>
                <w:lang w:val="ar-SA" w:eastAsia="zh-TW" w:bidi="en-GB"/>
              </w:rPr>
            </w:pPr>
            <w:r w:rsidRPr="002B1EC1">
              <w:rPr>
                <w:rFonts w:ascii="Simplified Arabic" w:hAnsi="Simplified Arabic"/>
                <w:sz w:val="22"/>
                <w:szCs w:val="22"/>
                <w:rtl/>
              </w:rPr>
              <w:t>المادة المنتهكة:</w:t>
            </w:r>
          </w:p>
        </w:tc>
        <w:tc>
          <w:tcPr>
            <w:tcW w:w="5385" w:type="dxa"/>
            <w:shd w:val="clear" w:color="auto" w:fill="auto"/>
          </w:tcPr>
          <w:p w14:paraId="4359D23C" w14:textId="77777777" w:rsidR="002D57DA" w:rsidRPr="002B1EC1" w:rsidRDefault="002D57DA" w:rsidP="002B1EC1">
            <w:pPr>
              <w:pStyle w:val="SingleTxtG"/>
              <w:bidi/>
              <w:spacing w:line="360" w:lineRule="exact"/>
              <w:ind w:left="57" w:right="57"/>
              <w:jc w:val="lowKashida"/>
              <w:textDirection w:val="tbRlV"/>
              <w:rPr>
                <w:rFonts w:ascii="Simplified Arabic" w:hAnsi="Simplified Arabic"/>
                <w:sz w:val="22"/>
                <w:szCs w:val="22"/>
                <w:lang w:val="ar-SA" w:eastAsia="zh-TW" w:bidi="en-GB"/>
              </w:rPr>
            </w:pPr>
            <w:r w:rsidRPr="002B1EC1">
              <w:rPr>
                <w:rFonts w:ascii="Simplified Arabic" w:hAnsi="Simplified Arabic"/>
                <w:sz w:val="22"/>
                <w:szCs w:val="22"/>
                <w:rtl/>
              </w:rPr>
              <w:t>المادة 3</w:t>
            </w:r>
          </w:p>
        </w:tc>
      </w:tr>
      <w:tr w:rsidR="002D57DA" w:rsidRPr="002B1EC1" w14:paraId="4428348A" w14:textId="77777777" w:rsidTr="00F64C9A">
        <w:tc>
          <w:tcPr>
            <w:tcW w:w="1985" w:type="dxa"/>
            <w:shd w:val="clear" w:color="auto" w:fill="auto"/>
          </w:tcPr>
          <w:p w14:paraId="11D001E5" w14:textId="77777777" w:rsidR="002D57DA" w:rsidRPr="00733E9F" w:rsidRDefault="002D57DA" w:rsidP="002B1EC1">
            <w:pPr>
              <w:pStyle w:val="SingleTxtG"/>
              <w:bidi/>
              <w:spacing w:line="360" w:lineRule="exact"/>
              <w:ind w:left="57" w:right="57"/>
              <w:jc w:val="lowKashida"/>
              <w:textDirection w:val="tbRlV"/>
              <w:rPr>
                <w:rFonts w:ascii="Simplified Arabic" w:hAnsi="Simplified Arabic"/>
                <w:sz w:val="22"/>
                <w:szCs w:val="22"/>
                <w:lang w:val="en-US" w:eastAsia="zh-TW" w:bidi="en-GB"/>
              </w:rPr>
            </w:pPr>
            <w:r w:rsidRPr="002B1EC1">
              <w:rPr>
                <w:rFonts w:ascii="Simplified Arabic" w:hAnsi="Simplified Arabic"/>
                <w:sz w:val="22"/>
                <w:szCs w:val="22"/>
                <w:rtl/>
              </w:rPr>
              <w:t>وسيلة الانتصاف:</w:t>
            </w:r>
          </w:p>
        </w:tc>
        <w:tc>
          <w:tcPr>
            <w:tcW w:w="5385" w:type="dxa"/>
            <w:shd w:val="clear" w:color="auto" w:fill="auto"/>
          </w:tcPr>
          <w:p w14:paraId="73E570E0" w14:textId="77777777" w:rsidR="002D57DA" w:rsidRPr="002B1EC1" w:rsidRDefault="002D57DA" w:rsidP="002B1EC1">
            <w:pPr>
              <w:pStyle w:val="SingleTxtG"/>
              <w:bidi/>
              <w:spacing w:line="360" w:lineRule="exact"/>
              <w:ind w:left="57" w:right="57"/>
              <w:jc w:val="lowKashida"/>
              <w:textDirection w:val="tbRlV"/>
              <w:rPr>
                <w:rFonts w:ascii="Simplified Arabic" w:hAnsi="Simplified Arabic"/>
                <w:sz w:val="22"/>
                <w:szCs w:val="22"/>
                <w:lang w:val="ar-SA" w:eastAsia="zh-TW" w:bidi="en-GB"/>
              </w:rPr>
            </w:pPr>
            <w:r w:rsidRPr="002B1EC1">
              <w:rPr>
                <w:rFonts w:ascii="Simplified Arabic" w:hAnsi="Simplified Arabic"/>
                <w:sz w:val="22"/>
                <w:szCs w:val="22"/>
                <w:rtl/>
              </w:rPr>
              <w:t xml:space="preserve">ترى اللجنة أن الدولة الطرف ملزمة، وفقاً للمادة 3 من الاتفاقية، بإعادة النظر في طلب اللجوء الذي قدمه أصحاب الشكوى في ضوء التزاماتها بموجب الاتفاقية واستنتاجات اللجنة. والدولة الطرف مدعوة أيضاً إلى عدم ترحيل أصحاب الشكوى ما دام طلب لجوئهم قيد النظر. </w:t>
            </w:r>
          </w:p>
        </w:tc>
      </w:tr>
    </w:tbl>
    <w:p w14:paraId="55747304" w14:textId="0D4DF9AE" w:rsidR="002D57DA" w:rsidRPr="00B90DC4" w:rsidRDefault="002D57DA" w:rsidP="005B0B2E">
      <w:pPr>
        <w:pStyle w:val="SingleTxtGA"/>
        <w:spacing w:before="240"/>
        <w:rPr>
          <w:lang w:val="ar-SA" w:eastAsia="zh-TW" w:bidi="en-GB"/>
        </w:rPr>
      </w:pPr>
      <w:r w:rsidRPr="00B90DC4">
        <w:rPr>
          <w:rtl/>
        </w:rPr>
        <w:t>12-</w:t>
      </w:r>
      <w:r w:rsidRPr="00B90DC4">
        <w:rPr>
          <w:rtl/>
        </w:rPr>
        <w:tab/>
        <w:t xml:space="preserve">وفي 13 كانون الأول/ديسمبر 2021، ردت الدولة الطرف على ملاحظات اللجنة الواردة في </w:t>
      </w:r>
      <w:r w:rsidRPr="00733E9F">
        <w:rPr>
          <w:spacing w:val="-4"/>
          <w:rtl/>
        </w:rPr>
        <w:t>قرارها المؤرخ 21 تموز/يوليه 202</w:t>
      </w:r>
      <w:r w:rsidR="00D76F0D" w:rsidRPr="00D76F0D">
        <w:rPr>
          <w:spacing w:val="-4"/>
          <w:rtl/>
        </w:rPr>
        <w:t xml:space="preserve">1. </w:t>
      </w:r>
      <w:r w:rsidRPr="00733E9F">
        <w:rPr>
          <w:spacing w:val="-4"/>
          <w:rtl/>
        </w:rPr>
        <w:t>ودفعت بأن أصحاب الشكوى منحوا في 10 كانون الأول/ديسمبر 2021</w:t>
      </w:r>
      <w:r w:rsidRPr="00B90DC4">
        <w:rPr>
          <w:rtl/>
        </w:rPr>
        <w:t xml:space="preserve"> قبولا</w:t>
      </w:r>
      <w:r w:rsidR="00733E9F">
        <w:rPr>
          <w:rFonts w:hint="cs"/>
          <w:rtl/>
        </w:rPr>
        <w:t>ً</w:t>
      </w:r>
      <w:r w:rsidRPr="00B90DC4">
        <w:rPr>
          <w:rtl/>
        </w:rPr>
        <w:t xml:space="preserve"> مؤقتا</w:t>
      </w:r>
      <w:r w:rsidR="00733E9F">
        <w:rPr>
          <w:rFonts w:hint="cs"/>
          <w:rtl/>
        </w:rPr>
        <w:t>ً</w:t>
      </w:r>
      <w:r w:rsidRPr="00B90DC4">
        <w:rPr>
          <w:rtl/>
        </w:rPr>
        <w:t>، بحيث لم يعودوا عرضة لخطر الترحيل. وأوضحت الدولة الطرف أن الأجنبي الذي يسمح له بالدخول مؤقت</w:t>
      </w:r>
      <w:r w:rsidR="007B1DE0">
        <w:rPr>
          <w:rtl/>
        </w:rPr>
        <w:t xml:space="preserve">اً </w:t>
      </w:r>
      <w:r w:rsidRPr="00B90DC4">
        <w:rPr>
          <w:rtl/>
        </w:rPr>
        <w:t>إلى سويسرا يمكنه أن يقدم طلبا</w:t>
      </w:r>
      <w:r w:rsidR="00733E9F">
        <w:rPr>
          <w:rFonts w:hint="cs"/>
          <w:rtl/>
        </w:rPr>
        <w:t>ً</w:t>
      </w:r>
      <w:r w:rsidRPr="00B90DC4">
        <w:rPr>
          <w:rtl/>
        </w:rPr>
        <w:t xml:space="preserve"> للحصول على تصريح إقامة بعد خمس سنوات من الإقامة، وهو ما يمنح عادة، تبع</w:t>
      </w:r>
      <w:r w:rsidR="007B1DE0">
        <w:rPr>
          <w:rtl/>
        </w:rPr>
        <w:t xml:space="preserve">اً </w:t>
      </w:r>
      <w:r w:rsidRPr="00B90DC4">
        <w:rPr>
          <w:rtl/>
        </w:rPr>
        <w:t>لمستوى الاندماج والحالة الأسرية.</w:t>
      </w:r>
    </w:p>
    <w:p w14:paraId="6F6D34F8" w14:textId="7312006A" w:rsidR="002D57DA" w:rsidRPr="00894129" w:rsidRDefault="002D57DA" w:rsidP="002D57DA">
      <w:pPr>
        <w:pStyle w:val="SingleTxtGA"/>
        <w:rPr>
          <w:spacing w:val="-4"/>
          <w:lang w:val="ar-SA" w:eastAsia="zh-TW" w:bidi="en-GB"/>
        </w:rPr>
      </w:pPr>
      <w:r w:rsidRPr="00B90DC4">
        <w:rPr>
          <w:rtl/>
        </w:rPr>
        <w:t>13-</w:t>
      </w:r>
      <w:r w:rsidRPr="00B90DC4">
        <w:rPr>
          <w:rtl/>
        </w:rPr>
        <w:tab/>
        <w:t>وفي 8 شباط/فبراير 2022، قدم محامي أصحاب الشكوى رسالة أخرى زعم فيها أن حكومة سويسرا لم تمتثل لقرار اللجنة، لأنها منحتهم وضع الدخول المؤقت بدلا</w:t>
      </w:r>
      <w:r w:rsidR="001E03C3">
        <w:rPr>
          <w:rFonts w:hint="cs"/>
          <w:rtl/>
        </w:rPr>
        <w:t>ً</w:t>
      </w:r>
      <w:r w:rsidRPr="00B90DC4">
        <w:rPr>
          <w:rtl/>
        </w:rPr>
        <w:t xml:space="preserve"> من وضع اللاجئ. واستأنف أصحاب الشكوى قرار أمانة الدولة للهجرة المؤرخ 10 كانون الأول/ديسمبر 2021 أمام المحكمة الإدارية الاتحادية. ومع ذلك، وبما أن المحكمة رأت أن استئنافهم يبدو أنه ليس لديه فرصة للنجاح، فقد طلبت دفع </w:t>
      </w:r>
      <w:r w:rsidRPr="00894129">
        <w:rPr>
          <w:spacing w:val="-4"/>
          <w:rtl/>
        </w:rPr>
        <w:t>رسوم المحكمة</w:t>
      </w:r>
      <w:r w:rsidR="00D76F0D" w:rsidRPr="00894129">
        <w:rPr>
          <w:rStyle w:val="FootnoteReference"/>
          <w:rFonts w:ascii="Simplified Arabic" w:hAnsi="Simplified Arabic"/>
          <w:spacing w:val="-4"/>
          <w:rtl/>
        </w:rPr>
        <w:t>(</w:t>
      </w:r>
      <w:r w:rsidR="00D76F0D" w:rsidRPr="00894129">
        <w:rPr>
          <w:rStyle w:val="FootnoteReference"/>
          <w:rFonts w:ascii="Simplified Arabic" w:hAnsi="Simplified Arabic"/>
          <w:spacing w:val="-4"/>
          <w:rtl/>
        </w:rPr>
        <w:footnoteReference w:id="6"/>
      </w:r>
      <w:r w:rsidR="00D76F0D" w:rsidRPr="00894129">
        <w:rPr>
          <w:rStyle w:val="FootnoteReference"/>
          <w:rFonts w:ascii="Simplified Arabic" w:hAnsi="Simplified Arabic"/>
          <w:spacing w:val="-4"/>
          <w:rtl/>
        </w:rPr>
        <w:t>)</w:t>
      </w:r>
      <w:r w:rsidR="00D76F0D" w:rsidRPr="00894129">
        <w:rPr>
          <w:spacing w:val="-4"/>
          <w:rtl/>
        </w:rPr>
        <w:t xml:space="preserve">. </w:t>
      </w:r>
      <w:r w:rsidRPr="00894129">
        <w:rPr>
          <w:spacing w:val="-4"/>
          <w:rtl/>
        </w:rPr>
        <w:t>ولم يتمكن أصحاب الشكوى من دفع هذه الرسوم وبالتالي لم يتمكنوا من مواصلة الإجراءات.</w:t>
      </w:r>
    </w:p>
    <w:p w14:paraId="4B960A1A" w14:textId="025B6FE0" w:rsidR="002D57DA" w:rsidRPr="00B90DC4" w:rsidRDefault="002D57DA" w:rsidP="002D57DA">
      <w:pPr>
        <w:pStyle w:val="SingleTxtGA"/>
        <w:rPr>
          <w:lang w:val="ar-SA" w:eastAsia="zh-TW" w:bidi="en-GB"/>
        </w:rPr>
      </w:pPr>
      <w:r w:rsidRPr="00B90DC4">
        <w:rPr>
          <w:rtl/>
        </w:rPr>
        <w:t>14-</w:t>
      </w:r>
      <w:r w:rsidRPr="00B90DC4">
        <w:rPr>
          <w:rtl/>
        </w:rPr>
        <w:tab/>
        <w:t>وأظهرت تعليقات وملاحظات المتابعة التنفيذ الجزئي، لأن الدولة الطرف امتنعت عن ترحيل أصحاب الشكوى، رغم أنها لم تعد النظر فيما يبدو في طلب لجوئهم في حد ذاته في ضوء التزاماتها بموجب الاتفاقية. ولذلك، قررت اللجنة أن تلتمس مزيد</w:t>
      </w:r>
      <w:r w:rsidR="007B1DE0">
        <w:rPr>
          <w:rtl/>
        </w:rPr>
        <w:t xml:space="preserve">اً </w:t>
      </w:r>
      <w:r w:rsidRPr="00B90DC4">
        <w:rPr>
          <w:rtl/>
        </w:rPr>
        <w:t>من آراء الدولة الطرف بشأن آخر رسالة من أصحاب البلاغ، وأن تنظر في اتخاذ مزيد من الخطوات بعد تلقي هذه الملاحظات.</w:t>
      </w:r>
    </w:p>
    <w:p w14:paraId="560E5299" w14:textId="485C6F64" w:rsidR="002D57DA" w:rsidRPr="00975217" w:rsidRDefault="002D57DA" w:rsidP="00975217">
      <w:pPr>
        <w:pStyle w:val="H1GA"/>
        <w:rPr>
          <w:rFonts w:eastAsiaTheme="minorEastAsia"/>
          <w:lang w:val="en-US" w:eastAsia="zh-TW" w:bidi="en-GB"/>
        </w:rPr>
      </w:pPr>
      <w:r w:rsidRPr="00B90DC4">
        <w:rPr>
          <w:rtl/>
        </w:rPr>
        <w:tab/>
      </w:r>
      <w:r w:rsidRPr="00B90DC4">
        <w:rPr>
          <w:rtl/>
        </w:rPr>
        <w:tab/>
        <w:t>البلاغ رقم 817/2017</w:t>
      </w:r>
      <w:r w:rsidR="00D76F0D">
        <w:rPr>
          <w:rStyle w:val="FootnoteReference"/>
          <w:rFonts w:ascii="Simplified Arabic" w:eastAsiaTheme="minorEastAsia" w:hAnsi="Simplified Arabic"/>
          <w:b w:val="0"/>
          <w:sz w:val="22"/>
          <w:szCs w:val="22"/>
          <w:rtl/>
        </w:rPr>
        <w:t>(</w:t>
      </w:r>
      <w:r w:rsidR="00D76F0D" w:rsidRPr="00B90DC4">
        <w:rPr>
          <w:rStyle w:val="FootnoteReference"/>
          <w:rFonts w:ascii="Simplified Arabic" w:eastAsiaTheme="minorEastAsia" w:hAnsi="Simplified Arabic"/>
          <w:b w:val="0"/>
          <w:sz w:val="22"/>
          <w:szCs w:val="22"/>
          <w:rtl/>
        </w:rPr>
        <w:footnoteReference w:id="7"/>
      </w:r>
      <w:r w:rsidR="00846AB1">
        <w:rPr>
          <w:rStyle w:val="FootnoteReference"/>
          <w:rFonts w:ascii="Simplified Arabic" w:eastAsiaTheme="minorEastAsia" w:hAnsi="Simplified Arabic"/>
          <w:b w:val="0"/>
          <w:sz w:val="22"/>
          <w:szCs w:val="22"/>
          <w:rtl/>
        </w:rPr>
        <w:t>)</w:t>
      </w:r>
      <w:bookmarkStart w:id="3" w:name="_Toc496189156"/>
      <w:bookmarkEnd w:id="3"/>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2D57DA" w:rsidRPr="00975217" w14:paraId="197FC19F" w14:textId="77777777" w:rsidTr="00F64C9A">
        <w:trPr>
          <w:tblHeader/>
        </w:trPr>
        <w:tc>
          <w:tcPr>
            <w:tcW w:w="7370" w:type="dxa"/>
            <w:gridSpan w:val="2"/>
            <w:tcBorders>
              <w:top w:val="single" w:sz="4" w:space="0" w:color="auto"/>
              <w:bottom w:val="single" w:sz="12" w:space="0" w:color="auto"/>
            </w:tcBorders>
            <w:shd w:val="clear" w:color="auto" w:fill="auto"/>
            <w:vAlign w:val="bottom"/>
          </w:tcPr>
          <w:p w14:paraId="7E839889" w14:textId="69D8091F" w:rsidR="002D57DA" w:rsidRPr="00975217" w:rsidRDefault="002D57DA" w:rsidP="00D76F0D">
            <w:pPr>
              <w:pStyle w:val="SingleTxtG"/>
              <w:suppressAutoHyphens w:val="0"/>
              <w:bidi/>
              <w:spacing w:line="360" w:lineRule="exact"/>
              <w:ind w:left="57" w:right="57"/>
              <w:jc w:val="lowKashida"/>
              <w:textDirection w:val="tbRlV"/>
              <w:rPr>
                <w:rFonts w:ascii="Simplified Arabic" w:hAnsi="Simplified Arabic"/>
                <w:i/>
                <w:sz w:val="22"/>
                <w:szCs w:val="22"/>
                <w:lang w:val="ar-SA" w:eastAsia="zh-TW" w:bidi="en-GB"/>
              </w:rPr>
            </w:pPr>
            <w:r w:rsidRPr="00975217">
              <w:rPr>
                <w:rFonts w:ascii="Simplified Arabic" w:hAnsi="Simplified Arabic"/>
                <w:i/>
                <w:iCs/>
                <w:sz w:val="22"/>
                <w:szCs w:val="22"/>
                <w:rtl/>
              </w:rPr>
              <w:t>عراس ضد المغرب</w:t>
            </w:r>
            <w:r w:rsidRPr="00975217">
              <w:rPr>
                <w:rFonts w:ascii="Simplified Arabic" w:hAnsi="Simplified Arabic"/>
                <w:sz w:val="22"/>
                <w:szCs w:val="22"/>
                <w:rtl/>
              </w:rPr>
              <w:t xml:space="preserve"> (</w:t>
            </w:r>
            <w:hyperlink r:id="rId12" w:history="1">
              <w:r w:rsidRPr="00D76F0D">
                <w:rPr>
                  <w:rStyle w:val="Hyperlink"/>
                  <w:lang w:val="en-US"/>
                </w:rPr>
                <w:t>CAT/C/68/D/817/2017</w:t>
              </w:r>
              <w:r w:rsidRPr="00894129">
                <w:rPr>
                  <w:rtl/>
                  <w:lang w:val="en-US"/>
                </w:rPr>
                <w:t>)</w:t>
              </w:r>
            </w:hyperlink>
          </w:p>
        </w:tc>
      </w:tr>
      <w:tr w:rsidR="002D57DA" w:rsidRPr="00975217" w14:paraId="3DB415D8" w14:textId="77777777" w:rsidTr="00F64C9A">
        <w:trPr>
          <w:trHeight w:hRule="exact" w:val="113"/>
          <w:tblHeader/>
        </w:trPr>
        <w:tc>
          <w:tcPr>
            <w:tcW w:w="7370" w:type="dxa"/>
            <w:gridSpan w:val="2"/>
            <w:tcBorders>
              <w:top w:val="single" w:sz="12" w:space="0" w:color="auto"/>
            </w:tcBorders>
            <w:shd w:val="clear" w:color="auto" w:fill="auto"/>
          </w:tcPr>
          <w:p w14:paraId="5533C25C" w14:textId="77777777" w:rsidR="002D57DA" w:rsidRPr="00487285" w:rsidRDefault="002D57DA" w:rsidP="00975217">
            <w:pPr>
              <w:pStyle w:val="SingleTxtG"/>
              <w:suppressAutoHyphens w:val="0"/>
              <w:spacing w:line="360" w:lineRule="exact"/>
              <w:ind w:left="57" w:right="57"/>
              <w:jc w:val="lowKashida"/>
              <w:rPr>
                <w:rFonts w:ascii="Simplified Arabic" w:hAnsi="Simplified Arabic"/>
                <w:sz w:val="22"/>
                <w:szCs w:val="22"/>
                <w:lang w:val="en-US"/>
              </w:rPr>
            </w:pPr>
          </w:p>
        </w:tc>
      </w:tr>
      <w:tr w:rsidR="002D57DA" w:rsidRPr="00975217" w14:paraId="3D4421D6" w14:textId="77777777" w:rsidTr="00F64C9A">
        <w:tc>
          <w:tcPr>
            <w:tcW w:w="1985" w:type="dxa"/>
            <w:tcBorders>
              <w:bottom w:val="nil"/>
            </w:tcBorders>
            <w:shd w:val="clear" w:color="auto" w:fill="auto"/>
          </w:tcPr>
          <w:p w14:paraId="40B6D1D1" w14:textId="77777777" w:rsidR="002D57DA" w:rsidRPr="00975217" w:rsidRDefault="002D57DA" w:rsidP="00975217">
            <w:pPr>
              <w:pStyle w:val="SingleTxtG"/>
              <w:suppressAutoHyphens w:val="0"/>
              <w:bidi/>
              <w:spacing w:line="360" w:lineRule="exact"/>
              <w:ind w:left="57" w:right="57"/>
              <w:jc w:val="lowKashida"/>
              <w:textDirection w:val="tbRlV"/>
              <w:rPr>
                <w:rFonts w:ascii="Simplified Arabic" w:hAnsi="Simplified Arabic"/>
                <w:sz w:val="22"/>
                <w:szCs w:val="22"/>
                <w:lang w:val="ar-SA" w:eastAsia="zh-TW" w:bidi="en-GB"/>
              </w:rPr>
            </w:pPr>
            <w:r w:rsidRPr="00975217">
              <w:rPr>
                <w:rFonts w:ascii="Simplified Arabic" w:hAnsi="Simplified Arabic"/>
                <w:sz w:val="22"/>
                <w:szCs w:val="22"/>
                <w:rtl/>
              </w:rPr>
              <w:t>تاريخ اعتماد القرار:</w:t>
            </w:r>
          </w:p>
        </w:tc>
        <w:tc>
          <w:tcPr>
            <w:tcW w:w="5385" w:type="dxa"/>
            <w:tcBorders>
              <w:bottom w:val="nil"/>
            </w:tcBorders>
            <w:shd w:val="clear" w:color="auto" w:fill="auto"/>
          </w:tcPr>
          <w:p w14:paraId="409C0A4E" w14:textId="77777777" w:rsidR="002D57DA" w:rsidRPr="00975217" w:rsidRDefault="002D57DA" w:rsidP="00975217">
            <w:pPr>
              <w:pStyle w:val="SingleTxtG"/>
              <w:suppressAutoHyphens w:val="0"/>
              <w:bidi/>
              <w:spacing w:line="360" w:lineRule="exact"/>
              <w:ind w:left="57" w:right="57"/>
              <w:jc w:val="lowKashida"/>
              <w:textDirection w:val="tbRlV"/>
              <w:rPr>
                <w:rFonts w:ascii="Simplified Arabic" w:hAnsi="Simplified Arabic"/>
                <w:sz w:val="22"/>
                <w:szCs w:val="22"/>
                <w:lang w:val="ar-SA" w:eastAsia="zh-TW" w:bidi="en-GB"/>
              </w:rPr>
            </w:pPr>
            <w:r w:rsidRPr="00975217">
              <w:rPr>
                <w:rFonts w:ascii="Simplified Arabic" w:hAnsi="Simplified Arabic"/>
                <w:sz w:val="22"/>
                <w:szCs w:val="22"/>
                <w:rtl/>
              </w:rPr>
              <w:t>17 آذار/مارس 2017</w:t>
            </w:r>
          </w:p>
        </w:tc>
      </w:tr>
      <w:tr w:rsidR="002D57DA" w:rsidRPr="00975217" w14:paraId="08F90493" w14:textId="77777777" w:rsidTr="00F64C9A">
        <w:tc>
          <w:tcPr>
            <w:tcW w:w="1985" w:type="dxa"/>
            <w:tcBorders>
              <w:top w:val="nil"/>
              <w:bottom w:val="nil"/>
            </w:tcBorders>
            <w:shd w:val="clear" w:color="auto" w:fill="auto"/>
          </w:tcPr>
          <w:p w14:paraId="79D2DDDD" w14:textId="77777777" w:rsidR="002D57DA" w:rsidRPr="00975217" w:rsidRDefault="002D57DA" w:rsidP="00975217">
            <w:pPr>
              <w:pStyle w:val="SingleTxtG"/>
              <w:suppressAutoHyphens w:val="0"/>
              <w:bidi/>
              <w:spacing w:line="360" w:lineRule="exact"/>
              <w:ind w:left="57" w:right="57"/>
              <w:jc w:val="lowKashida"/>
              <w:textDirection w:val="tbRlV"/>
              <w:rPr>
                <w:rFonts w:ascii="Simplified Arabic" w:hAnsi="Simplified Arabic"/>
                <w:sz w:val="22"/>
                <w:szCs w:val="22"/>
                <w:lang w:val="ar-SA" w:eastAsia="zh-TW" w:bidi="en-GB"/>
              </w:rPr>
            </w:pPr>
            <w:r w:rsidRPr="00975217">
              <w:rPr>
                <w:rFonts w:ascii="Simplified Arabic" w:hAnsi="Simplified Arabic"/>
                <w:sz w:val="22"/>
                <w:szCs w:val="22"/>
                <w:rtl/>
              </w:rPr>
              <w:t>المادة المنتهكة:</w:t>
            </w:r>
          </w:p>
        </w:tc>
        <w:tc>
          <w:tcPr>
            <w:tcW w:w="5385" w:type="dxa"/>
            <w:tcBorders>
              <w:top w:val="nil"/>
              <w:bottom w:val="nil"/>
            </w:tcBorders>
            <w:shd w:val="clear" w:color="auto" w:fill="auto"/>
          </w:tcPr>
          <w:p w14:paraId="2996604C" w14:textId="1A2AEE80" w:rsidR="002D57DA" w:rsidRPr="00975217" w:rsidRDefault="002D57DA" w:rsidP="00975217">
            <w:pPr>
              <w:pStyle w:val="SingleTxtG"/>
              <w:suppressAutoHyphens w:val="0"/>
              <w:bidi/>
              <w:spacing w:line="360" w:lineRule="exact"/>
              <w:ind w:left="57" w:right="57"/>
              <w:jc w:val="lowKashida"/>
              <w:textDirection w:val="tbRlV"/>
              <w:rPr>
                <w:rFonts w:ascii="Simplified Arabic" w:hAnsi="Simplified Arabic"/>
                <w:sz w:val="22"/>
                <w:szCs w:val="22"/>
                <w:lang w:val="ar-SA" w:eastAsia="zh-TW" w:bidi="en-GB"/>
              </w:rPr>
            </w:pPr>
            <w:r w:rsidRPr="00975217">
              <w:rPr>
                <w:rFonts w:ascii="Simplified Arabic" w:hAnsi="Simplified Arabic"/>
                <w:sz w:val="22"/>
                <w:szCs w:val="22"/>
                <w:rtl/>
              </w:rPr>
              <w:t>المادتان 16 و2(1</w:t>
            </w:r>
            <w:r w:rsidR="00D76F0D" w:rsidRPr="00D76F0D">
              <w:rPr>
                <w:rFonts w:ascii="Simplified Arabic" w:hAnsi="Simplified Arabic"/>
                <w:sz w:val="22"/>
                <w:szCs w:val="22"/>
                <w:rtl/>
              </w:rPr>
              <w:t xml:space="preserve">)، </w:t>
            </w:r>
            <w:r w:rsidRPr="00975217">
              <w:rPr>
                <w:rFonts w:ascii="Simplified Arabic" w:hAnsi="Simplified Arabic"/>
                <w:sz w:val="22"/>
                <w:szCs w:val="22"/>
                <w:rtl/>
              </w:rPr>
              <w:t>مقروءتان بالاقتران مع المادتين 1 و11، والمادة 14</w:t>
            </w:r>
          </w:p>
        </w:tc>
      </w:tr>
      <w:tr w:rsidR="002D57DA" w:rsidRPr="00975217" w14:paraId="04DDA388" w14:textId="77777777" w:rsidTr="00F64C9A">
        <w:tc>
          <w:tcPr>
            <w:tcW w:w="1985" w:type="dxa"/>
            <w:tcBorders>
              <w:top w:val="nil"/>
            </w:tcBorders>
            <w:shd w:val="clear" w:color="auto" w:fill="auto"/>
          </w:tcPr>
          <w:p w14:paraId="54314162" w14:textId="77777777" w:rsidR="002D57DA" w:rsidRPr="00975217" w:rsidRDefault="002D57DA" w:rsidP="00975217">
            <w:pPr>
              <w:pStyle w:val="SingleTxtG"/>
              <w:keepNext/>
              <w:keepLines/>
              <w:suppressAutoHyphens w:val="0"/>
              <w:bidi/>
              <w:spacing w:line="360" w:lineRule="exact"/>
              <w:ind w:left="57" w:right="57"/>
              <w:jc w:val="lowKashida"/>
              <w:textDirection w:val="tbRlV"/>
              <w:rPr>
                <w:rFonts w:ascii="Simplified Arabic" w:hAnsi="Simplified Arabic"/>
                <w:sz w:val="22"/>
                <w:szCs w:val="22"/>
                <w:lang w:val="en-US" w:eastAsia="zh-TW" w:bidi="en-GB"/>
              </w:rPr>
            </w:pPr>
            <w:r w:rsidRPr="00975217">
              <w:rPr>
                <w:rFonts w:ascii="Simplified Arabic" w:hAnsi="Simplified Arabic"/>
                <w:sz w:val="22"/>
                <w:szCs w:val="22"/>
                <w:rtl/>
              </w:rPr>
              <w:lastRenderedPageBreak/>
              <w:t>وسيلة الانتصاف:</w:t>
            </w:r>
          </w:p>
        </w:tc>
        <w:tc>
          <w:tcPr>
            <w:tcW w:w="5385" w:type="dxa"/>
            <w:tcBorders>
              <w:top w:val="nil"/>
            </w:tcBorders>
            <w:shd w:val="clear" w:color="auto" w:fill="auto"/>
          </w:tcPr>
          <w:p w14:paraId="00A63F79" w14:textId="77777777" w:rsidR="002D57DA" w:rsidRPr="00975217" w:rsidRDefault="002D57DA" w:rsidP="00975217">
            <w:pPr>
              <w:pStyle w:val="SingleTxtG"/>
              <w:keepNext/>
              <w:keepLines/>
              <w:suppressAutoHyphens w:val="0"/>
              <w:bidi/>
              <w:spacing w:line="360" w:lineRule="exact"/>
              <w:ind w:left="57" w:right="57"/>
              <w:jc w:val="lowKashida"/>
              <w:textDirection w:val="tbRlV"/>
              <w:rPr>
                <w:rFonts w:ascii="Simplified Arabic" w:hAnsi="Simplified Arabic"/>
                <w:sz w:val="22"/>
                <w:szCs w:val="22"/>
                <w:lang w:val="ar-SA" w:eastAsia="zh-TW" w:bidi="en-GB"/>
              </w:rPr>
            </w:pPr>
            <w:r w:rsidRPr="00975217">
              <w:rPr>
                <w:rFonts w:ascii="Simplified Arabic" w:hAnsi="Simplified Arabic"/>
                <w:sz w:val="22"/>
                <w:szCs w:val="22"/>
                <w:rtl/>
              </w:rPr>
              <w:t xml:space="preserve">دعت اللجنة الدولة الطرف إلى إبلاغها، في غضون 90 يوماً من تاريخ إحالة هذا القرار إليها، بالخطوات التي اتخذتها استجابةً للملاحظات. ويجب أن تشمل هذه الخطوات إعادة صاحب الشكوى إلى النظام الجماعي في سجن </w:t>
            </w:r>
            <w:r w:rsidRPr="00894129">
              <w:rPr>
                <w:rFonts w:ascii="Simplified Arabic" w:hAnsi="Simplified Arabic"/>
                <w:spacing w:val="-4"/>
                <w:sz w:val="22"/>
                <w:szCs w:val="22"/>
                <w:rtl/>
              </w:rPr>
              <w:t>أقرب إلى أسرته، وفتح تحقيق نزيه وشامل في ادعاءاته، وتعويضه تعويضاً كاملاً وكافياً وعادلاً عن جميع انتهاكات الاتفاقية التي انتهت إليها وعواقبها عليه.</w:t>
            </w:r>
          </w:p>
        </w:tc>
      </w:tr>
    </w:tbl>
    <w:p w14:paraId="45D75014" w14:textId="2552C6B5" w:rsidR="002D57DA" w:rsidRPr="00B90DC4" w:rsidRDefault="002D57DA" w:rsidP="005B0B2E">
      <w:pPr>
        <w:pStyle w:val="SingleTxtGA"/>
        <w:spacing w:before="240"/>
        <w:rPr>
          <w:lang w:val="ar-SA" w:eastAsia="zh-TW" w:bidi="en-GB"/>
        </w:rPr>
      </w:pPr>
      <w:r w:rsidRPr="00B90DC4">
        <w:rPr>
          <w:rtl/>
        </w:rPr>
        <w:t>15-</w:t>
      </w:r>
      <w:r w:rsidRPr="00B90DC4">
        <w:rPr>
          <w:rtl/>
        </w:rPr>
        <w:tab/>
        <w:t>في 14 تموز/يوليه 2021، ردت الدولة الطرف على مذكرة شفوية من اللجنة مؤرخة 20 أيار/مايو 202</w:t>
      </w:r>
      <w:r w:rsidR="00D76F0D" w:rsidRPr="00D76F0D">
        <w:rPr>
          <w:rtl/>
        </w:rPr>
        <w:t xml:space="preserve">1. </w:t>
      </w:r>
      <w:r w:rsidRPr="00B90DC4">
        <w:rPr>
          <w:rtl/>
        </w:rPr>
        <w:t>وأكدت الدولة الطرف من جديد أن ظروف احتجاز صاحب الشكوى قبل الإفراج عنه في 2 نيسان/أبريل 2020 كانت وفقا</w:t>
      </w:r>
      <w:r w:rsidR="006448F2">
        <w:rPr>
          <w:rFonts w:hint="cs"/>
          <w:rtl/>
        </w:rPr>
        <w:t>ً</w:t>
      </w:r>
      <w:r w:rsidRPr="00B90DC4">
        <w:rPr>
          <w:rtl/>
        </w:rPr>
        <w:t xml:space="preserve"> للقانون رقم </w:t>
      </w:r>
      <w:r w:rsidRPr="00B90DC4">
        <w:t>98/23</w:t>
      </w:r>
      <w:r w:rsidRPr="00B90DC4">
        <w:rPr>
          <w:rtl/>
        </w:rPr>
        <w:t xml:space="preserve"> بشأن تنظيم وسير عمل مرافق السجون. وأنكرت أن يكون صاحب البلاغ قد </w:t>
      </w:r>
      <w:r>
        <w:rPr>
          <w:rtl/>
        </w:rPr>
        <w:t>وضع</w:t>
      </w:r>
      <w:r w:rsidRPr="00B90DC4">
        <w:rPr>
          <w:rtl/>
        </w:rPr>
        <w:t xml:space="preserve"> في الحبس الانفرادي. وفيما يتعلق بالتقرير الطبي المحال إلى الدولة الطرف مشفوعا</w:t>
      </w:r>
      <w:r w:rsidR="00E84444">
        <w:rPr>
          <w:rFonts w:hint="cs"/>
          <w:rtl/>
        </w:rPr>
        <w:t>ً</w:t>
      </w:r>
      <w:r w:rsidRPr="00B90DC4">
        <w:rPr>
          <w:rtl/>
        </w:rPr>
        <w:t xml:space="preserve"> بالمذكرة الشفوية، ادعت الدولة الطرف أن تقريرا</w:t>
      </w:r>
      <w:r w:rsidR="000B6120">
        <w:rPr>
          <w:rFonts w:hint="cs"/>
          <w:rtl/>
        </w:rPr>
        <w:t>ً</w:t>
      </w:r>
      <w:r w:rsidRPr="00B90DC4">
        <w:rPr>
          <w:rtl/>
        </w:rPr>
        <w:t xml:space="preserve"> طبيا</w:t>
      </w:r>
      <w:r w:rsidR="000B6120">
        <w:rPr>
          <w:rFonts w:hint="cs"/>
          <w:rtl/>
        </w:rPr>
        <w:t>ً</w:t>
      </w:r>
      <w:r w:rsidRPr="00B90DC4">
        <w:rPr>
          <w:rtl/>
        </w:rPr>
        <w:t xml:space="preserve"> عاما</w:t>
      </w:r>
      <w:r w:rsidR="000B6120">
        <w:rPr>
          <w:rFonts w:hint="cs"/>
          <w:rtl/>
        </w:rPr>
        <w:t>ً</w:t>
      </w:r>
      <w:r w:rsidRPr="00B90DC4">
        <w:rPr>
          <w:rtl/>
        </w:rPr>
        <w:t xml:space="preserve"> مؤرخا</w:t>
      </w:r>
      <w:r w:rsidR="000B6120">
        <w:rPr>
          <w:rFonts w:hint="cs"/>
          <w:rtl/>
        </w:rPr>
        <w:t>ً</w:t>
      </w:r>
      <w:r w:rsidRPr="00B90DC4">
        <w:rPr>
          <w:rtl/>
        </w:rPr>
        <w:t xml:space="preserve"> في عام 2021 لا</w:t>
      </w:r>
      <w:r w:rsidR="00B13F1A">
        <w:rPr>
          <w:rFonts w:hint="cs"/>
          <w:rtl/>
        </w:rPr>
        <w:t> </w:t>
      </w:r>
      <w:r w:rsidRPr="00B90DC4">
        <w:rPr>
          <w:rtl/>
        </w:rPr>
        <w:t>يمكن أن يثبت بوضوح وقوع التعذيب الذي يدعى أنه تعرض له قبل سنوات عديدة.</w:t>
      </w:r>
    </w:p>
    <w:p w14:paraId="3A93977E" w14:textId="02E2EE1E" w:rsidR="00D76F0D" w:rsidRPr="00D76F0D" w:rsidRDefault="002D57DA" w:rsidP="000B6120">
      <w:pPr>
        <w:pStyle w:val="SingleTxtGA"/>
        <w:rPr>
          <w:lang w:val="ar-SA" w:eastAsia="zh-TW" w:bidi="en-GB"/>
        </w:rPr>
      </w:pPr>
      <w:r w:rsidRPr="00B90DC4">
        <w:rPr>
          <w:rtl/>
        </w:rPr>
        <w:t>16-</w:t>
      </w:r>
      <w:r w:rsidRPr="00B90DC4">
        <w:rPr>
          <w:rtl/>
        </w:rPr>
        <w:tab/>
        <w:t>وكررت الدولة الطرف ملاحظاتها المؤرخة 23 تشرين الثاني/نوفمبر 2015، التي أكدت فيها أن مجموعة من خمسة أطباء وأساتذة من تخصصات مختلفة قد أجروا فحصا</w:t>
      </w:r>
      <w:r w:rsidR="006448F2">
        <w:rPr>
          <w:rFonts w:hint="cs"/>
          <w:rtl/>
        </w:rPr>
        <w:t>ً</w:t>
      </w:r>
      <w:r w:rsidRPr="00B90DC4">
        <w:rPr>
          <w:rtl/>
        </w:rPr>
        <w:t xml:space="preserve"> طبيا</w:t>
      </w:r>
      <w:r w:rsidR="006448F2">
        <w:rPr>
          <w:rFonts w:hint="cs"/>
          <w:rtl/>
        </w:rPr>
        <w:t>ً</w:t>
      </w:r>
      <w:r w:rsidRPr="00B90DC4">
        <w:rPr>
          <w:rtl/>
        </w:rPr>
        <w:t xml:space="preserve"> قانونيا</w:t>
      </w:r>
      <w:r w:rsidR="006448F2">
        <w:rPr>
          <w:rFonts w:hint="cs"/>
          <w:rtl/>
        </w:rPr>
        <w:t>ً</w:t>
      </w:r>
      <w:r w:rsidRPr="00B90DC4">
        <w:rPr>
          <w:rtl/>
        </w:rPr>
        <w:t xml:space="preserve"> في تشرين الثاني/نوفمبر 2014 وخلصت إلى أن أعراض صاحب الشكوى لا تقتصر تحديد</w:t>
      </w:r>
      <w:r w:rsidR="007B1DE0">
        <w:rPr>
          <w:rtl/>
        </w:rPr>
        <w:t xml:space="preserve">اً </w:t>
      </w:r>
      <w:r w:rsidRPr="00B90DC4">
        <w:rPr>
          <w:rtl/>
        </w:rPr>
        <w:t>على أساليب التعذيب التي وصفها صاحب الشكوى. وأخيرا</w:t>
      </w:r>
      <w:r w:rsidR="006448F2">
        <w:rPr>
          <w:rFonts w:hint="cs"/>
          <w:rtl/>
        </w:rPr>
        <w:t>ً</w:t>
      </w:r>
      <w:r w:rsidRPr="00B90DC4">
        <w:rPr>
          <w:rtl/>
        </w:rPr>
        <w:t>، رفضت الدولة الطرف ادعاءات صاحب الشكوى بأن السلطات أخرت رحلته إلى بلجيكا دون مبرر بعد الإفراج عنه، مشيرة إلى أن القيود المفروضة على السفر كانت ضرورية في سياق جائحة مرض فيروس كورونا (كوفيد-1</w:t>
      </w:r>
      <w:r w:rsidR="00D76F0D" w:rsidRPr="00D76F0D">
        <w:rPr>
          <w:rtl/>
        </w:rPr>
        <w:t>9).</w:t>
      </w:r>
    </w:p>
    <w:p w14:paraId="47A33360" w14:textId="2C458C86" w:rsidR="002D57DA" w:rsidRPr="00B90DC4" w:rsidRDefault="002D57DA" w:rsidP="000B6120">
      <w:pPr>
        <w:pStyle w:val="SingleTxtGA"/>
        <w:rPr>
          <w:lang w:val="ar-SA" w:eastAsia="zh-TW" w:bidi="en-GB"/>
        </w:rPr>
      </w:pPr>
      <w:r w:rsidRPr="00B90DC4">
        <w:rPr>
          <w:rtl/>
        </w:rPr>
        <w:t>17-</w:t>
      </w:r>
      <w:r w:rsidRPr="00B90DC4">
        <w:rPr>
          <w:rtl/>
        </w:rPr>
        <w:tab/>
        <w:t>وفي رسالة مؤرخة 26 أيار/مايو 2022، أشار محامي صاحب الشكوى إلى أن الدولة الطرف واصلت إنكار الاستنتاج الذي توصلت إليه اللجنة بالفعل بأن ظروف احتجاز علي عراس قد بلغت حد المعاملة اللاإنسانية والمهينة. واحتج المحامي بأن تصنيفه كسجين من الفئة ’’ألف‘‘ مخالف للاتفاقية وأنه ينبغي للدولة الطرف أن تعدل تشريعاتها بحيث يمكن للسجناء أن يقدموا فعليا</w:t>
      </w:r>
      <w:r w:rsidR="006448F2">
        <w:rPr>
          <w:rFonts w:hint="cs"/>
          <w:rtl/>
        </w:rPr>
        <w:t>ً</w:t>
      </w:r>
      <w:r w:rsidRPr="00B90DC4">
        <w:rPr>
          <w:rtl/>
        </w:rPr>
        <w:t xml:space="preserve"> شكاوى ضد احتجازهم في الحبس الانفرادي بحكم الواقع.</w:t>
      </w:r>
    </w:p>
    <w:p w14:paraId="5AF6D000" w14:textId="5A81375E" w:rsidR="002D57DA" w:rsidRPr="00B90DC4" w:rsidRDefault="002D57DA" w:rsidP="000B6120">
      <w:pPr>
        <w:pStyle w:val="SingleTxtGA"/>
        <w:rPr>
          <w:lang w:val="ar-SA" w:eastAsia="zh-TW" w:bidi="en-GB"/>
        </w:rPr>
      </w:pPr>
      <w:r w:rsidRPr="00B90DC4">
        <w:rPr>
          <w:rtl/>
        </w:rPr>
        <w:t>18-</w:t>
      </w:r>
      <w:r w:rsidRPr="00B90DC4">
        <w:rPr>
          <w:rtl/>
        </w:rPr>
        <w:tab/>
        <w:t>واعترض المحامي أيض</w:t>
      </w:r>
      <w:r w:rsidR="007B1DE0">
        <w:rPr>
          <w:rtl/>
        </w:rPr>
        <w:t xml:space="preserve">اً </w:t>
      </w:r>
      <w:r w:rsidRPr="00B90DC4">
        <w:rPr>
          <w:rtl/>
        </w:rPr>
        <w:t>على ادعاء الدولة الطرف بأن السيد عراس قد حصل على الرعاية الطبية الكافية أثناء احتجازه. وفي هذا الصدد، ذكر المحامي أنه بمجرد وصول السيد عراس إلى بلجيكا، كان عليه أن يخلع ثمانية أسنان ويستبدلها باثنين من الأطراف الاصطناعية للأسنان، وأن توصف له نظارة لعلاج مشاكل النظر، وأن يخضع لعلاج طبيعي. وأخير</w:t>
      </w:r>
      <w:r w:rsidR="00B13F1A" w:rsidRPr="00B90DC4">
        <w:rPr>
          <w:rtl/>
        </w:rPr>
        <w:t>ا</w:t>
      </w:r>
      <w:r w:rsidR="00B13F1A">
        <w:rPr>
          <w:rtl/>
        </w:rPr>
        <w:t>ً</w:t>
      </w:r>
      <w:r w:rsidR="00B13F1A" w:rsidRPr="00B90DC4">
        <w:rPr>
          <w:rtl/>
        </w:rPr>
        <w:t>،</w:t>
      </w:r>
      <w:r w:rsidRPr="00B90DC4">
        <w:rPr>
          <w:rtl/>
        </w:rPr>
        <w:t xml:space="preserve"> أشار المحامي إلى تقرير الطب الشرعي الصادر عن فريق خبراء الطب الشرعي المستقل المؤرخ 26 نيسان/أبريل 2022 (انظر الفقرات 3-4 أعلاه) دعما</w:t>
      </w:r>
      <w:r w:rsidR="00E84444">
        <w:rPr>
          <w:rFonts w:hint="cs"/>
          <w:rtl/>
        </w:rPr>
        <w:t>ً</w:t>
      </w:r>
      <w:r w:rsidRPr="00B90DC4">
        <w:rPr>
          <w:rtl/>
        </w:rPr>
        <w:t xml:space="preserve"> للادعاء بأن الدولة الطرف مسؤولة عن جبر الضرر للسيد عراس، بما في ذلك التعويض.</w:t>
      </w:r>
    </w:p>
    <w:p w14:paraId="49967FF1" w14:textId="2C06BCAC" w:rsidR="002D57DA" w:rsidRPr="00B90DC4" w:rsidRDefault="002D57DA" w:rsidP="000B6120">
      <w:pPr>
        <w:pStyle w:val="SingleTxtGA"/>
        <w:rPr>
          <w:lang w:val="ar-SA" w:eastAsia="zh-TW" w:bidi="en-GB"/>
        </w:rPr>
      </w:pPr>
      <w:r w:rsidRPr="00B90DC4">
        <w:rPr>
          <w:rtl/>
        </w:rPr>
        <w:t>19-</w:t>
      </w:r>
      <w:r w:rsidRPr="00B90DC4">
        <w:rPr>
          <w:rtl/>
        </w:rPr>
        <w:tab/>
        <w:t>وأظهرت الملاحظات والتعليقات المقدمة في إطار المتابعة قصوراً في تنفيذ قرار اللجنة. وقررت اللجنة الإبقاء على حوار المتابعة مستمرا</w:t>
      </w:r>
      <w:r w:rsidR="00894129">
        <w:rPr>
          <w:rFonts w:hint="cs"/>
          <w:rtl/>
        </w:rPr>
        <w:t>ً</w:t>
      </w:r>
      <w:r w:rsidRPr="00B90DC4">
        <w:rPr>
          <w:rtl/>
        </w:rPr>
        <w:t xml:space="preserve">، إلى جانب الحوار </w:t>
      </w:r>
      <w:r>
        <w:rPr>
          <w:rtl/>
        </w:rPr>
        <w:t>المشار إليه</w:t>
      </w:r>
      <w:r w:rsidRPr="00B90DC4">
        <w:rPr>
          <w:rtl/>
        </w:rPr>
        <w:t xml:space="preserve"> في البلاغ رقم 477/2011 (انظر الفقرات 2-7 أعلاه</w:t>
      </w:r>
      <w:r w:rsidR="00D76F0D" w:rsidRPr="00D76F0D">
        <w:rPr>
          <w:rtl/>
        </w:rPr>
        <w:t xml:space="preserve">). </w:t>
      </w:r>
    </w:p>
    <w:p w14:paraId="723AE54B" w14:textId="5D8F8DD5" w:rsidR="00761849" w:rsidRPr="002D57DA" w:rsidRDefault="002D57DA" w:rsidP="002D57DA">
      <w:pPr>
        <w:spacing w:before="240"/>
        <w:jc w:val="center"/>
        <w:rPr>
          <w:u w:val="single"/>
          <w:rtl/>
        </w:rPr>
      </w:pPr>
      <w:r w:rsidRPr="0049746D">
        <w:rPr>
          <w:u w:val="single"/>
        </w:rPr>
        <w:tab/>
      </w:r>
      <w:r w:rsidRPr="0049746D">
        <w:rPr>
          <w:u w:val="single"/>
        </w:rPr>
        <w:tab/>
      </w:r>
      <w:r w:rsidRPr="0049746D">
        <w:rPr>
          <w:u w:val="single"/>
        </w:rPr>
        <w:tab/>
      </w:r>
    </w:p>
    <w:sectPr w:rsidR="00761849" w:rsidRPr="002D57DA" w:rsidSect="00F90122">
      <w:headerReference w:type="even" r:id="rId13"/>
      <w:headerReference w:type="default" r:id="rId14"/>
      <w:footerReference w:type="even" r:id="rId15"/>
      <w:footerReference w:type="default" r:id="rId16"/>
      <w:footerReference w:type="first" r:id="rId17"/>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73FD4" w14:textId="77777777" w:rsidR="00983914" w:rsidRPr="002901D9" w:rsidRDefault="00983914" w:rsidP="00874514">
      <w:pPr>
        <w:spacing w:after="60" w:line="240" w:lineRule="auto"/>
        <w:ind w:left="57"/>
        <w:rPr>
          <w:i/>
          <w:iCs/>
        </w:rPr>
      </w:pPr>
      <w:r>
        <w:rPr>
          <w:rFonts w:hint="cs"/>
          <w:i/>
          <w:iCs/>
          <w:rtl/>
        </w:rPr>
        <w:t>الحواشي</w:t>
      </w:r>
    </w:p>
  </w:endnote>
  <w:endnote w:type="continuationSeparator" w:id="0">
    <w:p w14:paraId="6CCD3EFE" w14:textId="77777777" w:rsidR="00983914" w:rsidRDefault="0098391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868C6" w14:textId="63F86AFA" w:rsidR="00CD45CD" w:rsidRPr="00CD45CD" w:rsidRDefault="00CD45CD" w:rsidP="00CD45CD">
    <w:pPr>
      <w:pStyle w:val="Footer"/>
      <w:tabs>
        <w:tab w:val="right" w:pos="9638"/>
      </w:tabs>
      <w:rPr>
        <w:b/>
        <w:sz w:val="18"/>
        <w:lang w:val="en-US"/>
      </w:rPr>
    </w:pPr>
    <w:r>
      <w:rPr>
        <w:lang w:val="en-US"/>
      </w:rPr>
      <w:t>GE.22-27656</w:t>
    </w:r>
    <w:r>
      <w:rPr>
        <w:lang w:val="en-US"/>
      </w:rPr>
      <w:tab/>
    </w:r>
    <w:r w:rsidRPr="00CD45CD">
      <w:rPr>
        <w:b/>
        <w:sz w:val="18"/>
        <w:lang w:val="en-US"/>
      </w:rPr>
      <w:fldChar w:fldCharType="begin"/>
    </w:r>
    <w:r w:rsidRPr="00CD45CD">
      <w:rPr>
        <w:b/>
        <w:sz w:val="18"/>
        <w:lang w:val="en-US"/>
      </w:rPr>
      <w:instrText xml:space="preserve"> PAGE  \* MERGEFORMAT </w:instrText>
    </w:r>
    <w:r w:rsidRPr="00CD45CD">
      <w:rPr>
        <w:b/>
        <w:sz w:val="18"/>
        <w:lang w:val="en-US"/>
      </w:rPr>
      <w:fldChar w:fldCharType="separate"/>
    </w:r>
    <w:r w:rsidRPr="00CD45CD">
      <w:rPr>
        <w:b/>
        <w:noProof/>
        <w:sz w:val="18"/>
        <w:lang w:val="en-US"/>
      </w:rPr>
      <w:t>2</w:t>
    </w:r>
    <w:r w:rsidRPr="00CD45C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86123" w14:textId="3C43CE83" w:rsidR="006959B0" w:rsidRPr="00CD45CD" w:rsidRDefault="00CD45CD" w:rsidP="00CD45C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GE.22-27656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8FF7C" w14:textId="4536C53C" w:rsidR="00261289" w:rsidRPr="00CD45CD" w:rsidRDefault="00CD45CD" w:rsidP="00CD45CD">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03A76F03" wp14:editId="60AE358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22-27656 (A)</w:t>
    </w:r>
    <w:r>
      <w:rPr>
        <w:noProof/>
        <w:sz w:val="20"/>
        <w:lang w:val="en-US"/>
      </w:rPr>
      <w:drawing>
        <wp:anchor distT="0" distB="0" distL="114300" distR="114300" simplePos="0" relativeHeight="251659264" behindDoc="0" locked="0" layoutInCell="1" allowOverlap="1" wp14:anchorId="7893E2E5" wp14:editId="41CAE35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05486" w14:textId="77777777" w:rsidR="00983914" w:rsidRPr="004956DC" w:rsidRDefault="00983914" w:rsidP="000F71D2">
      <w:pPr>
        <w:pStyle w:val="Footer"/>
        <w:bidi/>
        <w:spacing w:after="80" w:line="200" w:lineRule="exact"/>
        <w:ind w:left="680"/>
      </w:pPr>
      <w:r>
        <w:rPr>
          <w:rtl/>
        </w:rPr>
        <w:t>__________</w:t>
      </w:r>
    </w:p>
  </w:footnote>
  <w:footnote w:type="continuationSeparator" w:id="0">
    <w:p w14:paraId="6EA53EAE" w14:textId="77777777" w:rsidR="00983914" w:rsidRDefault="00983914" w:rsidP="00656392">
      <w:pPr>
        <w:spacing w:line="240" w:lineRule="auto"/>
      </w:pPr>
      <w:r>
        <w:continuationSeparator/>
      </w:r>
    </w:p>
  </w:footnote>
  <w:footnote w:id="1">
    <w:p w14:paraId="7A471A4E" w14:textId="49676DC4" w:rsidR="00487285" w:rsidRPr="00487285" w:rsidRDefault="00487285" w:rsidP="00487285">
      <w:pPr>
        <w:pStyle w:val="FootnoteText1"/>
        <w:rPr>
          <w:rFonts w:hint="cs"/>
          <w:rtl/>
        </w:rPr>
      </w:pPr>
      <w:r>
        <w:rPr>
          <w:rtl/>
        </w:rPr>
        <w:t>*</w:t>
      </w:r>
      <w:r>
        <w:rPr>
          <w:rtl/>
        </w:rPr>
        <w:tab/>
      </w:r>
      <w:r w:rsidRPr="00E9226D">
        <w:rPr>
          <w:rtl/>
        </w:rPr>
        <w:t xml:space="preserve">اعتمدته اللجنة في دورتها الرابعة والسبعين </w:t>
      </w:r>
      <w:r w:rsidRPr="00E9226D">
        <w:rPr>
          <w:rFonts w:ascii="Simplified Arabic"/>
          <w:rtl/>
        </w:rPr>
        <w:t>(29-12</w:t>
      </w:r>
      <w:r w:rsidRPr="00E9226D">
        <w:rPr>
          <w:rtl/>
        </w:rPr>
        <w:t xml:space="preserve"> تموز/يوليه </w:t>
      </w:r>
      <w:r w:rsidRPr="00E9226D">
        <w:rPr>
          <w:rFonts w:ascii="Simplified Arabic"/>
          <w:rtl/>
        </w:rPr>
        <w:t>2022</w:t>
      </w:r>
      <w:r w:rsidRPr="00D76F0D">
        <w:rPr>
          <w:rFonts w:ascii="Simplified Arabic"/>
          <w:rtl/>
        </w:rPr>
        <w:t>)</w:t>
      </w:r>
      <w:r w:rsidRPr="00D76F0D">
        <w:rPr>
          <w:rtl/>
        </w:rPr>
        <w:t>.</w:t>
      </w:r>
    </w:p>
  </w:footnote>
  <w:footnote w:id="2">
    <w:p w14:paraId="38DBA4A3" w14:textId="77777777" w:rsidR="00D76F0D" w:rsidRPr="00E9226D" w:rsidRDefault="00D76F0D" w:rsidP="00D76F0D">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E9226D">
        <w:rPr>
          <w:rStyle w:val="FootnoteReference"/>
          <w:vertAlign w:val="baseline"/>
          <w:rtl/>
        </w:rPr>
        <w:footnoteRef/>
      </w:r>
      <w:r>
        <w:rPr>
          <w:rStyle w:val="FootnoteReference"/>
          <w:vertAlign w:val="baseline"/>
          <w:rtl/>
        </w:rPr>
        <w:t>)</w:t>
      </w:r>
      <w:r w:rsidRPr="00E9226D">
        <w:rPr>
          <w:szCs w:val="18"/>
          <w:rtl/>
        </w:rPr>
        <w:tab/>
        <w:t xml:space="preserve">اعتمدت اللجنة التقرير السابق عن متابعة القرارات المتعلقة بالبلاغات المقدمة بموجب المادة </w:t>
      </w:r>
      <w:r w:rsidRPr="00E9226D">
        <w:rPr>
          <w:rFonts w:ascii="Simplified Arabic"/>
          <w:szCs w:val="18"/>
          <w:rtl/>
        </w:rPr>
        <w:t>22</w:t>
      </w:r>
      <w:r w:rsidRPr="00E9226D">
        <w:rPr>
          <w:szCs w:val="18"/>
          <w:rtl/>
        </w:rPr>
        <w:t xml:space="preserve"> من الاتفاقية </w:t>
      </w:r>
      <w:r w:rsidRPr="00E9226D">
        <w:rPr>
          <w:rFonts w:ascii="Simplified Arabic"/>
          <w:szCs w:val="18"/>
          <w:rtl/>
        </w:rPr>
        <w:t>(</w:t>
      </w:r>
      <w:hyperlink r:id="rId1" w:history="1">
        <w:r w:rsidRPr="00D76F0D">
          <w:rPr>
            <w:rStyle w:val="Hyperlink"/>
          </w:rPr>
          <w:t>CAT/C/73/4</w:t>
        </w:r>
      </w:hyperlink>
      <w:r w:rsidRPr="00D76F0D">
        <w:rPr>
          <w:rFonts w:ascii="Simplified Arabic"/>
          <w:szCs w:val="18"/>
          <w:rtl/>
        </w:rPr>
        <w:t>)</w:t>
      </w:r>
      <w:r w:rsidRPr="00D76F0D">
        <w:rPr>
          <w:szCs w:val="18"/>
          <w:rtl/>
        </w:rPr>
        <w:t xml:space="preserve">، </w:t>
      </w:r>
      <w:r w:rsidRPr="00E9226D">
        <w:rPr>
          <w:szCs w:val="18"/>
          <w:rtl/>
        </w:rPr>
        <w:t>في دورتها الثالثة والسبعين، بصيغته المعدَّلة</w:t>
      </w:r>
      <w:r>
        <w:rPr>
          <w:szCs w:val="18"/>
          <w:rtl/>
        </w:rPr>
        <w:t xml:space="preserve">. </w:t>
      </w:r>
    </w:p>
  </w:footnote>
  <w:footnote w:id="3">
    <w:p w14:paraId="079C1168" w14:textId="77777777" w:rsidR="00D76F0D" w:rsidRPr="00E9226D" w:rsidRDefault="00D76F0D" w:rsidP="00D76F0D">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E9226D">
        <w:rPr>
          <w:rStyle w:val="FootnoteReference"/>
          <w:vertAlign w:val="baseline"/>
          <w:rtl/>
        </w:rPr>
        <w:footnoteRef/>
      </w:r>
      <w:r>
        <w:rPr>
          <w:rStyle w:val="FootnoteReference"/>
          <w:vertAlign w:val="baseline"/>
          <w:rtl/>
        </w:rPr>
        <w:t>)</w:t>
      </w:r>
      <w:r w:rsidRPr="00E9226D">
        <w:rPr>
          <w:szCs w:val="18"/>
          <w:rtl/>
        </w:rPr>
        <w:tab/>
        <w:t xml:space="preserve">للاطلاع على معلومات المتابعة السابقة المتعلقة بهذا البلاغ، انظر </w:t>
      </w:r>
      <w:hyperlink r:id="rId2" w:history="1">
        <w:r w:rsidRPr="00D76F0D">
          <w:rPr>
            <w:rStyle w:val="Hyperlink"/>
          </w:rPr>
          <w:t>CAT/C/68/3</w:t>
        </w:r>
      </w:hyperlink>
      <w:r w:rsidRPr="00E9226D">
        <w:rPr>
          <w:szCs w:val="18"/>
          <w:rtl/>
        </w:rPr>
        <w:t xml:space="preserve">، الفقرات </w:t>
      </w:r>
      <w:r w:rsidRPr="00E9226D">
        <w:rPr>
          <w:rFonts w:ascii="Simplified Arabic"/>
          <w:szCs w:val="18"/>
          <w:rtl/>
        </w:rPr>
        <w:t>10-2</w:t>
      </w:r>
    </w:p>
  </w:footnote>
  <w:footnote w:id="4">
    <w:p w14:paraId="5A3517CD" w14:textId="775CD5EF" w:rsidR="00D76F0D" w:rsidRPr="00E9226D" w:rsidRDefault="00D76F0D" w:rsidP="00D76F0D">
      <w:pPr>
        <w:pStyle w:val="FootnoteText"/>
        <w:tabs>
          <w:tab w:val="clear" w:pos="1021"/>
        </w:tabs>
        <w:bidi/>
        <w:spacing w:after="60" w:line="280" w:lineRule="exact"/>
        <w:ind w:left="1247" w:right="1247" w:hanging="567"/>
        <w:jc w:val="lowKashida"/>
        <w:textDirection w:val="tbRlV"/>
        <w:rPr>
          <w:rStyle w:val="Heading3Char"/>
          <w:lang w:val="ar-SA" w:eastAsia="zh-TW" w:bidi="en-GB"/>
        </w:rPr>
      </w:pPr>
      <w:r>
        <w:rPr>
          <w:rStyle w:val="FootnoteReference"/>
          <w:vertAlign w:val="baseline"/>
          <w:rtl/>
        </w:rPr>
        <w:t>(</w:t>
      </w:r>
      <w:r w:rsidRPr="00E9226D">
        <w:rPr>
          <w:rStyle w:val="FootnoteReference"/>
          <w:vertAlign w:val="baseline"/>
          <w:rtl/>
        </w:rPr>
        <w:footnoteRef/>
      </w:r>
      <w:r>
        <w:rPr>
          <w:rStyle w:val="FootnoteReference"/>
          <w:vertAlign w:val="baseline"/>
          <w:rtl/>
        </w:rPr>
        <w:t>)</w:t>
      </w:r>
      <w:r w:rsidRPr="00E9226D">
        <w:rPr>
          <w:szCs w:val="18"/>
          <w:rtl/>
        </w:rPr>
        <w:tab/>
        <w:t xml:space="preserve">للاطلاع على معلومات المتابعة السابقة المتعلقة بهذا البلاغ، انظر </w:t>
      </w:r>
      <w:hyperlink r:id="rId3" w:history="1">
        <w:r w:rsidRPr="00D76F0D">
          <w:rPr>
            <w:rStyle w:val="Hyperlink"/>
          </w:rPr>
          <w:t>CAT/C/68/3</w:t>
        </w:r>
      </w:hyperlink>
      <w:r w:rsidRPr="00E9226D">
        <w:rPr>
          <w:szCs w:val="18"/>
          <w:rtl/>
        </w:rPr>
        <w:t xml:space="preserve">، الفقرات </w:t>
      </w:r>
      <w:r w:rsidRPr="00E9226D">
        <w:rPr>
          <w:rFonts w:ascii="Simplified Arabic"/>
          <w:szCs w:val="18"/>
          <w:rtl/>
        </w:rPr>
        <w:t>11-14</w:t>
      </w:r>
      <w:r w:rsidR="00685480">
        <w:rPr>
          <w:rFonts w:ascii="Simplified Arabic" w:hint="cs"/>
          <w:szCs w:val="18"/>
          <w:rtl/>
        </w:rPr>
        <w:t xml:space="preserve">. </w:t>
      </w:r>
    </w:p>
  </w:footnote>
  <w:footnote w:id="5">
    <w:p w14:paraId="335F5DD6" w14:textId="77777777" w:rsidR="00D76F0D" w:rsidRPr="00E9226D" w:rsidRDefault="00D76F0D" w:rsidP="00E9226D">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E9226D">
        <w:rPr>
          <w:rStyle w:val="FootnoteReference"/>
          <w:vertAlign w:val="baseline"/>
          <w:rtl/>
        </w:rPr>
        <w:footnoteRef/>
      </w:r>
      <w:r>
        <w:rPr>
          <w:rStyle w:val="FootnoteReference"/>
          <w:vertAlign w:val="baseline"/>
          <w:rtl/>
        </w:rPr>
        <w:t>)</w:t>
      </w:r>
      <w:r w:rsidRPr="00E9226D">
        <w:rPr>
          <w:szCs w:val="18"/>
          <w:rtl/>
        </w:rPr>
        <w:tab/>
        <w:t>كان الحرس الوطني قد تبعه أثناء وجوده في سيارته الخاصة، مما ملأه بالذعر</w:t>
      </w:r>
      <w:r>
        <w:rPr>
          <w:szCs w:val="18"/>
          <w:rtl/>
        </w:rPr>
        <w:t xml:space="preserve">. </w:t>
      </w:r>
    </w:p>
  </w:footnote>
  <w:footnote w:id="6">
    <w:p w14:paraId="2C4B4512" w14:textId="77777777" w:rsidR="00D76F0D" w:rsidRPr="00E9226D" w:rsidRDefault="00D76F0D" w:rsidP="00E9226D">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E9226D">
        <w:rPr>
          <w:rStyle w:val="FootnoteReference"/>
          <w:vertAlign w:val="baseline"/>
          <w:rtl/>
        </w:rPr>
        <w:footnoteRef/>
      </w:r>
      <w:r>
        <w:rPr>
          <w:rStyle w:val="FootnoteReference"/>
          <w:vertAlign w:val="baseline"/>
          <w:rtl/>
        </w:rPr>
        <w:t>)</w:t>
      </w:r>
      <w:r w:rsidRPr="00E9226D">
        <w:rPr>
          <w:szCs w:val="18"/>
          <w:rtl/>
        </w:rPr>
        <w:tab/>
        <w:t>وفقا</w:t>
      </w:r>
      <w:r>
        <w:rPr>
          <w:rFonts w:hint="cs"/>
          <w:szCs w:val="18"/>
          <w:rtl/>
        </w:rPr>
        <w:t>ً</w:t>
      </w:r>
      <w:r w:rsidRPr="00E9226D">
        <w:rPr>
          <w:szCs w:val="18"/>
          <w:rtl/>
        </w:rPr>
        <w:t xml:space="preserve"> للقرار الصادر عن المحكمة في </w:t>
      </w:r>
      <w:r w:rsidRPr="00E9226D">
        <w:rPr>
          <w:rFonts w:ascii="Simplified Arabic"/>
          <w:szCs w:val="18"/>
          <w:rtl/>
        </w:rPr>
        <w:t>20</w:t>
      </w:r>
      <w:r w:rsidRPr="00E9226D">
        <w:rPr>
          <w:szCs w:val="18"/>
          <w:rtl/>
        </w:rPr>
        <w:t xml:space="preserve"> كانون الثاني/يناير </w:t>
      </w:r>
      <w:r w:rsidRPr="00E9226D">
        <w:rPr>
          <w:rFonts w:ascii="Simplified Arabic"/>
          <w:szCs w:val="18"/>
          <w:rtl/>
        </w:rPr>
        <w:t>2022</w:t>
      </w:r>
      <w:r w:rsidRPr="00E9226D">
        <w:rPr>
          <w:szCs w:val="18"/>
          <w:rtl/>
        </w:rPr>
        <w:t xml:space="preserve">، لم يثبت أصحاب الشكوى أنهم يعانون من العوز. ولم يكن طلبهم الحصول على مركز اللاجئ موضوع القرار الذي اعترضوا عليه؛ ويتعلق قرار اللجنة بمشروعية الترحيل ولكنه لا يلزم سلطات اللجوء في سويسرا بقبول طلب اللجوء. ولذلك طلبت إلى أصحاب الشكوى دفع </w:t>
      </w:r>
      <w:r w:rsidRPr="00E9226D">
        <w:rPr>
          <w:rFonts w:ascii="Simplified Arabic"/>
          <w:szCs w:val="18"/>
          <w:rtl/>
        </w:rPr>
        <w:t>500 1</w:t>
      </w:r>
      <w:r w:rsidRPr="00E9226D">
        <w:rPr>
          <w:szCs w:val="18"/>
          <w:rtl/>
        </w:rPr>
        <w:t xml:space="preserve"> فرنك سويسري كرسوم قضائية</w:t>
      </w:r>
      <w:r>
        <w:rPr>
          <w:szCs w:val="18"/>
          <w:rtl/>
        </w:rPr>
        <w:t xml:space="preserve">. </w:t>
      </w:r>
    </w:p>
  </w:footnote>
  <w:footnote w:id="7">
    <w:p w14:paraId="1D2A1E01" w14:textId="77777777" w:rsidR="00D76F0D" w:rsidRPr="00E9226D" w:rsidRDefault="00D76F0D" w:rsidP="00D76F0D">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E9226D">
        <w:rPr>
          <w:rStyle w:val="FootnoteReference"/>
          <w:vertAlign w:val="baseline"/>
          <w:rtl/>
        </w:rPr>
        <w:footnoteRef/>
      </w:r>
      <w:r>
        <w:rPr>
          <w:rStyle w:val="FootnoteReference"/>
          <w:vertAlign w:val="baseline"/>
          <w:rtl/>
        </w:rPr>
        <w:t>)</w:t>
      </w:r>
      <w:r w:rsidRPr="00E9226D">
        <w:rPr>
          <w:szCs w:val="18"/>
          <w:rtl/>
        </w:rPr>
        <w:tab/>
        <w:t xml:space="preserve">للاطلاع على معلومات المتابعة السابقة المتعلقة بهذا البلاغ، انظر </w:t>
      </w:r>
      <w:hyperlink r:id="rId4" w:history="1">
        <w:r w:rsidRPr="00D76F0D">
          <w:rPr>
            <w:rStyle w:val="Hyperlink"/>
          </w:rPr>
          <w:t>CAT/C/71/2</w:t>
        </w:r>
      </w:hyperlink>
      <w:r w:rsidRPr="00E9226D">
        <w:rPr>
          <w:szCs w:val="18"/>
          <w:rtl/>
        </w:rPr>
        <w:t xml:space="preserve">، الفقرات </w:t>
      </w:r>
      <w:r w:rsidRPr="00E9226D">
        <w:rPr>
          <w:rFonts w:ascii="Simplified Arabic"/>
          <w:szCs w:val="18"/>
          <w:rtl/>
        </w:rPr>
        <w:t>13-3</w:t>
      </w:r>
      <w:r w:rsidRPr="00D76F0D">
        <w:rPr>
          <w:rFonts w:ascii="Simplified Arabic"/>
          <w:szCs w:val="18"/>
          <w:rtl/>
        </w:rPr>
        <w:t>3</w:t>
      </w:r>
      <w:r w:rsidRPr="00D76F0D">
        <w:rPr>
          <w:rFonts w:ascii="Simplified Arabic" w:hint="cs"/>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3C5BF" w14:textId="5146B887" w:rsidR="00CD45CD" w:rsidRPr="00CD45CD" w:rsidRDefault="00CD45CD" w:rsidP="00CD45CD">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CAT/C/74/3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59266" w14:textId="0B346326" w:rsidR="00CD45CD" w:rsidRPr="00CD45CD" w:rsidRDefault="00CD45CD" w:rsidP="00CD45CD">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CAT/C/74/3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914"/>
    <w:rsid w:val="000076D5"/>
    <w:rsid w:val="00043663"/>
    <w:rsid w:val="000456F3"/>
    <w:rsid w:val="000505CF"/>
    <w:rsid w:val="00055205"/>
    <w:rsid w:val="000A2113"/>
    <w:rsid w:val="000B6120"/>
    <w:rsid w:val="000C3E99"/>
    <w:rsid w:val="000D701C"/>
    <w:rsid w:val="000E11D4"/>
    <w:rsid w:val="000E2A71"/>
    <w:rsid w:val="000F71D2"/>
    <w:rsid w:val="00160263"/>
    <w:rsid w:val="00166BD2"/>
    <w:rsid w:val="00167825"/>
    <w:rsid w:val="00170A1A"/>
    <w:rsid w:val="00170EB3"/>
    <w:rsid w:val="00181F96"/>
    <w:rsid w:val="001A1371"/>
    <w:rsid w:val="001B32A5"/>
    <w:rsid w:val="001B346A"/>
    <w:rsid w:val="001D6F7B"/>
    <w:rsid w:val="001E03C3"/>
    <w:rsid w:val="001E1CAD"/>
    <w:rsid w:val="001E290D"/>
    <w:rsid w:val="00210DD4"/>
    <w:rsid w:val="002144FA"/>
    <w:rsid w:val="0023469A"/>
    <w:rsid w:val="00243C8A"/>
    <w:rsid w:val="00261289"/>
    <w:rsid w:val="00266034"/>
    <w:rsid w:val="0026755E"/>
    <w:rsid w:val="00267A0E"/>
    <w:rsid w:val="002901D9"/>
    <w:rsid w:val="002976C2"/>
    <w:rsid w:val="002B1EC1"/>
    <w:rsid w:val="002C0FF6"/>
    <w:rsid w:val="002D57DA"/>
    <w:rsid w:val="00323EC8"/>
    <w:rsid w:val="003260FF"/>
    <w:rsid w:val="00343D95"/>
    <w:rsid w:val="00362E33"/>
    <w:rsid w:val="00374341"/>
    <w:rsid w:val="00384DA7"/>
    <w:rsid w:val="003D1062"/>
    <w:rsid w:val="00420D7B"/>
    <w:rsid w:val="00450B21"/>
    <w:rsid w:val="00453B63"/>
    <w:rsid w:val="00455780"/>
    <w:rsid w:val="00462F28"/>
    <w:rsid w:val="00472BE8"/>
    <w:rsid w:val="004811D5"/>
    <w:rsid w:val="00487285"/>
    <w:rsid w:val="004956DC"/>
    <w:rsid w:val="004B0A1C"/>
    <w:rsid w:val="004D2177"/>
    <w:rsid w:val="004D298E"/>
    <w:rsid w:val="00531DEA"/>
    <w:rsid w:val="0054472E"/>
    <w:rsid w:val="005662A9"/>
    <w:rsid w:val="00575E9A"/>
    <w:rsid w:val="005827D4"/>
    <w:rsid w:val="0059622A"/>
    <w:rsid w:val="005A3015"/>
    <w:rsid w:val="005B0B2E"/>
    <w:rsid w:val="005C5878"/>
    <w:rsid w:val="005C7CEA"/>
    <w:rsid w:val="005D3C0B"/>
    <w:rsid w:val="005E23DF"/>
    <w:rsid w:val="005E5217"/>
    <w:rsid w:val="005F0FA4"/>
    <w:rsid w:val="005F30EE"/>
    <w:rsid w:val="0060473A"/>
    <w:rsid w:val="006448F2"/>
    <w:rsid w:val="00656392"/>
    <w:rsid w:val="006646E9"/>
    <w:rsid w:val="00685480"/>
    <w:rsid w:val="0068781D"/>
    <w:rsid w:val="006959B0"/>
    <w:rsid w:val="006B2A7F"/>
    <w:rsid w:val="006B3E27"/>
    <w:rsid w:val="006B6507"/>
    <w:rsid w:val="006C0D06"/>
    <w:rsid w:val="006C104C"/>
    <w:rsid w:val="006D05CB"/>
    <w:rsid w:val="00706DFD"/>
    <w:rsid w:val="00712059"/>
    <w:rsid w:val="00733704"/>
    <w:rsid w:val="00733E9F"/>
    <w:rsid w:val="00761849"/>
    <w:rsid w:val="0078071A"/>
    <w:rsid w:val="00781DFF"/>
    <w:rsid w:val="007A3847"/>
    <w:rsid w:val="007B1DE0"/>
    <w:rsid w:val="007D56C1"/>
    <w:rsid w:val="00817373"/>
    <w:rsid w:val="00846AB1"/>
    <w:rsid w:val="00852A9A"/>
    <w:rsid w:val="00860491"/>
    <w:rsid w:val="00874514"/>
    <w:rsid w:val="00893A8A"/>
    <w:rsid w:val="00894129"/>
    <w:rsid w:val="00897AA1"/>
    <w:rsid w:val="008C0B37"/>
    <w:rsid w:val="008F49E1"/>
    <w:rsid w:val="0090370F"/>
    <w:rsid w:val="00906A57"/>
    <w:rsid w:val="009269D2"/>
    <w:rsid w:val="00942135"/>
    <w:rsid w:val="009521B0"/>
    <w:rsid w:val="00972676"/>
    <w:rsid w:val="00975217"/>
    <w:rsid w:val="00981C12"/>
    <w:rsid w:val="00983914"/>
    <w:rsid w:val="009A7E9F"/>
    <w:rsid w:val="009E4397"/>
    <w:rsid w:val="009E5018"/>
    <w:rsid w:val="009F09F5"/>
    <w:rsid w:val="00A12B37"/>
    <w:rsid w:val="00A16B1E"/>
    <w:rsid w:val="00A34EA8"/>
    <w:rsid w:val="00A44D86"/>
    <w:rsid w:val="00A67AF5"/>
    <w:rsid w:val="00A94CA3"/>
    <w:rsid w:val="00AB2C0B"/>
    <w:rsid w:val="00AB6758"/>
    <w:rsid w:val="00B02E4B"/>
    <w:rsid w:val="00B07715"/>
    <w:rsid w:val="00B13763"/>
    <w:rsid w:val="00B13F1A"/>
    <w:rsid w:val="00B32057"/>
    <w:rsid w:val="00B437ED"/>
    <w:rsid w:val="00B456A0"/>
    <w:rsid w:val="00B477A4"/>
    <w:rsid w:val="00B54045"/>
    <w:rsid w:val="00B82677"/>
    <w:rsid w:val="00BA39D4"/>
    <w:rsid w:val="00BD0805"/>
    <w:rsid w:val="00C438D7"/>
    <w:rsid w:val="00C62476"/>
    <w:rsid w:val="00C81B50"/>
    <w:rsid w:val="00C87F1F"/>
    <w:rsid w:val="00C96AFF"/>
    <w:rsid w:val="00CA2103"/>
    <w:rsid w:val="00CA35DF"/>
    <w:rsid w:val="00CD1801"/>
    <w:rsid w:val="00CD45CD"/>
    <w:rsid w:val="00CF25FC"/>
    <w:rsid w:val="00D10EF1"/>
    <w:rsid w:val="00D42810"/>
    <w:rsid w:val="00D76F0D"/>
    <w:rsid w:val="00D914A7"/>
    <w:rsid w:val="00DB712F"/>
    <w:rsid w:val="00DC1D29"/>
    <w:rsid w:val="00DD13C3"/>
    <w:rsid w:val="00DD596E"/>
    <w:rsid w:val="00DD621E"/>
    <w:rsid w:val="00DF0575"/>
    <w:rsid w:val="00E2697F"/>
    <w:rsid w:val="00E64B72"/>
    <w:rsid w:val="00E70E04"/>
    <w:rsid w:val="00E76499"/>
    <w:rsid w:val="00E84444"/>
    <w:rsid w:val="00E9226D"/>
    <w:rsid w:val="00EC05A7"/>
    <w:rsid w:val="00EC4B6B"/>
    <w:rsid w:val="00EE56C3"/>
    <w:rsid w:val="00EF1EE5"/>
    <w:rsid w:val="00F1695F"/>
    <w:rsid w:val="00F370DB"/>
    <w:rsid w:val="00F37436"/>
    <w:rsid w:val="00F62057"/>
    <w:rsid w:val="00F763B4"/>
    <w:rsid w:val="00F81AF1"/>
    <w:rsid w:val="00F87245"/>
    <w:rsid w:val="00F900C3"/>
    <w:rsid w:val="00F90122"/>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29D724"/>
  <w15:docId w15:val="{A3625863-32F3-4DD4-B298-0C3C0DAC7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0"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12F"/>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DB712F"/>
    <w:pPr>
      <w:bidi w:val="0"/>
      <w:outlineLvl w:val="0"/>
    </w:pPr>
  </w:style>
  <w:style w:type="paragraph" w:styleId="Heading2">
    <w:name w:val="heading 2"/>
    <w:basedOn w:val="Normal"/>
    <w:next w:val="Normal"/>
    <w:link w:val="Heading2Char"/>
    <w:uiPriority w:val="9"/>
    <w:unhideWhenUsed/>
    <w:rsid w:val="00DB712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DB712F"/>
    <w:pPr>
      <w:keepNext/>
      <w:keepLines/>
      <w:spacing w:before="200"/>
      <w:outlineLvl w:val="2"/>
    </w:pPr>
    <w:rPr>
      <w:b/>
      <w:bCs/>
      <w:color w:val="4F81BD"/>
    </w:rPr>
  </w:style>
  <w:style w:type="paragraph" w:styleId="Heading4">
    <w:name w:val="heading 4"/>
    <w:basedOn w:val="Normal"/>
    <w:next w:val="Normal"/>
    <w:link w:val="Heading4Char"/>
    <w:uiPriority w:val="9"/>
    <w:unhideWhenUsed/>
    <w:rsid w:val="00DB712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B712F"/>
    <w:pPr>
      <w:keepNext/>
      <w:keepLines/>
      <w:spacing w:before="200"/>
      <w:outlineLvl w:val="4"/>
    </w:pPr>
    <w:rPr>
      <w:color w:val="243F60"/>
    </w:rPr>
  </w:style>
  <w:style w:type="paragraph" w:styleId="Heading6">
    <w:name w:val="heading 6"/>
    <w:basedOn w:val="Normal"/>
    <w:next w:val="Normal"/>
    <w:link w:val="Heading6Char"/>
    <w:uiPriority w:val="9"/>
    <w:unhideWhenUsed/>
    <w:rsid w:val="00DB712F"/>
    <w:pPr>
      <w:keepNext/>
      <w:keepLines/>
      <w:spacing w:before="200"/>
      <w:outlineLvl w:val="5"/>
    </w:pPr>
    <w:rPr>
      <w:i/>
      <w:iCs/>
      <w:color w:val="243F60"/>
    </w:rPr>
  </w:style>
  <w:style w:type="paragraph" w:styleId="Heading7">
    <w:name w:val="heading 7"/>
    <w:basedOn w:val="Normal"/>
    <w:next w:val="Normal"/>
    <w:link w:val="Heading7Char"/>
    <w:uiPriority w:val="9"/>
    <w:unhideWhenUsed/>
    <w:rsid w:val="00DB712F"/>
    <w:pPr>
      <w:keepNext/>
      <w:keepLines/>
      <w:spacing w:before="200"/>
      <w:outlineLvl w:val="6"/>
    </w:pPr>
    <w:rPr>
      <w:i/>
      <w:iCs/>
      <w:color w:val="404040"/>
    </w:rPr>
  </w:style>
  <w:style w:type="paragraph" w:styleId="Heading8">
    <w:name w:val="heading 8"/>
    <w:basedOn w:val="Normal"/>
    <w:next w:val="Normal"/>
    <w:link w:val="Heading8Char"/>
    <w:uiPriority w:val="9"/>
    <w:unhideWhenUsed/>
    <w:rsid w:val="00DB712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B712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B712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DB712F"/>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DB712F"/>
    <w:rPr>
      <w:szCs w:val="18"/>
      <w:vertAlign w:val="superscript"/>
    </w:rPr>
  </w:style>
  <w:style w:type="paragraph" w:customStyle="1" w:styleId="HMGA">
    <w:name w:val="_ H __M_GA"/>
    <w:basedOn w:val="Normal"/>
    <w:next w:val="SingleTxtGA"/>
    <w:qFormat/>
    <w:rsid w:val="00DB712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B712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B712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B712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B712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B712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B712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B712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B712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B712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B712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B712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B712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B712F"/>
    <w:pPr>
      <w:numPr>
        <w:numId w:val="5"/>
      </w:numPr>
      <w:bidi w:val="0"/>
    </w:pPr>
    <w:rPr>
      <w:lang w:val="en-US"/>
    </w:rPr>
  </w:style>
  <w:style w:type="paragraph" w:customStyle="1" w:styleId="Roman1GA">
    <w:name w:val="_Roman 1_GA"/>
    <w:basedOn w:val="Bullet1GA"/>
    <w:qFormat/>
    <w:rsid w:val="00DB712F"/>
    <w:pPr>
      <w:numPr>
        <w:numId w:val="6"/>
      </w:numPr>
      <w:tabs>
        <w:tab w:val="clear" w:pos="2310"/>
        <w:tab w:val="left" w:pos="2486"/>
      </w:tabs>
      <w:ind w:left="2486" w:hanging="378"/>
    </w:pPr>
  </w:style>
  <w:style w:type="paragraph" w:customStyle="1" w:styleId="Roman2GA">
    <w:name w:val="_Roman 2_GA"/>
    <w:basedOn w:val="Bullet2GA"/>
    <w:qFormat/>
    <w:rsid w:val="00DB712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DB712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B712F"/>
    <w:rPr>
      <w:rFonts w:ascii="Times New Roman" w:eastAsia="PMingLiU" w:hAnsi="Times New Roman" w:cs="Simplified Arabic"/>
      <w:sz w:val="18"/>
      <w:lang w:val="en-GB" w:eastAsia="en-US"/>
    </w:rPr>
  </w:style>
  <w:style w:type="character" w:customStyle="1" w:styleId="EndtnoteReference">
    <w:name w:val="Endtnote Reference"/>
    <w:aliases w:val="1_GA"/>
    <w:qFormat/>
    <w:rsid w:val="00DB712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B712F"/>
    <w:pPr>
      <w:suppressAutoHyphens/>
      <w:bidi w:val="0"/>
      <w:spacing w:line="240" w:lineRule="auto"/>
    </w:pPr>
    <w:rPr>
      <w:sz w:val="16"/>
      <w:lang w:val="en-GB"/>
    </w:rPr>
  </w:style>
  <w:style w:type="character" w:customStyle="1" w:styleId="FooterChar">
    <w:name w:val="Footer Char"/>
    <w:aliases w:val="3_GA Char,3_G Char"/>
    <w:link w:val="Footer"/>
    <w:rsid w:val="00DB712F"/>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DB712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B712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DB712F"/>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DB712F"/>
    <w:rPr>
      <w:rFonts w:ascii="Times New Roman" w:eastAsia="PMingLiU" w:hAnsi="Times New Roman" w:cs="Simplified Arabic"/>
      <w:sz w:val="22"/>
      <w:szCs w:val="22"/>
      <w:lang w:val="en-GB" w:eastAsia="en-US"/>
    </w:rPr>
  </w:style>
  <w:style w:type="character" w:styleId="PageNumber">
    <w:name w:val="page number"/>
    <w:aliases w:val="7_GA,7_G"/>
    <w:qFormat/>
    <w:rsid w:val="00DB712F"/>
    <w:rPr>
      <w:rFonts w:ascii="Times New Roman Bold" w:hAnsi="Times New Roman Bold"/>
      <w:b/>
      <w:i w:val="0"/>
      <w:sz w:val="18"/>
      <w:szCs w:val="18"/>
    </w:rPr>
  </w:style>
  <w:style w:type="paragraph" w:customStyle="1" w:styleId="XXLargeGA">
    <w:name w:val="XXLarge_GA"/>
    <w:basedOn w:val="Normal"/>
    <w:next w:val="SingleTxtGA"/>
    <w:qFormat/>
    <w:rsid w:val="00DB712F"/>
    <w:pPr>
      <w:suppressAutoHyphens/>
      <w:spacing w:line="820" w:lineRule="exact"/>
    </w:pPr>
    <w:rPr>
      <w:spacing w:val="-8"/>
      <w:w w:val="96"/>
      <w:sz w:val="57"/>
      <w:szCs w:val="86"/>
      <w:lang w:val="en-GB"/>
    </w:rPr>
  </w:style>
  <w:style w:type="character" w:customStyle="1" w:styleId="Heading2Char">
    <w:name w:val="Heading 2 Char"/>
    <w:link w:val="Heading2"/>
    <w:uiPriority w:val="9"/>
    <w:rsid w:val="00DB712F"/>
    <w:rPr>
      <w:rFonts w:ascii="Times New Roman" w:eastAsia="PMingLiU" w:hAnsi="Times New Roman" w:cs="Simplified Arabic"/>
      <w:b/>
      <w:bCs/>
      <w:color w:val="4F81BD"/>
      <w:sz w:val="26"/>
      <w:szCs w:val="26"/>
      <w:lang w:eastAsia="en-US"/>
    </w:rPr>
  </w:style>
  <w:style w:type="character" w:styleId="BookTitle">
    <w:name w:val="Book Title"/>
    <w:uiPriority w:val="33"/>
    <w:rsid w:val="00DB712F"/>
    <w:rPr>
      <w:b/>
      <w:bCs/>
      <w:smallCaps/>
      <w:spacing w:val="5"/>
    </w:rPr>
  </w:style>
  <w:style w:type="character" w:customStyle="1" w:styleId="Heading3Char">
    <w:name w:val="Heading 3 Char"/>
    <w:link w:val="Heading3"/>
    <w:rsid w:val="00DB712F"/>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DB712F"/>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DB712F"/>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DB712F"/>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DB712F"/>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DB712F"/>
    <w:rPr>
      <w:rFonts w:ascii="Times New Roman" w:eastAsia="PMingLiU" w:hAnsi="Times New Roman" w:cs="Simplified Arabic"/>
      <w:color w:val="404040"/>
      <w:lang w:eastAsia="en-US"/>
    </w:rPr>
  </w:style>
  <w:style w:type="character" w:customStyle="1" w:styleId="Heading9Char">
    <w:name w:val="Heading 9 Char"/>
    <w:link w:val="Heading9"/>
    <w:uiPriority w:val="9"/>
    <w:rsid w:val="00DB712F"/>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DB712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B712F"/>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DB712F"/>
    <w:pPr>
      <w:numPr>
        <w:ilvl w:val="1"/>
      </w:numPr>
    </w:pPr>
    <w:rPr>
      <w:i/>
      <w:iCs/>
      <w:color w:val="4F81BD"/>
      <w:spacing w:val="15"/>
      <w:sz w:val="24"/>
      <w:szCs w:val="24"/>
    </w:rPr>
  </w:style>
  <w:style w:type="character" w:customStyle="1" w:styleId="SubtitleChar">
    <w:name w:val="Subtitle Char"/>
    <w:link w:val="Subtitle"/>
    <w:uiPriority w:val="11"/>
    <w:rsid w:val="00DB712F"/>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DB712F"/>
    <w:rPr>
      <w:i/>
      <w:iCs/>
      <w:color w:val="808080"/>
    </w:rPr>
  </w:style>
  <w:style w:type="table" w:styleId="ColorfulGrid-Accent6">
    <w:name w:val="Colorful Grid Accent 6"/>
    <w:basedOn w:val="TableNormal"/>
    <w:uiPriority w:val="73"/>
    <w:rsid w:val="00DB712F"/>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B712F"/>
    <w:rPr>
      <w:i/>
      <w:iCs/>
    </w:rPr>
  </w:style>
  <w:style w:type="character" w:styleId="IntenseEmphasis">
    <w:name w:val="Intense Emphasis"/>
    <w:uiPriority w:val="21"/>
    <w:rsid w:val="00DB712F"/>
    <w:rPr>
      <w:b/>
      <w:bCs/>
      <w:i/>
      <w:iCs/>
      <w:color w:val="4F81BD"/>
    </w:rPr>
  </w:style>
  <w:style w:type="character" w:styleId="Strong">
    <w:name w:val="Strong"/>
    <w:uiPriority w:val="22"/>
    <w:rsid w:val="00DB712F"/>
    <w:rPr>
      <w:b/>
      <w:bCs/>
    </w:rPr>
  </w:style>
  <w:style w:type="paragraph" w:styleId="Quote">
    <w:name w:val="Quote"/>
    <w:basedOn w:val="Normal"/>
    <w:next w:val="Normal"/>
    <w:link w:val="QuoteChar"/>
    <w:uiPriority w:val="29"/>
    <w:rsid w:val="00DB712F"/>
    <w:rPr>
      <w:i/>
      <w:iCs/>
      <w:color w:val="000000"/>
    </w:rPr>
  </w:style>
  <w:style w:type="character" w:customStyle="1" w:styleId="QuoteChar">
    <w:name w:val="Quote Char"/>
    <w:link w:val="Quote"/>
    <w:uiPriority w:val="29"/>
    <w:rsid w:val="00DB712F"/>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DB712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B712F"/>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DB712F"/>
    <w:rPr>
      <w:smallCaps/>
      <w:color w:val="C0504D"/>
      <w:u w:val="single"/>
    </w:rPr>
  </w:style>
  <w:style w:type="character" w:styleId="IntenseReference">
    <w:name w:val="Intense Reference"/>
    <w:uiPriority w:val="32"/>
    <w:rsid w:val="00DB712F"/>
    <w:rPr>
      <w:b/>
      <w:bCs/>
      <w:smallCaps/>
      <w:color w:val="C0504D"/>
      <w:spacing w:val="5"/>
      <w:u w:val="single"/>
    </w:rPr>
  </w:style>
  <w:style w:type="paragraph" w:styleId="ListParagraph">
    <w:name w:val="List Paragraph"/>
    <w:basedOn w:val="Normal"/>
    <w:uiPriority w:val="34"/>
    <w:rsid w:val="00DB712F"/>
    <w:pPr>
      <w:ind w:left="720"/>
      <w:contextualSpacing/>
    </w:pPr>
  </w:style>
  <w:style w:type="table" w:styleId="MediumShading1-Accent4">
    <w:name w:val="Medium Shading 1 Accent 4"/>
    <w:basedOn w:val="TableNormal"/>
    <w:uiPriority w:val="63"/>
    <w:rsid w:val="00DB712F"/>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B712F"/>
    <w:rPr>
      <w:rFonts w:eastAsia="MS Mincho"/>
      <w:sz w:val="18"/>
      <w:vertAlign w:val="superscript"/>
    </w:rPr>
  </w:style>
  <w:style w:type="table" w:styleId="TableGrid">
    <w:name w:val="Table Grid"/>
    <w:basedOn w:val="TableNormal"/>
    <w:rsid w:val="00DB712F"/>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712F"/>
    <w:pPr>
      <w:spacing w:line="240" w:lineRule="auto"/>
    </w:pPr>
    <w:rPr>
      <w:sz w:val="16"/>
      <w:szCs w:val="16"/>
    </w:rPr>
  </w:style>
  <w:style w:type="character" w:customStyle="1" w:styleId="BalloonTextChar">
    <w:name w:val="Balloon Text Char"/>
    <w:link w:val="BalloonText"/>
    <w:uiPriority w:val="99"/>
    <w:semiHidden/>
    <w:rsid w:val="00DB712F"/>
    <w:rPr>
      <w:rFonts w:ascii="Times New Roman" w:eastAsia="PMingLiU" w:hAnsi="Times New Roman" w:cs="Simplified Arabic"/>
      <w:sz w:val="16"/>
      <w:szCs w:val="16"/>
      <w:lang w:eastAsia="en-US"/>
    </w:rPr>
  </w:style>
  <w:style w:type="character" w:styleId="Hyperlink">
    <w:name w:val="Hyperlink"/>
    <w:uiPriority w:val="99"/>
    <w:unhideWhenUsed/>
    <w:rsid w:val="00DB712F"/>
    <w:rPr>
      <w:color w:val="0000FF"/>
      <w:u w:val="none"/>
    </w:rPr>
  </w:style>
  <w:style w:type="paragraph" w:styleId="TOC1">
    <w:name w:val="toc 1"/>
    <w:basedOn w:val="Normal"/>
    <w:link w:val="TOC1Char"/>
    <w:autoRedefine/>
    <w:uiPriority w:val="39"/>
    <w:unhideWhenUsed/>
    <w:rsid w:val="00DB712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B712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B712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B712F"/>
    <w:rPr>
      <w:rFonts w:eastAsia="DengXian"/>
      <w:color w:val="auto"/>
      <w:sz w:val="20"/>
      <w:szCs w:val="20"/>
      <w:u w:val="none"/>
      <w:lang w:eastAsia="zh-CN" w:bidi="ar-EG"/>
    </w:rPr>
  </w:style>
  <w:style w:type="paragraph" w:styleId="TOC4">
    <w:name w:val="toc 4"/>
    <w:basedOn w:val="Normal"/>
    <w:link w:val="TOC4Char"/>
    <w:autoRedefine/>
    <w:uiPriority w:val="39"/>
    <w:unhideWhenUsed/>
    <w:rsid w:val="00DB712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B712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B712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B712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DB712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B712F"/>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DB712F"/>
    <w:rPr>
      <w:color w:val="605E5C"/>
      <w:shd w:val="clear" w:color="auto" w:fill="E1DFDD"/>
    </w:rPr>
  </w:style>
  <w:style w:type="character" w:customStyle="1" w:styleId="TOC1Char">
    <w:name w:val="TOC 1 Char"/>
    <w:basedOn w:val="DefaultParagraphFont"/>
    <w:link w:val="TOC1"/>
    <w:uiPriority w:val="39"/>
    <w:rsid w:val="00DB712F"/>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DB712F"/>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DB712F"/>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DB712F"/>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DB712F"/>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DB712F"/>
    <w:rPr>
      <w:rFonts w:ascii="Times New Roman" w:eastAsia="PMingLiU" w:hAnsi="Times New Roman" w:cs="Simplified Arabic"/>
      <w:lang w:val="en-GB" w:eastAsia="en-US"/>
    </w:rPr>
  </w:style>
  <w:style w:type="paragraph" w:customStyle="1" w:styleId="SessionDate">
    <w:name w:val="Session_Date"/>
    <w:basedOn w:val="Normal"/>
    <w:qFormat/>
    <w:rsid w:val="00DB712F"/>
    <w:pPr>
      <w:spacing w:before="240" w:after="240" w:line="460" w:lineRule="exact"/>
      <w:ind w:left="1247"/>
    </w:pPr>
    <w:rPr>
      <w:b/>
      <w:bCs/>
      <w:sz w:val="32"/>
      <w:szCs w:val="44"/>
    </w:rPr>
  </w:style>
  <w:style w:type="paragraph" w:customStyle="1" w:styleId="SessionNumber">
    <w:name w:val="Session_Number"/>
    <w:basedOn w:val="Normal"/>
    <w:qFormat/>
    <w:rsid w:val="00DB712F"/>
    <w:pPr>
      <w:spacing w:line="480" w:lineRule="exact"/>
      <w:ind w:left="1247"/>
    </w:pPr>
    <w:rPr>
      <w:b/>
      <w:bCs/>
      <w:sz w:val="28"/>
      <w:szCs w:val="38"/>
    </w:rPr>
  </w:style>
  <w:style w:type="paragraph" w:customStyle="1" w:styleId="CityandYear">
    <w:name w:val="City and Year"/>
    <w:basedOn w:val="SingleTxtGA"/>
    <w:qFormat/>
    <w:rsid w:val="00DB712F"/>
    <w:pPr>
      <w:spacing w:line="480" w:lineRule="exact"/>
    </w:pPr>
    <w:rPr>
      <w:b/>
      <w:bCs/>
      <w:sz w:val="30"/>
      <w:szCs w:val="38"/>
      <w:lang w:eastAsia="ar-SA"/>
    </w:rPr>
  </w:style>
  <w:style w:type="paragraph" w:customStyle="1" w:styleId="NormalA">
    <w:name w:val="Normal_A"/>
    <w:basedOn w:val="Normal"/>
    <w:qFormat/>
    <w:rsid w:val="00DB712F"/>
  </w:style>
  <w:style w:type="paragraph" w:customStyle="1" w:styleId="H1G">
    <w:name w:val="_ H_1_G"/>
    <w:basedOn w:val="Normal"/>
    <w:next w:val="Normal"/>
    <w:qFormat/>
    <w:rsid w:val="00DB712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DB712F"/>
    <w:pPr>
      <w:suppressAutoHyphens/>
      <w:bidi w:val="0"/>
      <w:spacing w:after="120"/>
      <w:ind w:left="1134" w:right="1134"/>
      <w:jc w:val="both"/>
    </w:pPr>
    <w:rPr>
      <w:szCs w:val="20"/>
      <w:lang w:val="en-GB"/>
    </w:rPr>
  </w:style>
  <w:style w:type="paragraph" w:customStyle="1" w:styleId="HChG">
    <w:name w:val="_ H _Ch_G"/>
    <w:basedOn w:val="Normal"/>
    <w:next w:val="Normal"/>
    <w:qFormat/>
    <w:rsid w:val="00DB712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DB712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B712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B712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B712F"/>
    <w:rPr>
      <w:sz w:val="44"/>
      <w:szCs w:val="44"/>
      <w:lang w:val="en-US" w:bidi="ar-DZ"/>
    </w:rPr>
  </w:style>
  <w:style w:type="paragraph" w:customStyle="1" w:styleId="FootnoteGA0">
    <w:name w:val="Footnote_GA"/>
    <w:basedOn w:val="Normal"/>
    <w:qFormat/>
    <w:rsid w:val="00DB712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B712F"/>
    <w:pPr>
      <w:keepNext/>
      <w:keepLines/>
      <w:spacing w:after="120" w:line="400" w:lineRule="exact"/>
      <w:outlineLvl w:val="0"/>
    </w:pPr>
    <w:rPr>
      <w:b/>
      <w:bCs/>
      <w:kern w:val="14"/>
      <w:sz w:val="24"/>
      <w:szCs w:val="32"/>
    </w:rPr>
  </w:style>
  <w:style w:type="paragraph" w:customStyle="1" w:styleId="HCh">
    <w:name w:val="_ H _Ch"/>
    <w:basedOn w:val="H1"/>
    <w:next w:val="SingleTxt"/>
    <w:qFormat/>
    <w:rsid w:val="00DB712F"/>
    <w:pPr>
      <w:spacing w:line="440" w:lineRule="exact"/>
    </w:pPr>
    <w:rPr>
      <w:spacing w:val="-2"/>
      <w:sz w:val="28"/>
      <w:szCs w:val="36"/>
    </w:rPr>
  </w:style>
  <w:style w:type="character" w:styleId="CommentReference">
    <w:name w:val="annotation reference"/>
    <w:uiPriority w:val="99"/>
    <w:semiHidden/>
    <w:rsid w:val="00DB712F"/>
    <w:rPr>
      <w:sz w:val="6"/>
      <w:szCs w:val="9"/>
    </w:rPr>
  </w:style>
  <w:style w:type="paragraph" w:customStyle="1" w:styleId="HM">
    <w:name w:val="_ H __M"/>
    <w:basedOn w:val="HCh"/>
    <w:next w:val="Normal"/>
    <w:qFormat/>
    <w:rsid w:val="00DB712F"/>
    <w:pPr>
      <w:suppressAutoHyphens/>
      <w:spacing w:line="520" w:lineRule="exact"/>
    </w:pPr>
    <w:rPr>
      <w:spacing w:val="-3"/>
      <w:sz w:val="34"/>
      <w:szCs w:val="48"/>
    </w:rPr>
  </w:style>
  <w:style w:type="paragraph" w:customStyle="1" w:styleId="SingleTxt">
    <w:name w:val="__Single Txt"/>
    <w:basedOn w:val="Normal"/>
    <w:qFormat/>
    <w:rsid w:val="00DB712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B712F"/>
    <w:pPr>
      <w:suppressAutoHyphens/>
      <w:spacing w:line="360" w:lineRule="exact"/>
      <w:outlineLvl w:val="1"/>
    </w:pPr>
    <w:rPr>
      <w:spacing w:val="2"/>
      <w:sz w:val="20"/>
      <w:szCs w:val="28"/>
    </w:rPr>
  </w:style>
  <w:style w:type="paragraph" w:customStyle="1" w:styleId="H4">
    <w:name w:val="_ H_4"/>
    <w:basedOn w:val="Normal"/>
    <w:next w:val="Normal"/>
    <w:qFormat/>
    <w:rsid w:val="00DB712F"/>
    <w:pPr>
      <w:keepNext/>
      <w:keepLines/>
      <w:spacing w:after="120" w:line="360" w:lineRule="exact"/>
      <w:outlineLvl w:val="3"/>
    </w:pPr>
    <w:rPr>
      <w:i/>
      <w:iCs/>
      <w:kern w:val="14"/>
      <w:szCs w:val="28"/>
    </w:rPr>
  </w:style>
  <w:style w:type="paragraph" w:customStyle="1" w:styleId="H56">
    <w:name w:val="_ H_5/6"/>
    <w:basedOn w:val="Normal"/>
    <w:next w:val="Normal"/>
    <w:qFormat/>
    <w:rsid w:val="00DB712F"/>
    <w:pPr>
      <w:keepNext/>
      <w:keepLines/>
      <w:spacing w:after="120" w:line="360" w:lineRule="exact"/>
      <w:outlineLvl w:val="4"/>
    </w:pPr>
    <w:rPr>
      <w:kern w:val="14"/>
      <w:szCs w:val="28"/>
    </w:rPr>
  </w:style>
  <w:style w:type="paragraph" w:customStyle="1" w:styleId="DualTxt">
    <w:name w:val="__Dual Txt"/>
    <w:basedOn w:val="Normal"/>
    <w:qFormat/>
    <w:rsid w:val="00DB712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B712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B712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B712F"/>
    <w:pPr>
      <w:spacing w:after="120" w:line="440" w:lineRule="exact"/>
      <w:jc w:val="center"/>
    </w:pPr>
    <w:rPr>
      <w:b/>
      <w:bCs/>
      <w:sz w:val="25"/>
      <w:szCs w:val="38"/>
    </w:rPr>
  </w:style>
  <w:style w:type="paragraph" w:customStyle="1" w:styleId="JH1">
    <w:name w:val="J_H_1"/>
    <w:basedOn w:val="JCH"/>
    <w:qFormat/>
    <w:rsid w:val="00DB712F"/>
    <w:pPr>
      <w:spacing w:line="420" w:lineRule="exact"/>
    </w:pPr>
    <w:rPr>
      <w:sz w:val="23"/>
      <w:szCs w:val="34"/>
    </w:rPr>
  </w:style>
  <w:style w:type="paragraph" w:customStyle="1" w:styleId="JH2">
    <w:name w:val="J_H_2"/>
    <w:basedOn w:val="JH1"/>
    <w:qFormat/>
    <w:rsid w:val="00DB712F"/>
    <w:pPr>
      <w:spacing w:line="400" w:lineRule="exact"/>
    </w:pPr>
    <w:rPr>
      <w:sz w:val="20"/>
      <w:szCs w:val="30"/>
    </w:rPr>
  </w:style>
  <w:style w:type="paragraph" w:customStyle="1" w:styleId="JSmall">
    <w:name w:val="J_Small"/>
    <w:basedOn w:val="JSingleTxt"/>
    <w:next w:val="JSingleTxt"/>
    <w:qFormat/>
    <w:rsid w:val="00DB712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B712F"/>
    <w:pPr>
      <w:tabs>
        <w:tab w:val="right" w:leader="dot" w:pos="360"/>
      </w:tabs>
      <w:spacing w:line="310" w:lineRule="exact"/>
      <w:jc w:val="right"/>
    </w:pPr>
    <w:rPr>
      <w:spacing w:val="5"/>
      <w:w w:val="104"/>
      <w:kern w:val="14"/>
      <w:sz w:val="17"/>
      <w:szCs w:val="25"/>
    </w:rPr>
  </w:style>
  <w:style w:type="character" w:styleId="LineNumber">
    <w:name w:val="line number"/>
    <w:qFormat/>
    <w:rsid w:val="00DB712F"/>
    <w:rPr>
      <w:sz w:val="14"/>
      <w:szCs w:val="16"/>
    </w:rPr>
  </w:style>
  <w:style w:type="paragraph" w:customStyle="1" w:styleId="SmallX">
    <w:name w:val="SmallX"/>
    <w:basedOn w:val="Small"/>
    <w:next w:val="Normal"/>
    <w:qFormat/>
    <w:rsid w:val="00DB712F"/>
    <w:pPr>
      <w:spacing w:line="240" w:lineRule="exact"/>
    </w:pPr>
    <w:rPr>
      <w:spacing w:val="6"/>
      <w:w w:val="106"/>
      <w:sz w:val="14"/>
      <w:szCs w:val="21"/>
    </w:rPr>
  </w:style>
  <w:style w:type="paragraph" w:customStyle="1" w:styleId="XLarge">
    <w:name w:val="XLarge"/>
    <w:basedOn w:val="HM"/>
    <w:qFormat/>
    <w:rsid w:val="00DB712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B712F"/>
    <w:pPr>
      <w:spacing w:line="820" w:lineRule="exact"/>
    </w:pPr>
    <w:rPr>
      <w:spacing w:val="-8"/>
      <w:w w:val="96"/>
      <w:sz w:val="57"/>
      <w:szCs w:val="86"/>
    </w:rPr>
  </w:style>
  <w:style w:type="paragraph" w:customStyle="1" w:styleId="Distribution">
    <w:name w:val="Distribu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B712F"/>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DB712F"/>
    <w:pPr>
      <w:tabs>
        <w:tab w:val="left" w:pos="662"/>
        <w:tab w:val="left" w:pos="1267"/>
        <w:tab w:val="left" w:pos="1987"/>
        <w:tab w:val="left" w:pos="2650"/>
      </w:tabs>
      <w:spacing w:after="0"/>
      <w:ind w:left="662" w:hanging="662"/>
    </w:pPr>
  </w:style>
  <w:style w:type="paragraph" w:customStyle="1" w:styleId="Committee">
    <w:name w:val="Committee"/>
    <w:basedOn w:val="H1"/>
    <w:qFormat/>
    <w:rsid w:val="00DB712F"/>
    <w:pPr>
      <w:tabs>
        <w:tab w:val="left" w:pos="662"/>
        <w:tab w:val="left" w:pos="1267"/>
        <w:tab w:val="left" w:pos="1987"/>
        <w:tab w:val="left" w:pos="2650"/>
      </w:tabs>
      <w:ind w:right="1264"/>
    </w:pPr>
  </w:style>
  <w:style w:type="paragraph" w:customStyle="1" w:styleId="AgendaItemNormal">
    <w:name w:val="Agenda_Item_Normal"/>
    <w:next w:val="Normal"/>
    <w:qFormat/>
    <w:rsid w:val="00DB712F"/>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DB712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B712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B712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B712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DB712F"/>
    <w:rPr>
      <w:i w:val="0"/>
      <w:color w:val="0000FF"/>
      <w:u w:val="none"/>
    </w:rPr>
  </w:style>
  <w:style w:type="paragraph" w:customStyle="1" w:styleId="Bullet1">
    <w:name w:val="Bullet 1"/>
    <w:basedOn w:val="Normal"/>
    <w:qFormat/>
    <w:rsid w:val="00DB712F"/>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B712F"/>
    <w:pPr>
      <w:numPr>
        <w:numId w:val="19"/>
      </w:numPr>
      <w:spacing w:after="120" w:line="360" w:lineRule="exact"/>
      <w:ind w:right="1264"/>
    </w:pPr>
    <w:rPr>
      <w:kern w:val="14"/>
      <w:szCs w:val="28"/>
    </w:rPr>
  </w:style>
  <w:style w:type="paragraph" w:customStyle="1" w:styleId="Bullet3">
    <w:name w:val="Bullet 3"/>
    <w:basedOn w:val="SingleTxt"/>
    <w:qFormat/>
    <w:rsid w:val="00DB712F"/>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B712F"/>
    <w:pPr>
      <w:ind w:right="5760"/>
      <w:outlineLvl w:val="1"/>
    </w:pPr>
    <w:rPr>
      <w:spacing w:val="2"/>
      <w:sz w:val="20"/>
      <w:szCs w:val="28"/>
    </w:rPr>
  </w:style>
  <w:style w:type="paragraph" w:customStyle="1" w:styleId="STitleM">
    <w:name w:val="S_Title_M"/>
    <w:basedOn w:val="Normal"/>
    <w:next w:val="Normal"/>
    <w:qFormat/>
    <w:rsid w:val="00DB712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B712F"/>
    <w:pPr>
      <w:spacing w:line="600" w:lineRule="exact"/>
      <w:ind w:left="1267" w:right="1267"/>
    </w:pPr>
    <w:rPr>
      <w:w w:val="103"/>
      <w:sz w:val="60"/>
      <w:szCs w:val="60"/>
    </w:rPr>
  </w:style>
  <w:style w:type="paragraph" w:customStyle="1" w:styleId="STitleL">
    <w:name w:val="S_Title_L"/>
    <w:basedOn w:val="XLarge"/>
    <w:next w:val="Normal"/>
    <w:qFormat/>
    <w:rsid w:val="00DB712F"/>
    <w:rPr>
      <w:spacing w:val="-8"/>
      <w:w w:val="96"/>
      <w:sz w:val="57"/>
    </w:rPr>
  </w:style>
  <w:style w:type="paragraph" w:styleId="CommentText">
    <w:name w:val="annotation text"/>
    <w:basedOn w:val="Normal"/>
    <w:link w:val="CommentTextChar"/>
    <w:uiPriority w:val="99"/>
    <w:semiHidden/>
    <w:unhideWhenUsed/>
    <w:rsid w:val="00DB712F"/>
    <w:pPr>
      <w:spacing w:line="240" w:lineRule="auto"/>
    </w:pPr>
    <w:rPr>
      <w:kern w:val="14"/>
    </w:rPr>
  </w:style>
  <w:style w:type="character" w:customStyle="1" w:styleId="CommentTextChar">
    <w:name w:val="Comment Text Char"/>
    <w:basedOn w:val="DefaultParagraphFont"/>
    <w:link w:val="CommentText"/>
    <w:uiPriority w:val="99"/>
    <w:semiHidden/>
    <w:rsid w:val="00DB712F"/>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DB712F"/>
    <w:rPr>
      <w:b/>
      <w:bCs/>
    </w:rPr>
  </w:style>
  <w:style w:type="character" w:customStyle="1" w:styleId="CommentSubjectChar">
    <w:name w:val="Comment Subject Char"/>
    <w:basedOn w:val="CommentTextChar"/>
    <w:link w:val="CommentSubject"/>
    <w:uiPriority w:val="99"/>
    <w:semiHidden/>
    <w:rsid w:val="00DB712F"/>
    <w:rPr>
      <w:rFonts w:ascii="Times New Roman" w:eastAsia="PMingLiU" w:hAnsi="Times New Roman" w:cs="Simplified Arabic"/>
      <w:b/>
      <w:bCs/>
      <w:kern w:val="14"/>
      <w:szCs w:val="22"/>
      <w:lang w:eastAsia="en-US"/>
    </w:rPr>
  </w:style>
  <w:style w:type="paragraph" w:customStyle="1" w:styleId="Bullet1G">
    <w:name w:val="_Bullet 1_G"/>
    <w:basedOn w:val="Normal"/>
    <w:qFormat/>
    <w:rsid w:val="00DB712F"/>
    <w:pPr>
      <w:numPr>
        <w:numId w:val="21"/>
      </w:numPr>
      <w:bidi w:val="0"/>
      <w:spacing w:after="120"/>
      <w:ind w:right="1134"/>
      <w:jc w:val="both"/>
    </w:pPr>
    <w:rPr>
      <w:sz w:val="22"/>
    </w:rPr>
  </w:style>
  <w:style w:type="character" w:customStyle="1" w:styleId="SingleTxtGChar">
    <w:name w:val="_ Single Txt_G Char"/>
    <w:link w:val="SingleTxtG"/>
    <w:rsid w:val="00DB712F"/>
    <w:rPr>
      <w:rFonts w:ascii="Times New Roman" w:eastAsia="PMingLiU" w:hAnsi="Times New Roman" w:cs="Simplified Arabic"/>
      <w:lang w:val="en-GB" w:eastAsia="en-US"/>
    </w:rPr>
  </w:style>
  <w:style w:type="paragraph" w:customStyle="1" w:styleId="Preparedby">
    <w:name w:val="Prepared by:"/>
    <w:basedOn w:val="H23GA"/>
    <w:qFormat/>
    <w:rsid w:val="00DB712F"/>
    <w:rPr>
      <w:sz w:val="32"/>
      <w:szCs w:val="32"/>
    </w:rPr>
  </w:style>
  <w:style w:type="paragraph" w:customStyle="1" w:styleId="ParaNoG">
    <w:name w:val="_ParaNo._G"/>
    <w:basedOn w:val="SingleTxtG"/>
    <w:rsid w:val="00DB712F"/>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B712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B712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B712F"/>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B712F"/>
    <w:rPr>
      <w:rFonts w:asciiTheme="minorHAnsi" w:eastAsiaTheme="minorEastAsia" w:hAnsiTheme="minorHAnsi" w:cstheme="minorBidi"/>
      <w:sz w:val="24"/>
      <w:szCs w:val="24"/>
      <w:lang w:val="fr-FR" w:eastAsia="fr-FR"/>
    </w:rPr>
  </w:style>
  <w:style w:type="paragraph" w:customStyle="1" w:styleId="Default">
    <w:name w:val="Default"/>
    <w:semiHidden/>
    <w:rsid w:val="00DB712F"/>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B712F"/>
  </w:style>
  <w:style w:type="character" w:customStyle="1" w:styleId="preferred">
    <w:name w:val="preferred"/>
    <w:basedOn w:val="DefaultParagraphFont"/>
    <w:rsid w:val="00DB712F"/>
  </w:style>
  <w:style w:type="character" w:customStyle="1" w:styleId="admitted">
    <w:name w:val="admitted"/>
    <w:basedOn w:val="DefaultParagraphFont"/>
    <w:rsid w:val="00DB7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ar/CAT/C/68/D/817/2017)"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AT/C/71/D/812/201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ar/CAT/C/55/D/500/201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ar/CAT/C/52/D/477/201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AT/C/68/3" TargetMode="External"/><Relationship Id="rId2" Type="http://schemas.openxmlformats.org/officeDocument/2006/relationships/hyperlink" Target="https://undocs.org/ar/CAT/C/68/3" TargetMode="External"/><Relationship Id="rId1" Type="http://schemas.openxmlformats.org/officeDocument/2006/relationships/hyperlink" Target="https://undocs.org/ar/CAT/C/73/4" TargetMode="External"/><Relationship Id="rId4" Type="http://schemas.openxmlformats.org/officeDocument/2006/relationships/hyperlink" Target="https://undocs.org/ar/CAT/C/7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1808</Words>
  <Characters>9655</Characters>
  <Application>Microsoft Office Word</Application>
  <DocSecurity>0</DocSecurity>
  <Lines>150</Lines>
  <Paragraphs>43</Paragraphs>
  <ScaleCrop>false</ScaleCrop>
  <HeadingPairs>
    <vt:vector size="2" baseType="variant">
      <vt:variant>
        <vt:lpstr>Title</vt:lpstr>
      </vt:variant>
      <vt:variant>
        <vt:i4>1</vt:i4>
      </vt:variant>
    </vt:vector>
  </HeadingPairs>
  <TitlesOfParts>
    <vt:vector size="1" baseType="lpstr">
      <vt:lpstr>CAT/C/74/3</vt:lpstr>
    </vt:vector>
  </TitlesOfParts>
  <Company>DCM</Company>
  <LinksUpToDate>false</LinksUpToDate>
  <CharactersWithSpaces>11420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CAT/C/74/3</dc:title>
  <dc:subject>GE.2227656(A)</dc:subject>
  <dc:creator>Ihab RIZ - </dc:creator>
  <cp:keywords>GE.(A)</cp:keywords>
  <dc:description>General_x000d_
_x000d_
Arabic_x000d_
English</dc:description>
  <cp:lastModifiedBy>Jamal Alkahlout</cp:lastModifiedBy>
  <cp:revision>2</cp:revision>
  <cp:lastPrinted>2016-06-21T10:29:00Z</cp:lastPrinted>
  <dcterms:created xsi:type="dcterms:W3CDTF">2023-01-06T06:33:00Z</dcterms:created>
  <dcterms:modified xsi:type="dcterms:W3CDTF">2023-01-06T06:33:00Z</dcterms:modified>
  <cp:category>Final</cp:category>
</cp:coreProperties>
</file>