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40632</w:t>
                  </w:r>
                  <w:r>
                    <w:rPr>
                      <w:lang w:val="en-US"/>
                    </w:rPr>
                    <w:fldChar w:fldCharType="end"/>
                  </w:r>
                  <w:r>
                    <w:rPr>
                      <w:lang w:val="en-US"/>
                    </w:rPr>
                    <w:t xml:space="preserve">   (R)</w:t>
                  </w:r>
                  <w:r>
                    <w:t xml:space="preserve">    280303    310303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0" w:name="ПолеСоСписком1"/>
            <w:r>
              <w:instrText xml:space="preserve"> FORMDROPDOWN </w:instrText>
            </w:r>
            <w: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000000" w:rsidRDefault="00000000">
            <w:pPr>
              <w:spacing w:line="216" w:lineRule="auto"/>
            </w:pPr>
            <w:fldSimple w:instr=" FILLIN  &quot;Введите символ документа&quot; \* MERGEFORMAT ">
              <w:r>
                <w:t>CERD/C/SR.1564</w:t>
              </w:r>
            </w:fldSimple>
          </w:p>
          <w:p w:rsidR="00000000" w:rsidRDefault="00000000">
            <w:pPr>
              <w:spacing w:line="216" w:lineRule="auto"/>
            </w:pPr>
            <w:fldSimple w:instr=" FILLIN  &quot;Введите дату документа&quot; \* MERGEFORMAT ">
              <w:r>
                <w:t>14 March 2003</w:t>
              </w:r>
            </w:fldSimple>
          </w:p>
          <w:p w:rsidR="00000000" w:rsidRDefault="00000000">
            <w:pPr>
              <w:spacing w:line="216" w:lineRule="auto"/>
            </w:pPr>
          </w:p>
          <w:p w:rsidR="00000000" w:rsidRDefault="00000000">
            <w:pPr>
              <w:spacing w:line="216" w:lineRule="auto"/>
            </w:pPr>
            <w:r>
              <w:t>RUSSIAN</w:t>
            </w:r>
          </w:p>
          <w:p w:rsidR="00000000" w:rsidRDefault="00000000">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instrText xml:space="preserve"> FORMDROPDOWN </w:instrText>
            </w:r>
            <w:r>
              <w:fldChar w:fldCharType="end"/>
            </w:r>
            <w:bookmarkEnd w:id="1"/>
          </w:p>
          <w:p w:rsidR="00000000" w:rsidRDefault="00000000">
            <w:pPr>
              <w:tabs>
                <w:tab w:val="left" w:pos="0"/>
                <w:tab w:val="left" w:pos="7086"/>
              </w:tabs>
              <w:suppressAutoHyphens/>
              <w:spacing w:line="216" w:lineRule="auto"/>
              <w:ind w:left="284"/>
            </w:pPr>
          </w:p>
        </w:tc>
      </w:tr>
    </w:tbl>
    <w:p w:rsidR="00000000" w:rsidRDefault="00000000">
      <w:pPr>
        <w:tabs>
          <w:tab w:val="left" w:pos="0"/>
          <w:tab w:val="left" w:pos="7086"/>
        </w:tabs>
        <w:suppressAutoHyphens/>
      </w:pPr>
    </w:p>
    <w:p w:rsidR="00000000" w:rsidRDefault="00000000">
      <w:pPr>
        <w:tabs>
          <w:tab w:val="left" w:pos="0"/>
          <w:tab w:val="left" w:pos="7086"/>
        </w:tabs>
        <w:suppressAutoHyphens/>
        <w:rPr>
          <w:sz w:val="20"/>
        </w:rPr>
      </w:pPr>
    </w:p>
    <w:p w:rsidR="00000000" w:rsidRDefault="00000000">
      <w:pPr>
        <w:rPr>
          <w:sz w:val="2"/>
        </w:rPr>
      </w:pPr>
      <w:r>
        <w:rPr>
          <w:noProof/>
          <w:sz w:val="2"/>
        </w:rPr>
        <w:pict>
          <v:shape id="_x0000_s1029" type="#_x0000_t202" style="position:absolute;margin-left:85.05pt;margin-top:722.65pt;width:198pt;height:18pt;z-index:2;mso-position-horizontal-relative:page" stroked="f">
            <v:textbox style="mso-next-textbox:#_x0000_s1029"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4397</w:t>
                  </w:r>
                  <w:r>
                    <w:t>8</w:t>
                  </w:r>
                  <w:r>
                    <w:rPr>
                      <w:lang w:val="en-US"/>
                    </w:rPr>
                    <w:fldChar w:fldCharType="end"/>
                  </w:r>
                  <w:r>
                    <w:rPr>
                      <w:lang w:val="en-US"/>
                    </w:rPr>
                    <w:t xml:space="preserve">   (R)    300902    251002</w:t>
                  </w:r>
                </w:p>
              </w:txbxContent>
            </v:textbox>
            <w10:wrap anchorx="page"/>
            <w10:anchorlock/>
          </v:shape>
        </w:pict>
      </w:r>
    </w:p>
    <w:p w:rsidR="00000000" w:rsidRDefault="00000000">
      <w:pPr>
        <w:pStyle w:val="16"/>
        <w:spacing w:line="264" w:lineRule="auto"/>
      </w:pPr>
      <w:r>
        <w:t>КОМИТЕТ ПО ЛИКВИДАЦИИ РАСОВОЙ ДИСКРИМИНАЦИИ</w:t>
      </w:r>
    </w:p>
    <w:p w:rsidR="00000000" w:rsidRDefault="00000000">
      <w:pPr>
        <w:pStyle w:val="16"/>
        <w:spacing w:line="264" w:lineRule="auto"/>
      </w:pPr>
    </w:p>
    <w:p w:rsidR="00000000" w:rsidRDefault="00000000">
      <w:pPr>
        <w:spacing w:line="264" w:lineRule="auto"/>
        <w:jc w:val="center"/>
      </w:pPr>
      <w:r>
        <w:t>Шестьдесят вторая сессия</w:t>
      </w:r>
    </w:p>
    <w:p w:rsidR="00000000" w:rsidRDefault="00000000">
      <w:pPr>
        <w:spacing w:line="264" w:lineRule="auto"/>
        <w:jc w:val="center"/>
      </w:pPr>
    </w:p>
    <w:p w:rsidR="00000000" w:rsidRDefault="00000000">
      <w:pPr>
        <w:spacing w:line="264" w:lineRule="auto"/>
        <w:jc w:val="center"/>
      </w:pPr>
      <w:r>
        <w:t>КРАТКИЙ ОТЧЕТ О 1564-м ЗАСЕДАНИИ,</w:t>
      </w:r>
    </w:p>
    <w:p w:rsidR="00000000" w:rsidRDefault="00000000">
      <w:pPr>
        <w:spacing w:line="264" w:lineRule="auto"/>
        <w:jc w:val="center"/>
      </w:pPr>
    </w:p>
    <w:p w:rsidR="00000000" w:rsidRDefault="00000000">
      <w:pPr>
        <w:spacing w:line="264" w:lineRule="auto"/>
        <w:jc w:val="center"/>
      </w:pPr>
      <w:r>
        <w:t xml:space="preserve">состоявшемся во Дворце Наций в Женеве </w:t>
      </w:r>
    </w:p>
    <w:p w:rsidR="00000000" w:rsidRDefault="00000000">
      <w:pPr>
        <w:spacing w:line="264" w:lineRule="auto"/>
        <w:jc w:val="center"/>
      </w:pPr>
      <w:r>
        <w:t>в понедельник, 10 марта 2003 года, в 15 час. 00 мин.</w:t>
      </w:r>
    </w:p>
    <w:p w:rsidR="00000000" w:rsidRDefault="00000000">
      <w:pPr>
        <w:spacing w:line="264" w:lineRule="auto"/>
        <w:jc w:val="center"/>
      </w:pPr>
    </w:p>
    <w:p w:rsidR="00000000" w:rsidRDefault="00000000">
      <w:pPr>
        <w:spacing w:line="264" w:lineRule="auto"/>
        <w:jc w:val="center"/>
      </w:pPr>
      <w:r>
        <w:rPr>
          <w:u w:val="single"/>
        </w:rPr>
        <w:t>Председатель</w:t>
      </w:r>
      <w:r>
        <w:t>:  г-н ДЬЯКОНУ</w:t>
      </w:r>
    </w:p>
    <w:p w:rsidR="00000000" w:rsidRDefault="00000000">
      <w:pPr>
        <w:pStyle w:val="16"/>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16" w:lineRule="auto"/>
        <w:jc w:val="center"/>
      </w:pPr>
    </w:p>
    <w:p w:rsidR="00000000" w:rsidRDefault="00000000">
      <w:pPr>
        <w:ind w:left="567"/>
      </w:pPr>
      <w:r>
        <w:rPr>
          <w:u w:val="single"/>
        </w:rPr>
        <w:t>Пятнадцатый–семнадцатый периодические доклады Российской Федерации</w:t>
      </w:r>
      <w:r>
        <w:t xml:space="preserve"> (</w:t>
      </w:r>
      <w:r>
        <w:rPr>
          <w:u w:val="single"/>
        </w:rPr>
        <w:t>продолжение</w:t>
      </w:r>
      <w:r>
        <w:t>)</w:t>
      </w:r>
    </w:p>
    <w:p w:rsidR="00000000" w:rsidRDefault="00000000">
      <w:pPr>
        <w:spacing w:line="216" w:lineRule="auto"/>
      </w:pPr>
    </w:p>
    <w:p w:rsidR="00000000" w:rsidRDefault="00000000">
      <w:pPr>
        <w:pStyle w:val="FootnoteText"/>
        <w:spacing w:line="48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16"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16"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keepNext/>
        <w:jc w:val="center"/>
      </w:pPr>
      <w:r>
        <w:rPr>
          <w:u w:val="single"/>
        </w:rPr>
        <w:t>Заседание открывается в 15 час. 10 мин</w:t>
      </w:r>
      <w:r>
        <w:t>.</w:t>
      </w:r>
    </w:p>
    <w:p w:rsidR="00000000" w:rsidRDefault="00000000">
      <w:pPr>
        <w:keepNext/>
        <w:spacing w:line="360" w:lineRule="auto"/>
        <w:jc w:val="center"/>
      </w:pPr>
    </w:p>
    <w:p w:rsidR="00000000" w:rsidRDefault="00000000">
      <w:pPr>
        <w:keepNext/>
      </w:pPr>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u w:val="single"/>
        </w:rPr>
        <w:t>продолжение</w:t>
      </w:r>
      <w:r>
        <w:t>)</w:t>
      </w:r>
    </w:p>
    <w:p w:rsidR="00000000" w:rsidRDefault="00000000">
      <w:pPr>
        <w:keepNext/>
      </w:pPr>
    </w:p>
    <w:p w:rsidR="00000000" w:rsidRDefault="00000000">
      <w:pPr>
        <w:keepNext/>
      </w:pPr>
      <w:r>
        <w:tab/>
      </w:r>
      <w:r>
        <w:rPr>
          <w:u w:val="single"/>
        </w:rPr>
        <w:t>Пятнадцатый–семнадцатый периодические доклады Российской Федерации</w:t>
      </w:r>
    </w:p>
    <w:p w:rsidR="00000000" w:rsidRDefault="00000000">
      <w:r>
        <w:tab/>
        <w:t>(CERD/C/431/Add.2, HRI/CORE/1/Add.52/Rev.1, CERD/C/304/Add.43)</w:t>
      </w:r>
    </w:p>
    <w:p w:rsidR="00000000" w:rsidRDefault="00000000">
      <w:pPr>
        <w:spacing w:line="360" w:lineRule="auto"/>
      </w:pPr>
    </w:p>
    <w:p w:rsidR="00000000" w:rsidRDefault="00000000">
      <w:r>
        <w:t>1.</w:t>
      </w:r>
      <w:r>
        <w:tab/>
      </w:r>
      <w:r>
        <w:rPr>
          <w:u w:val="single"/>
        </w:rPr>
        <w:t>По приглашению Председателя члены делегации Российской Федерации занимают места за столом Комитета</w:t>
      </w:r>
      <w:r>
        <w:t>.</w:t>
      </w:r>
    </w:p>
    <w:p w:rsidR="00000000" w:rsidRDefault="00000000"/>
    <w:p w:rsidR="00000000" w:rsidRDefault="00000000">
      <w:r>
        <w:t>2.</w:t>
      </w:r>
      <w:r>
        <w:tab/>
      </w:r>
      <w:r>
        <w:rPr>
          <w:u w:val="single"/>
        </w:rPr>
        <w:t>Г-н ЗОРИН</w:t>
      </w:r>
      <w:r>
        <w:t xml:space="preserve"> (Российская Федерация), внося на рассмотрение семнадцатый периодический доклад (CERD/C/431/Add.2), говорит, что этническая и культурная политика страны построена на уважении прав и интересов всех меньшинств, проживающих на ее территории.  В стране живут свыше 170 этнических групп и национальностей.  82% населения составляют этнические русские.  К числу крупных этнических групп относятся татары, украинцы и чеченцы, общее количество которых превышает 1 млн. человек.  Коренные малочисленные народы включают орочей и энцев.  Среди различных народов, проживающих в Российской Федерации, 35 народов имеют свои собственные государственные структуры.  Из 65 коренных малочисленных народов 40 народов проживают на северных территориях и относятся к числу наиболее проблемных групп в стране, которые нуждаются в обширной государственной помощи.  Народы, не обладающие собственными государственными структурами и не входящие в категорию "коренных малочисленных народов", образуют национально-культурные автономии на местном и национальном уровнях.  Таким образом, этническая политика страны направлена на соблюдение прав этнических групп, обеспечение равенства между ними и преодоление дискриминации во всех ее формах.  Жизненно важными условиями для мира и политической стабильности в стране являются диалог между различными этническими группами и предупреждение нетерпимости.</w:t>
      </w:r>
    </w:p>
    <w:p w:rsidR="00000000" w:rsidRDefault="00000000"/>
    <w:p w:rsidR="00000000" w:rsidRDefault="00000000">
      <w:r>
        <w:t>3.</w:t>
      </w:r>
      <w:r>
        <w:tab/>
        <w:t>Меры, осуществленные за последние несколько лет в целях борьбы против расизма, включают принятие Закона о гражданстве Российской Федерации, Закона о статусе иностранных граждан и Трудового кодекса.  Были предприняты шаги по реформированию судебной системы и совершенствованию работы правозащитных органов.  Кроме того, активно работают в области прав человека такие неправительственные организации (НПО) по вопросам культуры, как Консультативный совет по делам национально-культурной автономии на правительственном уровне и Ассоциация малочисленных народов Севера, Сибири и Дальнего Востока Российской Федерации.  Другие соответствующие органы включают институт Уполномоченного по правам человека и Комиссию по правам человека при президенте Российской Федерации.</w:t>
      </w:r>
    </w:p>
    <w:p w:rsidR="00000000" w:rsidRDefault="00000000"/>
    <w:p w:rsidR="00000000" w:rsidRDefault="00000000">
      <w:r>
        <w:t>4.</w:t>
      </w:r>
      <w:r>
        <w:tab/>
        <w:t>Помимо этого, обширная работа была проведена также в рамках гражданского форума, который состоялся в декабре 2001 года и цель которого состояла в поощрении участия третьего сектора в защите прав человека и борьбе против расовой дискриминации.  Вопросам расовой дискриминации уделяют внимание государственные власти самого высокого уровня.  Например, в августе 2002 года состоялась встреча Президента с участниками третьего Всемирного конгресса татар.  Во время событий, связанных с захватом заложников в московском театральном центре 23–25 октября 2002 года, правительство приложило значительные усилия для предотвращения проявлений расовой ненависти в отношении чеченцев.</w:t>
      </w:r>
    </w:p>
    <w:p w:rsidR="00000000" w:rsidRDefault="00000000"/>
    <w:p w:rsidR="00000000" w:rsidRDefault="00000000">
      <w:r>
        <w:t>5.</w:t>
      </w:r>
      <w:r>
        <w:tab/>
        <w:t>В июле 2001 года была принята федеральная программа, направленная на поощрение терпимости в обществе и обуздание экстремизма.  Осуществление этой программы будет рассмотрено на заседании правительства в мае 2003 года.  20 марта он будет докладывать правительству о прогрессе в осуществлении мер по прекращению ингушско-осетинского конфликта.  Помимо деятельности примерно 300 национально-культурных автономий, вопросами национальных меньшинств занимаются также около 2 000 национальных общественных организаций, таких, как Ассамблея народов России и общественные межнациональные координационные советы при руководителях автономных областей и округов.</w:t>
      </w:r>
    </w:p>
    <w:p w:rsidR="00000000" w:rsidRDefault="00000000"/>
    <w:p w:rsidR="00000000" w:rsidRDefault="00000000">
      <w:r>
        <w:t>6.</w:t>
      </w:r>
      <w:r>
        <w:tab/>
        <w:t>Со времени предыдущего доклада его страна достигла успехов в предупреждении серьезных межэтнических конфликтов и в сохранении и преумножении культурного достояния своих народов.  В условиях социально-экономического кризиса начала 90</w:t>
      </w:r>
      <w:r>
        <w:noBreakHyphen/>
        <w:t>х годов и развития сложных процессов миграции осуществлялись мероприятия по сохранению межэтнического мира.  Следует отметить, что в предыдущие два года имело место радикальное изменение положения в сторону укрепления стабильности и устойчивого развития.  Однако сохраняются многие из проблем, в частности унаследованных от Советского Союза.  В этой связи правительство делает все возможное для реабилитации репрессированных народов и решения других проблем.</w:t>
      </w:r>
    </w:p>
    <w:p w:rsidR="00000000" w:rsidRDefault="00000000"/>
    <w:p w:rsidR="00000000" w:rsidRDefault="00000000">
      <w:r>
        <w:t>7.</w:t>
      </w:r>
      <w:r>
        <w:tab/>
        <w:t>В стране насчитывается 155 000 цыган.  Со времени предыдущего доклада была образована национально-культурная структура российских цыган, которую возглавляет член Консультативного совета при правительстве Российской Федерации.  В прошлом году были тщательно изучены потребности и проблемы российских цыган и был принят ряд мер для улучшения их положения.  Например, впервые в российской истории была опубликована энциклопедия цыган России.  В Самаре был проведен международный семинар, на котором была рассмотрена программа интеграции цыган в современное общество.</w:t>
      </w:r>
    </w:p>
    <w:p w:rsidR="00000000" w:rsidRDefault="00000000"/>
    <w:p w:rsidR="00000000" w:rsidRDefault="00000000">
      <w:r>
        <w:t>8.</w:t>
      </w:r>
      <w:r>
        <w:tab/>
        <w:t>Правительство готовится к проведению в Чечне референдума по Конституции Чеченской Республики.  В результате конфликтов и антитеррористических операций в Чечне не действовали ни Конституция, ни законные структуры самоуправления.  Конституция Чечни создаст дополнительные гарантии соблюдения прав и свобод человека.  Этот референдум является первым шагом в широком политическом процессе, цель которого состоит в создании законных структур государственного управления в Республике.  Он подчеркивает два следующих аспекта проекта Конституции:  этот проект предусматривает суверенитет Чеченской Республики и содержит термин "гражданин Чеченской Республики", который является уникальным в российском законодательстве.  Федеральное правительство осознает исключительный характер положения в Чечне и готово к поиску гибких решений, направленных на вовлечение как можно более широких слоев чеченского населения в конституционный процесс.  К числу инициатив, предпринятых в последнее время в этой связи, относятся существенное сокращение численности контингента вооруженных сил в Чечне и увеличение ресурсов, выделяемых для восстановления социально-экономической жизни в Республике.</w:t>
      </w:r>
    </w:p>
    <w:p w:rsidR="00000000" w:rsidRDefault="00000000"/>
    <w:p w:rsidR="00000000" w:rsidRDefault="00000000">
      <w:r>
        <w:t>9.</w:t>
      </w:r>
      <w:r>
        <w:tab/>
        <w:t>Его правительство признает необходимость дальнейших усилий по укреплению законодательства и обеспечению строгого соблюдения обязательств по Международной конвенции о ликвидации всех форм расовой дискриминации.</w:t>
      </w:r>
    </w:p>
    <w:p w:rsidR="00000000" w:rsidRDefault="00000000"/>
    <w:p w:rsidR="00000000" w:rsidRDefault="00000000">
      <w:r>
        <w:t>10.</w:t>
      </w:r>
      <w:r>
        <w:tab/>
      </w:r>
      <w:r>
        <w:rPr>
          <w:u w:val="single"/>
        </w:rPr>
        <w:t>Г-н ВОРОНОВ</w:t>
      </w:r>
      <w:r>
        <w:t xml:space="preserve"> (Российская Федерация) говорит, что страна создала законодательную основу, необходимую для выполнения обязательств по Всеобщей декларации прав человека и Конвенции.  В статье 19 Конституции говорится, что все равны перед законом.  Государство гарантирует равенство прав и свобод, независимо от пола, национальности, религии и других обстоятельств.  Введение в 1997 году Уголовного кодекса еще больше способствовало совершенствованию правовых оснований противодействия расовой дискриминации.  Ряд статей, включая статью 105 (убийство) и статью 111 (умышленное причинение тяжкого вреда здоровью), предусматривают ответственность за нарушение равноправия.  Права человека охраняются и другими федеральными законами и нормативными актами, в том числе Кодексом об административных правонарушениях, Трудовым кодексом, Семейным кодексом и Законом "О средствах массовой информации".</w:t>
      </w:r>
    </w:p>
    <w:p w:rsidR="00000000" w:rsidRDefault="00000000"/>
    <w:p w:rsidR="00000000" w:rsidRDefault="00000000">
      <w:r>
        <w:t>11.</w:t>
      </w:r>
      <w:r>
        <w:tab/>
        <w:t>Проявления политического экстремизма провоцируют нестабильность в российском обществе и ослабляют государственность.  Сложившееся положение потребовало от государственных органов всех уровней принятия решительных и более эффективных мер и обеспечения согласованных мероприятий по противодействию политическому экстремизму.  25 июля 2002 года был принят Федеральный закон "О противодействии экстремистской деятельности".  Этот закон призван стать основополагающим актом в борьбе с политическим экстремизмом.  В нем даны основные понятия экстремистской деятельности и запрещено создание объединений, осуществляющих такого рода деятельность.  Хотя пока еще слишком рано делать какие-либо выводы об эффективности этого закона, в ближайшее время будут подведены первоначальные результаты его реализации.  При принятии данных и иных изменений в законодательстве учитывались рекомендации Комитета (CERD/C/304/Add.43).  В Генеральной прокуратуре действует межведомственная группа по вопросам исполнения законодательства, направленного на борьбу с проявлениями фашизма и политического экстремизма.  Генеральная прокуратура всеми мерами старается активизировать работу по оказанию противодействия этим негативным явлениям в обществе.</w:t>
      </w:r>
    </w:p>
    <w:p w:rsidR="00000000" w:rsidRDefault="00000000"/>
    <w:p w:rsidR="00000000" w:rsidRDefault="00000000">
      <w:r>
        <w:t>12.</w:t>
      </w:r>
      <w:r>
        <w:tab/>
        <w:t>Систематически отслеживаются публикации в средствах массовой информации по вопросам политического экстремизма и иных форм нарушения прав граждан по национальному признаку.  В связи с неоднократными нарушениями Закона "О средствах массовой информации" была прекращена деятельность одного журнала и двух газет.  За период 1997–2001 годов было возбуждено 165 уголовных дел по положениям Уголовного кодекса, касающимся возбуждения национальной, расовой или религиозной вражды, при этом 30 дел были направлены для рассмотрения в суды.  В 2002 году было возбуждено 66 дел, в суды направлено 17 дел.  Оратор приводит подробные сведения о ряде недавних примеров правонарушений расистского характера или преступлений на почве ненависти, за которые виновные лица привлекались к ответственности по Уголовному кодексу, – от распространения расистской пропаганды, осквернения мест захоронения, нападений и избиений до убийств.  В рамках реализации нового Закона "О противодействии экстремистской деятельности" по заявлению прокурора Омской области Омским областным судом принято решение о роспуске местного отделения политического движения "Русское национальное единство" на тех основаниях, что оно занималось экстремистской деятельностью.</w:t>
      </w:r>
    </w:p>
    <w:p w:rsidR="00000000" w:rsidRDefault="00000000"/>
    <w:p w:rsidR="00000000" w:rsidRDefault="00000000">
      <w:r>
        <w:t>13.</w:t>
      </w:r>
      <w:r>
        <w:tab/>
        <w:t>По мнению Генеральной прокуратуры, необходимо уделять первостепенное внимание приоритизации использования резервов, имеющихся для борьбы с политическим экстремизмом и расизмом.  Позитивные результаты могут быть достигнуты только скоординированной работой законодательной и исполнительной ветвей власти субъектов Российской Федерации и правоохранительных органов на местном и федеральном уровнях.</w:t>
      </w:r>
    </w:p>
    <w:p w:rsidR="00000000" w:rsidRDefault="00000000"/>
    <w:p w:rsidR="00000000" w:rsidRDefault="00000000">
      <w:r>
        <w:t>14.</w:t>
      </w:r>
      <w:r>
        <w:tab/>
      </w:r>
      <w:r>
        <w:rPr>
          <w:u w:val="single"/>
        </w:rPr>
        <w:t>Г-н АБДУЛЛАЕВ</w:t>
      </w:r>
      <w:r>
        <w:t xml:space="preserve"> (Российская Федерация) говорит, что одним из приоритетов Российской Федерации является развитие языков меньшинств, и его важность отражена в государственной национальной политике и в федеральных законах о национальных языках, образовании и национально-культурной автономии.  Вопрос о языках рассматривается также в конституциях и законах федеральных субъектов Российской Федерации.</w:t>
      </w:r>
    </w:p>
    <w:p w:rsidR="00000000" w:rsidRDefault="00000000"/>
    <w:p w:rsidR="00000000" w:rsidRDefault="00000000">
      <w:r>
        <w:t>15.</w:t>
      </w:r>
      <w:r>
        <w:tab/>
        <w:t>В стране транслируется свыше 300 программ радиовещания на 56 языках и свыше 450 программ телевещания на 69 языках.  Все без исключения теле- и радиостанции в Российской Федерации осуществляют в рамках ряда программ вещание на языках меньшинств.  Даже в тех районах, где русские составляют подавляющее большинство населения, например в Центральной России, радиостанции отводят часть эфирного времени для вещания на языках меньшинств.  В конце 2000 года на языках этнических меньшинств издавалось 414 журналов и газет, примерно треть которых финансировалась из государственных средств.  Например, на чувашском языке издается 40 газет и 6 журналов.  На карачаево-балкарском языке выходят две газеты и шесть журналов;  девять газет публикуются на немецком языке и семь – на чеченском.  Кроме того, в России имеется большой объем литературы, посвященной вопросам, представляющим интерес для меньшинств.</w:t>
      </w:r>
    </w:p>
    <w:p w:rsidR="00000000" w:rsidRDefault="00000000"/>
    <w:p w:rsidR="00000000" w:rsidRDefault="00000000">
      <w:r>
        <w:t>16.</w:t>
      </w:r>
      <w:r>
        <w:tab/>
        <w:t>В Саратовской области, которая расположена в Поволжье и население которой является преимущественно русским, регулярно выходят в телеэфир программы на татарском и немецком языках наряду с менее регулярными передачами на языках других меньшинств.  Здесь публикуются газеты на немецком, армянском, азербайджанском и казахском языках.  Разумеется, в тех областях, где проживают значительно более крупные группы меньшинств, число периодических изданий на их языках является еще большим.</w:t>
      </w:r>
    </w:p>
    <w:p w:rsidR="00000000" w:rsidRDefault="00000000"/>
    <w:p w:rsidR="00000000" w:rsidRDefault="00000000">
      <w:r>
        <w:t>17.</w:t>
      </w:r>
      <w:r>
        <w:tab/>
        <w:t>Действует федеральная программа финансирования публикации книг, и среди прочего литературы на языках национальных меньшинств, с упором на публикации образовательного характера.  В 2002 году на государственные средства было выпущено 36 книг на адыгейском языке, 15 – на марийском языке, 4 – на чеченском языке и 65 – на якутском языке, при этом значительная часть этих изданий была посвящена просветительской деятельности.  Право граждан на общее образование на родных языках гарантировано двумя законами:  федеральным законом о национальных языках и федеральным законом об образовании.  В школах России в качестве дисциплин преподается примерно 85 языков меньшинств, при этом 37 таких языков используются в качестве основных языков обучения.</w:t>
      </w:r>
    </w:p>
    <w:p w:rsidR="00000000" w:rsidRDefault="00000000"/>
    <w:p w:rsidR="00000000" w:rsidRDefault="00000000">
      <w:r>
        <w:t>18.</w:t>
      </w:r>
      <w:r>
        <w:tab/>
        <w:t>Особое внимание уделяется охране языков, которые находятся под угрозой исчезновения, в частности в районах Крайнего Севера и Сибири.  Например, народ орочи насчитывает менее 1 000 человек, в числе которых орочским языком хорошо владеют лишь 150 человек, а численность коряков составляет всего лишь несколько сотен человек, из которых лишь немногие пользуются своим языком.  Поэтому правительство предпринимает серьезные усилия для поощрения использования этими малочисленными народами своих языков.  С 2001 по 2002 год увеличилось количество и тираж книг, публикуемых на языках меньшинств.</w:t>
      </w:r>
    </w:p>
    <w:p w:rsidR="00000000" w:rsidRDefault="00000000"/>
    <w:p w:rsidR="00000000" w:rsidRDefault="00000000">
      <w:r>
        <w:t>19.</w:t>
      </w:r>
      <w:r>
        <w:tab/>
      </w:r>
      <w:r>
        <w:rPr>
          <w:u w:val="single"/>
        </w:rPr>
        <w:t>Г-н ТОРНБЕРРИ</w:t>
      </w:r>
      <w:r>
        <w:t xml:space="preserve"> (Докладчик по стране) отмечает, что по Конституции универсально признанные принципы и нормы международного права и международные соглашения Российской Федерации являются составной частью правовой системы и имеют преимущественную силу над внутренними законами.  Далее, Конституция устанавливает, что перечисление в ней основных прав и свобод не должно толковаться как отрицание или умаление других общепризнанных прав и свобод.</w:t>
      </w:r>
    </w:p>
    <w:p w:rsidR="00000000" w:rsidRDefault="00000000"/>
    <w:p w:rsidR="00000000" w:rsidRDefault="00000000">
      <w:r>
        <w:t>20.</w:t>
      </w:r>
      <w:r>
        <w:tab/>
        <w:t xml:space="preserve">Комитет получил большой объем информации, включая ряд приложений к докладу и альтернативный доклад, подготовленный НПО.  Планируется ли в будущем привлекать НПО к подготовке доклада государства-участника?  Делегации следует разъяснить, почему в положении Конституции, которое, согласно государству-участнику, соответствует требованиям статьи 1 Конвенции, упоминается не сама дискриминация, а такое понятие, как "ограничения".  Действительно ли "расширительное и прогрессивное" толкование этого положения охватывает Конвенцию в полном объеме?  Из доклада неясно, каким образом в Уголовном кодексе запрещаются все формы дискриминации, так как четкого определения расовой дискриминации, по всей видимости, все же не существует.  В предыдущих заключительных замечаниях Комитета уже отмечалось отсутствие такого определения.  В государстве-участнике нет специальных учреждений для борьбы с расовой дискриминацией;  аппарат федерального Уполномоченного по правам человека, хотя и активно занимается защитой прав человека, не располагает специальным отделом для борьбы с дискриминацией. </w:t>
      </w:r>
    </w:p>
    <w:p w:rsidR="00000000" w:rsidRDefault="00000000"/>
    <w:p w:rsidR="00000000" w:rsidRDefault="00000000">
      <w:r>
        <w:t>21.</w:t>
      </w:r>
      <w:r>
        <w:tab/>
        <w:t>Были ли на уровне области созданы такие институты, как аппарат уполномоченного по правам человека?  Делегации следует разъяснить, какие учреждения составляют механизм национально-культурной автономии, имеют ли они государственный или частный характер и в какой мере они пользуются государственной поддержкой?  Было бы желательно с учетом сложного этнического состава и многообразия населения страны принять общий закон о правах меньшинств.  Какой прогресс был достигнут в деле принятия федерального законопроекта о защите меньшинств?  Хотя вопросы гражданства и натурализации не входят в сферу мандата Комитета, применение касающихся их норм на практике, если оно является дискриминационным, становится предметом озабоченности.  Согласно сообщениям, недавнее принятие двух законов, регулирующих правовой статус иностранных граждан и гражданство Российской Федерации, создало дополнительные трудности для лиц, не относящихся к числу россиян, которые желают обосноваться в стране на законных основаниях или получить гражданство.</w:t>
      </w:r>
    </w:p>
    <w:p w:rsidR="00000000" w:rsidRDefault="00000000"/>
    <w:p w:rsidR="00000000" w:rsidRDefault="00000000">
      <w:r>
        <w:t>22.</w:t>
      </w:r>
      <w:r>
        <w:tab/>
        <w:t>Комитет получил из различных источников ряд сообщений, согласно которым на широкой основе практикуются расово-селективные инспекции и проверки документов, в ряде случаев конкретно затрагивающие лиц из числа рома.  Многие НПО указывают, что источником проблем является система прописки.  Хотя по Конституции прописка не определяет правового статуса, а Конституционный суд постановил, что ограничения в выборе места проживания на практике являются неконституционными, злоупотребления в связи с действием этой системы фактически перечеркивают большое число прав, связанных с гражданством, включая право на доступ к системе правосудия, и незаконные положения все еще остаются в силе.  Он предлагает государству-участнику пересмотреть внутреннюю паспортную систему, с тем чтобы согласовать положение в этой области с Конвенцией.</w:t>
      </w:r>
    </w:p>
    <w:p w:rsidR="00000000" w:rsidRDefault="00000000"/>
    <w:p w:rsidR="00000000" w:rsidRDefault="00000000">
      <w:r>
        <w:t>23.</w:t>
      </w:r>
      <w:r>
        <w:tab/>
        <w:t>Статус вынужденных мигрантов с готовностью предоставлялся лицам, которые спасались от первой войны в Чечне в 90-х годах, но с тех пор получить его стало трудно.  Делегации следует информировать Комитет относительно того, сколько человек получили такой статус.  Согласно Специальному докладчику по вопросу о внутриперемещенных лицах, вероятно, существует несогласованность между международными принципами, применяемыми в отношении внутриперемещенных лиц, и принципами, которые применяются в государстве-участнике в связи с существованием категории "вынужденных мигрантов".  Было бы полезно, если бы делегация могла подробно осветить этот вопрос.  Предоставлялся ли в последнее время статус беженца лицам из других бывших советских республик?  В докладе упоминается о том, что эпицентр национальной политики и деятельности в этой области все больше перемещается на региональный уровень.  Каким образом будет финансироваться такая деятельность?</w:t>
      </w:r>
    </w:p>
    <w:p w:rsidR="00000000" w:rsidRDefault="00000000"/>
    <w:p w:rsidR="00000000" w:rsidRDefault="00000000">
      <w:r>
        <w:t>24.</w:t>
      </w:r>
      <w:r>
        <w:tab/>
        <w:t>Являются ли казаки этнической группой, объединением по интересам или движением и угнетались ли они в прошлом?  Высказывались предположения о том, что они причастны к актам расизма в отношении нерусских групп населения.  Получают ли они какую-либо поддержку от государства?  Комитет был бы признателен за информацию относительно их идеологических установок.</w:t>
      </w:r>
    </w:p>
    <w:p w:rsidR="00000000" w:rsidRDefault="00000000"/>
    <w:p w:rsidR="00000000" w:rsidRDefault="00000000">
      <w:r>
        <w:t>25.</w:t>
      </w:r>
      <w:r>
        <w:tab/>
        <w:t>В докладе не в достаточной степени охвачена деятельность по статье 3.  В своей Общей рекомендации XIX Комитет подчеркнул, что сфера действия этой статьи выходит за рамки прежнего положения в Южной Африке.  Согласно некоторым сообщениям, в системе образования применяется сегрегация.  Это, по</w:t>
      </w:r>
      <w:r>
        <w:noBreakHyphen/>
        <w:t>видимому, не имеет ничего общего с положением, при котором лица, принадлежащие к тем или иным группам меньшинств, делают добровольный выбор в пользу элементов раздельного обучения.  Несут ли дисциплинарную ответственность государственные должностные лица, которые делают расистские заявления?  В 2002 году было принято новое законодательство для противодействия экстремистским националистическим организациям, распространяющим расистскую пропаганду.  Делегации следует представить дополнительную информацию по делам, возбужденным в соответствии с этим законом, и ответить на выражения озабоченности по поводу того, что новый закон наделяет правительство неограниченными полномочиями в подавлении свободы выражения мнений и свободы ассоциации.  Может ли в соответствии с этим законом запрещаться какая-либо группа, чьи руководители делают не опровергнутые этой группой экстремистские заявления?  Верно ли, что может подлежать преследованию целая организация, если хоть одно из ее отделений оказалось виновным в экстремистской деятельности?  Принятый в 2002 году закон определяет экстремистскую деятельность в столь широких и нечетких формулировках, что для правоохранительных органов открываются возможности злоупотреблять своими полномочиями, одновременно не пресекая насилие на почве национализма и расизма.  В нем нет конкретного упоминания антисемитизма или ксенофобии.</w:t>
      </w:r>
    </w:p>
    <w:p w:rsidR="00000000" w:rsidRDefault="00000000"/>
    <w:p w:rsidR="00000000" w:rsidRDefault="00000000">
      <w:r>
        <w:t>26.</w:t>
      </w:r>
      <w:r>
        <w:tab/>
        <w:t>Некоторые должностные лица, включая бывшего губернатора Краснодарского края, явно делают расистские заявления, которые, по мнению Комитета, могут иметь несоразмерное воздействие на общественное мнение.  Какие меры принимает государство-участник для противодействия таким заявлениям?  Комитет получил много информации относительно антицыганской настроенности средств массовой информации, а Европейский центр по правам рома утверждал, что средства массовой информации создают климат враждебности по отношению к рома.  Делегации следует учесть в этой связи Общую рекомендацию XXVII.  Были ли приняты какие-либо меры для совершенствования информационной деятельности средств массовой информации и борьбы с таким явлением, как заявления, разжигающие ненависть?</w:t>
      </w:r>
    </w:p>
    <w:p w:rsidR="00000000" w:rsidRDefault="00000000"/>
    <w:p w:rsidR="00000000" w:rsidRDefault="00000000">
      <w:r>
        <w:t>27.</w:t>
      </w:r>
      <w:r>
        <w:tab/>
        <w:t>По</w:t>
      </w:r>
      <w:r>
        <w:noBreakHyphen/>
        <w:t>видимому, стандартные процедуры деятельности специальных подразделений правоохранительных органов включают применение насилия, а лица, совершающие такие деяния, де-факто пользуются безнаказанностью.  Комитет приветствовал бы дополнительную информацию относительно мер, принятых для предупреждения применения сотрудниками правоохранительных органов насилия в отношении лиц из числа этнических групп.  Имеется много свидетельств о том, что экстремистские группы, такие, как неонацисты и "бритоголовые", широко прибегают к насилию в отношении людей с "иной внешностью", в частности выходцев с Кавказа.  Было бы полезно, если бы делегация могла подробно рассказать об официальном реагировании на такие инциденты и уточнить, какие профилактические меры были приняты в этой связи помимо тех, что упоминаются в докладе.  В альтернативном докладе отмечается, что гостиницы Москвы отказываются принимать чеченцев и лиц из числа рома.  Может ли делегация прокомментировать эти утверждения?  Хотя в законодательной сфере были сделаны определенные позитивные шаги к осуществлению статьи 6 Конвенции, Комитет был бы признателен за большее число примеров применения средств правовой защиты, включая дела об уголовном преследовании за расовую дискриминацию, а также случаи выплаты компенсации.</w:t>
      </w:r>
    </w:p>
    <w:p w:rsidR="00000000" w:rsidRDefault="00000000"/>
    <w:p w:rsidR="00000000" w:rsidRDefault="00000000">
      <w:r>
        <w:t>28.</w:t>
      </w:r>
      <w:r>
        <w:tab/>
        <w:t>Комитет был бы признателен за дополнительную информацию относительно числа программ, разработанных для осуществления статьи 7 Конвенции, и методов реализации на практике межкультурного образования.  В своих предыдущих заключительных замечаниях (CERD/C/304/Add.43) Комитет рекомендовал принять дополнительные меры по расширению доступа меньшинств и коренных народов к начальному образованию на собственных языках.  Не ясно, были ли выполнены эти рекомендации, и в этой связи хотелось бы услышать более подробный ответ.</w:t>
      </w:r>
    </w:p>
    <w:p w:rsidR="00000000" w:rsidRDefault="00000000"/>
    <w:p w:rsidR="00000000" w:rsidRDefault="00000000">
      <w:r>
        <w:t>29.</w:t>
      </w:r>
      <w:r>
        <w:tab/>
        <w:t>Поступила информация о многих случаях вызывающего озабоченность обращения с чеченцами за пределами Чечни.  Он приветствовал бы информацию о характере и масштабах практики государственных органов при проверке паспортов и обысках чеченцев, а также сведения в связи с утверждениями о затрагивающих их случаях выселения, задержания и жестокого обращения.  Что касается референдума в Чечне, то он интересуется, каким образом на положение находящихся там граждан повлияет принятие Конституции.  Делегации следует разъяснить, какой объем суверенитета будет предусматривать новый проект Конституции.</w:t>
      </w:r>
    </w:p>
    <w:p w:rsidR="00000000" w:rsidRDefault="00000000"/>
    <w:p w:rsidR="00000000" w:rsidRDefault="00000000">
      <w:r>
        <w:t>30.</w:t>
      </w:r>
      <w:r>
        <w:tab/>
        <w:t>Он понимает, что, согласно закону о российском гражданстве, месхетинцы являются российскими гражданами;  однако они испытывают значительные трудности, обусловленные действием системы регистрации.  Верно ли, что многие из них не имеют вида на жительство?  Составляют ли проживающие в Федерации месхетинцы национальное меньшинство?  Если это так, то возникает целый ряд вопросов в связи с правами национального меньшинства, включая вопросы языка, образования, культуры, а также всего диапазона гражданских и политических прав.  Как он понимает, для населения в Краснодарском крае в целом характерно мирное сосуществование;  вместе с тем, по</w:t>
      </w:r>
      <w:r>
        <w:noBreakHyphen/>
        <w:t>видимому, проблема заключается в подстрекательстве к вражде со стороны некоторых групп, в частности казаков.  Он спрашивает, намечаются ли какие-либо пути решения этой проблемы.</w:t>
      </w:r>
    </w:p>
    <w:p w:rsidR="00000000" w:rsidRDefault="00000000"/>
    <w:p w:rsidR="00000000" w:rsidRDefault="00000000">
      <w:r>
        <w:t>31.</w:t>
      </w:r>
      <w:r>
        <w:tab/>
        <w:t>Имеется много позитивных изменений в положении коренных народов.  В 1999 году Специальный докладчик по вопросу о коренных народах приветствовал недавнее принятие федерального закона для гарантирования прав коренных малочисленных народов в качестве первого реального шага к признанию коренных народов в Российской Федерации (E/CN.4/2002/97, пункты 32, 97 и 104).  Однако неясно, является ли федеральный закон в сущности декларативным по своему характеру и поэтому таким, для осуществления которого требуется дополнительное законодательство.  Положения о земельных правах в этом законе могут быть более узкими, чем международные стандарты;  как представляется, их действие зависит от продолжения традиционной хозяйственной деятельности, и они не в достаточной степени предусматривают нетрадиционные методы землепользования.  Неясно воздействие Земельного кодекса 2001 года на земельные права коренного населения, и в нем, по</w:t>
      </w:r>
      <w:r>
        <w:noBreakHyphen/>
        <w:t xml:space="preserve">видимому, не охвачены коллективные земельные права коренных народов.  Делегации следует представить разъяснения относительно того, каким образом конкретное законодательство о коренных народах вписывается в более широкие правовые рамки.  В своих предыдущих заключительных замечаниях по четырнадцатому периодическому докладу Российской Федерации Комитет рекомендовал государству-участнику рассмотреть вопрос о ратификации Конвенции МОТ № 169 о коренных народах и народах, ведущих племенной образ жизни в независимых странах.  Проводилось ли дальнейшее рассмотрение возможности такого шага?  </w:t>
      </w:r>
    </w:p>
    <w:p w:rsidR="00000000" w:rsidRDefault="00000000"/>
    <w:p w:rsidR="00000000" w:rsidRDefault="00000000">
      <w:r>
        <w:t>32.</w:t>
      </w:r>
      <w:r>
        <w:tab/>
        <w:t>У Комитета есть весьма серьезные вопросы, касающиеся разнообразных уязвимых групп.  Существует ряд ключевых проблем, включая проблемы правового или структурного характера и проблемы, связанные с имплементацией, ролью властей и расистскими организациями.  К числу тревожащих вопросов относится также положение конкретных групп, таких, как чеченцы, месхетинцы, коренные народы, рома и другие группы.  Комитет осознает тот факт, что Российская Федерация является обширной, многокультурной страной.  Поэтому он глубоко заинтересован в успехах страны в деле борьбы с расизмом, решения проблем меньшинств и культурных и религиозных вопросов.  Кроме того, зная о радикальном распаде в государстве-участнике прежней всеобъемлющей модернистской философии, Комитет заинтересован в наблюдении за тем, каким образом это потрясение приведет к воссозданию политической, культурной и социальной самобытности.  Он также озабочен негативными последствиями, которые выражаются в существование правых экстремистов и других расистских элементов.</w:t>
      </w:r>
    </w:p>
    <w:p w:rsidR="00000000" w:rsidRDefault="00000000"/>
    <w:p w:rsidR="00000000" w:rsidRDefault="00000000">
      <w:r>
        <w:t>33.</w:t>
      </w:r>
      <w:r>
        <w:tab/>
      </w:r>
      <w:r>
        <w:rPr>
          <w:u w:val="single"/>
        </w:rPr>
        <w:t>Г-н ХЕРНДЛЬ</w:t>
      </w:r>
      <w:r>
        <w:t xml:space="preserve"> говорит, что в отношении осуществления статьи 4 Конвенции в национальном законодательстве страны все еще отмечаются определенные пробелы.  Ссылаясь на раздел 282 Уголовного кодекса страны, который является весьма прогрессивной нормой, он говорит, что Комитету хотелось бы получить более подробные статистические данные, касающиеся его осуществления, и в частности о характере и количестве возбужденных дел.  Он просит делегацию представить разъяснения относительно противоречивых сообщений о деле с участием г-на Виктора Корчагина.  Он отмечает, что в соответствии со статьей 63 Уголовного кодекса расовая мотивировка уголовного деяния рассматривается в качестве отягчающего обстоятельства.  Он задает вопрос о том, имеются ли какие-либо примеры дел, в которых это положение действительно сыграло определенную роль.  В этой связи в мае 2002 года в адрес правительства поступили жалобы на расистские акты против зарубежных дипломатов.  Приняты ли какие-либо меры реагирования с учетом того, что расистская мотивировка этих насильственных действий должна рассматриваться в качестве отягчающего обстоятельства?  Есть ли какие-либо сведения о соответствующих случаях?</w:t>
      </w:r>
    </w:p>
    <w:p w:rsidR="00000000" w:rsidRDefault="00000000"/>
    <w:p w:rsidR="00000000" w:rsidRDefault="00000000">
      <w:r>
        <w:t>34.</w:t>
      </w:r>
      <w:r>
        <w:tab/>
        <w:t>Что касается движения казаков, то он спрашивает, достаточные ли меры принимает правительство, с тем чтобы дистанцироваться от акций этого движения.  Следует ли запретить его?  Или правительство напротив проявляет к нему терпимость?  Кроме того, приветствовалась бы дополнительная информация по вопросу о запрещении организаций и ассоциаций, цель которых состоит в разжигании розни по признакам социального происхождения, расы, национальности или религии.</w:t>
      </w:r>
    </w:p>
    <w:p w:rsidR="00000000" w:rsidRDefault="00000000"/>
    <w:p w:rsidR="00000000" w:rsidRDefault="00000000">
      <w:r>
        <w:t>35.</w:t>
      </w:r>
      <w:r>
        <w:tab/>
        <w:t>Относительно нового закона о противодействии экстремистской деятельности он обращает внимание делегации на заявление Комитета по вопросу о расовой дискриминации и мерах по борьбе против терроризма (А/57/18, глава ХI, С), выпущенное 1 ноября 2002 года.  Комитет подчеркнул, что меры, направленные на борьбу с терроризмом, должны соответствовать Уставу Организации Объединенных Наций и что их следует рассматривать законными лишь в том случае, если они соответствуют основополагающим принципам и общепризнанным нормам международного права, в частности международного права прав человека и международного гуманитарного права.  Он настоятельно призывает правительство учитывать Заявление Комитета в своих усилиях по противодействию экстремистской деятельности.</w:t>
      </w:r>
    </w:p>
    <w:p w:rsidR="00000000" w:rsidRDefault="00000000"/>
    <w:p w:rsidR="00000000" w:rsidRDefault="00000000">
      <w:r>
        <w:t>36.</w:t>
      </w:r>
      <w:r>
        <w:tab/>
        <w:t>Пять лет назад в своих заключительных замечаниях Комитет предложил государству-участнику ратифицировать поправки к пункту 6 статьи 8 Конвенции.  Он обращает внимание делегации на резолюцию 57/194 Генеральной Ассамблеи, в которой она также настоятельно призывает государства – участники Конвенции ратифицировать эти поправки.</w:t>
      </w:r>
    </w:p>
    <w:p w:rsidR="00000000" w:rsidRDefault="00000000"/>
    <w:p w:rsidR="00000000" w:rsidRDefault="00000000">
      <w:r>
        <w:t>37.</w:t>
      </w:r>
      <w:r>
        <w:tab/>
      </w:r>
      <w:r>
        <w:rPr>
          <w:u w:val="single"/>
        </w:rPr>
        <w:t>Г-н де ГУТТ</w:t>
      </w:r>
      <w:r>
        <w:t>, ссылаясь на прежние заключительные замечания Комитета, говорит, что Российская Федерация является крупным многоэтническим государством, в состав которого входит более 176 национальностей и этнических групп, однако в нем исторически существовала дискриминация в отношении лиц по этническим признакам.  К сожалению, примеры, иллюстрирующие такую дискриминацию, являются такими же, как те, что обсуждаются сегодня, хотя с тех пор прошло уже пять лет.  В документе, который был представлен Комитету организацией "Международная амнистия" по вопросу о расовой дискриминации в Российской Федерации, указывается на несоответствие между защитой основополагающих прав, которой теоретически пользуются лица, проживающие в Российской Федерации, и действительным положением, при котором как негосударственные, так и государственные субъекты совершают многочисленные нарушения прав человека.</w:t>
      </w:r>
    </w:p>
    <w:p w:rsidR="00000000" w:rsidRDefault="00000000"/>
    <w:p w:rsidR="00000000" w:rsidRDefault="00000000">
      <w:r>
        <w:t>38.</w:t>
      </w:r>
      <w:r>
        <w:tab/>
        <w:t>Что касается чеченской проблемы, то в семнадцатом периодическом докладе страны содержится скудная информация.  Все члены Комитета получили весьма тревожную информацию от крупных НПО, которые направили в адрес Комитета многочисленные сообщения.  В докладе "Международной амнистии" за 2002 год отмечается, что в ходе столкновений с чеченцами российские вооруженные силы совершили серьезные нарушения прав человека и международного гуманитарного права.  По оценкам, приведенным в этом докладе, примерно 160 000 человек, в основном женщины и дети, подверглись перемещению и были свезены в лагеря с тяжелыми гигиеническими условиями.  Расследования, предпринятые российскими федеральными органами в отношении нарушений прав человека в Чечне, до настоящего времени приносят ничтожные результаты.  В докладе о положении в Чечне Международной федерации лиг защиты прав человека отмечается, что многим организациям, несмотря на их просьбы, не удается наладить с правительством сотрудничество.  К тому же ни одна из международных правозащитных организаций не была допущена к расследованию положения в Чечне.</w:t>
      </w:r>
    </w:p>
    <w:p w:rsidR="00000000" w:rsidRDefault="00000000"/>
    <w:p w:rsidR="00000000" w:rsidRDefault="00000000">
      <w:r>
        <w:t>39.</w:t>
      </w:r>
      <w:r>
        <w:tab/>
        <w:t>Процедуры получения паспорта в Российской Федерации могут становиться инструментом дискриминации и полицейского контроля.  Это затрагивает предусмотренную Конвенцией свободу передвижения и проживания.  Из многих источников поступают сообщения, содержащие обвинения в адрес движения казаков в связи с нападениями на меньшинства и различные группы населения Кавказа и указывающие на то, что, по</w:t>
      </w:r>
      <w:r>
        <w:noBreakHyphen/>
        <w:t>видимому, власти мирятся с их действиями.  Он приветствовал бы замечания и реакцию делегации на эти утверждения.  Статистических данных, представленных в пункте 112 доклада, недостаточно;  Комитет заинтересован не столько в сведениях о числе возбужденных дел, сколько в точных фактах, касающихся процедур разбирательства и суровости вынесенных приговоров.  Делегации следует развить эти статистические данные.</w:t>
      </w:r>
    </w:p>
    <w:p w:rsidR="00000000" w:rsidRDefault="00000000"/>
    <w:p w:rsidR="00000000" w:rsidRDefault="00000000">
      <w:r>
        <w:t>40.</w:t>
      </w:r>
      <w:r>
        <w:tab/>
        <w:t>В пункте 19 и последующих пунктах доклада представлен отчет о разрабатываемых законопроектах, а также законах и предписаниях, которые были недавно приняты для предупреждения экстремизма и борьбы с ним.  Государственная дума рассматривает законопроект, касающийся разжигания межнациональной розни.  Он просит представить подробные сведения обо всех законопроектах по противодействию экстремизму, которые находятся на рассмотрении в настоящее время.  Комитету также будет интересно знать, в каком состоянии находится рассмотрение 30 законопроектов по национальной тематике в Комитете Государственной Думы по делам национальностей, о которых упоминается в пункте 28 доклада.  К числу вопросов, затрагиваемых этими законопроектами, относится вопрос о соблюдении прав человека в Чеченской Республике, который представляет для Комитета большой интерес.  Наконец, делегации следует указать, в каком состоянии находится реформа судебной системы страны (пункт 106), особенно в связи с вступлением в силу новых положений Уголовно-процессуального кодекса (пункт 107).</w:t>
      </w:r>
    </w:p>
    <w:p w:rsidR="00000000" w:rsidRDefault="00000000"/>
    <w:p w:rsidR="00000000" w:rsidRDefault="00000000">
      <w:r>
        <w:t>41.</w:t>
      </w:r>
      <w:r>
        <w:tab/>
      </w:r>
      <w:r>
        <w:rPr>
          <w:u w:val="single"/>
        </w:rPr>
        <w:t>Г-н ВАЛЕНСИЯ РОДРИГЕС</w:t>
      </w:r>
      <w:r>
        <w:t xml:space="preserve"> считает очевидным, что Российская Федерация твердо привержена борьбе с расовой дискриминацией, проявления которой все еще вызывают большую тревогу.  Эта приверженность требует от властей постоянной бдительности и строжайшего соблюдения обязательств, установленных в Конвенции.  Основа для такой кампании содержится в статьях 13, 19 и 26 Конституции страны.  Он спрашивает, включает ли расширенное толкование этих норм осуществление международных конвенций, государством-участником которых является Российская Федерация, и в том числе осуществление Конвенции о ликвидации расовой дискриминации.</w:t>
      </w:r>
    </w:p>
    <w:p w:rsidR="00000000" w:rsidRDefault="00000000"/>
    <w:p w:rsidR="00000000" w:rsidRDefault="00000000">
      <w:r>
        <w:t>42.</w:t>
      </w:r>
      <w:r>
        <w:tab/>
        <w:t>В пунктах 24 и 25 доклада говорится о правовых и конституционных положениях, гарантирующих неотъемлемые права, в том числе связанные с этнической принадлежностью.  Также упоминается Закон "О гарантиях прав коренных малочисленных народов Российской Федерации", который направлен на защиту традиционного образа жизни этих народов.  Он спрашивает, какие результаты были достигнуты до настоящего времени в деле применения этих положений.  Он просит постоянно информировать Комитет об усилиях Комитета Государственной Думы по делам национальностей и достигнутых им результатах, особенно с учетом сосуществования в Федерации большого числа национальностей.  Он был бы признателен за дополнительные подробные сведения относительно органов, отвечающих за применение Концепции государственной национальной политики России и, в конечном счете, – проекта концепции миграционной политики (пункт 46).  Он просит и впредь информировать о достигнутых ими результатах.  Он также был бы признателен за более подробные сведения о региональных программах национально-культурного развития народов и этнических групп (пункт 49) с указанием того, каким образом их осуществление содействует поощрению взаимопонимания и терпимости среди различных этнических групп.</w:t>
      </w:r>
    </w:p>
    <w:p w:rsidR="00000000" w:rsidRDefault="00000000"/>
    <w:p w:rsidR="00000000" w:rsidRDefault="00000000">
      <w:r>
        <w:t>43.</w:t>
      </w:r>
      <w:r>
        <w:tab/>
        <w:t>Вызывает озабоченность тот факт, что общее социально-экономическое положение и последствия промышленного развития некоторых районов имели негативное воздействие на здоровье коренных народов Севера.  Он настоятельно призывает правительство уделить приоритетное внимание разработке мер по улучшению уровня жизни затрагиваемых групп населения.  Он настоятельно призывает правительство обратить особое внимание на сообщения о случаях дискриминации по национальному признаку, о которых упоминается в пункте 60 доклада.  Учитывая ссылки на недостаточно мотивированное применение санкций и возбуждение в судах уголовных дел, он настоятельно предлагает правительству отслеживать такие случаи и применять соответствующие правовые положения.</w:t>
      </w:r>
    </w:p>
    <w:p w:rsidR="00000000" w:rsidRDefault="00000000"/>
    <w:p w:rsidR="00000000" w:rsidRDefault="00000000">
      <w:r>
        <w:t>44.</w:t>
      </w:r>
      <w:r>
        <w:tab/>
        <w:t>Хотя правительство выполняет свои обязательства по пунктам а) и b) статьи 4 Конвенции, в этой области все еще имеются некоторые пробелы, а также отмечаются затруднения в применении некоторых правовых положений.  Он, в частности, ссылается на примеры, описанные в пунктах 78, 79 и 80 доклада, а также на положения конституционных актов ряда субъектов Федерации, о которых сообщается в пунктах 97 и 98 доклада.  Правительству в целях преодоления этих препятствий следует периодически пересматривать такие положения.  Он также был бы признателен за предоставление дополнительных сведений о деятельности аппарата Уполномоченного по правам человека в области борьбы с расовой дискриминацией (пункты 99–104).</w:t>
      </w:r>
    </w:p>
    <w:p w:rsidR="00000000" w:rsidRDefault="00000000"/>
    <w:p w:rsidR="00000000" w:rsidRDefault="00000000">
      <w:r>
        <w:t>45.</w:t>
      </w:r>
      <w:r>
        <w:tab/>
        <w:t>Хотя информация относительно статьи 5 Конвенции воспринимается с большим удовлетворением, особенно в том, что касается законодательных аспектов, в следующем докладе следует представить более подробные сведения об осуществлении конкретных положений этой статьи.  Он высоко оценивает деятельность правительства по принятию мер, направленных на реализацию статьи 7 Конвенции.  Он надеется, что такие усилия будут прилагаться и впредь и что полученные результаты будут отражены в процессе осуществления программ, упомянутых в пунктах 138–141 периодического доклада.</w:t>
      </w:r>
    </w:p>
    <w:p w:rsidR="00000000" w:rsidRDefault="00000000"/>
    <w:p w:rsidR="00000000" w:rsidRDefault="00000000">
      <w:r>
        <w:t>46.</w:t>
      </w:r>
      <w:r>
        <w:tab/>
      </w:r>
      <w:r>
        <w:rPr>
          <w:u w:val="single"/>
        </w:rPr>
        <w:t>Г-н КЕРУМ</w:t>
      </w:r>
      <w:r>
        <w:t xml:space="preserve"> говорит, что из сообщений ряда НПО складывается тревожная картина в связи с проведением правительством кампании регистрации в 1999 году, которая, по всей видимости, осуществлялась дискриминационным образом.  Он спрашивает, может ли делегация подтвердить эти сообщения и дать им оценку.  Он также спрашивает, существуют ли какие-либо федеральные механизмы для обеспечения соблюдения стандартной практики при проведении таких кампаний на всей обширной территории страны и обеспечения соответствия процедур осуществления этих законов международным обязательствам Российской Федерации.</w:t>
      </w:r>
    </w:p>
    <w:p w:rsidR="00000000" w:rsidRDefault="00000000"/>
    <w:p w:rsidR="00000000" w:rsidRDefault="00000000">
      <w:r>
        <w:t>47.</w:t>
      </w:r>
      <w:r>
        <w:tab/>
        <w:t>В марте 2001 года Европейская комиссия против расизма и нетерпимости сообщила об утверждениях, касающихся фабрикования уголовных обвинений против чеченцев, проживающих в Российской Федерации.  Эти утверждения являются серьезными.  Может ли делегация проинформировать Комитет о реакции государственных властей на эти серьезные утверждения и о мерах, принятых по итогам их рассмотрения?</w:t>
      </w:r>
    </w:p>
    <w:p w:rsidR="00000000" w:rsidRDefault="00000000"/>
    <w:p w:rsidR="00000000" w:rsidRDefault="00000000">
      <w:r>
        <w:t>48.</w:t>
      </w:r>
      <w:r>
        <w:tab/>
        <w:t>Он интересуется тем, проводил ли Уполномоченный по правам человека разбирательство по каким-либо случаям, связанным с дискриминацией.  Рассматривает ли правительство вопрос об учреждении более специализированного органа, конкретно занимающегося всеми формами дискриминации, включая вопрос о равных возможностях?</w:t>
      </w:r>
    </w:p>
    <w:p w:rsidR="00000000" w:rsidRDefault="00000000"/>
    <w:p w:rsidR="00000000" w:rsidRDefault="00000000">
      <w:r>
        <w:t>49.</w:t>
      </w:r>
      <w:r>
        <w:tab/>
        <w:t>До текущего заседания у Комитета состоялась краткая встреча с представителями НПО, из которой он вынес впечатление о существовании резервов в совершенствовании диалога между властями и гражданским обществом.  Он просит делегацию представить замечания в связи с утверждениями о том, что в школах Краснодарского края и в других местах систематически практикуется раздельное обучение детей из числа некоторых этнических меньшинств.  Отмечая, что от отдельных граждан поступил ряд обращений по поводу дискриминации по национальному признаку (пункт 60), он спрашивает, какие меры были приняты для доведения до сведения сотрудников правоохранительных органов всех уровней необходимости предупреждать расовую дискриминацию и были ли организованы какие-либо учебные курсы по этой проблеме.  Он также спрашивает, содержатся ли в законодательстве, которое в настоящее время находится в процессе рассмотрения, какие</w:t>
      </w:r>
      <w:r>
        <w:noBreakHyphen/>
        <w:t>либо положения о защите беженцев и просителей убежища и были ли разработаны руководящие принципы для удовлетворения особых потребностей таких групп.  Зачастую просителям убежища приходится ожидать долгие годы, прежде чем удовлетворяются их заявления о получении статуса беженца;  могут ли в этот период их дети приниматься в школы, с тем чтобы они не отстали в учебе?  Учитывая существующую в стране систему регистрации, он сомневается, что посещение такими детьми начальной школы не представляет проблемы.</w:t>
      </w:r>
    </w:p>
    <w:p w:rsidR="00000000" w:rsidRDefault="00000000"/>
    <w:p w:rsidR="00000000" w:rsidRDefault="00000000">
      <w:r>
        <w:t>50.</w:t>
      </w:r>
      <w:r>
        <w:tab/>
      </w:r>
      <w:r>
        <w:rPr>
          <w:u w:val="single"/>
        </w:rPr>
        <w:t>Г-н СИСИЛИАНОС</w:t>
      </w:r>
      <w:r>
        <w:t xml:space="preserve"> говорит, что как гражданин Греции он был тронут, прочтя об усилиях, направленных на поощрение преподавания его родного языка в крупной греческой общине России (пункт 132).  К докладу прилагается целый ряд добавлений.  Поскольку все они на русском языке, нельзя ли представить резюме их содержания?  Содержат ли они какую-либо дополнительную информацию о федеральной программе, упомянутой в пункте 23?</w:t>
      </w:r>
    </w:p>
    <w:p w:rsidR="00000000" w:rsidRDefault="00000000"/>
    <w:p w:rsidR="00000000" w:rsidRDefault="00000000">
      <w:r>
        <w:t>51.</w:t>
      </w:r>
      <w:r>
        <w:tab/>
        <w:t>Почему 10 из 45 коренных народов Севера, Сибири и Дальнего Востока находятся на грани исчезновения (пункт 55) и какие меры были приняты для исправления этого положения?  Отмечая допущение о том, что в конституционных актах ряда субъектов Федерации содержатся дискриминационные положения (пункт 98), он спрашивает, какие усилия были предприняты для приведения законодательства федеральных субъектов в соответствие с законодательством Российской Федерации.  Он также просит более подробно осветить новый Уголовно-процессуальный кодекс (пункт 106).  В пункте 112 упомянуто довольно небольшое число случаев возбуждения национальной, расовой или религиозной вражды.  Это позволяет предположить отсутствие систематического применения статьи 282 к таким преступлениям.  Делегация сослалась на статью 63, которая определяет расистские мотивы в качестве отягчающего обстоятельства.  Рассматривались ли дела, в которых применялась статья 63?</w:t>
      </w:r>
    </w:p>
    <w:p w:rsidR="00000000" w:rsidRDefault="00000000"/>
    <w:p w:rsidR="00000000" w:rsidRDefault="00000000">
      <w:r>
        <w:t>52.</w:t>
      </w:r>
      <w:r>
        <w:tab/>
        <w:t>Он надеется, что внутренняя паспортная система будет постепенно заменена более гибким механизмом, позволяющим обеспечивать уважение к свободе передвижения и проживания в соответствии со статьей 5 d) i) Конвенции.  Доклад страдает определенной концептуальной неясностью в отношении термина "политический экстремизм", а в российском законодательстве не проводится четкого разграничения между этим понятием и понятием расовой и этнической дискриминации.</w:t>
      </w:r>
    </w:p>
    <w:p w:rsidR="00000000" w:rsidRDefault="00000000"/>
    <w:p w:rsidR="00000000" w:rsidRDefault="00000000">
      <w:r>
        <w:t>53.</w:t>
      </w:r>
      <w:r>
        <w:tab/>
        <w:t>Что касается образования, то в докладе не приводится никакой информации о подготовке таких целевых групп, как судьи, сотрудники правоохранительных органов, сотрудники мест лишения свободы, пограничники и журналисты, в области вопросов, связанных с правами человека и расовой дискриминацией, и поэтому он обращает внимание делегации на рекомендацию Комитета в этой связи, содержащуюся в пункте 21 его заключительных замечаний по четырнадцатому периодическому докладу Российской Федерации (CERD/C/304/Add.43).</w:t>
      </w:r>
    </w:p>
    <w:p w:rsidR="00000000" w:rsidRDefault="00000000"/>
    <w:p w:rsidR="00000000" w:rsidRDefault="00000000">
      <w:r>
        <w:t>54.</w:t>
      </w:r>
      <w:r>
        <w:tab/>
      </w:r>
      <w:r>
        <w:rPr>
          <w:u w:val="single"/>
        </w:rPr>
        <w:t>Г-н АМИР</w:t>
      </w:r>
      <w:r>
        <w:t xml:space="preserve"> просит делегацию представить дополнительную информацию о соотношении функций и полномочий Федерации и функций и полномочий ее субъектов.  Что лежит в основе нового Уголовного кодекса – допущение будущей политической и правовой децентрализации или принцип такой федеральной системы, при которой общины или народы обладают определенной степенью автономии в ведении своих дел?  В децентрализованной системе необходимо учитывать права национальностей, не располагающих собственной территорией.  Подход Российской Федерации к данному вопросу будет иметь непосредственное отношение к тому, каким образом она борется с расовой дискриминацией.</w:t>
      </w:r>
    </w:p>
    <w:p w:rsidR="00000000" w:rsidRDefault="00000000"/>
    <w:p w:rsidR="00000000" w:rsidRDefault="00000000">
      <w:r>
        <w:t>55.</w:t>
      </w:r>
      <w:r>
        <w:tab/>
      </w:r>
      <w:r>
        <w:rPr>
          <w:u w:val="single"/>
        </w:rPr>
        <w:t>Г-н ЮТСИС</w:t>
      </w:r>
      <w:r>
        <w:t xml:space="preserve"> отмечает, что в 14 из 141 пункта доклада страны содержится упоминание о "политическом экстремизме".  Это показывает, насколько Российская Федерация обеспокоена этой проблемой.  Однако неясно, как решимость правительства бороться с экстремизмом связана с борьбой против расовой дискриминации, для которой необходимо конкретное законодательство;  Комитет уже обращал внимание на этот аспект в пункте 14 своих заключительных замечаний.</w:t>
      </w:r>
    </w:p>
    <w:p w:rsidR="00000000" w:rsidRDefault="00000000"/>
    <w:p w:rsidR="00000000" w:rsidRDefault="00000000">
      <w:r>
        <w:t>56.</w:t>
      </w:r>
      <w:r>
        <w:tab/>
        <w:t>Он просит делегацию привести примеры применения нового Уголовно-процессуального кодекса в делах, связанных с расовой дискриминацией.  Какие приговоры выносились судами?  Он хотел бы также получить более полную информацию о федеральном законодательстве, касающемся коренных малочисленных народов, и относительно того, объясняется ли резкое ухудшение положения таких народов (пункт 25) переходом к рыночной экономике или самим функционированием рыночной экономики.  Отмечая, что многие народы Севера, Сибири и Дальнего Востока находятся на грани исчезновения (пункт 55), он спрашивает, является ли этот процесс необратимым и каковы их социально-экономические перспективы.</w:t>
      </w:r>
    </w:p>
    <w:p w:rsidR="00000000" w:rsidRDefault="00000000"/>
    <w:p w:rsidR="00000000" w:rsidRDefault="00000000">
      <w:r>
        <w:t>57.</w:t>
      </w:r>
      <w:r>
        <w:tab/>
      </w:r>
      <w:r>
        <w:rPr>
          <w:u w:val="single"/>
        </w:rPr>
        <w:t>Г-н ПИЛЛАИ</w:t>
      </w:r>
      <w:r>
        <w:t xml:space="preserve"> отмечает, что в последующие 20 лет ожидается резкое сокращение численности населения Российской Федерации с нынешних 140 млн. человек до 100 или даже 70 млн. человек.  Как правительство рассматривает это сокращение с точки зрения этнического состава населения страны?  Для него неясно, какова численность этнических групп в Российской Федерации.  В базовом документе (HRI/CORE/1/Add.52/Rev.1) говорится о 120 национальностях и этнических группах (пункт 7);  на карте, представленной делегацией, насчитывается 161 такая группа, а г-н де Гутт назвал цифру в 176 групп.  Каково, по мнению властей, в настоящее время число национальностей в стране?</w:t>
      </w:r>
    </w:p>
    <w:p w:rsidR="00000000" w:rsidRDefault="00000000"/>
    <w:p w:rsidR="00000000" w:rsidRDefault="00000000">
      <w:r>
        <w:t>58.</w:t>
      </w:r>
      <w:r>
        <w:tab/>
        <w:t>В докладе не упоминается об одном важном этническом меньшинстве, а именно о рома-цыганах.  Согласно второму докладу Европейской комиссии Совета Европы против расизма и нетерпимости о положении в Российской Федерации (CRI (2001) 41), по официальным оценкам, численность рома-цыган составляет 150 000 человек, но некоторые организации рома-цыган приводят цифру, более чем в десять раз превышающую указанное количество.  Одна из причин этого несоответствия состоит в том, что многие рома-цыгане не имеют паспортов или иных документов и подчас не регистрируются.  Может ли делегация прокомментировать эти цифры?</w:t>
      </w:r>
    </w:p>
    <w:p w:rsidR="00000000" w:rsidRDefault="00000000"/>
    <w:p w:rsidR="00000000" w:rsidRDefault="00000000">
      <w:r>
        <w:t>59.</w:t>
      </w:r>
      <w:r>
        <w:tab/>
        <w:t>Он просит делегацию подробно осветить содержание термина "политический экстремизм".  Является ли расовая дискриминация одним из проявлений политического экстремизма?  Он также интересуется тем, не принимались ли судами какие-либо решения о приостановлении или запрещении деятельности какой-либо ассоциации (пункт 88).</w:t>
      </w:r>
    </w:p>
    <w:p w:rsidR="00000000" w:rsidRDefault="00000000"/>
    <w:p w:rsidR="00000000" w:rsidRDefault="00000000">
      <w:r>
        <w:t>60.</w:t>
      </w:r>
      <w:r>
        <w:tab/>
      </w:r>
      <w:r>
        <w:rPr>
          <w:u w:val="single"/>
        </w:rPr>
        <w:t>Г-н ЛИНДГРЕН АЛВИС</w:t>
      </w:r>
      <w:r>
        <w:t xml:space="preserve"> благодарит делегацию за ее емкий, всеобъемлющий и откровенный доклад, включающий конкретные примеры и описание нынешних трудностей.  Будучи выходцем из Южной Америки, он был поражен, узнав, что в одной стране могут существовать 176 национальностей.  Что подразумевается под этим термином?  В пункте 51 упоминается 11 федеральных национально-культурных автономий, тогда как чеченцы не включаются в число национальностей.</w:t>
      </w:r>
    </w:p>
    <w:p w:rsidR="00000000" w:rsidRDefault="00000000"/>
    <w:p w:rsidR="00000000" w:rsidRDefault="00000000">
      <w:r>
        <w:t>61.</w:t>
      </w:r>
      <w:r>
        <w:tab/>
        <w:t>Что касается пункта 5 периодического доклада, то он просит разъяснить фразу "социальная рознь" и спрашивает, почему ассоциации не могут создаваться по социальному признаку.  Он выражает делегации признательность за текст, который он считает наиболее полным объяснением понятий свободы религии и отправления культа, поскольку ранее никогда не видел ничего подобного в докладе какой-либо страны (пункт 8).  Российская Федерация ввела мораторий на исполнение смертных приговоров (пункт 15).  Он настоятельно призывает правительство раз и навсегда отменить смертную казнь.  Что касается пункта 98, то он не считает, что нужно испытывать какое-либо беспокойство в связи с требованием некоторых субъектов Российской Федерации в отношении владения русским языком, поскольку эти субъекты предположительно являются членами Российской Федерации по собственной воле.</w:t>
      </w:r>
    </w:p>
    <w:p w:rsidR="00000000" w:rsidRDefault="00000000"/>
    <w:p w:rsidR="00000000" w:rsidRDefault="00000000">
      <w:r>
        <w:t>62.</w:t>
      </w:r>
      <w:r>
        <w:tab/>
        <w:t>Учитывая тот факт, что Российская Федерация является постоянным членом Совета Безопасности, он просит делегацию довести до сведения президента Путина заявление, утвержденное Комитетом в прошлую пятницу.</w:t>
      </w:r>
    </w:p>
    <w:p w:rsidR="00000000" w:rsidRDefault="00000000"/>
    <w:p w:rsidR="00000000" w:rsidRDefault="00000000">
      <w:r>
        <w:t>63.</w:t>
      </w:r>
      <w:r>
        <w:tab/>
      </w:r>
      <w:r>
        <w:rPr>
          <w:u w:val="single"/>
        </w:rPr>
        <w:t>Г-н БОССАЙТ</w:t>
      </w:r>
      <w:r>
        <w:t xml:space="preserve"> отмечает неоднократное упоминание экстремизма, которое, вероятно, является ключевым словом в докладе.  Существует тенденция смазывать разграничение между экстремизмом, фашизмом, терроризмом и сепаратизмом, и не приводится какого-либо определения, раскрывающего, что именно подразумевается под этим термином.  Что это – призыв к насилию?  Расовая дискриминация?  Разжигание ненависти и нетерпимости?  В пункте 70 говорится о распространении различных форм экстремизма.  Точнее было бы сказать в докладе о распространении различных видов использования экстремизма.  Он согласен с тем, что сепаратистские настроения могут быть реальной угрозой основам конституционного строя Российской Федерации (пункт 70), но не видит, каким образом это должно привести к нарушениям прав и свобод человека и гражданина.  Согласно пункту 78, неэффективность борьбы с политическим экстремизмом обусловлена прежде всего сложностью доказательства вины;  по его впечатлению, подозреваемые с самого начала считаются виновными.</w:t>
      </w:r>
    </w:p>
    <w:p w:rsidR="00000000" w:rsidRDefault="00000000"/>
    <w:p w:rsidR="00000000" w:rsidRDefault="00000000">
      <w:r>
        <w:t>64.</w:t>
      </w:r>
      <w:r>
        <w:tab/>
        <w:t>В новом Уголовном кодекса отсутствуют правовые определения "фашизма" или "политического экстремизма" (пункт 80).  Разработка таких определений действительно является весьма непростым делом.  И все же, каким образом фашизм и политический экстремизм могут быть преступлениями, если они не определены?  Он заинтригован ссылкой на "преступные группировки, сформированные по национальному признаку" (пункт 113).  Может ли делегация представить дополнительную информацию о том, что это означает?</w:t>
      </w:r>
    </w:p>
    <w:p w:rsidR="00000000" w:rsidRDefault="00000000"/>
    <w:p w:rsidR="00000000" w:rsidRDefault="00000000"/>
    <w:p w:rsidR="00000000" w:rsidRDefault="00000000">
      <w:pPr>
        <w:pStyle w:val="11"/>
        <w:rPr>
          <w:u w:val="none"/>
        </w:rPr>
      </w:pPr>
      <w:r>
        <w:t>Заседание закрывается в 18 час. 05 мин</w:t>
      </w:r>
      <w:r>
        <w:rPr>
          <w:u w:val="none"/>
        </w:rPr>
        <w:t>.</w:t>
      </w:r>
    </w:p>
    <w:p w:rsidR="00000000" w:rsidRDefault="00000000">
      <w:pPr>
        <w:tabs>
          <w:tab w:val="left" w:pos="0"/>
        </w:tabs>
        <w:suppressAutoHyphens/>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CERD/C/SR.1564</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ru-RU" w:vendorID="1" w:dllVersion="512" w:checkStyle="1"/>
  <w:proofState w:spelling="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5951</Words>
  <Characters>42851</Characters>
  <Application>Microsoft Office Word</Application>
  <DocSecurity>4</DocSecurity>
  <Lines>738</Lines>
  <Paragraphs>86</Paragraphs>
  <ScaleCrop>false</ScaleCrop>
  <HeadingPairs>
    <vt:vector size="2" baseType="variant">
      <vt:variant>
        <vt:lpstr>Название</vt:lpstr>
      </vt:variant>
      <vt:variant>
        <vt:i4>1</vt:i4>
      </vt:variant>
    </vt:vector>
  </HeadingPairs>
  <TitlesOfParts>
    <vt:vector size="1" baseType="lpstr">
      <vt:lpstr>40632</vt:lpstr>
    </vt:vector>
  </TitlesOfParts>
  <Company> </Company>
  <LinksUpToDate>false</LinksUpToDate>
  <CharactersWithSpaces>50587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40632</dc:title>
  <dc:subject>ГРИГОРЬЕВ</dc:subject>
  <dc:creator>BELOVA Natalia</dc:creator>
  <cp:keywords/>
  <dc:description/>
  <cp:lastModifiedBy>BELOVA Natalia</cp:lastModifiedBy>
  <cp:revision>2</cp:revision>
  <cp:lastPrinted>2003-03-31T15:42:00Z</cp:lastPrinted>
  <dcterms:created xsi:type="dcterms:W3CDTF">2003-03-31T15:42:00Z</dcterms:created>
  <dcterms:modified xsi:type="dcterms:W3CDTF">2003-03-31T15:42:00Z</dcterms:modified>
</cp:coreProperties>
</file>