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Внеочередная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587-м заседании,</w:t>
      </w:r>
    </w:p>
    <w:p w:rsidR="00000000" w:rsidRDefault="00000000">
      <w:r>
        <w:t>состоявшемся в Центральных учреждениях, Нью-Йорк, во вторник, 20 августа 2002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 Манало (замест</w:t>
      </w:r>
      <w:r>
        <w:t>и</w:t>
      </w:r>
      <w:r>
        <w:t>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 18 Конвенции (</w:t>
      </w:r>
      <w:r>
        <w:rPr>
          <w:i/>
        </w:rPr>
        <w:t>пр</w:t>
      </w:r>
      <w:r>
        <w:rPr>
          <w:i/>
        </w:rPr>
        <w:t>о</w:t>
      </w:r>
      <w:r>
        <w:rPr>
          <w:i/>
        </w:rPr>
        <w:t>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 xml:space="preserve">Объединенные четвертый и пятый периодические доклады Венгрии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i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rPr>
          <w:i/>
        </w:rPr>
        <w:br w:type="page"/>
      </w:r>
    </w:p>
    <w:p w:rsidR="00000000" w:rsidRDefault="00000000">
      <w:pPr>
        <w:pStyle w:val="DualTxt"/>
      </w:pPr>
      <w:r>
        <w:rPr>
          <w:i/>
        </w:rPr>
        <w:t>В отсутствие г</w:t>
      </w:r>
      <w:r>
        <w:rPr>
          <w:i/>
        </w:rPr>
        <w:noBreakHyphen/>
        <w:t>жи Абаки место Председателя з</w:t>
      </w:r>
      <w:r>
        <w:rPr>
          <w:i/>
        </w:rPr>
        <w:t>а</w:t>
      </w:r>
      <w:r>
        <w:rPr>
          <w:i/>
        </w:rPr>
        <w:t>нимает заместитель Председателя г</w:t>
      </w:r>
      <w:r>
        <w:rPr>
          <w:i/>
        </w:rPr>
        <w:noBreakHyphen/>
        <w:t>жа Ман</w:t>
      </w:r>
      <w:r>
        <w:rPr>
          <w:i/>
        </w:rPr>
        <w:t>а</w:t>
      </w:r>
      <w:r>
        <w:rPr>
          <w:i/>
        </w:rPr>
        <w:t>ло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left" w:pos="900"/>
          <w:tab w:val="right" w:pos="990"/>
          <w:tab w:val="left" w:pos="1080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представленных государствами-участниками в соответствии</w:t>
      </w:r>
      <w:r>
        <w:br/>
        <w:t xml:space="preserve">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Объединенные четвертый и пятый периодические доклады Венгрии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  <w:r>
        <w:t xml:space="preserve"> </w:t>
      </w:r>
      <w:r>
        <w:rPr>
          <w:i w:val="0"/>
        </w:rPr>
        <w:t>(CEDAW/C/HUN/4-5; CEDAW/PSWG/2002/</w:t>
      </w:r>
      <w:r>
        <w:rPr>
          <w:i w:val="0"/>
        </w:rPr>
        <w:br/>
        <w:t>EXC/CRP.2/Add.6; CEDAW/PSWG/2002/EXC/</w:t>
      </w:r>
      <w:r>
        <w:rPr>
          <w:i w:val="0"/>
        </w:rPr>
        <w:br/>
        <w:t>CRP.1/Add.7)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 Фехер, г</w:t>
      </w:r>
      <w:r>
        <w:rPr>
          <w:i/>
        </w:rPr>
        <w:noBreakHyphen/>
        <w:t>жа Капоньи, г</w:t>
      </w:r>
      <w:r>
        <w:rPr>
          <w:i/>
        </w:rPr>
        <w:noBreakHyphen/>
        <w:t>н Кисс и г</w:t>
      </w:r>
      <w:r>
        <w:rPr>
          <w:i/>
        </w:rPr>
        <w:noBreakHyphen/>
        <w:t>жа Коллонаи Лехоцкине (Венгрия) занимают места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Статьи 10–14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Гонсалес</w:t>
      </w:r>
      <w:r>
        <w:t xml:space="preserve"> говорит, что уменьшение числа абортов можно лишь приветствовать, однако, н</w:t>
      </w:r>
      <w:r>
        <w:t>е</w:t>
      </w:r>
      <w:r>
        <w:t>смотря на все усилия, предпринимаемые законод</w:t>
      </w:r>
      <w:r>
        <w:t>а</w:t>
      </w:r>
      <w:r>
        <w:t>тельными органами и правительством, общие пок</w:t>
      </w:r>
      <w:r>
        <w:t>а</w:t>
      </w:r>
      <w:r>
        <w:t>затели числа абортов по</w:t>
      </w:r>
      <w:r>
        <w:noBreakHyphen/>
        <w:t>прежнему остаются чре</w:t>
      </w:r>
      <w:r>
        <w:t>з</w:t>
      </w:r>
      <w:r>
        <w:t>мерно высокими. Для решения этой проблемы н</w:t>
      </w:r>
      <w:r>
        <w:t>е</w:t>
      </w:r>
      <w:r>
        <w:t>обходимо применять более комплексный подход, включающий информационно-просветительную деятельность по вопросам, касающимся репроду</w:t>
      </w:r>
      <w:r>
        <w:t>к</w:t>
      </w:r>
      <w:r>
        <w:t>тивного здоровья и здоровья женщин. Например, государство-участник могло бы провести информ</w:t>
      </w:r>
      <w:r>
        <w:t>а</w:t>
      </w:r>
      <w:r>
        <w:t>ционно-просветительную кампанию, охватыва</w:t>
      </w:r>
      <w:r>
        <w:t>ю</w:t>
      </w:r>
      <w:r>
        <w:t>щую как женщин, так и мужчин, с тем чтобы пов</w:t>
      </w:r>
      <w:r>
        <w:t>ы</w:t>
      </w:r>
      <w:r>
        <w:t>сить их информированность о том, что они несут ответственность за недопущение нежелательной б</w:t>
      </w:r>
      <w:r>
        <w:t>е</w:t>
      </w:r>
      <w:r>
        <w:t>ременности. В рамках этой кампании особенно важно разъяснять возможность серьезных медици</w:t>
      </w:r>
      <w:r>
        <w:t>н</w:t>
      </w:r>
      <w:r>
        <w:t>ских последствий абортов для женщин, которые еще не имели детей, и опасность для здоровья, к</w:t>
      </w:r>
      <w:r>
        <w:t>о</w:t>
      </w:r>
      <w:r>
        <w:t>торую представляют неоднократные або</w:t>
      </w:r>
      <w:r>
        <w:t>р</w:t>
      </w:r>
      <w:r>
        <w:t>ты.</w:t>
      </w:r>
    </w:p>
    <w:p w:rsidR="00000000" w:rsidRDefault="00000000">
      <w:pPr>
        <w:pStyle w:val="DualTxt"/>
      </w:pPr>
      <w:r>
        <w:t>3.</w:t>
      </w:r>
      <w:r>
        <w:tab/>
        <w:t>В докладе отсутствует конкретная информация об общем состоянии здоровья женщин, в том числе сведения о заболеваемости по различным болезням и уровне смертности, сведения об основных прич</w:t>
      </w:r>
      <w:r>
        <w:t>и</w:t>
      </w:r>
      <w:r>
        <w:t>нах смерти и характере и масштабах злоупотребл</w:t>
      </w:r>
      <w:r>
        <w:t>е</w:t>
      </w:r>
      <w:r>
        <w:t>ния наркотическими веществами. Каким образом решаются эти проблемы? В докладе также отсутс</w:t>
      </w:r>
      <w:r>
        <w:t>т</w:t>
      </w:r>
      <w:r>
        <w:t>вует информация о том, каким образом право на здоровье обеспечивается женщинам, проживающим в сельской местн</w:t>
      </w:r>
      <w:r>
        <w:t>о</w:t>
      </w:r>
      <w:r>
        <w:t>сти.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указывает на то, что в действующих в настоящее время законах, каса</w:t>
      </w:r>
      <w:r>
        <w:t>ю</w:t>
      </w:r>
      <w:r>
        <w:t>щихся насилия в семье, конкретно не упоминаются действия, совершаемые против женщин. Государс</w:t>
      </w:r>
      <w:r>
        <w:t>т</w:t>
      </w:r>
      <w:r>
        <w:t>во-участник изучило проблему насилия в семье и признало, что она вызывает обеспокоенность общ</w:t>
      </w:r>
      <w:r>
        <w:t>е</w:t>
      </w:r>
      <w:r>
        <w:t>ственности, однако для решения этой проблемы н</w:t>
      </w:r>
      <w:r>
        <w:t>е</w:t>
      </w:r>
      <w:r>
        <w:t>обходим новый конкретный закон, включающий п</w:t>
      </w:r>
      <w:r>
        <w:t>о</w:t>
      </w:r>
      <w:r>
        <w:t>ложения, касающиеся использования запретител</w:t>
      </w:r>
      <w:r>
        <w:t>ь</w:t>
      </w:r>
      <w:r>
        <w:t>ных судебных приказов и специальных приютов для женщин, а также соответствующей профессионал</w:t>
      </w:r>
      <w:r>
        <w:t>ь</w:t>
      </w:r>
      <w:r>
        <w:t>ной подг</w:t>
      </w:r>
      <w:r>
        <w:t>о</w:t>
      </w:r>
      <w:r>
        <w:t xml:space="preserve">товки. </w:t>
      </w:r>
    </w:p>
    <w:p w:rsidR="00000000" w:rsidRDefault="00000000">
      <w:pPr>
        <w:pStyle w:val="DualTxt"/>
      </w:pPr>
      <w:r>
        <w:t>5.</w:t>
      </w:r>
      <w:r>
        <w:tab/>
        <w:t>Правительство предпринимает серьезные ус</w:t>
      </w:r>
      <w:r>
        <w:t>и</w:t>
      </w:r>
      <w:r>
        <w:t>лия по борьбе с дискриминацией цыганского нас</w:t>
      </w:r>
      <w:r>
        <w:t>е</w:t>
      </w:r>
      <w:r>
        <w:t>ления, однако отсутствие соответствующих данных с разбивкой по признаку пола затрудняет рассмо</w:t>
      </w:r>
      <w:r>
        <w:t>т</w:t>
      </w:r>
      <w:r>
        <w:t>рение Комитетом положения женщин из числа ц</w:t>
      </w:r>
      <w:r>
        <w:t>ы</w:t>
      </w:r>
      <w:r>
        <w:t>ганского этнического меньшинства. Комитету было бы интересно узнать, какова доля цыганских дев</w:t>
      </w:r>
      <w:r>
        <w:t>о</w:t>
      </w:r>
      <w:r>
        <w:t>чек среди учащихся школ со специальными уче</w:t>
      </w:r>
      <w:r>
        <w:t>б</w:t>
      </w:r>
      <w:r>
        <w:t>ными программами, а также каковы показатели численности цыганских мальчиков и девочек, бр</w:t>
      </w:r>
      <w:r>
        <w:t>о</w:t>
      </w:r>
      <w:r>
        <w:t>сивших шк</w:t>
      </w:r>
      <w:r>
        <w:t>о</w:t>
      </w:r>
      <w:r>
        <w:t>лу.</w:t>
      </w:r>
    </w:p>
    <w:p w:rsidR="00000000" w:rsidRDefault="00000000">
      <w:pPr>
        <w:pStyle w:val="DualTxt"/>
      </w:pPr>
      <w:r>
        <w:t>6.</w:t>
      </w:r>
      <w:r>
        <w:tab/>
        <w:t>В трудовом законодательстве страны по</w:t>
      </w:r>
      <w:r>
        <w:noBreakHyphen/>
        <w:t>прежнему сохраняется ряд положений, конкре</w:t>
      </w:r>
      <w:r>
        <w:t>т</w:t>
      </w:r>
      <w:r>
        <w:t>но направленных на защиту прав женщин, в том числе положение, запрещающее использовать на сверхурочных работах матерей, имеющих детей в возрасте до одного года. Такие положения могут о</w:t>
      </w:r>
      <w:r>
        <w:t>г</w:t>
      </w:r>
      <w:r>
        <w:t>раничивать возможности молодых женщин в плане трудоустройства, хотя многие из них являются бе</w:t>
      </w:r>
      <w:r>
        <w:t>з</w:t>
      </w:r>
      <w:r>
        <w:t>работными, получают социальную помощь или н</w:t>
      </w:r>
      <w:r>
        <w:t>а</w:t>
      </w:r>
      <w:r>
        <w:t>ходятся в финансовой зависимости от мужчин. Принимает ли правительство какие-либо меры по обеспечению гендерного баланса среди тех, кто пользуется возможностями, которые предоставляют осуществляемые в стране программы обеспечения занятости и обучения новым специальностям? Как известно, государство-участник ратифицировало Факультативный протокол к Конвенции, и это сл</w:t>
      </w:r>
      <w:r>
        <w:t>е</w:t>
      </w:r>
      <w:r>
        <w:t>дует приветствовать. В связи с этим возникает в</w:t>
      </w:r>
      <w:r>
        <w:t>о</w:t>
      </w:r>
      <w:r>
        <w:t>прос, намерено ли правительство в ближайшем б</w:t>
      </w:r>
      <w:r>
        <w:t>у</w:t>
      </w:r>
      <w:r>
        <w:t>дущем согласиться с поправкой к пункту 1 ст</w:t>
      </w:r>
      <w:r>
        <w:t>а</w:t>
      </w:r>
      <w:r>
        <w:t>тьи 20 этой Конве</w:t>
      </w:r>
      <w:r>
        <w:t>н</w:t>
      </w:r>
      <w:r>
        <w:t>ции?</w:t>
      </w:r>
    </w:p>
    <w:p w:rsidR="00000000" w:rsidRDefault="00000000">
      <w:pPr>
        <w:pStyle w:val="DualTxt"/>
      </w:pPr>
      <w:r>
        <w:t>7.</w:t>
      </w:r>
      <w:r>
        <w:tab/>
        <w:t>Задавая вопросы от имени г</w:t>
      </w:r>
      <w:r>
        <w:noBreakHyphen/>
        <w:t>жи Ливингстоун Рэдей, она отмечает, что разница в размере зарабо</w:t>
      </w:r>
      <w:r>
        <w:t>т</w:t>
      </w:r>
      <w:r>
        <w:t>ной платы женщин и мужчин относительно н</w:t>
      </w:r>
      <w:r>
        <w:t>е</w:t>
      </w:r>
      <w:r>
        <w:t>большая, однако она явно увеличивается. Какие м</w:t>
      </w:r>
      <w:r>
        <w:t>е</w:t>
      </w:r>
      <w:r>
        <w:t>ры планирует принять правительство, с тем чтобы обратить эту тенденцию вспять? Намерено ли оно использовать таблицы классификации работ или з</w:t>
      </w:r>
      <w:r>
        <w:t>а</w:t>
      </w:r>
      <w:r>
        <w:t>работной платы? Если оно намерено пойти по этому пути, то оно должно проявлять определенную ост</w:t>
      </w:r>
      <w:r>
        <w:t>о</w:t>
      </w:r>
      <w:r>
        <w:t>рожность, поскольку иногда такие инструменты связаны со стереотипными представлениями, кот</w:t>
      </w:r>
      <w:r>
        <w:t>о</w:t>
      </w:r>
      <w:r>
        <w:t>рые могут способствовать сохранению неравенства между мужчинами и женщинами, в том что касается работы. Какую позицию в этом вопросе занимают профессиональные союзы? И наконец, рассматр</w:t>
      </w:r>
      <w:r>
        <w:t>и</w:t>
      </w:r>
      <w:r>
        <w:t>вается ли в стране вопрос о принятии шведской м</w:t>
      </w:r>
      <w:r>
        <w:t>о</w:t>
      </w:r>
      <w:r>
        <w:t>дели отпуска по уходу за ребенком, в соответствии с которой такой отпуск оплачивается и отцам, одн</w:t>
      </w:r>
      <w:r>
        <w:t>а</w:t>
      </w:r>
      <w:r>
        <w:t>ко если отец ребенка не использует такой отпуск, он теряет на него право? Такая практика способствует более справедливому распределению семейных об</w:t>
      </w:r>
      <w:r>
        <w:t>я</w:t>
      </w:r>
      <w:r>
        <w:t>занностей.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Коллонаи Лехоцкине </w:t>
      </w:r>
      <w:r>
        <w:t>(Венгрия) согл</w:t>
      </w:r>
      <w:r>
        <w:t>а</w:t>
      </w:r>
      <w:r>
        <w:t>шается с тем, что предусмотренные в трудовом з</w:t>
      </w:r>
      <w:r>
        <w:t>а</w:t>
      </w:r>
      <w:r>
        <w:t>конодательстве меры по защите здоровья женщин могут ограничивать их возможности в плане труд</w:t>
      </w:r>
      <w:r>
        <w:t>о</w:t>
      </w:r>
      <w:r>
        <w:t>устройства, а также в плане продвижения по службе и получения более высокой заработной платы. В последние годы многие из таких положений были отменены, однако те два, которые по</w:t>
      </w:r>
      <w:r>
        <w:noBreakHyphen/>
        <w:t>прежнему о</w:t>
      </w:r>
      <w:r>
        <w:t>с</w:t>
      </w:r>
      <w:r>
        <w:t>таются в силе, запрещают матерям, имеющим м</w:t>
      </w:r>
      <w:r>
        <w:t>а</w:t>
      </w:r>
      <w:r>
        <w:t>леньких детей, работать в ночную смену и выпо</w:t>
      </w:r>
      <w:r>
        <w:t>л</w:t>
      </w:r>
      <w:r>
        <w:t>нять сверхурочную работу, хотя именно эти работы хорошо оплачиваются. В отношении других подо</w:t>
      </w:r>
      <w:r>
        <w:t>б</w:t>
      </w:r>
      <w:r>
        <w:t>ных ограничений теперь требуется согласие самого работника. Однако в связи с этим возникают сло</w:t>
      </w:r>
      <w:r>
        <w:t>ж</w:t>
      </w:r>
      <w:r>
        <w:t>ные проблемы, поскольку работодатели могут пр</w:t>
      </w:r>
      <w:r>
        <w:t>и</w:t>
      </w:r>
      <w:r>
        <w:t>нуждать работников соглашаться на такие работы. Законы, в которых конкретно предусматривается защита матерей и отцов-одиночек, постепенно о</w:t>
      </w:r>
      <w:r>
        <w:t>т</w:t>
      </w:r>
      <w:r>
        <w:t>меняются, поскольку, как выяснилось, они закре</w:t>
      </w:r>
      <w:r>
        <w:t>п</w:t>
      </w:r>
      <w:r>
        <w:t>ляют стереотипные представления о роли мужчин и женщин в семье.</w:t>
      </w:r>
    </w:p>
    <w:p w:rsidR="00000000" w:rsidRDefault="00000000">
      <w:pPr>
        <w:pStyle w:val="DualTxt"/>
      </w:pPr>
      <w:r>
        <w:t>9.</w:t>
      </w:r>
      <w:r>
        <w:tab/>
        <w:t>Уровень безработицы среди женщин ниже уровня безработицы среди мужчин вероятно в силу того, что многие женщины просто самоустранились с рынка труда. Другой вероятной причиной такого явления может быть структурная перестройка эк</w:t>
      </w:r>
      <w:r>
        <w:t>о</w:t>
      </w:r>
      <w:r>
        <w:t>номики, которая привела к увеличению числа раб</w:t>
      </w:r>
      <w:r>
        <w:t>о</w:t>
      </w:r>
      <w:r>
        <w:t>чих мест в обслуживающих секторах, где традиц</w:t>
      </w:r>
      <w:r>
        <w:t>и</w:t>
      </w:r>
      <w:r>
        <w:t>онно работает больше женщин, чем мужчин, в о</w:t>
      </w:r>
      <w:r>
        <w:t>т</w:t>
      </w:r>
      <w:r>
        <w:t>личие от секторов преимущественно мужской зан</w:t>
      </w:r>
      <w:r>
        <w:t>я</w:t>
      </w:r>
      <w:r>
        <w:t>тости, таких, как горнодобывающая и тяжелая пр</w:t>
      </w:r>
      <w:r>
        <w:t>о</w:t>
      </w:r>
      <w:r>
        <w:t>мышленность. Статистические данные, касающиеся разницы в размере заработной платы, могут вводить в заблуждение, поскольку данные отраслей частн</w:t>
      </w:r>
      <w:r>
        <w:t>о</w:t>
      </w:r>
      <w:r>
        <w:t>го сектора постоянно изменяются. В то время как на какой-то конкретной работе эта разница может с</w:t>
      </w:r>
      <w:r>
        <w:t>о</w:t>
      </w:r>
      <w:r>
        <w:t>ставлять 12–13 процентов, в целом она может до</w:t>
      </w:r>
      <w:r>
        <w:t>с</w:t>
      </w:r>
      <w:r>
        <w:t>тигать 28 процентов. До июля 2001 года в стране не существовало закона, который обязывал бы работ</w:t>
      </w:r>
      <w:r>
        <w:t>о</w:t>
      </w:r>
      <w:r>
        <w:t>дателей соблюдать требование о равной плате за труд равной ценности. Согласно новому закону размер заработной платы должен определяться на основе производственных показателей, и при этом должны учитываться особенности обоих п</w:t>
      </w:r>
      <w:r>
        <w:t>о</w:t>
      </w:r>
      <w:r>
        <w:t>лов.</w:t>
      </w:r>
    </w:p>
    <w:p w:rsidR="00000000" w:rsidRDefault="00000000">
      <w:pPr>
        <w:pStyle w:val="DualTxt"/>
      </w:pPr>
      <w:r>
        <w:t>10.</w:t>
      </w:r>
      <w:r>
        <w:tab/>
        <w:t>В целях содействия обеспечению гендерного равенства в области занятости для судей и инспе</w:t>
      </w:r>
      <w:r>
        <w:t>к</w:t>
      </w:r>
      <w:r>
        <w:t>торов по проверке условий труда в стране орган</w:t>
      </w:r>
      <w:r>
        <w:t>и</w:t>
      </w:r>
      <w:r>
        <w:t>зованы курсы по их подготовке в этих вопросах. Хотя делегация не может представить конкретных данных по этому вопросу, профсоюзы страны уд</w:t>
      </w:r>
      <w:r>
        <w:t>е</w:t>
      </w:r>
      <w:r>
        <w:t>ляют гендерному равенству особое внимание и сч</w:t>
      </w:r>
      <w:r>
        <w:t>и</w:t>
      </w:r>
      <w:r>
        <w:t>тают, что в Венгрии уже должны применяться но</w:t>
      </w:r>
      <w:r>
        <w:t>р</w:t>
      </w:r>
      <w:r>
        <w:t>мы, установленные в рамках Европейского союза. Поскольку в государственном секторе заняты около одной трети женщин, увеличение заработной платы государственных служащих на 50 процентов с се</w:t>
      </w:r>
      <w:r>
        <w:t>н</w:t>
      </w:r>
      <w:r>
        <w:t>тября 2002 года существенно отразится на среднем уровне заработной платы женщин.</w:t>
      </w:r>
    </w:p>
    <w:p w:rsidR="00000000" w:rsidRDefault="00000000">
      <w:pPr>
        <w:pStyle w:val="DualTxt"/>
      </w:pPr>
      <w:r>
        <w:t>11.</w:t>
      </w:r>
      <w:r>
        <w:tab/>
        <w:t>По общему мнению, предоставление отцам отпуска по уходу за ребенком без права его перен</w:t>
      </w:r>
      <w:r>
        <w:t>о</w:t>
      </w:r>
      <w:r>
        <w:t>са имеет свои положительные стороны и будет пр</w:t>
      </w:r>
      <w:r>
        <w:t>и</w:t>
      </w:r>
      <w:r>
        <w:t>ветствоваться. Оратор выражает надежду на то, что закон, предусматривающий такой отпуск, будет принят уже в ближайшем буд</w:t>
      </w:r>
      <w:r>
        <w:t>у</w:t>
      </w:r>
      <w:r>
        <w:t>щем.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 Фехер</w:t>
      </w:r>
      <w:r>
        <w:t xml:space="preserve"> (Венгрия) говорит, что в Венгрии насилие в семье не считается чьим-то личным д</w:t>
      </w:r>
      <w:r>
        <w:t>е</w:t>
      </w:r>
      <w:r>
        <w:t>лом. Предыдущим составом правительства был ра</w:t>
      </w:r>
      <w:r>
        <w:t>з</w:t>
      </w:r>
      <w:r>
        <w:t>работан проект нового закона о борьбе с таким н</w:t>
      </w:r>
      <w:r>
        <w:t>а</w:t>
      </w:r>
      <w:r>
        <w:t>силием, текст которого был распространен среди сотрудников соответствующих министерств. Она убеждена в том, что этот законопроект будет принят к тому времени, когда Комитет будет рассматривать следующий доклад Венгрии. Помимо этого, в ск</w:t>
      </w:r>
      <w:r>
        <w:t>о</w:t>
      </w:r>
      <w:r>
        <w:t>ром времени в Уголовный кодекс страны будут вн</w:t>
      </w:r>
      <w:r>
        <w:t>е</w:t>
      </w:r>
      <w:r>
        <w:t>сены поправки. Хотя теоретически полиция имеет право вмешиваться в случаях проявления насилия в семье, для эффективных действий в этой области ей необходимо практическое руководство и поощрение к т</w:t>
      </w:r>
      <w:r>
        <w:t>а</w:t>
      </w:r>
      <w:r>
        <w:t>ким действиям.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н Кисс</w:t>
      </w:r>
      <w:r>
        <w:t xml:space="preserve"> (Венгрия) говорит, что правительс</w:t>
      </w:r>
      <w:r>
        <w:t>т</w:t>
      </w:r>
      <w:r>
        <w:t>во сознает важное значение принятия поправки к пункту 1 статьи 20. Он намерен затронуть этот в</w:t>
      </w:r>
      <w:r>
        <w:t>о</w:t>
      </w:r>
      <w:r>
        <w:t>прос во время своего следующего выступления в Комиссии по международным отношениям и в др</w:t>
      </w:r>
      <w:r>
        <w:t>у</w:t>
      </w:r>
      <w:r>
        <w:t xml:space="preserve">гих парламентских органах. 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 Капоньи</w:t>
      </w:r>
      <w:r>
        <w:t xml:space="preserve"> (Венгрия) говорит, что новое правительство страны разработало стратегические руководящие принципы охраны здоровья населения, включая создание местных женских консультаций и независимых медицинских служб, которые будут заниматься информационно-пропагандистской де</w:t>
      </w:r>
      <w:r>
        <w:t>я</w:t>
      </w:r>
      <w:r>
        <w:t>тельностью среди женщин и оказывать им терапе</w:t>
      </w:r>
      <w:r>
        <w:t>в</w:t>
      </w:r>
      <w:r>
        <w:t>тические услуги. По ее мнению, внимание общес</w:t>
      </w:r>
      <w:r>
        <w:t>т</w:t>
      </w:r>
      <w:r>
        <w:t>венности необходимо привлечь к тем проблемам, которые ранее не были столь очевидными, в час</w:t>
      </w:r>
      <w:r>
        <w:t>т</w:t>
      </w:r>
      <w:r>
        <w:t>ности к проблемам сексуального насилия в семье и нарушений функций питания. На всех уровнях си</w:t>
      </w:r>
      <w:r>
        <w:t>с</w:t>
      </w:r>
      <w:r>
        <w:t>темы здравоохранения необходимо формировать навыки и накапливать опыт и знания, касающиеся укрепления здор</w:t>
      </w:r>
      <w:r>
        <w:t>о</w:t>
      </w:r>
      <w:r>
        <w:t>вья женщин.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Статьи 15 и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Гонесекере </w:t>
      </w:r>
      <w:r>
        <w:t>говорит, что проблема секс</w:t>
      </w:r>
      <w:r>
        <w:t>у</w:t>
      </w:r>
      <w:r>
        <w:t>альной эксплуатации вызывает обеспокоенность Комитета. Страны должны принять законы, напра</w:t>
      </w:r>
      <w:r>
        <w:t>в</w:t>
      </w:r>
      <w:r>
        <w:t>ленные на борьбу с торговлей женщинами, особе</w:t>
      </w:r>
      <w:r>
        <w:t>н</w:t>
      </w:r>
      <w:r>
        <w:t>но с учетом нынешних возможностей передачи и</w:t>
      </w:r>
      <w:r>
        <w:t>н</w:t>
      </w:r>
      <w:r>
        <w:t>формации по сети Интернет, которая способствует распространению этого явления. В своем докладе и в представлении этого доклада правительство пр</w:t>
      </w:r>
      <w:r>
        <w:t>и</w:t>
      </w:r>
      <w:r>
        <w:t>знает, что судебное преследование за торговлю женщинами осуществлялось лишь в немногих сл</w:t>
      </w:r>
      <w:r>
        <w:t>у</w:t>
      </w:r>
      <w:r>
        <w:t>чаях. Поскольку государство-участник присоедин</w:t>
      </w:r>
      <w:r>
        <w:t>и</w:t>
      </w:r>
      <w:r>
        <w:t>лось к Факультативному протоколу, исчерпание всех имеющихся в стране средств правовой защиты теперь является основанием для доведения таких случаев до сведения Комитета. Таким образом, р</w:t>
      </w:r>
      <w:r>
        <w:t>е</w:t>
      </w:r>
      <w:r>
        <w:t>формирование существующего законодательства и обеспечение наличия внутренних средств правовой защиты приобретают теперь весьма важное знач</w:t>
      </w:r>
      <w:r>
        <w:t>е</w:t>
      </w:r>
      <w:r>
        <w:t>ние.</w:t>
      </w:r>
    </w:p>
    <w:p w:rsidR="00000000" w:rsidRDefault="00000000">
      <w:pPr>
        <w:pStyle w:val="DualTxt"/>
      </w:pPr>
      <w:r>
        <w:t>16.</w:t>
      </w:r>
      <w:r>
        <w:tab/>
        <w:t>В рамках деятельности по созданию средств правовой защиты и пересмотру законодательства следует изменить его основную направленность и перенести акцент с вопросов, касающихся прил</w:t>
      </w:r>
      <w:r>
        <w:t>и</w:t>
      </w:r>
      <w:r>
        <w:t>чия и морали, на аспекты, касающиеся грубого н</w:t>
      </w:r>
      <w:r>
        <w:t>а</w:t>
      </w:r>
      <w:r>
        <w:t>рушения права женщин на физическую неприко</w:t>
      </w:r>
      <w:r>
        <w:t>с</w:t>
      </w:r>
      <w:r>
        <w:t>новенность. Следует пересмотреть законы, каса</w:t>
      </w:r>
      <w:r>
        <w:t>ю</w:t>
      </w:r>
      <w:r>
        <w:t>щиеся изнасилования, с тем чтобы обвинению не приходилось доказывать факт применения насилия. Изнасилование следует определить как совершение полового акта без согласия на него. Обеспокое</w:t>
      </w:r>
      <w:r>
        <w:t>н</w:t>
      </w:r>
      <w:r>
        <w:t>ность Комитета вызывает и принятое в венгерском законодательстве определение «совращения», кот</w:t>
      </w:r>
      <w:r>
        <w:t>о</w:t>
      </w:r>
      <w:r>
        <w:t>рое явно соответствует изнасилованию по стату</w:t>
      </w:r>
      <w:r>
        <w:t>т</w:t>
      </w:r>
      <w:r>
        <w:t>ному праву. Вопрос о согласии не имеет никакого отношения к тем случаям, когда половой акт сове</w:t>
      </w:r>
      <w:r>
        <w:t>р</w:t>
      </w:r>
      <w:r>
        <w:t>шается с несовершенноле</w:t>
      </w:r>
      <w:r>
        <w:t>т</w:t>
      </w:r>
      <w:r>
        <w:t xml:space="preserve">ним. </w:t>
      </w:r>
    </w:p>
    <w:p w:rsidR="00000000" w:rsidRDefault="00000000">
      <w:pPr>
        <w:pStyle w:val="DualTxt"/>
      </w:pPr>
      <w:r>
        <w:t>17.</w:t>
      </w:r>
      <w:r>
        <w:tab/>
        <w:t>Целесообразно было бы также обеспечить р</w:t>
      </w:r>
      <w:r>
        <w:t>а</w:t>
      </w:r>
      <w:r>
        <w:t>венство родительских обязанностей, например п</w:t>
      </w:r>
      <w:r>
        <w:t>о</w:t>
      </w:r>
      <w:r>
        <w:t>средством принятия соответствующих законов, к</w:t>
      </w:r>
      <w:r>
        <w:t>а</w:t>
      </w:r>
      <w:r>
        <w:t>сающихся отпуска по уходу за детьми. Отпуск по беременности и родам не должен рассматриваться в качестве одной из форм позитивной дискримин</w:t>
      </w:r>
      <w:r>
        <w:t>а</w:t>
      </w:r>
      <w:r>
        <w:t>ции, а в качестве средства осуществления социал</w:t>
      </w:r>
      <w:r>
        <w:t>ь</w:t>
      </w:r>
      <w:r>
        <w:t>ного права и обязательства.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отмечает, что, согласно Закону IV о браке, семье и опеке 1952 года, минимальный во</w:t>
      </w:r>
      <w:r>
        <w:t>з</w:t>
      </w:r>
      <w:r>
        <w:t>раст вступления в брак составляет 18 лет, явля</w:t>
      </w:r>
      <w:r>
        <w:t>ю</w:t>
      </w:r>
      <w:r>
        <w:t>щийся в Венгрии возрастом совершеннолетия, о</w:t>
      </w:r>
      <w:r>
        <w:t>д</w:t>
      </w:r>
      <w:r>
        <w:t>нако несовершеннолетние в возрасте 16 лет или старше могут вступать в брак с разрешения гос</w:t>
      </w:r>
      <w:r>
        <w:t>у</w:t>
      </w:r>
      <w:r>
        <w:t>дарственного органа опеки. В связи с этим она и</w:t>
      </w:r>
      <w:r>
        <w:t>н</w:t>
      </w:r>
      <w:r>
        <w:t>тересуется, как функционирует такой государстве</w:t>
      </w:r>
      <w:r>
        <w:t>н</w:t>
      </w:r>
      <w:r>
        <w:t>ный орган опеки; разрешается ли несовершенн</w:t>
      </w:r>
      <w:r>
        <w:t>о</w:t>
      </w:r>
      <w:r>
        <w:t>летним в возрасте 14 или 15 лет, достигшим уст</w:t>
      </w:r>
      <w:r>
        <w:t>а</w:t>
      </w:r>
      <w:r>
        <w:t>новленного законом возраста согласия, но не во</w:t>
      </w:r>
      <w:r>
        <w:t>з</w:t>
      </w:r>
      <w:r>
        <w:t>раста для вступления в брак, сожительствовать; е</w:t>
      </w:r>
      <w:r>
        <w:t>с</w:t>
      </w:r>
      <w:r>
        <w:t>ли да, то имеются ли какие-либо данные о распр</w:t>
      </w:r>
      <w:r>
        <w:t>о</w:t>
      </w:r>
      <w:r>
        <w:t>странении такого явления в этой возрастной группе; и разрешается ли несовершеннолетним осущест</w:t>
      </w:r>
      <w:r>
        <w:t>в</w:t>
      </w:r>
      <w:r>
        <w:t>лять свои родительские права. Отмечая тот факт, что в некоторых, как правило, мусульманских гос</w:t>
      </w:r>
      <w:r>
        <w:t>у</w:t>
      </w:r>
      <w:r>
        <w:t>дарствах по</w:t>
      </w:r>
      <w:r>
        <w:noBreakHyphen/>
        <w:t>прежнему существует полигамия, она интересуется, распространяется ли запрет на дво</w:t>
      </w:r>
      <w:r>
        <w:t>е</w:t>
      </w:r>
      <w:r>
        <w:t>женство на проживающих в Венгрии граждан др</w:t>
      </w:r>
      <w:r>
        <w:t>у</w:t>
      </w:r>
      <w:r>
        <w:t>гих государств; какие предусмотрены наказания за двоеженство; какая защита предусмотрена законом для вторых жен; и каков статус детей в полигамных браках. В представленном докладе подчеркивается уменьшение числа браков в стране и расширение практики совместного проживания; в связи с этим она хотела бы выяснить, принимает ли правител</w:t>
      </w:r>
      <w:r>
        <w:t>ь</w:t>
      </w:r>
      <w:r>
        <w:t>ство какие-либо меры для укрепления института брака и каковы права и обязанности супругов, оф</w:t>
      </w:r>
      <w:r>
        <w:t>и</w:t>
      </w:r>
      <w:r>
        <w:t>циально не зарегистрировавших свой брак. И нак</w:t>
      </w:r>
      <w:r>
        <w:t>о</w:t>
      </w:r>
      <w:r>
        <w:t>нец, она просит пояснить смысл пункта 1(d) ст</w:t>
      </w:r>
      <w:r>
        <w:t>а</w:t>
      </w:r>
      <w:r>
        <w:t>тьи 6 закона LXXIX о защите жизни эмбриона 1992 года, в котором предусматривается, что бер</w:t>
      </w:r>
      <w:r>
        <w:t>е</w:t>
      </w:r>
      <w:r>
        <w:t>менность может быть прервана в любой момент вплоть до двенадцатой недели, если беременная женщина находится «в состоянии серьезного криз</w:t>
      </w:r>
      <w:r>
        <w:t>и</w:t>
      </w:r>
      <w:r>
        <w:t>са».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Коллонаи Лехоцкине </w:t>
      </w:r>
      <w:r>
        <w:t>(Венгрия) гов</w:t>
      </w:r>
      <w:r>
        <w:t>о</w:t>
      </w:r>
      <w:r>
        <w:t>рит, что несовершеннолетние не могут осущест</w:t>
      </w:r>
      <w:r>
        <w:t>в</w:t>
      </w:r>
      <w:r>
        <w:t>лять родительские права. Поэтому в случаях, когда у несовершеннолетней рождается ребенок, для него назначается опекун — как правило, один из родит</w:t>
      </w:r>
      <w:r>
        <w:t>е</w:t>
      </w:r>
      <w:r>
        <w:t>лей матери. Однако эта процедура не применяется в отношении несовершеннолетних в возрасте 16 лет или старше, вступивших в брак с разрешения гос</w:t>
      </w:r>
      <w:r>
        <w:t>у</w:t>
      </w:r>
      <w:r>
        <w:t>дарственного органа по опеке, поскольку при вст</w:t>
      </w:r>
      <w:r>
        <w:t>у</w:t>
      </w:r>
      <w:r>
        <w:t>плении в брак они становятся полностью правосп</w:t>
      </w:r>
      <w:r>
        <w:t>о</w:t>
      </w:r>
      <w:r>
        <w:t>собными. В стране не существует законов, запр</w:t>
      </w:r>
      <w:r>
        <w:t>е</w:t>
      </w:r>
      <w:r>
        <w:t>щающих сожительствовать лицам в возрасте 14 или 15 лет, хотя им как несовершеннолетним для этого требуется согласие их родителей. Государственный орган по опеке является одним из органов местного управления, укомплектованным высококвалифиц</w:t>
      </w:r>
      <w:r>
        <w:t>и</w:t>
      </w:r>
      <w:r>
        <w:t>рованным персоналом, который, среди прочего, осуществляет опеку в отношении детей, родители которых умерли, являются недееспособными или лишены родительских прав.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Фехер</w:t>
      </w:r>
      <w:r>
        <w:t xml:space="preserve"> (Венгрия) говорит, что запрет на двоеженство не распространяется на проживающих в Венгрии граждан других государств. Однако с</w:t>
      </w:r>
      <w:r>
        <w:t>о</w:t>
      </w:r>
      <w:r>
        <w:t>гласно Закону IV о браке, семье и опеке 1952 года в тех случаях, когда гражданин Венгрии вступает в брак с гражданином другого государства, независ</w:t>
      </w:r>
      <w:r>
        <w:t>и</w:t>
      </w:r>
      <w:r>
        <w:t>мо от того, где это происходит — в Венгрии или в другой стране, обе стороны должны выполнять тр</w:t>
      </w:r>
      <w:r>
        <w:t>е</w:t>
      </w:r>
      <w:r>
        <w:t>бования законов о гражданском состоянии их соо</w:t>
      </w:r>
      <w:r>
        <w:t>т</w:t>
      </w:r>
      <w:r>
        <w:t>ветствующих стран для того, чтобы этот брак сч</w:t>
      </w:r>
      <w:r>
        <w:t>и</w:t>
      </w:r>
      <w:r>
        <w:t>тался действительным. Таким образом, если гра</w:t>
      </w:r>
      <w:r>
        <w:t>ж</w:t>
      </w:r>
      <w:r>
        <w:t>данин Венгрии вступает в брак со второй женой, даже если это происходит в государстве, в котором многоженство по-прежнему практикуется, в Вен</w:t>
      </w:r>
      <w:r>
        <w:t>г</w:t>
      </w:r>
      <w:r>
        <w:t>рии заключение такого брака будет квалифицир</w:t>
      </w:r>
      <w:r>
        <w:t>о</w:t>
      </w:r>
      <w:r>
        <w:t>ваться как двоеженство, и этот гражданин будет преследоваться по закону.</w:t>
      </w:r>
    </w:p>
    <w:p w:rsidR="00000000" w:rsidRDefault="00000000">
      <w:pPr>
        <w:pStyle w:val="DualTxt"/>
      </w:pPr>
      <w:r>
        <w:t>21.</w:t>
      </w:r>
      <w:r>
        <w:tab/>
        <w:t>Оратор хотела бы заверить Комитет в том, что внесение поправок в положения Уголовного коде</w:t>
      </w:r>
      <w:r>
        <w:t>к</w:t>
      </w:r>
      <w:r>
        <w:t>са, касающиеся торговли людьми, а также в опред</w:t>
      </w:r>
      <w:r>
        <w:t>е</w:t>
      </w:r>
      <w:r>
        <w:t>ление этого правонарушения после подписания Венгрией в декабре 2000 года Протокола о предо</w:t>
      </w:r>
      <w:r>
        <w:t>т</w:t>
      </w:r>
      <w:r>
        <w:t>вращении и пресечении торговли людьми, особенно женщинами и детьми и наказании за них, допо</w:t>
      </w:r>
      <w:r>
        <w:t>л</w:t>
      </w:r>
      <w:r>
        <w:t>няющего Конвенцию Организации Объединенных Наций против транснациональной организованной преступности, способствовало привлечению к о</w:t>
      </w:r>
      <w:r>
        <w:t>т</w:t>
      </w:r>
      <w:r>
        <w:t>ветственности лиц, занимающихся такой деятел</w:t>
      </w:r>
      <w:r>
        <w:t>ь</w:t>
      </w:r>
      <w:r>
        <w:t>ностью. В соответствии с измененными полож</w:t>
      </w:r>
      <w:r>
        <w:t>е</w:t>
      </w:r>
      <w:r>
        <w:t>ниями Уголовного кодекса, касающимися порн</w:t>
      </w:r>
      <w:r>
        <w:t>о</w:t>
      </w:r>
      <w:r>
        <w:t>графии, которые вступили в силу в апреле 2002 года, хранение и предложение порнографич</w:t>
      </w:r>
      <w:r>
        <w:t>е</w:t>
      </w:r>
      <w:r>
        <w:t>ских изображений несовершеннолетних является уголовным преступлением, в то время как в пр</w:t>
      </w:r>
      <w:r>
        <w:t>о</w:t>
      </w:r>
      <w:r>
        <w:t>шлом лишь изготовление таких порнографических изображений считалось уголовно наказуемым пр</w:t>
      </w:r>
      <w:r>
        <w:t>е</w:t>
      </w:r>
      <w:r>
        <w:t>ступлением. В структуре полиции создано спец</w:t>
      </w:r>
      <w:r>
        <w:t>и</w:t>
      </w:r>
      <w:r>
        <w:t>альное подразделение, занимающееся расследов</w:t>
      </w:r>
      <w:r>
        <w:t>а</w:t>
      </w:r>
      <w:r>
        <w:t>нием случаев распространения порнографии по с</w:t>
      </w:r>
      <w:r>
        <w:t>е</w:t>
      </w:r>
      <w:r>
        <w:t>ти Интернет.</w:t>
      </w:r>
    </w:p>
    <w:p w:rsidR="00000000" w:rsidRDefault="00000000">
      <w:pPr>
        <w:pStyle w:val="DualTxt"/>
      </w:pPr>
      <w:r>
        <w:t>22.</w:t>
      </w:r>
      <w:r>
        <w:tab/>
        <w:t>Касаясь отнесения таких преступлений, как изнасилование, и других сексуальных преступлений к категории преступлений против морали и нравс</w:t>
      </w:r>
      <w:r>
        <w:t>т</w:t>
      </w:r>
      <w:r>
        <w:t>венности, она признает, что соответствующая глава Уголовного кодекса является устаревшей. В связи с этим в стране планируется разработать новый з</w:t>
      </w:r>
      <w:r>
        <w:t>а</w:t>
      </w:r>
      <w:r>
        <w:t>кон, касающийся сексуальных преступлений, а та</w:t>
      </w:r>
      <w:r>
        <w:t>к</w:t>
      </w:r>
      <w:r>
        <w:t>же закон, касающийся насилия в семье и преслед</w:t>
      </w:r>
      <w:r>
        <w:t>о</w:t>
      </w:r>
      <w:r>
        <w:t>вания. Новый закон уже не будет проводить к</w:t>
      </w:r>
      <w:r>
        <w:t>а</w:t>
      </w:r>
      <w:r>
        <w:t>ких</w:t>
      </w:r>
      <w:r>
        <w:noBreakHyphen/>
        <w:t>либо различий между гомосексуальной и гет</w:t>
      </w:r>
      <w:r>
        <w:t>е</w:t>
      </w:r>
      <w:r>
        <w:t>росексуальной деятельностью, а уничижительные формулировки, которые используются в действу</w:t>
      </w:r>
      <w:r>
        <w:t>ю</w:t>
      </w:r>
      <w:r>
        <w:t>щих в настоящее время положениях для описания гомосексуальных половых актов, будут устранены. Изнасилование будет определяться как вступление в половую связь с женщиной без ее с</w:t>
      </w:r>
      <w:r>
        <w:t>о</w:t>
      </w:r>
      <w:r>
        <w:t>гласия.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н Кисс</w:t>
      </w:r>
      <w:r>
        <w:t xml:space="preserve"> (Венгрия) говорит, что в вопросе об абортах венгерское общество раскололось на два лагеря, которые придерживаются противоположных мнений. Формулировка пункта 1(d) статьи 6 Зак</w:t>
      </w:r>
      <w:r>
        <w:t>о</w:t>
      </w:r>
      <w:r>
        <w:t>на LXXIX о защите жизни эмбриона 1992 года представляет собой определенный компромисс. «Кризис», о котором идет речь, может иметь экон</w:t>
      </w:r>
      <w:r>
        <w:t>о</w:t>
      </w:r>
      <w:r>
        <w:t>мический или социальный характер. Собственное утверждение беременной женщины о том, что она находится в состоянии «серьезного кризиса», уже достаточно для удовлетворения требования закона; для проверки достоверности ее утверждения ник</w:t>
      </w:r>
      <w:r>
        <w:t>а</w:t>
      </w:r>
      <w:r>
        <w:t>кого независимого расследования проводиться не будет.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Капоньи </w:t>
      </w:r>
      <w:r>
        <w:t>(Венгрия) говорит, что более подробная информация по вопросам, затронутым экспертами, будет представлена в следующем до</w:t>
      </w:r>
      <w:r>
        <w:t>к</w:t>
      </w:r>
      <w:r>
        <w:t>ладе.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 Хейзелл</w:t>
      </w:r>
      <w:r>
        <w:t>, Докладчик, просит пояснить смысл положений, касающихся кровосмешения; создается впечатление, что если жертвой этого пр</w:t>
      </w:r>
      <w:r>
        <w:t>е</w:t>
      </w:r>
      <w:r>
        <w:t>ступления является лицо в возрасте 14 лет или старше, то совершившее его лицо не подлежит уг</w:t>
      </w:r>
      <w:r>
        <w:t>о</w:t>
      </w:r>
      <w:r>
        <w:t>ловному преследов</w:t>
      </w:r>
      <w:r>
        <w:t>а</w:t>
      </w:r>
      <w:r>
        <w:t>нию.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>,</w:t>
      </w:r>
      <w:r>
        <w:rPr>
          <w:b/>
        </w:rPr>
        <w:t xml:space="preserve"> </w:t>
      </w:r>
      <w:r>
        <w:t>отм</w:t>
      </w:r>
      <w:r>
        <w:t>е</w:t>
      </w:r>
      <w:r>
        <w:t>чая, что государство-участник находится в процессе реорганизации н</w:t>
      </w:r>
      <w:r>
        <w:t>а</w:t>
      </w:r>
      <w:r>
        <w:t>ционального механизма обеспечения прав женщин, говорит, что у нее по-прежнему нет ясности в о</w:t>
      </w:r>
      <w:r>
        <w:t>т</w:t>
      </w:r>
      <w:r>
        <w:t>ношении предлагаемой структуры, и спрашивает, когда начнет действовать эта новая система.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Фехер </w:t>
      </w:r>
      <w:r>
        <w:t>(Венгрия) говорит, что кровосм</w:t>
      </w:r>
      <w:r>
        <w:t>е</w:t>
      </w:r>
      <w:r>
        <w:t>шение является тяжким преступлением, которое н</w:t>
      </w:r>
      <w:r>
        <w:t>а</w:t>
      </w:r>
      <w:r>
        <w:t>казывается лишением свободы на срок от одного года до пяти лет. Кровосмешение между родными братьями и сестрами является мисдиминором, кот</w:t>
      </w:r>
      <w:r>
        <w:t>о</w:t>
      </w:r>
      <w:r>
        <w:t>рый наказывается лишением свободы на срок до двух лет. Помимо положений, касающихся кров</w:t>
      </w:r>
      <w:r>
        <w:t>о</w:t>
      </w:r>
      <w:r>
        <w:t>смешения, в Венгрии действует целый свод законов, направленных на защиту физического, морального и материального благополучия детей, а наказания, предусмотренные за нарушение этих законов, уж</w:t>
      </w:r>
      <w:r>
        <w:t>е</w:t>
      </w:r>
      <w:r>
        <w:t>сточаются в тех случаях, когда лицо, совершившее такое преступление, отвечает за воспитание, на</w:t>
      </w:r>
      <w:r>
        <w:t>д</w:t>
      </w:r>
      <w:r>
        <w:t>зор, уход или лечение жертвы.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Кисс </w:t>
      </w:r>
      <w:r>
        <w:t>(Венгрия) говорит, что в структуре министерства труда и политики в области занятости на высоком уровне создано Главное управление по обеспечению равных возможностей для женщин. Само министерство было создано лишь нескольк</w:t>
      </w:r>
      <w:r>
        <w:t>и</w:t>
      </w:r>
      <w:r>
        <w:t>ми неделями ранее, поэтому некоторые аспекты его структуры и порядка его работы пока еще находятся в стадии формирования. Этот процесс будет заве</w:t>
      </w:r>
      <w:r>
        <w:t>р</w:t>
      </w:r>
      <w:r>
        <w:t>шен к концу текущ</w:t>
      </w:r>
      <w:r>
        <w:t>е</w:t>
      </w:r>
      <w:r>
        <w:t>го года.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Абака </w:t>
      </w:r>
      <w:r>
        <w:t>гов</w:t>
      </w:r>
      <w:r>
        <w:t>о</w:t>
      </w:r>
      <w:r>
        <w:t>рит, что государству-участнику следует пересмотреть наказания за кр</w:t>
      </w:r>
      <w:r>
        <w:t>о</w:t>
      </w:r>
      <w:r>
        <w:t>восмешение, которые не отражают серьезности эт</w:t>
      </w:r>
      <w:r>
        <w:t>о</w:t>
      </w:r>
      <w:r>
        <w:t>го преступл</w:t>
      </w:r>
      <w:r>
        <w:t>е</w:t>
      </w:r>
      <w:r>
        <w:t>ния.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Капалата </w:t>
      </w:r>
      <w:r>
        <w:t>говорит, что она полностью поддерживает замечания г</w:t>
      </w:r>
      <w:r>
        <w:noBreakHyphen/>
        <w:t>жи Гонесекере относ</w:t>
      </w:r>
      <w:r>
        <w:t>и</w:t>
      </w:r>
      <w:r>
        <w:t>тельно необходимости всеобъемлющего пересмотра положений законодательства, касающихся половых преступлений, торговли людьми и насилия в отн</w:t>
      </w:r>
      <w:r>
        <w:t>о</w:t>
      </w:r>
      <w:r>
        <w:t>шении женщин. Она надеется, что участие женщин в политической жизни страны и их представле</w:t>
      </w:r>
      <w:r>
        <w:t>н</w:t>
      </w:r>
      <w:r>
        <w:t>ность на дипломатической службе, в том числе на руководящих должностях, расшири</w:t>
      </w:r>
      <w:r>
        <w:t>т</w:t>
      </w:r>
      <w:r>
        <w:t>ся.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Председатель</w:t>
      </w:r>
      <w:r>
        <w:t xml:space="preserve"> благодарит делегацию за ее о</w:t>
      </w:r>
      <w:r>
        <w:t>т</w:t>
      </w:r>
      <w:r>
        <w:t>веты на вопросы эк</w:t>
      </w:r>
      <w:r>
        <w:t>с</w:t>
      </w:r>
      <w:r>
        <w:t>пертов.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Капоньи </w:t>
      </w:r>
      <w:r>
        <w:t>(Венгрия) выражает призн</w:t>
      </w:r>
      <w:r>
        <w:t>а</w:t>
      </w:r>
      <w:r>
        <w:t>тельность за ценные замечания экспе</w:t>
      </w:r>
      <w:r>
        <w:t>р</w:t>
      </w:r>
      <w:r>
        <w:t>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16 ч. 25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NO&gt;&gt;N0253136R&lt;&lt;ODS JOB NO&gt;&gt;</w:t>
      </w:r>
    </w:p>
    <w:p w:rsidR="00000000" w:rsidRDefault="00000000">
      <w:pPr>
        <w:pStyle w:val="CommentText"/>
      </w:pPr>
      <w:r>
        <w:t>&lt;&lt;ODS DOC SYMBOL1&gt;&gt;CEDAW/C/SR.587&lt;&lt;ODS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02-53136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*0253136*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CEDAW/C/SR.587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CEDAW/C/SR.587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/C/SR.587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pPr>
            <w:spacing w:line="240" w:lineRule="auto"/>
          </w:pPr>
          <w:r>
            <w:rPr>
              <w:lang w:val="en-US"/>
            </w:rPr>
            <w:t>14 January</w:t>
          </w:r>
          <w:r>
            <w:t xml:space="preserve"> 200</w:t>
          </w:r>
          <w:r>
            <w:rPr>
              <w:lang w:val="en-US"/>
            </w:rPr>
            <w:t>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2/01/2004 9:43: AM"/>
    <w:docVar w:name="DocCategory" w:val="SROthers"/>
    <w:docVar w:name="DocType" w:val="Final"/>
    <w:docVar w:name="JobNo" w:val="0253136R"/>
    <w:docVar w:name="OandT" w:val=" "/>
    <w:docVar w:name="Symbol1" w:val="CEDAW/C/SR.58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2908</Words>
  <Characters>16577</Characters>
  <Application>Microsoft Office Word</Application>
  <DocSecurity>4</DocSecurity>
  <Lines>138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20357</CharactersWithSpaces>
  <SharedDoc>false</SharedDoc>
  <HLinks>
    <vt:vector size="6" baseType="variant">
      <vt:variant>
        <vt:i4>4522087</vt:i4>
      </vt:variant>
      <vt:variant>
        <vt:i4>41466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2004-01-13T09:51:00Z</cp:lastPrinted>
  <dcterms:created xsi:type="dcterms:W3CDTF">2004-01-13T09:50:00Z</dcterms:created>
  <dcterms:modified xsi:type="dcterms:W3CDTF">2004-01-13T10:34:00Z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0253136</vt:lpwstr>
  </property>
  <property fmtid="{D5CDD505-2E9C-101B-9397-08002B2CF9AE}" pid="3" name="Symbol1">
    <vt:lpwstr>CEDAW/C/SR.587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Галицкая</vt:lpwstr>
  </property>
</Properties>
</file>