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BDC" w:rsidRPr="00184D9F" w:rsidRDefault="00864BDC" w:rsidP="00864BDC">
      <w:pPr>
        <w:spacing w:line="240" w:lineRule="auto"/>
        <w:rPr>
          <w:sz w:val="2"/>
          <w:lang w:val="fr-FR"/>
        </w:rPr>
        <w:sectPr w:rsidR="00864BDC" w:rsidRPr="00184D9F" w:rsidSect="00864BDC">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184D9F">
        <w:rPr>
          <w:rStyle w:val="CommentReference"/>
          <w:lang w:val="fr-FR"/>
        </w:rPr>
        <w:commentReference w:id="0"/>
      </w:r>
      <w:bookmarkStart w:id="1" w:name="_GoBack"/>
      <w:bookmarkEnd w:id="1"/>
    </w:p>
    <w:p w:rsidR="00184D9F" w:rsidRPr="00184D9F" w:rsidRDefault="00184D9F" w:rsidP="00184D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84D9F">
        <w:rPr>
          <w:lang w:val="fr-FR"/>
        </w:rPr>
        <w:lastRenderedPageBreak/>
        <w:t xml:space="preserve">Comité pour l’élimination de la discrimination </w:t>
      </w:r>
      <w:r w:rsidRPr="00184D9F">
        <w:rPr>
          <w:lang w:val="fr-FR"/>
        </w:rPr>
        <w:br/>
        <w:t>à l’égard des femmes</w:t>
      </w:r>
    </w:p>
    <w:p w:rsidR="00184D9F" w:rsidRPr="00184D9F" w:rsidRDefault="00184D9F" w:rsidP="00184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D9F">
        <w:rPr>
          <w:lang w:val="fr-FR"/>
        </w:rPr>
        <w:t>Groupe de travail d’avant-session</w:t>
      </w:r>
    </w:p>
    <w:p w:rsidR="00184D9F" w:rsidRPr="00184D9F" w:rsidRDefault="00184D9F" w:rsidP="00184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D9F">
        <w:rPr>
          <w:lang w:val="fr-FR"/>
        </w:rPr>
        <w:t>Soixante-troisième session</w:t>
      </w:r>
    </w:p>
    <w:p w:rsidR="00184D9F" w:rsidRPr="00184D9F" w:rsidRDefault="00184D9F" w:rsidP="00184D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84D9F">
        <w:rPr>
          <w:lang w:val="fr-FR"/>
        </w:rPr>
        <w:t>27-30 juillet 2015</w:t>
      </w:r>
    </w:p>
    <w:p w:rsidR="00184D9F" w:rsidRPr="00184D9F" w:rsidRDefault="00184D9F" w:rsidP="00184D9F">
      <w:pPr>
        <w:pStyle w:val="SingleTxt"/>
        <w:spacing w:after="0" w:line="120" w:lineRule="exact"/>
        <w:rPr>
          <w:b/>
          <w:sz w:val="10"/>
          <w:lang w:val="fr-FR"/>
        </w:rPr>
      </w:pPr>
    </w:p>
    <w:p w:rsidR="00184D9F" w:rsidRPr="00184D9F" w:rsidRDefault="00184D9F" w:rsidP="00184D9F">
      <w:pPr>
        <w:pStyle w:val="SingleTxt"/>
        <w:spacing w:after="0" w:line="120" w:lineRule="exact"/>
        <w:rPr>
          <w:b/>
          <w:sz w:val="10"/>
          <w:lang w:val="fr-FR"/>
        </w:rPr>
      </w:pPr>
    </w:p>
    <w:p w:rsidR="00184D9F" w:rsidRPr="00184D9F" w:rsidRDefault="00184D9F" w:rsidP="00184D9F">
      <w:pPr>
        <w:pStyle w:val="SingleTxt"/>
        <w:spacing w:after="0" w:line="120" w:lineRule="exact"/>
        <w:rPr>
          <w:b/>
          <w:sz w:val="10"/>
          <w:lang w:val="fr-FR"/>
        </w:rPr>
      </w:pPr>
    </w:p>
    <w:p w:rsidR="00184D9F" w:rsidRPr="00184D9F" w:rsidRDefault="00184D9F" w:rsidP="00184D9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D9F">
        <w:rPr>
          <w:lang w:val="fr-FR"/>
        </w:rPr>
        <w:tab/>
      </w:r>
      <w:r w:rsidRPr="00184D9F">
        <w:rPr>
          <w:lang w:val="fr-FR"/>
        </w:rPr>
        <w:tab/>
        <w:t xml:space="preserve">Examen des rapports remis par les États parties en application de l’article 18 de la Convention sur </w:t>
      </w:r>
      <w:r w:rsidRPr="00184D9F">
        <w:rPr>
          <w:lang w:val="fr-FR"/>
        </w:rPr>
        <w:br/>
        <w:t xml:space="preserve">l’élimination de toutes les formes de discrimination </w:t>
      </w:r>
      <w:r w:rsidRPr="00184D9F">
        <w:rPr>
          <w:lang w:val="fr-FR"/>
        </w:rPr>
        <w:br/>
        <w:t>à l’égard des femmes</w:t>
      </w:r>
      <w:r w:rsidRPr="00184D9F">
        <w:rPr>
          <w:rStyle w:val="FootnoteReference"/>
          <w:b w:val="0"/>
          <w:color w:val="FFFFFF"/>
          <w:sz w:val="4"/>
          <w:szCs w:val="4"/>
          <w:lang w:val="fr-FR"/>
        </w:rPr>
        <w:footnoteReference w:id="1"/>
      </w:r>
    </w:p>
    <w:p w:rsidR="00184D9F" w:rsidRPr="00184D9F" w:rsidRDefault="00184D9F" w:rsidP="00184D9F">
      <w:pPr>
        <w:pStyle w:val="SingleTxt"/>
        <w:spacing w:after="0" w:line="120" w:lineRule="exact"/>
        <w:rPr>
          <w:sz w:val="10"/>
          <w:lang w:val="fr-FR"/>
        </w:rPr>
      </w:pPr>
    </w:p>
    <w:p w:rsidR="00184D9F" w:rsidRPr="00184D9F" w:rsidRDefault="00184D9F" w:rsidP="00184D9F">
      <w:pPr>
        <w:pStyle w:val="SingleTxt"/>
        <w:spacing w:after="0" w:line="120" w:lineRule="exact"/>
        <w:rPr>
          <w:sz w:val="10"/>
          <w:lang w:val="fr-FR"/>
        </w:rPr>
      </w:pPr>
    </w:p>
    <w:p w:rsidR="00184D9F" w:rsidRPr="00184D9F" w:rsidRDefault="00184D9F" w:rsidP="00184D9F">
      <w:pPr>
        <w:pStyle w:val="SingleTxt"/>
        <w:spacing w:after="0" w:line="120" w:lineRule="exact"/>
        <w:rPr>
          <w:sz w:val="10"/>
          <w:lang w:val="fr-FR"/>
        </w:rPr>
      </w:pPr>
    </w:p>
    <w:p w:rsidR="00184D9F" w:rsidRPr="00184D9F" w:rsidRDefault="00184D9F" w:rsidP="00184D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D9F">
        <w:rPr>
          <w:lang w:val="fr-FR"/>
        </w:rPr>
        <w:tab/>
      </w:r>
      <w:r w:rsidRPr="00184D9F">
        <w:rPr>
          <w:lang w:val="fr-FR"/>
        </w:rPr>
        <w:tab/>
        <w:t>Rapport du groupe de travail d’avant-session</w:t>
      </w:r>
    </w:p>
    <w:p w:rsidR="00184D9F" w:rsidRPr="00184D9F" w:rsidRDefault="00184D9F" w:rsidP="00184D9F">
      <w:pPr>
        <w:pStyle w:val="SingleTxt"/>
        <w:spacing w:after="0" w:line="120" w:lineRule="exact"/>
        <w:rPr>
          <w:sz w:val="10"/>
          <w:lang w:val="fr-FR"/>
        </w:rPr>
      </w:pPr>
    </w:p>
    <w:p w:rsidR="00184D9F" w:rsidRPr="00184D9F" w:rsidRDefault="00184D9F" w:rsidP="00184D9F">
      <w:pPr>
        <w:pStyle w:val="SingleTxt"/>
        <w:spacing w:after="0" w:line="120" w:lineRule="exact"/>
        <w:rPr>
          <w:sz w:val="10"/>
          <w:lang w:val="fr-FR"/>
        </w:rPr>
      </w:pPr>
    </w:p>
    <w:p w:rsidR="00184D9F" w:rsidRPr="00184D9F" w:rsidRDefault="00184D9F" w:rsidP="00184D9F">
      <w:pPr>
        <w:pStyle w:val="SingleTxt"/>
        <w:numPr>
          <w:ilvl w:val="0"/>
          <w:numId w:val="6"/>
        </w:numPr>
        <w:suppressAutoHyphens/>
        <w:ind w:left="1264" w:right="1264"/>
        <w:rPr>
          <w:lang w:val="fr-FR"/>
        </w:rPr>
      </w:pPr>
      <w:r w:rsidRPr="00184D9F">
        <w:rPr>
          <w:lang w:val="fr-FR"/>
        </w:rPr>
        <w:t>Le Comité pour l’élimination de la discrimination à l’égard des femmes a pour pratique de convoquer un groupe de travail d’avant-session de cinq jours pour établir des listes de points et questions relatifs aux rapports initiaux et périodiques que le Comité devra examiner lors de l’une de ses futures sessions.</w:t>
      </w:r>
    </w:p>
    <w:p w:rsidR="00184D9F" w:rsidRPr="00184D9F" w:rsidRDefault="00184D9F" w:rsidP="00184D9F">
      <w:pPr>
        <w:pStyle w:val="SingleTxt"/>
        <w:numPr>
          <w:ilvl w:val="0"/>
          <w:numId w:val="6"/>
        </w:numPr>
        <w:suppressAutoHyphens/>
        <w:ind w:left="1264" w:right="1264"/>
        <w:rPr>
          <w:lang w:val="fr-FR"/>
        </w:rPr>
      </w:pPr>
      <w:r w:rsidRPr="00184D9F">
        <w:rPr>
          <w:lang w:val="fr-FR"/>
        </w:rPr>
        <w:t>Le Comité a décidé que le groupe de travail d’avant-session pour sa soixante-troisième session se réunirait du 27 au 30 juillet 2015 (le 31 juillet 2015 étant un jour de congé à l’Office des Nations Unies à Genève), immédiatement après la soixante et unième session, afin que les États parties disposent du temps nécessaire pour soumettre leur réponse par écrit aux listes de points et questions ainsi que pour en assurer la traduction en temps utile.</w:t>
      </w:r>
    </w:p>
    <w:p w:rsidR="00184D9F" w:rsidRPr="00184D9F" w:rsidRDefault="00184D9F" w:rsidP="00184D9F">
      <w:pPr>
        <w:pStyle w:val="SingleTxt"/>
        <w:numPr>
          <w:ilvl w:val="0"/>
          <w:numId w:val="6"/>
        </w:numPr>
        <w:suppressAutoHyphens/>
        <w:ind w:right="1264"/>
        <w:rPr>
          <w:lang w:val="fr-FR"/>
        </w:rPr>
      </w:pPr>
      <w:r w:rsidRPr="00184D9F">
        <w:rPr>
          <w:lang w:val="fr-FR"/>
        </w:rPr>
        <w:t>Les experts ci-après ont été désignés comme membres du groupe de travail d’avant-session et ont assisté à la session:</w:t>
      </w:r>
    </w:p>
    <w:p w:rsidR="00184D9F" w:rsidRPr="00184D9F" w:rsidRDefault="00184D9F" w:rsidP="00184D9F">
      <w:pPr>
        <w:pStyle w:val="SingleTxt"/>
        <w:ind w:left="1742" w:hanging="475"/>
        <w:jc w:val="left"/>
        <w:rPr>
          <w:lang w:val="fr-FR"/>
        </w:rPr>
      </w:pPr>
      <w:r w:rsidRPr="00184D9F">
        <w:rPr>
          <w:lang w:val="fr-FR"/>
        </w:rPr>
        <w:tab/>
        <w:t>Nicole Ameline</w:t>
      </w:r>
      <w:r w:rsidRPr="00184D9F">
        <w:rPr>
          <w:lang w:val="fr-FR"/>
        </w:rPr>
        <w:br/>
        <w:t>Magalys Arocha Dominguez</w:t>
      </w:r>
      <w:r w:rsidRPr="00184D9F">
        <w:rPr>
          <w:lang w:val="fr-FR"/>
        </w:rPr>
        <w:br/>
        <w:t>Hilary Gbedemah</w:t>
      </w:r>
      <w:r w:rsidRPr="00184D9F">
        <w:rPr>
          <w:lang w:val="fr-FR"/>
        </w:rPr>
        <w:br/>
        <w:t>Ismat Jahan</w:t>
      </w:r>
      <w:r w:rsidRPr="00184D9F">
        <w:rPr>
          <w:lang w:val="fr-FR"/>
        </w:rPr>
        <w:br/>
        <w:t>Dalia Leinarte</w:t>
      </w:r>
    </w:p>
    <w:p w:rsidR="00184D9F" w:rsidRPr="00184D9F" w:rsidRDefault="00184D9F" w:rsidP="00184D9F">
      <w:pPr>
        <w:pStyle w:val="SingleTxt"/>
        <w:numPr>
          <w:ilvl w:val="0"/>
          <w:numId w:val="6"/>
        </w:numPr>
        <w:suppressAutoHyphens/>
        <w:ind w:right="1264"/>
        <w:rPr>
          <w:szCs w:val="20"/>
          <w:lang w:val="fr-FR"/>
        </w:rPr>
      </w:pPr>
      <w:r w:rsidRPr="00184D9F">
        <w:rPr>
          <w:szCs w:val="20"/>
          <w:lang w:val="fr-FR"/>
        </w:rPr>
        <w:t>Le groupe de travail d’avant-session a élu M</w:t>
      </w:r>
      <w:r w:rsidRPr="00184D9F">
        <w:rPr>
          <w:szCs w:val="20"/>
          <w:vertAlign w:val="superscript"/>
          <w:lang w:val="fr-FR"/>
        </w:rPr>
        <w:t>me</w:t>
      </w:r>
      <w:r w:rsidRPr="00184D9F">
        <w:rPr>
          <w:szCs w:val="20"/>
          <w:lang w:val="fr-FR"/>
        </w:rPr>
        <w:t> Jahan comme Présidente.</w:t>
      </w:r>
    </w:p>
    <w:p w:rsidR="00184D9F" w:rsidRPr="00184D9F" w:rsidRDefault="00184D9F" w:rsidP="00184D9F">
      <w:pPr>
        <w:pStyle w:val="SingleTxt"/>
        <w:numPr>
          <w:ilvl w:val="0"/>
          <w:numId w:val="6"/>
        </w:numPr>
        <w:suppressAutoHyphens/>
        <w:ind w:right="1264"/>
        <w:rPr>
          <w:lang w:val="fr-FR"/>
        </w:rPr>
      </w:pPr>
      <w:r w:rsidRPr="00184D9F">
        <w:rPr>
          <w:szCs w:val="20"/>
          <w:lang w:val="fr-FR"/>
        </w:rPr>
        <w:lastRenderedPageBreak/>
        <w:t>Le groupe de travail d’avant-session a établi les listes de points et questions concernant les rapports d’Haïti, de l’Islande, du Japon, de la Mongolie, de la République tchèque, de la République-Unie de Tanzanie, de la Suède et du Vanuatu. Il a été guidé en cela par la décision 49/IX du Comité de limiter ces listes à 20 questions. Dans la pratique et à titre exceptionnel, certaines listes contiennent un maximum de 23 questions. Conformément à ses décisions 58/II, 59/IV et 60/IX, le Comité a pour la première fois, et à titre pilote, adopté une liste de points et questions avant de faire rapport au titre de sa procédure facultative simplifiée, à savoir une liste de points et questions préalablement à la présentation du huitième rapport périodique du Bélarus. Il a été guidé à cet égard par sa décision 59/IV, selon laquelle le Comité a décidé de limiter ces listes à 25 questions.</w:t>
      </w:r>
    </w:p>
    <w:p w:rsidR="00184D9F" w:rsidRPr="00184D9F" w:rsidRDefault="00184D9F" w:rsidP="00184D9F">
      <w:pPr>
        <w:pStyle w:val="SingleTxt"/>
        <w:numPr>
          <w:ilvl w:val="0"/>
          <w:numId w:val="6"/>
        </w:numPr>
        <w:suppressAutoHyphens/>
        <w:ind w:right="1264"/>
        <w:rPr>
          <w:szCs w:val="20"/>
          <w:lang w:val="fr-FR"/>
        </w:rPr>
      </w:pPr>
      <w:r w:rsidRPr="00184D9F">
        <w:rPr>
          <w:szCs w:val="20"/>
          <w:lang w:val="fr-FR"/>
        </w:rPr>
        <w:t>Pour l’aider dans l’établissement de la liste de points et questions, le groupe de travail d’avant-session pouvait se reporter aux rapports des États parties énumérés ci-dessus sauf le Bélarus, en plus des documents de base de ces États parties; aux recommandations générales adoptées par le Comité ; aux informations générales et aux projets de listes de points et questions établis par le secrétariat et d’autres informations pertinentes, y compris les observations finales du Comité ; et à d’autres organismes créés en vertu de traités, le cas échéant. Dans l’établissement des listes, le groupe de travail d’avant-session a particulièrement pris garde à la suite donnée par les États parties aux observations finales du Comité sur leurs précédents rapports.</w:t>
      </w:r>
    </w:p>
    <w:p w:rsidR="00184D9F" w:rsidRPr="00184D9F" w:rsidRDefault="00184D9F" w:rsidP="00184D9F">
      <w:pPr>
        <w:pStyle w:val="SingleTxt"/>
        <w:numPr>
          <w:ilvl w:val="0"/>
          <w:numId w:val="6"/>
        </w:numPr>
        <w:suppressAutoHyphens/>
        <w:ind w:right="1264"/>
        <w:rPr>
          <w:szCs w:val="20"/>
          <w:lang w:val="fr-FR"/>
        </w:rPr>
      </w:pPr>
      <w:r w:rsidRPr="00184D9F">
        <w:rPr>
          <w:szCs w:val="20"/>
          <w:lang w:val="fr-FR"/>
        </w:rPr>
        <w:t>Le groupe de travail d’avant-session a bénéficié des informations fournies par des entités et institutions spécialisées du système des Nations Unies et des organisations non-gouvernementales.</w:t>
      </w:r>
    </w:p>
    <w:p w:rsidR="00184D9F" w:rsidRPr="00184D9F" w:rsidRDefault="00184D9F" w:rsidP="00184D9F">
      <w:pPr>
        <w:pStyle w:val="SingleTxt"/>
        <w:numPr>
          <w:ilvl w:val="0"/>
          <w:numId w:val="6"/>
        </w:numPr>
        <w:suppressAutoHyphens/>
        <w:ind w:right="1264"/>
        <w:rPr>
          <w:szCs w:val="20"/>
          <w:lang w:val="fr-FR"/>
        </w:rPr>
      </w:pPr>
      <w:r w:rsidRPr="00184D9F">
        <w:rPr>
          <w:szCs w:val="20"/>
          <w:lang w:val="fr-FR"/>
        </w:rPr>
        <w:t>Les listes des points et questions adoptés par le groupe de travail d’avant-session ont été transmises aux États parties concernés et figurent dans les documents ci-après:</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a)</w:t>
      </w:r>
      <w:r w:rsidRPr="00184D9F">
        <w:rPr>
          <w:lang w:val="fr-FR"/>
        </w:rPr>
        <w:tab/>
      </w:r>
      <w:r w:rsidRPr="00184D9F">
        <w:rPr>
          <w:iCs/>
          <w:lang w:val="fr-FR"/>
        </w:rPr>
        <w:t xml:space="preserve">Liste des points et questions relatifs aux septième et huitième rapports </w:t>
      </w:r>
      <w:r w:rsidRPr="00184D9F">
        <w:rPr>
          <w:iCs/>
          <w:lang w:val="fr-FR"/>
        </w:rPr>
        <w:tab/>
        <w:t>périodiques d’Haïti (</w:t>
      </w:r>
      <w:hyperlink r:id="rId16" w:history="1">
        <w:r w:rsidRPr="00184D9F">
          <w:rPr>
            <w:rStyle w:val="Hyperlink"/>
            <w:iCs/>
            <w:lang w:val="fr-FR"/>
          </w:rPr>
          <w:t>CEDAW/C/HTI/Q/8-9</w:t>
        </w:r>
      </w:hyperlink>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b)</w:t>
      </w:r>
      <w:r w:rsidRPr="00184D9F">
        <w:rPr>
          <w:lang w:val="fr-FR"/>
        </w:rPr>
        <w:tab/>
      </w:r>
      <w:r w:rsidRPr="00184D9F">
        <w:rPr>
          <w:iCs/>
          <w:lang w:val="fr-FR"/>
        </w:rPr>
        <w:t>Liste des points et questions relatifs aux huitième et neuvième rapports périodiques de l’Islande (</w:t>
      </w:r>
      <w:hyperlink r:id="rId17" w:history="1">
        <w:r w:rsidRPr="00184D9F">
          <w:rPr>
            <w:rStyle w:val="Hyperlink"/>
            <w:iCs/>
            <w:lang w:val="fr-FR"/>
          </w:rPr>
          <w:t>CEDAW/C/ICE/Q/7-8</w:t>
        </w:r>
      </w:hyperlink>
      <w:r w:rsidRPr="00184D9F">
        <w:rPr>
          <w:iCs/>
          <w:lang w:val="fr-FR"/>
        </w:rPr>
        <w:t>)</w:t>
      </w:r>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c)</w:t>
      </w:r>
      <w:r w:rsidRPr="00184D9F">
        <w:rPr>
          <w:lang w:val="fr-FR"/>
        </w:rPr>
        <w:tab/>
        <w:t xml:space="preserve">Liste des points et questions relatifs aux septième et huitième rapports </w:t>
      </w:r>
      <w:r w:rsidRPr="00184D9F">
        <w:rPr>
          <w:lang w:val="fr-FR"/>
        </w:rPr>
        <w:tab/>
        <w:t>périodiques du Japon (</w:t>
      </w:r>
      <w:hyperlink r:id="rId18" w:history="1">
        <w:r w:rsidRPr="00184D9F">
          <w:rPr>
            <w:rStyle w:val="Hyperlink"/>
            <w:iCs/>
            <w:lang w:val="fr-FR"/>
          </w:rPr>
          <w:t>CEDAW/C/JPN/Q/7-8</w:t>
        </w:r>
      </w:hyperlink>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d)</w:t>
      </w:r>
      <w:r w:rsidRPr="00184D9F">
        <w:rPr>
          <w:lang w:val="fr-FR"/>
        </w:rPr>
        <w:tab/>
        <w:t>Liste des points et questions relatifs aux huitième et neuvième rapports périodiques de la Mongolie (</w:t>
      </w:r>
      <w:hyperlink r:id="rId19" w:history="1">
        <w:r w:rsidRPr="00184D9F">
          <w:rPr>
            <w:rStyle w:val="Hyperlink"/>
            <w:iCs/>
            <w:lang w:val="fr-FR"/>
          </w:rPr>
          <w:t>CEDAW/C/MNG/Q/8-9</w:t>
        </w:r>
      </w:hyperlink>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e)</w:t>
      </w:r>
      <w:r w:rsidRPr="00184D9F">
        <w:rPr>
          <w:lang w:val="fr-FR"/>
        </w:rPr>
        <w:tab/>
      </w:r>
      <w:r w:rsidRPr="00184D9F">
        <w:rPr>
          <w:iCs/>
          <w:lang w:val="fr-FR"/>
        </w:rPr>
        <w:t>Liste des points et questions relatifs au sixième rapport périodique de la République tchèque (</w:t>
      </w:r>
      <w:hyperlink r:id="rId20" w:history="1">
        <w:r w:rsidRPr="00184D9F">
          <w:rPr>
            <w:rStyle w:val="Hyperlink"/>
            <w:iCs/>
            <w:lang w:val="fr-FR"/>
          </w:rPr>
          <w:t>CEDAW/C/CZE/Q/6</w:t>
        </w:r>
      </w:hyperlink>
      <w:r w:rsidRPr="00184D9F">
        <w:rPr>
          <w:iCs/>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f)</w:t>
      </w:r>
      <w:r w:rsidRPr="00184D9F">
        <w:rPr>
          <w:lang w:val="fr-FR"/>
        </w:rPr>
        <w:tab/>
        <w:t>Liste des points et questions relatifs aux huitième et neuvième rapports périodiques de la Tanzanie (</w:t>
      </w:r>
      <w:hyperlink r:id="rId21" w:history="1">
        <w:r w:rsidRPr="00184D9F">
          <w:rPr>
            <w:rStyle w:val="Hyperlink"/>
            <w:iCs/>
            <w:lang w:val="fr-FR"/>
          </w:rPr>
          <w:t>CEDAW/C/TZA/Q/7-8</w:t>
        </w:r>
      </w:hyperlink>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g)</w:t>
      </w:r>
      <w:r w:rsidRPr="00184D9F">
        <w:rPr>
          <w:lang w:val="fr-FR"/>
        </w:rPr>
        <w:tab/>
        <w:t>Liste des points et questions relatifs aux huitième et neuvième rapports périodiques de la Suède (</w:t>
      </w:r>
      <w:hyperlink r:id="rId22" w:history="1">
        <w:r w:rsidRPr="00184D9F">
          <w:rPr>
            <w:rStyle w:val="Hyperlink"/>
            <w:iCs/>
            <w:lang w:val="fr-FR"/>
          </w:rPr>
          <w:t>CEDAW/C/SWE/Q/8-9</w:t>
        </w:r>
      </w:hyperlink>
      <w:r w:rsidRPr="00184D9F">
        <w:rPr>
          <w:lang w:val="fr-FR"/>
        </w:rPr>
        <w:t>);</w:t>
      </w:r>
    </w:p>
    <w:p w:rsidR="00184D9F" w:rsidRPr="00184D9F" w:rsidRDefault="00184D9F" w:rsidP="00184D9F">
      <w:pPr>
        <w:pStyle w:val="SingleTxt"/>
        <w:suppressAutoHyphens/>
        <w:ind w:left="1264" w:right="1264"/>
        <w:rPr>
          <w:lang w:val="fr-FR"/>
        </w:rPr>
      </w:pPr>
      <w:r w:rsidRPr="00184D9F">
        <w:rPr>
          <w:lang w:val="fr-FR"/>
        </w:rPr>
        <w:tab/>
      </w:r>
      <w:r w:rsidRPr="00184D9F">
        <w:rPr>
          <w:lang w:val="fr-FR"/>
        </w:rPr>
        <w:tab/>
        <w:t>h)</w:t>
      </w:r>
      <w:r w:rsidRPr="00184D9F">
        <w:rPr>
          <w:lang w:val="fr-FR"/>
        </w:rPr>
        <w:tab/>
        <w:t>Liste des points et questions relatifs aux quatrième et cinquième rapports périodiques de Vanuatu (</w:t>
      </w:r>
      <w:hyperlink r:id="rId23" w:history="1">
        <w:r w:rsidRPr="00184D9F">
          <w:rPr>
            <w:rStyle w:val="Hyperlink"/>
            <w:lang w:val="fr-FR"/>
          </w:rPr>
          <w:t>CEDAW/C/VUT/Q/8-9</w:t>
        </w:r>
      </w:hyperlink>
      <w:r w:rsidRPr="00184D9F">
        <w:rPr>
          <w:lang w:val="fr-FR"/>
        </w:rPr>
        <w:t>).</w:t>
      </w:r>
    </w:p>
    <w:p w:rsidR="00184D9F" w:rsidRPr="00184D9F" w:rsidRDefault="00184D9F" w:rsidP="00184D9F">
      <w:pPr>
        <w:pStyle w:val="SingleTxt"/>
        <w:numPr>
          <w:ilvl w:val="0"/>
          <w:numId w:val="6"/>
        </w:numPr>
        <w:suppressAutoHyphens/>
        <w:ind w:right="1264"/>
        <w:rPr>
          <w:szCs w:val="20"/>
          <w:lang w:val="fr-FR"/>
        </w:rPr>
      </w:pPr>
      <w:r w:rsidRPr="00184D9F">
        <w:rPr>
          <w:szCs w:val="20"/>
          <w:lang w:val="fr-FR"/>
        </w:rPr>
        <w:lastRenderedPageBreak/>
        <w:t>La liste des points et questions préalables à la présentation du huitième rapport périodique du Bélarus (</w:t>
      </w:r>
      <w:hyperlink r:id="rId24" w:history="1">
        <w:r w:rsidRPr="00184D9F">
          <w:rPr>
            <w:rStyle w:val="Hyperlink"/>
            <w:szCs w:val="20"/>
            <w:lang w:val="fr-FR"/>
          </w:rPr>
          <w:t>CEDAW/C/BLR/QPR/8</w:t>
        </w:r>
      </w:hyperlink>
      <w:r w:rsidRPr="00184D9F">
        <w:rPr>
          <w:szCs w:val="20"/>
          <w:lang w:val="fr-FR"/>
        </w:rPr>
        <w:t>) sera présenté au Comité pour approbation à sa soixante-deuxième session (26 octobre-20 novembre 2015) avant d’être transmise à l’État partie.</w:t>
      </w:r>
    </w:p>
    <w:p w:rsidR="00184D9F" w:rsidRPr="00184D9F" w:rsidRDefault="00184D9F" w:rsidP="00184D9F">
      <w:pPr>
        <w:pStyle w:val="SingleTxt"/>
        <w:keepNext/>
        <w:keepLines/>
        <w:numPr>
          <w:ilvl w:val="0"/>
          <w:numId w:val="6"/>
        </w:numPr>
        <w:suppressAutoHyphens/>
        <w:ind w:left="1264" w:right="1264"/>
        <w:rPr>
          <w:szCs w:val="20"/>
          <w:lang w:val="fr-FR"/>
        </w:rPr>
      </w:pPr>
      <w:r w:rsidRPr="00184D9F">
        <w:rPr>
          <w:szCs w:val="20"/>
          <w:lang w:val="fr-FR"/>
        </w:rPr>
        <w:t>Conformément aux décisions 22/IV, 25/II et 31/III, les listes de points et questions ont porté sur des thèmes abordés par la Convention. Ces thèmes comprennent le cadre constitutionnel et législatif, le dispositif national pour la promotion de la femme, la traite des femmes et l’exploitation de la prostitution, la participation des femmes à la prise des décisions, la nationalité, l’éducation et la formation, l’emploi, la santé, les allocations sociales et économiques, les femmes rurales, la situation des catégories de femmes désavantagées comme les femmes âgées, les femmes handicapées, les femmes appartenant à des minorités ethniques, les femmes réfugiées et les migrantes, l’égalité devant la loi ainsi que le mariage et les rapports de famille.</w:t>
      </w:r>
    </w:p>
    <w:p w:rsidR="00864BDC" w:rsidRPr="00184D9F" w:rsidRDefault="00184D9F" w:rsidP="00184D9F">
      <w:pPr>
        <w:pStyle w:val="SingleTxt"/>
        <w:spacing w:after="0" w:line="240" w:lineRule="auto"/>
        <w:rPr>
          <w:lang w:val="fr-FR"/>
        </w:rPr>
      </w:pPr>
      <w:r w:rsidRPr="00184D9F">
        <w:rPr>
          <w:noProof/>
          <w:w w:val="100"/>
          <w:lang w:val="en-GB" w:eastAsia="en-GB"/>
        </w:rPr>
        <mc:AlternateContent>
          <mc:Choice Requires="wps">
            <w:drawing>
              <wp:anchor distT="0" distB="0" distL="114300" distR="114300" simplePos="0" relativeHeight="251659264" behindDoc="0" locked="0" layoutInCell="1" allowOverlap="1" wp14:anchorId="6131ED26" wp14:editId="5363B846">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64BDC" w:rsidRPr="00184D9F" w:rsidSect="00864BD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2:59:00Z" w:initials="Start">
    <w:p w:rsidR="00864BDC" w:rsidRPr="00184D9F" w:rsidRDefault="00864BDC">
      <w:pPr>
        <w:pStyle w:val="CommentText"/>
        <w:rPr>
          <w:lang w:val="en-US"/>
        </w:rPr>
      </w:pPr>
      <w:r>
        <w:fldChar w:fldCharType="begin"/>
      </w:r>
      <w:r w:rsidRPr="00184D9F">
        <w:rPr>
          <w:rStyle w:val="CommentReference"/>
          <w:lang w:val="en-US"/>
        </w:rPr>
        <w:instrText xml:space="preserve"> </w:instrText>
      </w:r>
      <w:r w:rsidRPr="00184D9F">
        <w:rPr>
          <w:lang w:val="en-US"/>
        </w:rPr>
        <w:instrText>PAGE \# "'Page: '#'</w:instrText>
      </w:r>
      <w:r w:rsidRPr="00184D9F">
        <w:rPr>
          <w:lang w:val="en-US"/>
        </w:rPr>
        <w:br/>
        <w:instrText>'"</w:instrText>
      </w:r>
      <w:r w:rsidRPr="00184D9F">
        <w:rPr>
          <w:rStyle w:val="CommentReference"/>
          <w:lang w:val="en-US"/>
        </w:rPr>
        <w:instrText xml:space="preserve"> </w:instrText>
      </w:r>
      <w:r>
        <w:fldChar w:fldCharType="end"/>
      </w:r>
      <w:r>
        <w:rPr>
          <w:rStyle w:val="CommentReference"/>
        </w:rPr>
        <w:annotationRef/>
      </w:r>
      <w:r w:rsidRPr="00184D9F">
        <w:rPr>
          <w:lang w:val="en-US"/>
        </w:rPr>
        <w:t>&lt;&lt;ODS JOB NO&gt;&gt;N1524165F&lt;&lt;ODS JOB NO&gt;&gt;</w:t>
      </w:r>
    </w:p>
    <w:p w:rsidR="00864BDC" w:rsidRDefault="00864BDC">
      <w:pPr>
        <w:pStyle w:val="CommentText"/>
      </w:pPr>
      <w:r>
        <w:t>&lt;&lt;ODS DOC SYMBOL1&gt;&gt;CEDAW/C/PSWG/63/1&lt;&lt;ODS DOC SYMBOL1&gt;&gt;</w:t>
      </w:r>
    </w:p>
    <w:p w:rsidR="00864BDC" w:rsidRDefault="00864B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316" w:rsidRDefault="00DB0316" w:rsidP="00F3330B">
      <w:pPr>
        <w:spacing w:line="240" w:lineRule="auto"/>
      </w:pPr>
      <w:r>
        <w:separator/>
      </w:r>
    </w:p>
  </w:endnote>
  <w:endnote w:type="continuationSeparator" w:id="0">
    <w:p w:rsidR="00DB0316" w:rsidRDefault="00DB031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4BDC" w:rsidTr="00864BDC">
      <w:tc>
        <w:tcPr>
          <w:tcW w:w="5028" w:type="dxa"/>
          <w:shd w:val="clear" w:color="auto" w:fill="auto"/>
        </w:tcPr>
        <w:p w:rsidR="00864BDC" w:rsidRPr="00864BDC" w:rsidRDefault="00864BDC" w:rsidP="00864B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4D9F">
            <w:rPr>
              <w:b w:val="0"/>
              <w:w w:val="103"/>
              <w:sz w:val="14"/>
            </w:rPr>
            <w:t>15-13075</w:t>
          </w:r>
          <w:r>
            <w:rPr>
              <w:b w:val="0"/>
              <w:w w:val="103"/>
              <w:sz w:val="14"/>
            </w:rPr>
            <w:fldChar w:fldCharType="end"/>
          </w:r>
        </w:p>
      </w:tc>
      <w:tc>
        <w:tcPr>
          <w:tcW w:w="5028" w:type="dxa"/>
          <w:shd w:val="clear" w:color="auto" w:fill="auto"/>
        </w:tcPr>
        <w:p w:rsidR="00864BDC" w:rsidRPr="00864BDC" w:rsidRDefault="00864BDC" w:rsidP="00864BDC">
          <w:pPr>
            <w:pStyle w:val="Footer"/>
            <w:rPr>
              <w:w w:val="103"/>
            </w:rPr>
          </w:pPr>
          <w:r>
            <w:rPr>
              <w:w w:val="103"/>
            </w:rPr>
            <w:fldChar w:fldCharType="begin"/>
          </w:r>
          <w:r>
            <w:rPr>
              <w:w w:val="103"/>
            </w:rPr>
            <w:instrText xml:space="preserve"> PAGE  \* Arabic  \* MERGEFORMAT </w:instrText>
          </w:r>
          <w:r>
            <w:rPr>
              <w:w w:val="103"/>
            </w:rPr>
            <w:fldChar w:fldCharType="separate"/>
          </w:r>
          <w:r w:rsidR="00496B7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6B78">
            <w:rPr>
              <w:noProof/>
              <w:w w:val="103"/>
            </w:rPr>
            <w:t>2</w:t>
          </w:r>
          <w:r>
            <w:rPr>
              <w:w w:val="103"/>
            </w:rPr>
            <w:fldChar w:fldCharType="end"/>
          </w:r>
        </w:p>
      </w:tc>
    </w:tr>
  </w:tbl>
  <w:p w:rsidR="00864BDC" w:rsidRPr="00864BDC" w:rsidRDefault="00864BDC" w:rsidP="00864B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4BDC" w:rsidTr="00864BDC">
      <w:tc>
        <w:tcPr>
          <w:tcW w:w="5028" w:type="dxa"/>
          <w:shd w:val="clear" w:color="auto" w:fill="auto"/>
        </w:tcPr>
        <w:p w:rsidR="00864BDC" w:rsidRPr="00864BDC" w:rsidRDefault="00864BDC" w:rsidP="00864BD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6B59">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6B59">
            <w:rPr>
              <w:noProof/>
              <w:w w:val="103"/>
            </w:rPr>
            <w:t>3</w:t>
          </w:r>
          <w:r>
            <w:rPr>
              <w:w w:val="103"/>
            </w:rPr>
            <w:fldChar w:fldCharType="end"/>
          </w:r>
        </w:p>
      </w:tc>
      <w:tc>
        <w:tcPr>
          <w:tcW w:w="5028" w:type="dxa"/>
          <w:shd w:val="clear" w:color="auto" w:fill="auto"/>
        </w:tcPr>
        <w:p w:rsidR="00864BDC" w:rsidRPr="00864BDC" w:rsidRDefault="00864BDC" w:rsidP="00864B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4D9F">
            <w:rPr>
              <w:b w:val="0"/>
              <w:w w:val="103"/>
              <w:sz w:val="14"/>
            </w:rPr>
            <w:t>15-13075</w:t>
          </w:r>
          <w:r>
            <w:rPr>
              <w:b w:val="0"/>
              <w:w w:val="103"/>
              <w:sz w:val="14"/>
            </w:rPr>
            <w:fldChar w:fldCharType="end"/>
          </w:r>
        </w:p>
      </w:tc>
    </w:tr>
  </w:tbl>
  <w:p w:rsidR="00864BDC" w:rsidRPr="00864BDC" w:rsidRDefault="00864BDC" w:rsidP="00864B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BDC" w:rsidRDefault="00864BDC">
    <w:pPr>
      <w:pStyle w:val="Footer"/>
    </w:pPr>
    <w:r>
      <w:rPr>
        <w:noProof/>
        <w:lang w:val="en-GB" w:eastAsia="en-GB"/>
      </w:rPr>
      <w:drawing>
        <wp:anchor distT="0" distB="0" distL="114300" distR="114300" simplePos="0" relativeHeight="251658240" behindDoc="0" locked="0" layoutInCell="1" allowOverlap="1" wp14:anchorId="35009F13" wp14:editId="73E35D1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PSWG/63/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3/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64BDC" w:rsidTr="00864BDC">
      <w:tc>
        <w:tcPr>
          <w:tcW w:w="3758" w:type="dxa"/>
        </w:tcPr>
        <w:p w:rsidR="00864BDC" w:rsidRDefault="00171105" w:rsidP="00864BDC">
          <w:pPr>
            <w:pStyle w:val="Footer"/>
            <w:rPr>
              <w:b w:val="0"/>
              <w:sz w:val="20"/>
            </w:rPr>
          </w:pPr>
          <w:r>
            <w:rPr>
              <w:b w:val="0"/>
              <w:sz w:val="20"/>
            </w:rPr>
            <w:t>15-13075X (F)</w:t>
          </w:r>
        </w:p>
        <w:p w:rsidR="00864BDC" w:rsidRPr="00864BDC" w:rsidRDefault="00864BDC" w:rsidP="00864BD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84D9F">
            <w:rPr>
              <w:rFonts w:ascii="Barcode 3 of 9 by request" w:hAnsi="Barcode 3 of 9 by request"/>
              <w:b w:val="0"/>
              <w:spacing w:val="0"/>
              <w:w w:val="100"/>
              <w:sz w:val="24"/>
            </w:rPr>
            <w:t>*1513075*</w:t>
          </w:r>
          <w:r>
            <w:rPr>
              <w:rFonts w:ascii="Barcode 3 of 9 by request" w:hAnsi="Barcode 3 of 9 by request"/>
              <w:b w:val="0"/>
              <w:spacing w:val="0"/>
              <w:w w:val="100"/>
              <w:sz w:val="24"/>
            </w:rPr>
            <w:fldChar w:fldCharType="end"/>
          </w:r>
        </w:p>
      </w:tc>
      <w:tc>
        <w:tcPr>
          <w:tcW w:w="5028" w:type="dxa"/>
        </w:tcPr>
        <w:p w:rsidR="00864BDC" w:rsidRDefault="00864BDC" w:rsidP="00864BDC">
          <w:pPr>
            <w:pStyle w:val="Footer"/>
            <w:spacing w:line="240" w:lineRule="atLeast"/>
            <w:jc w:val="right"/>
            <w:rPr>
              <w:b w:val="0"/>
              <w:sz w:val="20"/>
            </w:rPr>
          </w:pPr>
          <w:r>
            <w:rPr>
              <w:b w:val="0"/>
              <w:noProof/>
              <w:sz w:val="20"/>
              <w:lang w:val="en-GB" w:eastAsia="en-GB"/>
            </w:rPr>
            <w:drawing>
              <wp:inline distT="0" distB="0" distL="0" distR="0" wp14:anchorId="7477163E" wp14:editId="179D2F1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64BDC" w:rsidRPr="00864BDC" w:rsidRDefault="00864BDC" w:rsidP="00864BD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316" w:rsidRPr="00184D9F" w:rsidRDefault="00184D9F" w:rsidP="00184D9F">
      <w:pPr>
        <w:pStyle w:val="Footer"/>
        <w:spacing w:after="80"/>
        <w:ind w:left="792"/>
        <w:rPr>
          <w:sz w:val="16"/>
        </w:rPr>
      </w:pPr>
      <w:r w:rsidRPr="00184D9F">
        <w:rPr>
          <w:sz w:val="16"/>
        </w:rPr>
        <w:t>__________________</w:t>
      </w:r>
    </w:p>
  </w:footnote>
  <w:footnote w:type="continuationSeparator" w:id="0">
    <w:p w:rsidR="00DB0316" w:rsidRPr="00184D9F" w:rsidRDefault="00184D9F" w:rsidP="00184D9F">
      <w:pPr>
        <w:pStyle w:val="Footer"/>
        <w:spacing w:after="80"/>
        <w:ind w:left="792"/>
        <w:rPr>
          <w:sz w:val="16"/>
        </w:rPr>
      </w:pPr>
      <w:r w:rsidRPr="00184D9F">
        <w:rPr>
          <w:sz w:val="16"/>
        </w:rPr>
        <w:t>__________________</w:t>
      </w:r>
    </w:p>
  </w:footnote>
  <w:footnote w:id="1">
    <w:p w:rsidR="00184D9F" w:rsidRPr="00FB6062" w:rsidRDefault="00184D9F" w:rsidP="00184D9F">
      <w:pPr>
        <w:pStyle w:val="FootnoteText"/>
        <w:tabs>
          <w:tab w:val="right" w:pos="1195"/>
          <w:tab w:val="left" w:pos="1267"/>
          <w:tab w:val="left" w:pos="1742"/>
          <w:tab w:val="left" w:pos="2218"/>
          <w:tab w:val="left" w:pos="2693"/>
        </w:tabs>
        <w:spacing w:line="240" w:lineRule="auto"/>
        <w:ind w:left="1267" w:right="1260" w:hanging="432"/>
        <w:rPr>
          <w:szCs w:val="17"/>
          <w:lang w:val="fr-FR"/>
        </w:rPr>
      </w:pPr>
      <w:r w:rsidRPr="00FB6062">
        <w:rPr>
          <w:szCs w:val="17"/>
        </w:rPr>
        <w:tab/>
      </w:r>
      <w:r w:rsidRPr="00FB6062">
        <w:rPr>
          <w:i/>
          <w:szCs w:val="17"/>
          <w:lang w:val="fr-FR"/>
        </w:rPr>
        <w:t>Note</w:t>
      </w:r>
      <w:r>
        <w:rPr>
          <w:i/>
          <w:szCs w:val="17"/>
          <w:lang w:val="fr-FR"/>
        </w:rPr>
        <w:t xml:space="preserve"> </w:t>
      </w:r>
      <w:r w:rsidRPr="00FB6062">
        <w:rPr>
          <w:szCs w:val="17"/>
          <w:lang w:val="fr-FR"/>
        </w:rPr>
        <w:t>: Le présent document est publié en anglais, espagnol et français uniquement.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64BDC" w:rsidTr="00864BDC">
      <w:trPr>
        <w:trHeight w:hRule="exact" w:val="864"/>
      </w:trPr>
      <w:tc>
        <w:tcPr>
          <w:tcW w:w="4838" w:type="dxa"/>
          <w:shd w:val="clear" w:color="auto" w:fill="auto"/>
          <w:vAlign w:val="bottom"/>
        </w:tcPr>
        <w:p w:rsidR="00864BDC" w:rsidRPr="00864BDC" w:rsidRDefault="00864BDC" w:rsidP="00864BD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4D9F">
            <w:rPr>
              <w:b/>
              <w:color w:val="000000"/>
            </w:rPr>
            <w:t>CEDAW/C/PSWG/63/1</w:t>
          </w:r>
          <w:r>
            <w:rPr>
              <w:b/>
              <w:color w:val="000000"/>
            </w:rPr>
            <w:fldChar w:fldCharType="end"/>
          </w:r>
        </w:p>
      </w:tc>
      <w:tc>
        <w:tcPr>
          <w:tcW w:w="5028" w:type="dxa"/>
          <w:shd w:val="clear" w:color="auto" w:fill="auto"/>
          <w:vAlign w:val="bottom"/>
        </w:tcPr>
        <w:p w:rsidR="00864BDC" w:rsidRDefault="00864BDC" w:rsidP="00864BDC">
          <w:pPr>
            <w:pStyle w:val="Header"/>
          </w:pPr>
        </w:p>
      </w:tc>
    </w:tr>
  </w:tbl>
  <w:p w:rsidR="00864BDC" w:rsidRPr="00864BDC" w:rsidRDefault="00864BDC" w:rsidP="00864BD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64BDC" w:rsidTr="00864BDC">
      <w:trPr>
        <w:trHeight w:hRule="exact" w:val="864"/>
      </w:trPr>
      <w:tc>
        <w:tcPr>
          <w:tcW w:w="4838" w:type="dxa"/>
          <w:shd w:val="clear" w:color="auto" w:fill="auto"/>
          <w:vAlign w:val="bottom"/>
        </w:tcPr>
        <w:p w:rsidR="00864BDC" w:rsidRDefault="00864BDC" w:rsidP="00864BDC">
          <w:pPr>
            <w:pStyle w:val="Header"/>
          </w:pPr>
        </w:p>
      </w:tc>
      <w:tc>
        <w:tcPr>
          <w:tcW w:w="5028" w:type="dxa"/>
          <w:shd w:val="clear" w:color="auto" w:fill="auto"/>
          <w:vAlign w:val="bottom"/>
        </w:tcPr>
        <w:p w:rsidR="00864BDC" w:rsidRPr="00864BDC" w:rsidRDefault="00864BDC" w:rsidP="00864BD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4D9F">
            <w:rPr>
              <w:b/>
              <w:color w:val="000000"/>
            </w:rPr>
            <w:t>CEDAW/C/PSWG/63/1</w:t>
          </w:r>
          <w:r>
            <w:rPr>
              <w:b/>
              <w:color w:val="000000"/>
            </w:rPr>
            <w:fldChar w:fldCharType="end"/>
          </w:r>
        </w:p>
      </w:tc>
    </w:tr>
  </w:tbl>
  <w:p w:rsidR="00864BDC" w:rsidRPr="00864BDC" w:rsidRDefault="00864BDC" w:rsidP="00864BD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64BDC" w:rsidTr="00864BDC">
      <w:trPr>
        <w:gridAfter w:val="1"/>
        <w:wAfter w:w="12" w:type="dxa"/>
        <w:trHeight w:hRule="exact" w:val="864"/>
      </w:trPr>
      <w:tc>
        <w:tcPr>
          <w:tcW w:w="1267" w:type="dxa"/>
          <w:tcBorders>
            <w:bottom w:val="single" w:sz="4" w:space="0" w:color="auto"/>
          </w:tcBorders>
          <w:shd w:val="clear" w:color="auto" w:fill="auto"/>
          <w:vAlign w:val="bottom"/>
        </w:tcPr>
        <w:p w:rsidR="00864BDC" w:rsidRDefault="00864BDC" w:rsidP="00864BDC">
          <w:pPr>
            <w:pStyle w:val="Header"/>
            <w:spacing w:after="120"/>
          </w:pPr>
        </w:p>
      </w:tc>
      <w:tc>
        <w:tcPr>
          <w:tcW w:w="2059" w:type="dxa"/>
          <w:tcBorders>
            <w:bottom w:val="single" w:sz="4" w:space="0" w:color="auto"/>
          </w:tcBorders>
          <w:shd w:val="clear" w:color="auto" w:fill="auto"/>
          <w:vAlign w:val="bottom"/>
        </w:tcPr>
        <w:p w:rsidR="00864BDC" w:rsidRPr="00864BDC" w:rsidRDefault="00864BDC" w:rsidP="00864BD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64BDC" w:rsidRDefault="00864BDC" w:rsidP="00864BDC">
          <w:pPr>
            <w:pStyle w:val="Header"/>
            <w:spacing w:after="120"/>
          </w:pPr>
        </w:p>
      </w:tc>
      <w:tc>
        <w:tcPr>
          <w:tcW w:w="6523" w:type="dxa"/>
          <w:gridSpan w:val="3"/>
          <w:tcBorders>
            <w:bottom w:val="single" w:sz="4" w:space="0" w:color="auto"/>
          </w:tcBorders>
          <w:shd w:val="clear" w:color="auto" w:fill="auto"/>
          <w:vAlign w:val="bottom"/>
        </w:tcPr>
        <w:p w:rsidR="00864BDC" w:rsidRPr="00864BDC" w:rsidRDefault="00864BDC" w:rsidP="00864BDC">
          <w:pPr>
            <w:spacing w:after="80" w:line="240" w:lineRule="auto"/>
            <w:jc w:val="right"/>
            <w:rPr>
              <w:position w:val="-4"/>
            </w:rPr>
          </w:pPr>
          <w:r>
            <w:rPr>
              <w:position w:val="-4"/>
              <w:sz w:val="40"/>
            </w:rPr>
            <w:t>CEDAW</w:t>
          </w:r>
          <w:r>
            <w:rPr>
              <w:position w:val="-4"/>
            </w:rPr>
            <w:t>/C/PSWG/63/1</w:t>
          </w:r>
        </w:p>
      </w:tc>
    </w:tr>
    <w:tr w:rsidR="00864BDC" w:rsidRPr="00864BDC" w:rsidTr="00864BDC">
      <w:trPr>
        <w:trHeight w:hRule="exact" w:val="2880"/>
      </w:trPr>
      <w:tc>
        <w:tcPr>
          <w:tcW w:w="1267" w:type="dxa"/>
          <w:tcBorders>
            <w:top w:val="single" w:sz="4" w:space="0" w:color="auto"/>
            <w:bottom w:val="single" w:sz="12" w:space="0" w:color="auto"/>
          </w:tcBorders>
          <w:shd w:val="clear" w:color="auto" w:fill="auto"/>
        </w:tcPr>
        <w:p w:rsidR="00864BDC" w:rsidRPr="00864BDC" w:rsidRDefault="00864BDC" w:rsidP="00864BDC">
          <w:pPr>
            <w:pStyle w:val="Header"/>
            <w:spacing w:before="120" w:line="240" w:lineRule="auto"/>
            <w:ind w:left="-72"/>
            <w:jc w:val="center"/>
          </w:pPr>
          <w:r>
            <w:t xml:space="preserve">  </w:t>
          </w:r>
          <w:r>
            <w:rPr>
              <w:noProof/>
              <w:lang w:val="en-GB" w:eastAsia="en-GB"/>
            </w:rPr>
            <w:drawing>
              <wp:inline distT="0" distB="0" distL="0" distR="0" wp14:anchorId="7EFD7A15" wp14:editId="5D41810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64BDC" w:rsidRPr="00864BDC" w:rsidRDefault="00864BDC" w:rsidP="00864BDC">
          <w:pPr>
            <w:pStyle w:val="XLarge"/>
            <w:spacing w:before="120"/>
            <w:rPr>
              <w:sz w:val="36"/>
            </w:rPr>
          </w:pPr>
          <w:r>
            <w:rPr>
              <w:sz w:val="36"/>
            </w:rPr>
            <w:t>Convention sur l</w:t>
          </w:r>
          <w:r w:rsidR="00184D9F">
            <w:rPr>
              <w:sz w:val="36"/>
            </w:rPr>
            <w:t>’</w:t>
          </w:r>
          <w:r>
            <w:rPr>
              <w:sz w:val="36"/>
            </w:rPr>
            <w:t>élimination</w:t>
          </w:r>
          <w:r>
            <w:rPr>
              <w:sz w:val="36"/>
            </w:rPr>
            <w:br/>
            <w:t>de toutes les formes</w:t>
          </w:r>
          <w:r>
            <w:rPr>
              <w:sz w:val="36"/>
            </w:rPr>
            <w:br/>
            <w:t>de discrimination à l</w:t>
          </w:r>
          <w:r w:rsidR="00184D9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864BDC" w:rsidRPr="00184D9F" w:rsidRDefault="00864BDC" w:rsidP="00864BD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64BDC" w:rsidRPr="00184D9F" w:rsidRDefault="00864BDC" w:rsidP="00864BDC">
          <w:pPr>
            <w:pStyle w:val="Distribution"/>
            <w:rPr>
              <w:color w:val="000000"/>
              <w:lang w:val="fr-FR"/>
            </w:rPr>
          </w:pPr>
          <w:r w:rsidRPr="00184D9F">
            <w:rPr>
              <w:color w:val="000000"/>
              <w:lang w:val="fr-FR"/>
            </w:rPr>
            <w:t>Distr. générale</w:t>
          </w:r>
        </w:p>
        <w:p w:rsidR="00864BDC" w:rsidRPr="00184D9F" w:rsidRDefault="00864BDC" w:rsidP="00864BDC">
          <w:pPr>
            <w:pStyle w:val="Publication"/>
            <w:rPr>
              <w:color w:val="000000"/>
              <w:lang w:val="fr-FR"/>
            </w:rPr>
          </w:pPr>
          <w:r w:rsidRPr="00184D9F">
            <w:rPr>
              <w:color w:val="000000"/>
              <w:lang w:val="fr-FR"/>
            </w:rPr>
            <w:t>3 août 2015</w:t>
          </w:r>
        </w:p>
        <w:p w:rsidR="00864BDC" w:rsidRPr="00184D9F" w:rsidRDefault="00864BDC" w:rsidP="00864BDC">
          <w:pPr>
            <w:rPr>
              <w:lang w:val="fr-FR"/>
            </w:rPr>
          </w:pPr>
          <w:r w:rsidRPr="00184D9F">
            <w:rPr>
              <w:lang w:val="fr-FR"/>
            </w:rPr>
            <w:t>Français</w:t>
          </w:r>
        </w:p>
        <w:p w:rsidR="00864BDC" w:rsidRPr="00184D9F" w:rsidRDefault="00864BDC" w:rsidP="00864BDC">
          <w:pPr>
            <w:pStyle w:val="Original"/>
            <w:rPr>
              <w:color w:val="000000"/>
              <w:lang w:val="fr-FR"/>
            </w:rPr>
          </w:pPr>
          <w:r w:rsidRPr="00184D9F">
            <w:rPr>
              <w:color w:val="000000"/>
              <w:lang w:val="fr-FR"/>
            </w:rPr>
            <w:t>Original : anglais</w:t>
          </w:r>
        </w:p>
      </w:tc>
    </w:tr>
  </w:tbl>
  <w:p w:rsidR="00864BDC" w:rsidRPr="00184D9F" w:rsidRDefault="00864BDC" w:rsidP="00864BD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590C62"/>
    <w:multiLevelType w:val="singleLevel"/>
    <w:tmpl w:val="FA2E4880"/>
    <w:lvl w:ilvl="0">
      <w:start w:val="1"/>
      <w:numFmt w:val="decimal"/>
      <w:lvlRestart w:val="0"/>
      <w:lvlText w:val="%1."/>
      <w:lvlJc w:val="left"/>
      <w:pPr>
        <w:tabs>
          <w:tab w:val="num" w:pos="1742"/>
        </w:tabs>
        <w:ind w:left="1267" w:firstLine="0"/>
      </w:pPr>
      <w:rPr>
        <w:rFonts w:hint="default"/>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5*"/>
    <w:docVar w:name="CreationDt" w:val="05/10/2015 12:59:06"/>
    <w:docVar w:name="DocCategory" w:val="Doc"/>
    <w:docVar w:name="DocType" w:val="Final"/>
    <w:docVar w:name="DutyStation" w:val="New York"/>
    <w:docVar w:name="FooterJN" w:val="15-13075"/>
    <w:docVar w:name="jobn" w:val="15-13075 (F)"/>
    <w:docVar w:name="jobnDT" w:val="15-13075 (F)   051015"/>
    <w:docVar w:name="jobnDTDT" w:val="15-13075 (F)   051015   051015"/>
    <w:docVar w:name="JobNo" w:val="1513075F"/>
    <w:docVar w:name="JobNo2" w:val="1524165F"/>
    <w:docVar w:name="LocalDrive" w:val="0"/>
    <w:docVar w:name="OandT" w:val="dll"/>
    <w:docVar w:name="PaperSize" w:val="Letter"/>
    <w:docVar w:name="sss1" w:val="CEDAW/C/PSWG/63/1"/>
    <w:docVar w:name="sss2" w:val="-"/>
    <w:docVar w:name="Symbol1" w:val="CEDAW/C/PSWG/63/1"/>
    <w:docVar w:name="Symbol2" w:val="-"/>
  </w:docVars>
  <w:rsids>
    <w:rsidRoot w:val="00DB0316"/>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1105"/>
    <w:rsid w:val="00180387"/>
    <w:rsid w:val="00183EBF"/>
    <w:rsid w:val="00184D9F"/>
    <w:rsid w:val="00186793"/>
    <w:rsid w:val="0019082C"/>
    <w:rsid w:val="00192D05"/>
    <w:rsid w:val="00193A8C"/>
    <w:rsid w:val="001A2E2D"/>
    <w:rsid w:val="001A490F"/>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16C3"/>
    <w:rsid w:val="00472794"/>
    <w:rsid w:val="00475F9F"/>
    <w:rsid w:val="00476698"/>
    <w:rsid w:val="00477592"/>
    <w:rsid w:val="004814BB"/>
    <w:rsid w:val="00481634"/>
    <w:rsid w:val="00487428"/>
    <w:rsid w:val="00491CD5"/>
    <w:rsid w:val="00492510"/>
    <w:rsid w:val="00492DC3"/>
    <w:rsid w:val="00496B78"/>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6B5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4BDC"/>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316"/>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64BDC"/>
    <w:rPr>
      <w:sz w:val="16"/>
      <w:szCs w:val="16"/>
    </w:rPr>
  </w:style>
  <w:style w:type="paragraph" w:styleId="CommentText">
    <w:name w:val="annotation text"/>
    <w:basedOn w:val="Normal"/>
    <w:link w:val="CommentTextChar"/>
    <w:uiPriority w:val="99"/>
    <w:semiHidden/>
    <w:unhideWhenUsed/>
    <w:rsid w:val="00864BDC"/>
    <w:pPr>
      <w:spacing w:line="240" w:lineRule="auto"/>
    </w:pPr>
    <w:rPr>
      <w:szCs w:val="20"/>
    </w:rPr>
  </w:style>
  <w:style w:type="character" w:customStyle="1" w:styleId="CommentTextChar">
    <w:name w:val="Comment Text Char"/>
    <w:basedOn w:val="DefaultParagraphFont"/>
    <w:link w:val="CommentText"/>
    <w:uiPriority w:val="99"/>
    <w:semiHidden/>
    <w:rsid w:val="00864BD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64BDC"/>
    <w:rPr>
      <w:b/>
      <w:bCs/>
    </w:rPr>
  </w:style>
  <w:style w:type="character" w:customStyle="1" w:styleId="CommentSubjectChar">
    <w:name w:val="Comment Subject Char"/>
    <w:basedOn w:val="CommentTextChar"/>
    <w:link w:val="CommentSubject"/>
    <w:uiPriority w:val="99"/>
    <w:semiHidden/>
    <w:rsid w:val="00864BDC"/>
    <w:rPr>
      <w:rFonts w:ascii="Times New Roman" w:hAnsi="Times New Roman"/>
      <w:b/>
      <w:bCs/>
      <w:spacing w:val="4"/>
      <w:w w:val="103"/>
      <w:kern w:val="14"/>
      <w:lang w:val="fr-CA"/>
    </w:rPr>
  </w:style>
  <w:style w:type="paragraph" w:customStyle="1" w:styleId="HCh0">
    <w:name w:val="_ H _Ch"/>
    <w:basedOn w:val="H1"/>
    <w:next w:val="SingleTxt"/>
    <w:rsid w:val="00184D9F"/>
    <w:pPr>
      <w:spacing w:line="300" w:lineRule="exact"/>
    </w:pPr>
    <w:rPr>
      <w:rFonts w:eastAsia="Times New Roman"/>
      <w:spacing w:val="-2"/>
      <w:sz w:val="28"/>
      <w:szCs w:val="20"/>
    </w:rPr>
  </w:style>
  <w:style w:type="character" w:styleId="Hyperlink">
    <w:name w:val="Hyperlink"/>
    <w:basedOn w:val="DefaultParagraphFont"/>
    <w:uiPriority w:val="99"/>
    <w:unhideWhenUsed/>
    <w:rsid w:val="00184D9F"/>
    <w:rPr>
      <w:color w:val="0000FF"/>
      <w:u w:val="none"/>
    </w:rPr>
  </w:style>
  <w:style w:type="character" w:styleId="FollowedHyperlink">
    <w:name w:val="FollowedHyperlink"/>
    <w:basedOn w:val="DefaultParagraphFont"/>
    <w:uiPriority w:val="99"/>
    <w:semiHidden/>
    <w:unhideWhenUsed/>
    <w:rsid w:val="00184D9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64BDC"/>
    <w:rPr>
      <w:sz w:val="16"/>
      <w:szCs w:val="16"/>
    </w:rPr>
  </w:style>
  <w:style w:type="paragraph" w:styleId="CommentText">
    <w:name w:val="annotation text"/>
    <w:basedOn w:val="Normal"/>
    <w:link w:val="CommentTextChar"/>
    <w:uiPriority w:val="99"/>
    <w:semiHidden/>
    <w:unhideWhenUsed/>
    <w:rsid w:val="00864BDC"/>
    <w:pPr>
      <w:spacing w:line="240" w:lineRule="auto"/>
    </w:pPr>
    <w:rPr>
      <w:szCs w:val="20"/>
    </w:rPr>
  </w:style>
  <w:style w:type="character" w:customStyle="1" w:styleId="CommentTextChar">
    <w:name w:val="Comment Text Char"/>
    <w:basedOn w:val="DefaultParagraphFont"/>
    <w:link w:val="CommentText"/>
    <w:uiPriority w:val="99"/>
    <w:semiHidden/>
    <w:rsid w:val="00864BD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64BDC"/>
    <w:rPr>
      <w:b/>
      <w:bCs/>
    </w:rPr>
  </w:style>
  <w:style w:type="character" w:customStyle="1" w:styleId="CommentSubjectChar">
    <w:name w:val="Comment Subject Char"/>
    <w:basedOn w:val="CommentTextChar"/>
    <w:link w:val="CommentSubject"/>
    <w:uiPriority w:val="99"/>
    <w:semiHidden/>
    <w:rsid w:val="00864BDC"/>
    <w:rPr>
      <w:rFonts w:ascii="Times New Roman" w:hAnsi="Times New Roman"/>
      <w:b/>
      <w:bCs/>
      <w:spacing w:val="4"/>
      <w:w w:val="103"/>
      <w:kern w:val="14"/>
      <w:lang w:val="fr-CA"/>
    </w:rPr>
  </w:style>
  <w:style w:type="paragraph" w:customStyle="1" w:styleId="HCh0">
    <w:name w:val="_ H _Ch"/>
    <w:basedOn w:val="H1"/>
    <w:next w:val="SingleTxt"/>
    <w:rsid w:val="00184D9F"/>
    <w:pPr>
      <w:spacing w:line="300" w:lineRule="exact"/>
    </w:pPr>
    <w:rPr>
      <w:rFonts w:eastAsia="Times New Roman"/>
      <w:spacing w:val="-2"/>
      <w:sz w:val="28"/>
      <w:szCs w:val="20"/>
    </w:rPr>
  </w:style>
  <w:style w:type="character" w:styleId="Hyperlink">
    <w:name w:val="Hyperlink"/>
    <w:basedOn w:val="DefaultParagraphFont"/>
    <w:uiPriority w:val="99"/>
    <w:unhideWhenUsed/>
    <w:rsid w:val="00184D9F"/>
    <w:rPr>
      <w:color w:val="0000FF"/>
      <w:u w:val="none"/>
    </w:rPr>
  </w:style>
  <w:style w:type="character" w:styleId="FollowedHyperlink">
    <w:name w:val="FollowedHyperlink"/>
    <w:basedOn w:val="DefaultParagraphFont"/>
    <w:uiPriority w:val="99"/>
    <w:semiHidden/>
    <w:unhideWhenUsed/>
    <w:rsid w:val="00184D9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JPN/Q/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fr/CEDAW/C/TZA/Q/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ICE/Q/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HTI/Q/8" TargetMode="External"/><Relationship Id="rId20" Type="http://schemas.openxmlformats.org/officeDocument/2006/relationships/hyperlink" Target="http://undocs.org/fr/CEDAW/C/CZE/Q/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BLR/QPR/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VUT/Q/8" TargetMode="External"/><Relationship Id="rId10" Type="http://schemas.openxmlformats.org/officeDocument/2006/relationships/header" Target="header2.xml"/><Relationship Id="rId19" Type="http://schemas.openxmlformats.org/officeDocument/2006/relationships/hyperlink" Target="http://undocs.org/fr/CEDAW/C/MNG/Q/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SWE/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B3E70-F4D4-49FC-916D-D75B0E829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883</Words>
  <Characters>5039</Characters>
  <Application>Microsoft Office Word</Application>
  <DocSecurity>0</DocSecurity>
  <Lines>41</Lines>
  <Paragraphs>11</Paragraphs>
  <ScaleCrop>false</ScaleCrop>
  <Company>United Nations</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9</cp:revision>
  <cp:lastPrinted>2015-10-05T17:01:00Z</cp:lastPrinted>
  <dcterms:created xsi:type="dcterms:W3CDTF">2015-10-05T16:58:00Z</dcterms:created>
  <dcterms:modified xsi:type="dcterms:W3CDTF">2015-10-06T00:47:00Z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1513075F</vt:lpwstr>
  </property>
  <property fmtid="{D5CDD505-2E9C-101B-9397-08002B2CF9AE}" pid="3" name="ODSRefJobNo">
    <vt:lpwstr>1524165F</vt:lpwstr>
  </property>
  <property fmtid="{D5CDD505-2E9C-101B-9397-08002B2CF9AE}" pid="4" name="Symbol1">
    <vt:lpwstr>CEDAW/C/PSWG/63/1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