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D518950" w14:textId="77777777" w:rsidTr="00DC18BF">
        <w:trPr>
          <w:trHeight w:hRule="exact" w:val="851"/>
        </w:trPr>
        <w:tc>
          <w:tcPr>
            <w:tcW w:w="1280" w:type="dxa"/>
            <w:tcBorders>
              <w:bottom w:val="single" w:sz="4" w:space="0" w:color="auto"/>
            </w:tcBorders>
          </w:tcPr>
          <w:p w14:paraId="60796AAC" w14:textId="77777777" w:rsidR="00494EB8" w:rsidRPr="00F124C6" w:rsidRDefault="00494EB8" w:rsidP="007D7A4A">
            <w:pPr>
              <w:pStyle w:val="H23GC"/>
            </w:pPr>
          </w:p>
        </w:tc>
        <w:tc>
          <w:tcPr>
            <w:tcW w:w="2273" w:type="dxa"/>
            <w:tcBorders>
              <w:bottom w:val="single" w:sz="4" w:space="0" w:color="auto"/>
            </w:tcBorders>
            <w:vAlign w:val="bottom"/>
          </w:tcPr>
          <w:p w14:paraId="2CFE3296"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2EE75FC3" w14:textId="77777777" w:rsidR="00494EB8" w:rsidRPr="00AC2717" w:rsidRDefault="00AC2717" w:rsidP="00DC18BF">
            <w:pPr>
              <w:spacing w:line="240" w:lineRule="atLeast"/>
              <w:jc w:val="right"/>
              <w:rPr>
                <w:sz w:val="20"/>
                <w:szCs w:val="21"/>
              </w:rPr>
            </w:pPr>
            <w:r w:rsidRPr="00AC2717">
              <w:rPr>
                <w:sz w:val="40"/>
                <w:szCs w:val="21"/>
              </w:rPr>
              <w:t>CAT</w:t>
            </w:r>
            <w:r>
              <w:rPr>
                <w:sz w:val="20"/>
                <w:szCs w:val="21"/>
              </w:rPr>
              <w:t>/C/NAM/CO/3</w:t>
            </w:r>
          </w:p>
        </w:tc>
      </w:tr>
      <w:tr w:rsidR="00494EB8" w:rsidRPr="00F124C6" w14:paraId="7AA3AA91" w14:textId="77777777" w:rsidTr="00DC18BF">
        <w:trPr>
          <w:trHeight w:hRule="exact" w:val="2835"/>
        </w:trPr>
        <w:tc>
          <w:tcPr>
            <w:tcW w:w="1280" w:type="dxa"/>
            <w:tcBorders>
              <w:top w:val="single" w:sz="4" w:space="0" w:color="auto"/>
              <w:bottom w:val="single" w:sz="12" w:space="0" w:color="auto"/>
            </w:tcBorders>
          </w:tcPr>
          <w:p w14:paraId="3C0DBB39" w14:textId="77777777" w:rsidR="00494EB8" w:rsidRPr="00F124C6" w:rsidRDefault="00494EB8" w:rsidP="00DC18BF">
            <w:pPr>
              <w:spacing w:line="120" w:lineRule="atLeast"/>
              <w:rPr>
                <w:sz w:val="10"/>
                <w:szCs w:val="10"/>
              </w:rPr>
            </w:pPr>
          </w:p>
          <w:p w14:paraId="75D4489B"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1228A3F9" wp14:editId="3C2742B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F24669"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8841DC2" w14:textId="0EA59A23" w:rsidR="00494EB8" w:rsidRPr="0004600B" w:rsidRDefault="00494EB8" w:rsidP="00DC18BF">
            <w:pPr>
              <w:spacing w:before="240" w:line="240" w:lineRule="atLeast"/>
              <w:rPr>
                <w:rFonts w:hint="eastAsia"/>
                <w:sz w:val="20"/>
              </w:rPr>
            </w:pPr>
            <w:r w:rsidRPr="00F124C6">
              <w:rPr>
                <w:sz w:val="20"/>
              </w:rPr>
              <w:t xml:space="preserve">Distr.: </w:t>
            </w:r>
            <w:r w:rsidR="00AC2717" w:rsidRPr="00AC2717">
              <w:rPr>
                <w:sz w:val="20"/>
              </w:rPr>
              <w:t>General</w:t>
            </w:r>
          </w:p>
          <w:p w14:paraId="0F767FCF" w14:textId="24893A2B" w:rsidR="00494EB8" w:rsidRPr="00F124C6" w:rsidRDefault="00AC2717" w:rsidP="00DC18BF">
            <w:pPr>
              <w:spacing w:line="240" w:lineRule="atLeast"/>
              <w:rPr>
                <w:sz w:val="20"/>
              </w:rPr>
            </w:pPr>
            <w:r>
              <w:rPr>
                <w:rFonts w:hint="eastAsia"/>
                <w:sz w:val="20"/>
              </w:rPr>
              <w:t xml:space="preserve">10 </w:t>
            </w:r>
            <w:r w:rsidRPr="00AC2717">
              <w:rPr>
                <w:sz w:val="20"/>
              </w:rPr>
              <w:t>December</w:t>
            </w:r>
            <w:r w:rsidR="005505A1">
              <w:rPr>
                <w:sz w:val="20"/>
              </w:rPr>
              <w:t xml:space="preserve"> 20</w:t>
            </w:r>
            <w:r w:rsidR="00597013">
              <w:rPr>
                <w:sz w:val="20"/>
              </w:rPr>
              <w:t>2</w:t>
            </w:r>
            <w:r w:rsidR="00155102">
              <w:rPr>
                <w:sz w:val="20"/>
              </w:rPr>
              <w:t>4</w:t>
            </w:r>
          </w:p>
          <w:p w14:paraId="5011E3FE" w14:textId="77777777" w:rsidR="00494EB8" w:rsidRPr="00F124C6" w:rsidRDefault="00494EB8" w:rsidP="00DC18BF">
            <w:pPr>
              <w:spacing w:line="240" w:lineRule="atLeast"/>
              <w:rPr>
                <w:sz w:val="20"/>
              </w:rPr>
            </w:pPr>
            <w:r w:rsidRPr="00F124C6">
              <w:rPr>
                <w:sz w:val="20"/>
              </w:rPr>
              <w:t xml:space="preserve">Chinese </w:t>
            </w:r>
          </w:p>
          <w:p w14:paraId="59645F2A" w14:textId="77777777" w:rsidR="00494EB8" w:rsidRPr="00F124C6" w:rsidRDefault="00494EB8" w:rsidP="00DC18BF">
            <w:pPr>
              <w:spacing w:line="240" w:lineRule="atLeast"/>
            </w:pPr>
            <w:r w:rsidRPr="00F124C6">
              <w:rPr>
                <w:sz w:val="20"/>
              </w:rPr>
              <w:t>Original: English</w:t>
            </w:r>
          </w:p>
        </w:tc>
      </w:tr>
    </w:tbl>
    <w:p w14:paraId="29ECF8EE" w14:textId="77777777" w:rsidR="00AC2717" w:rsidRPr="00D823A9" w:rsidRDefault="00AC2717" w:rsidP="00D823A9">
      <w:pPr>
        <w:spacing w:before="120"/>
        <w:rPr>
          <w:rFonts w:ascii="Time New Roman" w:eastAsia="黑体" w:hAnsi="Time New Roman"/>
          <w:sz w:val="24"/>
        </w:rPr>
      </w:pPr>
      <w:r w:rsidRPr="00D823A9">
        <w:rPr>
          <w:rFonts w:ascii="Time New Roman" w:eastAsia="黑体" w:hAnsi="Time New Roman" w:hint="eastAsia"/>
          <w:sz w:val="24"/>
        </w:rPr>
        <w:t>禁止酷刑委员会</w:t>
      </w:r>
    </w:p>
    <w:p w14:paraId="031698A2" w14:textId="77777777" w:rsidR="00AC2717" w:rsidRPr="00541EE9" w:rsidRDefault="00AC2717" w:rsidP="00D823A9">
      <w:pPr>
        <w:pStyle w:val="HChGC"/>
      </w:pPr>
      <w:r w:rsidRPr="00541EE9">
        <w:tab/>
      </w:r>
      <w:r w:rsidRPr="00541EE9">
        <w:tab/>
      </w:r>
      <w:r w:rsidRPr="00541EE9">
        <w:rPr>
          <w:rFonts w:hint="eastAsia"/>
        </w:rPr>
        <w:t>关于纳米比亚第三次定期报告的结论性意见</w:t>
      </w:r>
      <w:r w:rsidRPr="00541EE9">
        <w:rPr>
          <w:szCs w:val="14"/>
        </w:rPr>
        <w:footnoteReference w:customMarkFollows="1" w:id="2"/>
        <w:t>*</w:t>
      </w:r>
    </w:p>
    <w:p w14:paraId="14EA2DFC" w14:textId="77777777" w:rsidR="00AC2717" w:rsidRPr="00541EE9" w:rsidRDefault="00AC2717" w:rsidP="00AC2717">
      <w:pPr>
        <w:pStyle w:val="SingleTxtGC"/>
      </w:pPr>
      <w:r w:rsidRPr="00541EE9">
        <w:t>1.</w:t>
      </w:r>
      <w:r w:rsidRPr="00541EE9">
        <w:tab/>
      </w:r>
      <w:r w:rsidRPr="00541EE9">
        <w:rPr>
          <w:rFonts w:hint="eastAsia"/>
        </w:rPr>
        <w:t>委员会在</w:t>
      </w:r>
      <w:r w:rsidRPr="00541EE9">
        <w:t>2024</w:t>
      </w:r>
      <w:r w:rsidRPr="00541EE9">
        <w:rPr>
          <w:rFonts w:hint="eastAsia"/>
        </w:rPr>
        <w:t>年</w:t>
      </w:r>
      <w:r w:rsidRPr="00541EE9">
        <w:t>10</w:t>
      </w:r>
      <w:r w:rsidRPr="00541EE9">
        <w:rPr>
          <w:rFonts w:hint="eastAsia"/>
        </w:rPr>
        <w:t>月</w:t>
      </w:r>
      <w:r w:rsidRPr="00541EE9">
        <w:t>30</w:t>
      </w:r>
      <w:r w:rsidRPr="00541EE9">
        <w:rPr>
          <w:rFonts w:hint="eastAsia"/>
        </w:rPr>
        <w:t>日和</w:t>
      </w:r>
      <w:r w:rsidRPr="00541EE9">
        <w:t>31</w:t>
      </w:r>
      <w:r w:rsidRPr="00541EE9">
        <w:rPr>
          <w:rFonts w:hint="eastAsia"/>
        </w:rPr>
        <w:t>日举行的第</w:t>
      </w:r>
      <w:r w:rsidRPr="00541EE9">
        <w:t>2140</w:t>
      </w:r>
      <w:r w:rsidRPr="00541EE9">
        <w:rPr>
          <w:rFonts w:hint="eastAsia"/>
        </w:rPr>
        <w:t>和</w:t>
      </w:r>
      <w:r w:rsidRPr="00541EE9">
        <w:t>2143</w:t>
      </w:r>
      <w:r w:rsidRPr="00541EE9">
        <w:rPr>
          <w:rFonts w:hint="eastAsia"/>
        </w:rPr>
        <w:t>次会议</w:t>
      </w:r>
      <w:r w:rsidRPr="004B50D0">
        <w:rPr>
          <w:rStyle w:val="a8"/>
          <w:rFonts w:eastAsia="宋体"/>
        </w:rPr>
        <w:footnoteReference w:id="3"/>
      </w:r>
      <w:r w:rsidRPr="00541EE9">
        <w:rPr>
          <w:rStyle w:val="SingleTxtGCChar"/>
        </w:rPr>
        <w:t xml:space="preserve"> </w:t>
      </w:r>
      <w:r w:rsidRPr="00541EE9">
        <w:rPr>
          <w:rFonts w:hint="eastAsia"/>
        </w:rPr>
        <w:t>上审议了纳米比亚的第三次定期报告</w:t>
      </w:r>
      <w:r w:rsidRPr="004B50D0">
        <w:rPr>
          <w:rStyle w:val="a8"/>
          <w:rFonts w:eastAsia="宋体"/>
        </w:rPr>
        <w:footnoteReference w:id="4"/>
      </w:r>
      <w:r w:rsidRPr="00541EE9">
        <w:rPr>
          <w:rFonts w:hint="eastAsia"/>
        </w:rPr>
        <w:t>，并在</w:t>
      </w:r>
      <w:r w:rsidRPr="00541EE9">
        <w:t>2024</w:t>
      </w:r>
      <w:r w:rsidRPr="00541EE9">
        <w:rPr>
          <w:rFonts w:hint="eastAsia"/>
        </w:rPr>
        <w:t>年</w:t>
      </w:r>
      <w:r w:rsidRPr="00541EE9">
        <w:t>11</w:t>
      </w:r>
      <w:r w:rsidRPr="00541EE9">
        <w:rPr>
          <w:rFonts w:hint="eastAsia"/>
        </w:rPr>
        <w:t>月</w:t>
      </w:r>
      <w:r w:rsidRPr="00541EE9">
        <w:t>18</w:t>
      </w:r>
      <w:r w:rsidRPr="00541EE9">
        <w:rPr>
          <w:rFonts w:hint="eastAsia"/>
        </w:rPr>
        <w:t>日举行的第</w:t>
      </w:r>
      <w:r w:rsidRPr="00541EE9">
        <w:t>2165</w:t>
      </w:r>
      <w:r w:rsidRPr="00541EE9">
        <w:rPr>
          <w:rFonts w:hint="eastAsia"/>
        </w:rPr>
        <w:t>次会议上通过了本结论性意见。</w:t>
      </w:r>
    </w:p>
    <w:p w14:paraId="76F2D9B0" w14:textId="77777777" w:rsidR="00AC2717" w:rsidRPr="00541EE9" w:rsidRDefault="00AC2717" w:rsidP="00D823A9">
      <w:pPr>
        <w:pStyle w:val="H1GC"/>
      </w:pPr>
      <w:r w:rsidRPr="00541EE9">
        <w:tab/>
        <w:t>A.</w:t>
      </w:r>
      <w:r w:rsidRPr="00541EE9">
        <w:tab/>
      </w:r>
      <w:r w:rsidRPr="00541EE9">
        <w:rPr>
          <w:rFonts w:hint="eastAsia"/>
        </w:rPr>
        <w:t>导言</w:t>
      </w:r>
    </w:p>
    <w:p w14:paraId="5D962E2C" w14:textId="77777777" w:rsidR="00AC2717" w:rsidRPr="00541EE9" w:rsidRDefault="00AC2717" w:rsidP="00AC2717">
      <w:pPr>
        <w:pStyle w:val="SingleTxtGC"/>
      </w:pPr>
      <w:r w:rsidRPr="00541EE9">
        <w:t>2.</w:t>
      </w:r>
      <w:r w:rsidRPr="00541EE9">
        <w:tab/>
      </w:r>
      <w:r w:rsidRPr="00541EE9">
        <w:rPr>
          <w:rFonts w:hint="eastAsia"/>
        </w:rPr>
        <w:t>在缔约国于</w:t>
      </w:r>
      <w:r w:rsidRPr="00541EE9">
        <w:t>2015</w:t>
      </w:r>
      <w:r w:rsidRPr="00541EE9">
        <w:rPr>
          <w:rFonts w:hint="eastAsia"/>
        </w:rPr>
        <w:t>年</w:t>
      </w:r>
      <w:r w:rsidRPr="00541EE9">
        <w:t>10</w:t>
      </w:r>
      <w:r w:rsidRPr="00541EE9">
        <w:rPr>
          <w:rFonts w:hint="eastAsia"/>
        </w:rPr>
        <w:t>月</w:t>
      </w:r>
      <w:r w:rsidRPr="00541EE9">
        <w:t>21</w:t>
      </w:r>
      <w:r w:rsidRPr="00541EE9">
        <w:rPr>
          <w:rFonts w:hint="eastAsia"/>
        </w:rPr>
        <w:t>日接受简化报告程序后，委员会在</w:t>
      </w:r>
      <w:r w:rsidRPr="00541EE9">
        <w:t>2019</w:t>
      </w:r>
      <w:r w:rsidRPr="00541EE9">
        <w:rPr>
          <w:rFonts w:hint="eastAsia"/>
        </w:rPr>
        <w:t>年</w:t>
      </w:r>
      <w:r w:rsidRPr="00541EE9">
        <w:t>11</w:t>
      </w:r>
      <w:r w:rsidRPr="00541EE9">
        <w:rPr>
          <w:rFonts w:hint="eastAsia"/>
        </w:rPr>
        <w:t>月</w:t>
      </w:r>
      <w:r w:rsidRPr="00541EE9">
        <w:t>11</w:t>
      </w:r>
      <w:r w:rsidRPr="00541EE9">
        <w:rPr>
          <w:rFonts w:hint="eastAsia"/>
        </w:rPr>
        <w:t>日至</w:t>
      </w:r>
      <w:r w:rsidRPr="00541EE9">
        <w:t>12</w:t>
      </w:r>
      <w:r w:rsidRPr="00541EE9">
        <w:rPr>
          <w:rFonts w:hint="eastAsia"/>
        </w:rPr>
        <w:t>月</w:t>
      </w:r>
      <w:r w:rsidRPr="00541EE9">
        <w:t>6</w:t>
      </w:r>
      <w:r w:rsidRPr="00541EE9">
        <w:rPr>
          <w:rFonts w:hint="eastAsia"/>
        </w:rPr>
        <w:t>日举行的第六十八届会议上通过了纳米比亚提交第三次定期报告前问题清单。</w:t>
      </w:r>
      <w:r w:rsidRPr="004B50D0">
        <w:rPr>
          <w:rStyle w:val="a8"/>
          <w:rFonts w:eastAsia="宋体"/>
        </w:rPr>
        <w:footnoteReference w:id="5"/>
      </w:r>
      <w:r w:rsidRPr="00541EE9">
        <w:rPr>
          <w:rFonts w:hint="eastAsia"/>
        </w:rPr>
        <w:t xml:space="preserve"> </w:t>
      </w:r>
      <w:r w:rsidRPr="00541EE9">
        <w:rPr>
          <w:rFonts w:hint="eastAsia"/>
        </w:rPr>
        <w:t>然而，缔约国于</w:t>
      </w:r>
      <w:r w:rsidRPr="00541EE9">
        <w:t>2021</w:t>
      </w:r>
      <w:r w:rsidRPr="00541EE9">
        <w:rPr>
          <w:rFonts w:hint="eastAsia"/>
        </w:rPr>
        <w:t>年</w:t>
      </w:r>
      <w:r w:rsidRPr="00541EE9">
        <w:t>5</w:t>
      </w:r>
      <w:r w:rsidRPr="00541EE9">
        <w:rPr>
          <w:rFonts w:hint="eastAsia"/>
        </w:rPr>
        <w:t>月</w:t>
      </w:r>
      <w:r w:rsidRPr="00541EE9">
        <w:t>19</w:t>
      </w:r>
      <w:r w:rsidRPr="00541EE9">
        <w:rPr>
          <w:rFonts w:hint="eastAsia"/>
        </w:rPr>
        <w:t>日根据标准报告程序提交了第三次定期报告，要求委员会在</w:t>
      </w:r>
      <w:r w:rsidRPr="00541EE9">
        <w:t>2024</w:t>
      </w:r>
      <w:r w:rsidRPr="00541EE9">
        <w:rPr>
          <w:rFonts w:hint="eastAsia"/>
        </w:rPr>
        <w:t>年</w:t>
      </w:r>
      <w:r w:rsidRPr="00541EE9">
        <w:t>4</w:t>
      </w:r>
      <w:r w:rsidRPr="00541EE9">
        <w:rPr>
          <w:rFonts w:hint="eastAsia"/>
        </w:rPr>
        <w:t>月</w:t>
      </w:r>
      <w:r w:rsidRPr="00541EE9">
        <w:t>15</w:t>
      </w:r>
      <w:r w:rsidRPr="00541EE9">
        <w:rPr>
          <w:rFonts w:hint="eastAsia"/>
        </w:rPr>
        <w:t>日至</w:t>
      </w:r>
      <w:r w:rsidRPr="00541EE9">
        <w:t>5</w:t>
      </w:r>
      <w:r w:rsidRPr="00541EE9">
        <w:rPr>
          <w:rFonts w:hint="eastAsia"/>
        </w:rPr>
        <w:t>月</w:t>
      </w:r>
      <w:r w:rsidRPr="00541EE9">
        <w:t>10</w:t>
      </w:r>
      <w:r w:rsidRPr="00541EE9">
        <w:rPr>
          <w:rFonts w:hint="eastAsia"/>
        </w:rPr>
        <w:t>日举行的第七十九届会议上就该报告通过一份问题清单。</w:t>
      </w:r>
      <w:r w:rsidRPr="004B50D0">
        <w:rPr>
          <w:rStyle w:val="a8"/>
          <w:rFonts w:eastAsia="宋体"/>
        </w:rPr>
        <w:footnoteReference w:id="6"/>
      </w:r>
      <w:r w:rsidRPr="00541EE9">
        <w:rPr>
          <w:rFonts w:hint="eastAsia"/>
        </w:rPr>
        <w:t xml:space="preserve"> </w:t>
      </w:r>
      <w:r w:rsidRPr="00541EE9">
        <w:rPr>
          <w:rFonts w:hint="eastAsia"/>
        </w:rPr>
        <w:t>委员会感到遗憾的是，缔约国随后未能在第八十一届会议公开审议定期报告之前对问题清单作出书面答复。</w:t>
      </w:r>
    </w:p>
    <w:p w14:paraId="657623ED" w14:textId="77777777" w:rsidR="00AC2717" w:rsidRPr="00541EE9" w:rsidRDefault="00AC2717" w:rsidP="00AC2717">
      <w:pPr>
        <w:pStyle w:val="SingleTxtGC"/>
      </w:pPr>
      <w:r w:rsidRPr="00541EE9">
        <w:t>3.</w:t>
      </w:r>
      <w:r w:rsidRPr="00541EE9">
        <w:tab/>
      </w:r>
      <w:r w:rsidRPr="00541EE9">
        <w:rPr>
          <w:rFonts w:hint="eastAsia"/>
        </w:rPr>
        <w:t>委员会赞赏有机会与缔约国代表团进行建设性对话，并感谢代表团就审议第三次定期报告期间提出的问题与关注提供回复和书面资料。</w:t>
      </w:r>
    </w:p>
    <w:p w14:paraId="004D220E" w14:textId="77777777" w:rsidR="00AC2717" w:rsidRPr="00541EE9" w:rsidRDefault="00AC2717" w:rsidP="00D823A9">
      <w:pPr>
        <w:pStyle w:val="H1GC"/>
      </w:pPr>
      <w:r w:rsidRPr="00541EE9">
        <w:tab/>
        <w:t>B.</w:t>
      </w:r>
      <w:r w:rsidRPr="00541EE9">
        <w:tab/>
      </w:r>
      <w:r w:rsidRPr="00541EE9">
        <w:rPr>
          <w:rFonts w:hint="eastAsia"/>
        </w:rPr>
        <w:t>积极方面</w:t>
      </w:r>
    </w:p>
    <w:p w14:paraId="2A20163B" w14:textId="77777777" w:rsidR="00AC2717" w:rsidRPr="00541EE9" w:rsidRDefault="00AC2717" w:rsidP="00AC2717">
      <w:pPr>
        <w:pStyle w:val="SingleTxtGC"/>
      </w:pPr>
      <w:r w:rsidRPr="00541EE9">
        <w:t>4.</w:t>
      </w:r>
      <w:r w:rsidRPr="00541EE9">
        <w:tab/>
      </w:r>
      <w:bookmarkStart w:id="0" w:name="_Hlk120625680"/>
      <w:r w:rsidRPr="00541EE9">
        <w:rPr>
          <w:rFonts w:hint="eastAsia"/>
        </w:rPr>
        <w:t>委员会欢迎缔约国于</w:t>
      </w:r>
      <w:r w:rsidRPr="00541EE9">
        <w:t>2020</w:t>
      </w:r>
      <w:r w:rsidRPr="00541EE9">
        <w:rPr>
          <w:rFonts w:hint="eastAsia"/>
        </w:rPr>
        <w:t>年批准国际劳工组织《</w:t>
      </w:r>
      <w:r w:rsidRPr="00541EE9">
        <w:t>2011</w:t>
      </w:r>
      <w:r w:rsidRPr="00541EE9">
        <w:rPr>
          <w:rFonts w:hint="eastAsia"/>
        </w:rPr>
        <w:t>年家庭工人公约》</w:t>
      </w:r>
      <w:r w:rsidRPr="00541EE9">
        <w:t>(</w:t>
      </w:r>
      <w:r w:rsidRPr="00541EE9">
        <w:rPr>
          <w:rFonts w:hint="eastAsia"/>
        </w:rPr>
        <w:t>第</w:t>
      </w:r>
      <w:r w:rsidRPr="00541EE9">
        <w:t>189</w:t>
      </w:r>
      <w:r w:rsidRPr="00541EE9">
        <w:rPr>
          <w:rFonts w:hint="eastAsia"/>
        </w:rPr>
        <w:t>号</w:t>
      </w:r>
      <w:r w:rsidRPr="00541EE9">
        <w:t>)</w:t>
      </w:r>
      <w:r w:rsidRPr="00541EE9">
        <w:rPr>
          <w:rFonts w:hint="eastAsia"/>
        </w:rPr>
        <w:t>。</w:t>
      </w:r>
    </w:p>
    <w:p w14:paraId="2C01902E" w14:textId="77777777" w:rsidR="00AC2717" w:rsidRPr="00541EE9" w:rsidRDefault="00AC2717" w:rsidP="00AC2717">
      <w:pPr>
        <w:pStyle w:val="SingleTxtGC"/>
      </w:pPr>
      <w:r w:rsidRPr="00541EE9">
        <w:t>5.</w:t>
      </w:r>
      <w:r w:rsidRPr="00541EE9">
        <w:tab/>
      </w:r>
      <w:r w:rsidRPr="00541EE9">
        <w:rPr>
          <w:rFonts w:hint="eastAsia"/>
        </w:rPr>
        <w:t>委员会还欢迎缔约国采取以下立法措施：</w:t>
      </w:r>
    </w:p>
    <w:p w14:paraId="53050628" w14:textId="77777777" w:rsidR="00AC2717" w:rsidRPr="00541EE9" w:rsidRDefault="00AC2717" w:rsidP="00AC2717">
      <w:pPr>
        <w:pStyle w:val="SingleTxtGC"/>
      </w:pPr>
      <w:r w:rsidRPr="00541EE9">
        <w:tab/>
        <w:t>(a)</w:t>
      </w:r>
      <w:r w:rsidRPr="00541EE9">
        <w:tab/>
      </w:r>
      <w:r w:rsidRPr="00541EE9">
        <w:rPr>
          <w:rFonts w:hint="eastAsia"/>
        </w:rPr>
        <w:t>《基础教育法》</w:t>
      </w:r>
      <w:r w:rsidRPr="00541EE9">
        <w:t>(2020</w:t>
      </w:r>
      <w:r w:rsidRPr="00541EE9">
        <w:rPr>
          <w:rFonts w:hint="eastAsia"/>
        </w:rPr>
        <w:t>年第</w:t>
      </w:r>
      <w:r w:rsidRPr="00541EE9">
        <w:t>3</w:t>
      </w:r>
      <w:r w:rsidRPr="00541EE9">
        <w:rPr>
          <w:rFonts w:hint="eastAsia"/>
        </w:rPr>
        <w:t>号法</w:t>
      </w:r>
      <w:r w:rsidRPr="00541EE9">
        <w:t>)</w:t>
      </w:r>
      <w:r w:rsidRPr="00541EE9">
        <w:rPr>
          <w:rFonts w:hint="eastAsia"/>
        </w:rPr>
        <w:t>，该法禁止在公立和私立学校进行一切形式的体罚；</w:t>
      </w:r>
    </w:p>
    <w:p w14:paraId="02CA1762" w14:textId="77777777" w:rsidR="00AC2717" w:rsidRPr="00541EE9" w:rsidRDefault="00AC2717" w:rsidP="00AC2717">
      <w:pPr>
        <w:pStyle w:val="SingleTxtGC"/>
      </w:pPr>
      <w:r w:rsidRPr="00541EE9">
        <w:tab/>
        <w:t>(b)</w:t>
      </w:r>
      <w:r w:rsidRPr="00541EE9">
        <w:tab/>
      </w:r>
      <w:r w:rsidRPr="00541EE9">
        <w:rPr>
          <w:rFonts w:hint="eastAsia"/>
        </w:rPr>
        <w:t>《打击人口贩运法》</w:t>
      </w:r>
      <w:r w:rsidRPr="00541EE9">
        <w:t>(2018</w:t>
      </w:r>
      <w:r w:rsidRPr="00541EE9">
        <w:rPr>
          <w:rFonts w:hint="eastAsia"/>
        </w:rPr>
        <w:t>年第</w:t>
      </w:r>
      <w:r w:rsidRPr="00541EE9">
        <w:t>1</w:t>
      </w:r>
      <w:r w:rsidRPr="00541EE9">
        <w:rPr>
          <w:rFonts w:hint="eastAsia"/>
        </w:rPr>
        <w:t>号法</w:t>
      </w:r>
      <w:r w:rsidRPr="00541EE9">
        <w:t>)</w:t>
      </w:r>
      <w:r w:rsidRPr="00541EE9">
        <w:rPr>
          <w:rFonts w:hint="eastAsia"/>
        </w:rPr>
        <w:t>；</w:t>
      </w:r>
    </w:p>
    <w:p w14:paraId="1DEFBED4" w14:textId="77777777" w:rsidR="00AC2717" w:rsidRPr="00541EE9" w:rsidRDefault="00AC2717" w:rsidP="00AC2717">
      <w:pPr>
        <w:pStyle w:val="SingleTxtGC"/>
      </w:pPr>
      <w:r w:rsidRPr="00541EE9">
        <w:lastRenderedPageBreak/>
        <w:tab/>
        <w:t>(c)</w:t>
      </w:r>
      <w:r w:rsidRPr="00541EE9">
        <w:tab/>
      </w:r>
      <w:r w:rsidRPr="00541EE9">
        <w:rPr>
          <w:rFonts w:hint="eastAsia"/>
        </w:rPr>
        <w:t>《举报人保护法》</w:t>
      </w:r>
      <w:r w:rsidRPr="00541EE9">
        <w:t>(2017</w:t>
      </w:r>
      <w:r w:rsidRPr="00541EE9">
        <w:rPr>
          <w:rFonts w:hint="eastAsia"/>
        </w:rPr>
        <w:t>年第</w:t>
      </w:r>
      <w:r w:rsidRPr="00541EE9">
        <w:t>10</w:t>
      </w:r>
      <w:r w:rsidRPr="00541EE9">
        <w:rPr>
          <w:rFonts w:hint="eastAsia"/>
        </w:rPr>
        <w:t>号法</w:t>
      </w:r>
      <w:r w:rsidRPr="00541EE9">
        <w:t>)</w:t>
      </w:r>
      <w:r w:rsidRPr="00541EE9">
        <w:rPr>
          <w:rFonts w:hint="eastAsia"/>
        </w:rPr>
        <w:t>；</w:t>
      </w:r>
    </w:p>
    <w:p w14:paraId="117895A6" w14:textId="77777777" w:rsidR="00AC2717" w:rsidRPr="00541EE9" w:rsidRDefault="00AC2717" w:rsidP="00AC2717">
      <w:pPr>
        <w:pStyle w:val="SingleTxtGC"/>
      </w:pPr>
      <w:r w:rsidRPr="00541EE9">
        <w:tab/>
        <w:t>(d)</w:t>
      </w:r>
      <w:r w:rsidRPr="00541EE9">
        <w:tab/>
      </w:r>
      <w:r w:rsidRPr="00541EE9">
        <w:rPr>
          <w:rFonts w:hint="eastAsia"/>
        </w:rPr>
        <w:t>《证人保护法》</w:t>
      </w:r>
      <w:r w:rsidRPr="00541EE9">
        <w:t>(2017</w:t>
      </w:r>
      <w:r w:rsidRPr="00541EE9">
        <w:rPr>
          <w:rFonts w:hint="eastAsia"/>
        </w:rPr>
        <w:t>年第</w:t>
      </w:r>
      <w:r w:rsidRPr="00541EE9">
        <w:t>11</w:t>
      </w:r>
      <w:r w:rsidRPr="00541EE9">
        <w:rPr>
          <w:rFonts w:hint="eastAsia"/>
        </w:rPr>
        <w:t>号法</w:t>
      </w:r>
      <w:r w:rsidRPr="00541EE9">
        <w:t>)</w:t>
      </w:r>
      <w:r w:rsidRPr="00541EE9">
        <w:rPr>
          <w:rFonts w:hint="eastAsia"/>
        </w:rPr>
        <w:t>。</w:t>
      </w:r>
    </w:p>
    <w:p w14:paraId="5A11C87C" w14:textId="77777777" w:rsidR="00AC2717" w:rsidRPr="00541EE9" w:rsidRDefault="00AC2717" w:rsidP="00AC2717">
      <w:pPr>
        <w:pStyle w:val="SingleTxtGC"/>
      </w:pPr>
      <w:r w:rsidRPr="00541EE9">
        <w:t>6.</w:t>
      </w:r>
      <w:r w:rsidRPr="00541EE9">
        <w:tab/>
      </w:r>
      <w:r w:rsidRPr="00541EE9">
        <w:rPr>
          <w:rFonts w:hint="eastAsia"/>
        </w:rPr>
        <w:t>委员会赞扬缔约国采取举措，修改其政策和程序，以确保更好地保护人权和执行《公约》，特别是：</w:t>
      </w:r>
    </w:p>
    <w:p w14:paraId="77452C50" w14:textId="77777777" w:rsidR="00AC2717" w:rsidRPr="00541EE9" w:rsidRDefault="00AC2717" w:rsidP="00AC2717">
      <w:pPr>
        <w:pStyle w:val="SingleTxtGC"/>
      </w:pPr>
      <w:r w:rsidRPr="00541EE9">
        <w:tab/>
        <w:t>(a)</w:t>
      </w:r>
      <w:r w:rsidRPr="00541EE9">
        <w:tab/>
      </w:r>
      <w:r w:rsidRPr="00541EE9">
        <w:rPr>
          <w:rFonts w:hint="eastAsia"/>
        </w:rPr>
        <w:t>通过了《打击人口贩运国家行动计划》</w:t>
      </w:r>
      <w:r w:rsidRPr="00541EE9">
        <w:t>(2023-2027</w:t>
      </w:r>
      <w:r w:rsidRPr="00541EE9">
        <w:rPr>
          <w:rFonts w:hint="eastAsia"/>
        </w:rPr>
        <w:t>年</w:t>
      </w:r>
      <w:r w:rsidRPr="00541EE9">
        <w:t>)</w:t>
      </w:r>
      <w:r w:rsidRPr="00541EE9">
        <w:rPr>
          <w:rFonts w:hint="eastAsia"/>
        </w:rPr>
        <w:t>；</w:t>
      </w:r>
    </w:p>
    <w:p w14:paraId="33C1EF27" w14:textId="77777777" w:rsidR="00AC2717" w:rsidRPr="00541EE9" w:rsidRDefault="00AC2717" w:rsidP="00AC2717">
      <w:pPr>
        <w:pStyle w:val="SingleTxtGC"/>
      </w:pPr>
      <w:r w:rsidRPr="00541EE9">
        <w:tab/>
        <w:t>(b)</w:t>
      </w:r>
      <w:r w:rsidRPr="00541EE9">
        <w:tab/>
      </w:r>
      <w:r w:rsidRPr="00541EE9">
        <w:rPr>
          <w:rFonts w:hint="eastAsia"/>
        </w:rPr>
        <w:t>通过了《妇女与和平与安全国家行动计划》</w:t>
      </w:r>
      <w:r w:rsidRPr="00541EE9">
        <w:t>(2019-2024</w:t>
      </w:r>
      <w:r w:rsidRPr="00541EE9">
        <w:rPr>
          <w:rFonts w:hint="eastAsia"/>
        </w:rPr>
        <w:t>年</w:t>
      </w:r>
      <w:r w:rsidRPr="00541EE9">
        <w:t>)</w:t>
      </w:r>
      <w:r w:rsidRPr="00541EE9">
        <w:rPr>
          <w:rFonts w:hint="eastAsia"/>
        </w:rPr>
        <w:t>；</w:t>
      </w:r>
    </w:p>
    <w:p w14:paraId="320068D6" w14:textId="77777777" w:rsidR="00AC2717" w:rsidRPr="00541EE9" w:rsidRDefault="00AC2717" w:rsidP="00AC2717">
      <w:pPr>
        <w:pStyle w:val="SingleTxtGC"/>
      </w:pPr>
      <w:r w:rsidRPr="00541EE9">
        <w:tab/>
        <w:t>(c)</w:t>
      </w:r>
      <w:r w:rsidRPr="00541EE9">
        <w:tab/>
        <w:t>2021</w:t>
      </w:r>
      <w:r w:rsidRPr="00541EE9">
        <w:rPr>
          <w:rFonts w:hint="eastAsia"/>
        </w:rPr>
        <w:t>年通过《制止暴力侵害儿童和青年行为国家计划》；</w:t>
      </w:r>
    </w:p>
    <w:p w14:paraId="54C2A006" w14:textId="77777777" w:rsidR="00AC2717" w:rsidRPr="00541EE9" w:rsidRDefault="00AC2717" w:rsidP="00AC2717">
      <w:pPr>
        <w:pStyle w:val="SingleTxtGC"/>
      </w:pPr>
      <w:r w:rsidRPr="00541EE9">
        <w:tab/>
      </w:r>
      <w:bookmarkEnd w:id="0"/>
      <w:r w:rsidRPr="00541EE9">
        <w:t>(d)</w:t>
      </w:r>
      <w:r w:rsidRPr="00541EE9">
        <w:tab/>
        <w:t>2019</w:t>
      </w:r>
      <w:r w:rsidRPr="00541EE9">
        <w:rPr>
          <w:rFonts w:hint="eastAsia"/>
        </w:rPr>
        <w:t>年设立了儿童权益专员，该专员根据《儿童保育和保护法》在保护儿童和触法儿童的权利方面发挥着至关重要的作用；</w:t>
      </w:r>
    </w:p>
    <w:p w14:paraId="4981EE8E" w14:textId="77777777" w:rsidR="00AC2717" w:rsidRPr="00541EE9" w:rsidRDefault="00AC2717" w:rsidP="00AC2717">
      <w:pPr>
        <w:pStyle w:val="SingleTxtGC"/>
      </w:pPr>
      <w:r w:rsidRPr="00541EE9">
        <w:tab/>
        <w:t>(e)</w:t>
      </w:r>
      <w:r w:rsidRPr="00541EE9">
        <w:tab/>
        <w:t>2018</w:t>
      </w:r>
      <w:r w:rsidRPr="00541EE9">
        <w:rPr>
          <w:rFonts w:hint="eastAsia"/>
        </w:rPr>
        <w:t>年通过了《体罚零容忍政策》。</w:t>
      </w:r>
    </w:p>
    <w:p w14:paraId="18A99867" w14:textId="77777777" w:rsidR="00AC2717" w:rsidRPr="00541EE9" w:rsidRDefault="00AC2717" w:rsidP="00595EB4">
      <w:pPr>
        <w:pStyle w:val="H1GC"/>
      </w:pPr>
      <w:r w:rsidRPr="00541EE9">
        <w:tab/>
        <w:t>C.</w:t>
      </w:r>
      <w:r w:rsidRPr="00541EE9">
        <w:tab/>
      </w:r>
      <w:r w:rsidRPr="00541EE9">
        <w:rPr>
          <w:rFonts w:hint="eastAsia"/>
        </w:rPr>
        <w:t>关注的主要问题及建议</w:t>
      </w:r>
    </w:p>
    <w:p w14:paraId="3D486097" w14:textId="77777777" w:rsidR="00AC2717" w:rsidRPr="00541EE9" w:rsidRDefault="00AC2717" w:rsidP="00595EB4">
      <w:pPr>
        <w:pStyle w:val="H23GC"/>
      </w:pPr>
      <w:r w:rsidRPr="00541EE9">
        <w:tab/>
      </w:r>
      <w:r w:rsidRPr="00541EE9">
        <w:tab/>
      </w:r>
      <w:r w:rsidRPr="00541EE9">
        <w:rPr>
          <w:rFonts w:hint="eastAsia"/>
        </w:rPr>
        <w:t>上一报告周期遗留的后续行动问题</w:t>
      </w:r>
    </w:p>
    <w:p w14:paraId="1CAE4B09" w14:textId="77777777" w:rsidR="00AC2717" w:rsidRPr="00541EE9" w:rsidRDefault="00AC2717" w:rsidP="00AC2717">
      <w:pPr>
        <w:pStyle w:val="SingleTxtGC"/>
      </w:pPr>
      <w:r w:rsidRPr="00541EE9">
        <w:t>7.</w:t>
      </w:r>
      <w:r w:rsidRPr="00541EE9">
        <w:tab/>
      </w:r>
      <w:r w:rsidRPr="00541EE9">
        <w:rPr>
          <w:rFonts w:hint="eastAsia"/>
        </w:rPr>
        <w:t>在先前的结论性意见中，委员会请缔约国提供资料，说明为落实关于通过预防和打击酷刑的法案、拘留条件和尊重不推回原则的建议</w:t>
      </w:r>
      <w:r w:rsidRPr="004B50D0">
        <w:rPr>
          <w:rStyle w:val="a8"/>
          <w:rFonts w:eastAsia="宋体"/>
        </w:rPr>
        <w:footnoteReference w:id="7"/>
      </w:r>
      <w:r w:rsidRPr="00541EE9">
        <w:rPr>
          <w:rFonts w:hint="eastAsia"/>
        </w:rPr>
        <w:t xml:space="preserve"> </w:t>
      </w:r>
      <w:r w:rsidRPr="00541EE9">
        <w:rPr>
          <w:rFonts w:hint="eastAsia"/>
        </w:rPr>
        <w:t>而采取的措施。注意到委员会结论性意见后续行动报告员</w:t>
      </w:r>
      <w:r w:rsidRPr="00541EE9">
        <w:t>2018</w:t>
      </w:r>
      <w:r w:rsidRPr="00541EE9">
        <w:rPr>
          <w:rFonts w:hint="eastAsia"/>
        </w:rPr>
        <w:t>年</w:t>
      </w:r>
      <w:r w:rsidRPr="00541EE9">
        <w:t>8</w:t>
      </w:r>
      <w:r w:rsidRPr="00541EE9">
        <w:rPr>
          <w:rFonts w:hint="eastAsia"/>
        </w:rPr>
        <w:t>月</w:t>
      </w:r>
      <w:r w:rsidRPr="00541EE9">
        <w:t>20</w:t>
      </w:r>
      <w:r w:rsidRPr="00541EE9">
        <w:rPr>
          <w:rFonts w:hint="eastAsia"/>
        </w:rPr>
        <w:t>日的提醒</w:t>
      </w:r>
      <w:r w:rsidRPr="004B50D0">
        <w:rPr>
          <w:rStyle w:val="a8"/>
          <w:rFonts w:eastAsia="宋体"/>
        </w:rPr>
        <w:footnoteReference w:id="8"/>
      </w:r>
      <w:r w:rsidRPr="00541EE9">
        <w:rPr>
          <w:rFonts w:hint="eastAsia"/>
        </w:rPr>
        <w:t>，委员会对缔约国没有提供这一资料感到遗憾。根据其第三次定期报告所载的资料，委员会认为，缔约国在该报告中对第</w:t>
      </w:r>
      <w:r w:rsidRPr="00541EE9">
        <w:t>27(c)</w:t>
      </w:r>
      <w:r w:rsidRPr="00541EE9">
        <w:rPr>
          <w:rFonts w:hint="eastAsia"/>
        </w:rPr>
        <w:t>段所载的建议提出了质疑，其余的建议尚未得到执行。本文件第</w:t>
      </w:r>
      <w:r w:rsidRPr="00541EE9">
        <w:t>8</w:t>
      </w:r>
      <w:r w:rsidRPr="00541EE9">
        <w:rPr>
          <w:rFonts w:hint="eastAsia"/>
        </w:rPr>
        <w:t>、</w:t>
      </w:r>
      <w:r w:rsidRPr="00541EE9">
        <w:t>9</w:t>
      </w:r>
      <w:r w:rsidRPr="00541EE9">
        <w:rPr>
          <w:rFonts w:hint="eastAsia"/>
        </w:rPr>
        <w:t>、</w:t>
      </w:r>
      <w:r w:rsidRPr="00541EE9">
        <w:t>16</w:t>
      </w:r>
      <w:r w:rsidRPr="00541EE9">
        <w:rPr>
          <w:rFonts w:hint="eastAsia"/>
        </w:rPr>
        <w:t>、</w:t>
      </w:r>
      <w:r w:rsidRPr="00541EE9">
        <w:t>17</w:t>
      </w:r>
      <w:r w:rsidRPr="00541EE9">
        <w:rPr>
          <w:rFonts w:hint="eastAsia"/>
        </w:rPr>
        <w:t>、</w:t>
      </w:r>
      <w:r w:rsidRPr="00541EE9">
        <w:t>26</w:t>
      </w:r>
      <w:r w:rsidRPr="00541EE9">
        <w:rPr>
          <w:rFonts w:hint="eastAsia"/>
        </w:rPr>
        <w:t>和</w:t>
      </w:r>
      <w:r w:rsidRPr="00541EE9">
        <w:t>27</w:t>
      </w:r>
      <w:r w:rsidRPr="00541EE9">
        <w:rPr>
          <w:rFonts w:hint="eastAsia"/>
        </w:rPr>
        <w:t>段讨论了这些问题。</w:t>
      </w:r>
    </w:p>
    <w:p w14:paraId="65816B5D" w14:textId="77777777" w:rsidR="00AC2717" w:rsidRPr="00541EE9" w:rsidRDefault="00AC2717" w:rsidP="00595EB4">
      <w:pPr>
        <w:pStyle w:val="H23GC"/>
      </w:pPr>
      <w:r w:rsidRPr="00541EE9">
        <w:tab/>
      </w:r>
      <w:r w:rsidRPr="00541EE9">
        <w:tab/>
      </w:r>
      <w:r w:rsidRPr="00541EE9">
        <w:rPr>
          <w:rFonts w:hint="eastAsia"/>
        </w:rPr>
        <w:t>酷刑刑罪化</w:t>
      </w:r>
    </w:p>
    <w:p w14:paraId="3100B97C" w14:textId="77777777" w:rsidR="00AC2717" w:rsidRPr="00541EE9" w:rsidRDefault="00AC2717" w:rsidP="00AC2717">
      <w:pPr>
        <w:pStyle w:val="SingleTxtGC"/>
      </w:pPr>
      <w:r w:rsidRPr="00541EE9">
        <w:t>8.</w:t>
      </w:r>
      <w:r w:rsidRPr="00541EE9">
        <w:tab/>
      </w:r>
      <w:r w:rsidRPr="00541EE9">
        <w:rPr>
          <w:rFonts w:hint="eastAsia"/>
        </w:rPr>
        <w:t>委员会注意到缔约国提供的关于禁止酷刑的宪法条款的资料，对话期间代表团关于《公约》在其国内法律制度中可直接适用和执行的说法，以及国内法院根据普通法对酷刑行为的肇事者进行判决和处以监禁或罚款的酌处权的资料。然而，委员会感到遗憾的是，缔约国仍未根据《公约》第</w:t>
      </w:r>
      <w:r w:rsidRPr="00541EE9">
        <w:t>1</w:t>
      </w:r>
      <w:r w:rsidRPr="00541EE9">
        <w:rPr>
          <w:rFonts w:hint="eastAsia"/>
        </w:rPr>
        <w:t>条将酷刑定为一项特定的刑事犯罪，而且自</w:t>
      </w:r>
      <w:r w:rsidRPr="00541EE9">
        <w:t>2019</w:t>
      </w:r>
      <w:r w:rsidRPr="00541EE9">
        <w:rPr>
          <w:rFonts w:hint="eastAsia"/>
        </w:rPr>
        <w:t>年以来，经修订的《预防和打击酷刑法案》一直在等待议会批准。委员会还注意到，上述法案没有明确将酷刑未遂和合谋或参与实施酷刑定为刑事犯罪，也没有包括在以官方身份行使职权的公职人员以外的人的唆使、同意或默许下实施的酷刑行为。此外，委员会注意到，该法案没有规定酷刑罪不受时效限制，也没有规定对酷刑行为的强制性最低处罚。委员会感到遗憾的是，缔约国未能提供国内法院判定个人犯有酷刑罪或直接援引和适用《公约》的案例</w:t>
      </w:r>
      <w:r w:rsidRPr="00541EE9">
        <w:t>(</w:t>
      </w:r>
      <w:r w:rsidRPr="00541EE9">
        <w:rPr>
          <w:rFonts w:hint="eastAsia"/>
        </w:rPr>
        <w:t>第</w:t>
      </w:r>
      <w:r w:rsidRPr="00541EE9">
        <w:t>1</w:t>
      </w:r>
      <w:r w:rsidRPr="00541EE9">
        <w:rPr>
          <w:rFonts w:hint="eastAsia"/>
        </w:rPr>
        <w:t>和第</w:t>
      </w:r>
      <w:r w:rsidRPr="00541EE9">
        <w:t>4</w:t>
      </w:r>
      <w:r w:rsidRPr="00541EE9">
        <w:rPr>
          <w:rFonts w:hint="eastAsia"/>
        </w:rPr>
        <w:t>条</w:t>
      </w:r>
      <w:r w:rsidRPr="00541EE9">
        <w:t>)</w:t>
      </w:r>
      <w:r w:rsidRPr="00541EE9">
        <w:rPr>
          <w:rFonts w:hint="eastAsia"/>
        </w:rPr>
        <w:t>。</w:t>
      </w:r>
    </w:p>
    <w:p w14:paraId="03D896B4" w14:textId="77777777" w:rsidR="00AC2717" w:rsidRPr="00541EE9" w:rsidRDefault="00AC2717" w:rsidP="00AC2717">
      <w:pPr>
        <w:pStyle w:val="SingleTxtGC"/>
        <w:rPr>
          <w:rFonts w:eastAsia="黑体"/>
        </w:rPr>
      </w:pPr>
      <w:r w:rsidRPr="00541EE9">
        <w:t>9.</w:t>
      </w:r>
      <w:r w:rsidRPr="00541EE9">
        <w:tab/>
      </w:r>
      <w:r w:rsidRPr="00541EE9">
        <w:rPr>
          <w:rFonts w:eastAsia="黑体" w:hint="eastAsia"/>
        </w:rPr>
        <w:t>鉴于缔约国在上一次普遍定期审议期间所作的承诺，</w:t>
      </w:r>
      <w:r w:rsidRPr="004B50D0">
        <w:rPr>
          <w:rStyle w:val="a8"/>
          <w:rFonts w:eastAsia="宋体"/>
        </w:rPr>
        <w:footnoteReference w:id="9"/>
      </w:r>
      <w:r w:rsidRPr="00541EE9">
        <w:rPr>
          <w:rFonts w:eastAsia="黑体"/>
        </w:rPr>
        <w:t xml:space="preserve"> </w:t>
      </w:r>
      <w:r w:rsidRPr="00541EE9">
        <w:rPr>
          <w:rFonts w:eastAsia="黑体" w:hint="eastAsia"/>
        </w:rPr>
        <w:t>委员会敦促缔约国尽快通过《预防和打击酷刑法案》</w:t>
      </w:r>
      <w:r w:rsidRPr="00541EE9">
        <w:rPr>
          <w:rFonts w:eastAsia="黑体"/>
        </w:rPr>
        <w:t>，</w:t>
      </w:r>
      <w:r w:rsidRPr="00541EE9">
        <w:rPr>
          <w:rFonts w:eastAsia="黑体" w:hint="eastAsia"/>
        </w:rPr>
        <w:t>并确保其条款将酷刑界定为国内立法中的一项特定罪行，纳入《公约》第</w:t>
      </w:r>
      <w:r w:rsidRPr="00541EE9">
        <w:rPr>
          <w:rFonts w:eastAsia="黑体"/>
        </w:rPr>
        <w:t>1</w:t>
      </w:r>
      <w:r w:rsidRPr="00541EE9">
        <w:rPr>
          <w:rFonts w:eastAsia="黑体" w:hint="eastAsia"/>
        </w:rPr>
        <w:t>条的所有内容。该定义应包括这样的概念，即酷刑</w:t>
      </w:r>
      <w:r w:rsidRPr="00541EE9">
        <w:rPr>
          <w:rFonts w:eastAsia="黑体" w:hint="eastAsia"/>
        </w:rPr>
        <w:lastRenderedPageBreak/>
        <w:t>可能是在公职人员或以官方身份行事的其他人的唆使、同意或默许下实施的。根据《公约》第</w:t>
      </w:r>
      <w:r w:rsidRPr="00541EE9">
        <w:rPr>
          <w:rFonts w:eastAsia="黑体"/>
        </w:rPr>
        <w:t>4</w:t>
      </w:r>
      <w:r w:rsidRPr="00541EE9">
        <w:rPr>
          <w:rFonts w:eastAsia="黑体" w:hint="eastAsia"/>
        </w:rPr>
        <w:t>条第</w:t>
      </w:r>
      <w:r w:rsidRPr="00541EE9">
        <w:rPr>
          <w:rFonts w:eastAsia="黑体"/>
        </w:rPr>
        <w:t>1</w:t>
      </w:r>
      <w:r w:rsidRPr="00541EE9">
        <w:rPr>
          <w:rFonts w:eastAsia="黑体" w:hint="eastAsia"/>
        </w:rPr>
        <w:t>款，国家立法应明确规定任何构成合谋或参与实施酷刑和企图实施酷刑的行为的刑事责任。缔约国还应确保酷刑罪不受任何时效限制，并至少规定酷刑罪责任人的最低处罚。根据《公约》第</w:t>
      </w:r>
      <w:r w:rsidRPr="00541EE9">
        <w:rPr>
          <w:rFonts w:eastAsia="黑体" w:hint="eastAsia"/>
        </w:rPr>
        <w:t>4</w:t>
      </w:r>
      <w:r w:rsidRPr="00541EE9">
        <w:rPr>
          <w:rFonts w:eastAsia="黑体" w:hint="eastAsia"/>
        </w:rPr>
        <w:t>条第</w:t>
      </w:r>
      <w:r w:rsidRPr="00541EE9">
        <w:rPr>
          <w:rFonts w:eastAsia="黑体" w:hint="eastAsia"/>
        </w:rPr>
        <w:t>2</w:t>
      </w:r>
      <w:r w:rsidRPr="00541EE9">
        <w:rPr>
          <w:rFonts w:eastAsia="黑体" w:hint="eastAsia"/>
        </w:rPr>
        <w:t>款，处罚应与罪行的严重程度相称。</w:t>
      </w:r>
    </w:p>
    <w:p w14:paraId="271A23E6" w14:textId="77777777" w:rsidR="00AC2717" w:rsidRPr="00541EE9" w:rsidRDefault="00AC2717" w:rsidP="00595EB4">
      <w:pPr>
        <w:pStyle w:val="H23GC"/>
      </w:pPr>
      <w:r w:rsidRPr="00541EE9">
        <w:tab/>
      </w:r>
      <w:r w:rsidRPr="00541EE9">
        <w:tab/>
      </w:r>
      <w:r w:rsidRPr="00541EE9">
        <w:rPr>
          <w:rFonts w:hint="eastAsia"/>
        </w:rPr>
        <w:t>基本法律保障</w:t>
      </w:r>
    </w:p>
    <w:p w14:paraId="30E00459" w14:textId="77777777" w:rsidR="00AC2717" w:rsidRPr="00541EE9" w:rsidRDefault="00AC2717" w:rsidP="00AC2717">
      <w:pPr>
        <w:pStyle w:val="SingleTxtGC"/>
      </w:pPr>
      <w:r w:rsidRPr="00541EE9">
        <w:t>10.</w:t>
      </w:r>
      <w:r w:rsidRPr="00541EE9">
        <w:tab/>
      </w:r>
      <w:r w:rsidRPr="00541EE9">
        <w:rPr>
          <w:rFonts w:hint="eastAsia"/>
        </w:rPr>
        <w:t>委员会注意到《宪法》第</w:t>
      </w:r>
      <w:r w:rsidRPr="00541EE9">
        <w:t>12</w:t>
      </w:r>
      <w:r w:rsidRPr="00541EE9">
        <w:rPr>
          <w:rFonts w:hint="eastAsia"/>
        </w:rPr>
        <w:t>条和《刑事诉讼法》第</w:t>
      </w:r>
      <w:r w:rsidRPr="00541EE9">
        <w:t>11</w:t>
      </w:r>
      <w:r w:rsidRPr="00541EE9">
        <w:rPr>
          <w:rFonts w:hint="eastAsia"/>
        </w:rPr>
        <w:t>章保障被告获得公平审判和援助的权利</w:t>
      </w:r>
      <w:r w:rsidRPr="00541EE9">
        <w:rPr>
          <w:rFonts w:hint="eastAsia"/>
        </w:rPr>
        <w:t>(</w:t>
      </w:r>
      <w:r w:rsidRPr="00541EE9">
        <w:rPr>
          <w:rFonts w:hint="eastAsia"/>
        </w:rPr>
        <w:t>判例中有进一步的规定</w:t>
      </w:r>
      <w:r w:rsidRPr="00541EE9">
        <w:rPr>
          <w:rFonts w:hint="eastAsia"/>
        </w:rPr>
        <w:t>)</w:t>
      </w:r>
      <w:r w:rsidRPr="00541EE9">
        <w:rPr>
          <w:rFonts w:hint="eastAsia"/>
        </w:rPr>
        <w:t>，并注意到缔约国为改善其法律援助制度采取了额外的步骤，但委员会仍感关切的是，缔约国的立法没有明确规定先前结论性意见中建议的所有基本法律保障，而且在实践中，所有被拘留者的程序权利没有从被剥夺自由的一开始就得到系统保障。委员会尤其感到关切的是，有报告表明，在以下方面存在缺陷：保障被拘留者以其理解的语言迅速获知被捕原因、指控罪名及他们的权利；要求并接受独立的医疗检查；及时将他们被拘留的信息和下落通知亲属或他们选择的人；在</w:t>
      </w:r>
      <w:r w:rsidRPr="00541EE9">
        <w:t>48</w:t>
      </w:r>
      <w:r w:rsidRPr="00541EE9">
        <w:rPr>
          <w:rFonts w:hint="eastAsia"/>
        </w:rPr>
        <w:t>小时法定期限内被带见法官；获得有效的补救，能够对遭到拘留的合法性提出质疑；有效接触律师，包括在必要时获得法律援助；在拘留的所有阶段使他们被剥夺自由的情况得到适当登记</w:t>
      </w:r>
      <w:r w:rsidRPr="00541EE9">
        <w:t>(</w:t>
      </w:r>
      <w:r w:rsidRPr="00541EE9">
        <w:rPr>
          <w:rFonts w:hint="eastAsia"/>
        </w:rPr>
        <w:t>第</w:t>
      </w:r>
      <w:r w:rsidRPr="00541EE9">
        <w:t>2</w:t>
      </w:r>
      <w:r w:rsidRPr="00541EE9">
        <w:rPr>
          <w:rFonts w:hint="eastAsia"/>
        </w:rPr>
        <w:t>条</w:t>
      </w:r>
      <w:r w:rsidRPr="00541EE9">
        <w:t>)</w:t>
      </w:r>
      <w:r w:rsidRPr="00541EE9">
        <w:rPr>
          <w:rFonts w:hint="eastAsia"/>
        </w:rPr>
        <w:t>。</w:t>
      </w:r>
    </w:p>
    <w:p w14:paraId="1D13A359" w14:textId="4488F956" w:rsidR="00AC2717" w:rsidRPr="00541EE9" w:rsidRDefault="00AC2717" w:rsidP="00AC2717">
      <w:pPr>
        <w:pStyle w:val="SingleTxtGC"/>
        <w:rPr>
          <w:rFonts w:eastAsia="黑体"/>
        </w:rPr>
      </w:pPr>
      <w:r w:rsidRPr="00541EE9">
        <w:t>11.</w:t>
      </w:r>
      <w:r w:rsidRPr="00541EE9">
        <w:tab/>
      </w:r>
      <w:r w:rsidRPr="00541EE9">
        <w:rPr>
          <w:rFonts w:eastAsia="黑体" w:hint="eastAsia"/>
        </w:rPr>
        <w:t>缔约国应确保所有被拘留者从被剥夺自由之时起，就在法律和实践中获得所有基本法律保障，特别是有权以他们理解的语言立即被告知对他们的指控和他们的权利</w:t>
      </w:r>
      <w:r w:rsidRPr="00541EE9">
        <w:rPr>
          <w:rFonts w:eastAsia="黑体"/>
        </w:rPr>
        <w:t>：</w:t>
      </w:r>
      <w:r w:rsidRPr="00541EE9">
        <w:rPr>
          <w:rFonts w:eastAsia="黑体"/>
        </w:rPr>
        <w:t>(a)</w:t>
      </w:r>
      <w:r w:rsidR="00595EB4">
        <w:rPr>
          <w:rFonts w:eastAsia="黑体" w:hint="eastAsia"/>
        </w:rPr>
        <w:t xml:space="preserve"> </w:t>
      </w:r>
      <w:r w:rsidRPr="00541EE9">
        <w:rPr>
          <w:rFonts w:eastAsia="黑体" w:hint="eastAsia"/>
        </w:rPr>
        <w:t>要求并接受独立医生或他们选择的医生的免费医疗检查；</w:t>
      </w:r>
      <w:r w:rsidRPr="00541EE9">
        <w:rPr>
          <w:rFonts w:eastAsia="黑体"/>
        </w:rPr>
        <w:t>(b)</w:t>
      </w:r>
      <w:r w:rsidR="00595EB4">
        <w:rPr>
          <w:rFonts w:eastAsia="黑体" w:hint="eastAsia"/>
        </w:rPr>
        <w:t xml:space="preserve"> </w:t>
      </w:r>
      <w:r w:rsidRPr="00541EE9">
        <w:rPr>
          <w:rFonts w:eastAsia="黑体" w:hint="eastAsia"/>
        </w:rPr>
        <w:t>将自己被拘留的消息通知家庭成员或他们选择的其他人；</w:t>
      </w:r>
      <w:r w:rsidRPr="00541EE9">
        <w:rPr>
          <w:rFonts w:eastAsia="黑体"/>
        </w:rPr>
        <w:t>(c)</w:t>
      </w:r>
      <w:r w:rsidR="00595EB4">
        <w:rPr>
          <w:rFonts w:eastAsia="黑体" w:hint="eastAsia"/>
        </w:rPr>
        <w:t xml:space="preserve"> </w:t>
      </w:r>
      <w:r w:rsidRPr="00541EE9">
        <w:rPr>
          <w:rFonts w:eastAsia="黑体" w:hint="eastAsia"/>
        </w:rPr>
        <w:t>在</w:t>
      </w:r>
      <w:r w:rsidRPr="00541EE9">
        <w:rPr>
          <w:rFonts w:eastAsia="黑体"/>
        </w:rPr>
        <w:t>48</w:t>
      </w:r>
      <w:r w:rsidRPr="00541EE9">
        <w:rPr>
          <w:rFonts w:eastAsia="黑体" w:hint="eastAsia"/>
        </w:rPr>
        <w:t>小时法定时限内被带见法官；</w:t>
      </w:r>
      <w:r w:rsidRPr="00541EE9">
        <w:rPr>
          <w:rFonts w:eastAsia="黑体"/>
        </w:rPr>
        <w:t>(d)</w:t>
      </w:r>
      <w:r w:rsidR="00595EB4">
        <w:rPr>
          <w:rFonts w:eastAsia="黑体" w:hint="eastAsia"/>
        </w:rPr>
        <w:t xml:space="preserve"> </w:t>
      </w:r>
      <w:r w:rsidRPr="00541EE9">
        <w:rPr>
          <w:rFonts w:eastAsia="黑体" w:hint="eastAsia"/>
        </w:rPr>
        <w:t>在诉讼的任何阶段质疑拘留的合法性；</w:t>
      </w:r>
      <w:r w:rsidRPr="00541EE9">
        <w:rPr>
          <w:rFonts w:eastAsia="黑体"/>
        </w:rPr>
        <w:t>(e)</w:t>
      </w:r>
      <w:r w:rsidR="00595EB4">
        <w:rPr>
          <w:rFonts w:eastAsia="黑体" w:hint="eastAsia"/>
        </w:rPr>
        <w:t xml:space="preserve"> </w:t>
      </w:r>
      <w:r w:rsidRPr="00541EE9">
        <w:rPr>
          <w:rFonts w:eastAsia="黑体" w:hint="eastAsia"/>
        </w:rPr>
        <w:t>获得自己选择的律师</w:t>
      </w:r>
      <w:r w:rsidRPr="00595EB4">
        <w:rPr>
          <w:rFonts w:eastAsia="黑体" w:hint="eastAsia"/>
          <w:spacing w:val="-2"/>
        </w:rPr>
        <w:t>的援助，包括在审讯期间，并在必要时获得合格、独立和免费的法律援助；</w:t>
      </w:r>
      <w:r w:rsidRPr="00595EB4">
        <w:rPr>
          <w:rFonts w:eastAsia="黑体"/>
          <w:spacing w:val="-2"/>
        </w:rPr>
        <w:t>(f)</w:t>
      </w:r>
      <w:r w:rsidR="00595EB4" w:rsidRPr="00595EB4">
        <w:rPr>
          <w:rFonts w:eastAsia="黑体" w:hint="eastAsia"/>
          <w:spacing w:val="-2"/>
        </w:rPr>
        <w:t xml:space="preserve"> </w:t>
      </w:r>
      <w:r w:rsidRPr="00595EB4">
        <w:rPr>
          <w:rFonts w:eastAsia="黑体" w:hint="eastAsia"/>
          <w:spacing w:val="-2"/>
        </w:rPr>
        <w:t>在</w:t>
      </w:r>
      <w:r w:rsidRPr="00541EE9">
        <w:rPr>
          <w:rFonts w:eastAsia="黑体" w:hint="eastAsia"/>
        </w:rPr>
        <w:t>所有阶段都在拘留场所得到适当登记。</w:t>
      </w:r>
    </w:p>
    <w:p w14:paraId="156E5F15" w14:textId="77777777" w:rsidR="00AC2717" w:rsidRPr="00541EE9" w:rsidRDefault="00AC2717" w:rsidP="00595EB4">
      <w:pPr>
        <w:pStyle w:val="H23GC"/>
      </w:pPr>
      <w:r w:rsidRPr="00541EE9">
        <w:tab/>
      </w:r>
      <w:r w:rsidRPr="00541EE9">
        <w:tab/>
      </w:r>
      <w:r w:rsidRPr="00541EE9">
        <w:rPr>
          <w:rFonts w:hint="eastAsia"/>
        </w:rPr>
        <w:t>审前拘留和刑事司法系统</w:t>
      </w:r>
    </w:p>
    <w:p w14:paraId="464262A0" w14:textId="77777777" w:rsidR="00AC2717" w:rsidRPr="00541EE9" w:rsidRDefault="00AC2717" w:rsidP="00AC2717">
      <w:pPr>
        <w:pStyle w:val="SingleTxtGC"/>
      </w:pPr>
      <w:r w:rsidRPr="00541EE9">
        <w:t>12.</w:t>
      </w:r>
      <w:r w:rsidRPr="00541EE9">
        <w:tab/>
      </w:r>
      <w:r w:rsidRPr="00541EE9">
        <w:rPr>
          <w:rFonts w:hint="eastAsia"/>
        </w:rPr>
        <w:t>委员会感到关切的是，有报告称审前拘留时间过长，通常超过法律限制，据称超过</w:t>
      </w:r>
      <w:r w:rsidRPr="00541EE9">
        <w:t>50%</w:t>
      </w:r>
      <w:r w:rsidRPr="00541EE9">
        <w:rPr>
          <w:rFonts w:hint="eastAsia"/>
        </w:rPr>
        <w:t>的被拘留者在等待审判。委员会感到遗憾的是，缔约国在这方面没有做出澄清。委员会还关切地注意到，根据现有资料，大多数审前被拘留者被关押在警察拘留设施中破旧不堪和严重拥挤的牢房中，目前超出实际容纳能力</w:t>
      </w:r>
      <w:r w:rsidRPr="00541EE9">
        <w:t>32%</w:t>
      </w:r>
      <w:r w:rsidRPr="00541EE9">
        <w:rPr>
          <w:rFonts w:hint="eastAsia"/>
        </w:rPr>
        <w:t>。有报告称，这些设施不适应审前拘留所需的条件，特别是考虑到卫生设施不足、食物短缺、缺乏基本保健和娱乐活动的机会以及缺乏户外运动。此外，委员会关切地注意到所报告的刑事司法系统中的缺陷，如由于调查缓慢和不完整，逮捕与审判之间的间隔很久，很少使用拘留的替代办法，保释制度难以利用和负担不起，缺少合格的法官和法院工作人员，上诉遭到拖延，这些都导致审前拘留案件大量积压。在这方面，委员会注意到缔约国在对话期间承诺提高对在某些情况下减少保释金的可能性的认识，特别是对没有律师代理的被拘留者而言</w:t>
      </w:r>
      <w:r w:rsidRPr="00541EE9">
        <w:t>(</w:t>
      </w:r>
      <w:r w:rsidRPr="00541EE9">
        <w:rPr>
          <w:rFonts w:hint="eastAsia"/>
        </w:rPr>
        <w:t>第</w:t>
      </w:r>
      <w:r w:rsidRPr="00541EE9">
        <w:t>2</w:t>
      </w:r>
      <w:r w:rsidRPr="00541EE9">
        <w:rPr>
          <w:rFonts w:hint="eastAsia"/>
        </w:rPr>
        <w:t>、第</w:t>
      </w:r>
      <w:r w:rsidRPr="00541EE9">
        <w:t>11</w:t>
      </w:r>
      <w:r w:rsidRPr="00541EE9">
        <w:rPr>
          <w:rFonts w:hint="eastAsia"/>
        </w:rPr>
        <w:t>和第</w:t>
      </w:r>
      <w:r w:rsidRPr="00541EE9">
        <w:t>16</w:t>
      </w:r>
      <w:r w:rsidRPr="00541EE9">
        <w:rPr>
          <w:rFonts w:hint="eastAsia"/>
        </w:rPr>
        <w:t>条</w:t>
      </w:r>
      <w:r w:rsidRPr="00541EE9">
        <w:t>)</w:t>
      </w:r>
      <w:r w:rsidRPr="00541EE9">
        <w:rPr>
          <w:rFonts w:hint="eastAsia"/>
        </w:rPr>
        <w:t>。</w:t>
      </w:r>
    </w:p>
    <w:p w14:paraId="7BCE5E3A" w14:textId="77777777" w:rsidR="00AC2717" w:rsidRPr="00541EE9" w:rsidRDefault="00AC2717" w:rsidP="00AC2717">
      <w:pPr>
        <w:pStyle w:val="SingleTxtGC"/>
        <w:rPr>
          <w:rFonts w:eastAsia="黑体"/>
        </w:rPr>
      </w:pPr>
      <w:r w:rsidRPr="00541EE9">
        <w:t>13.</w:t>
      </w:r>
      <w:r w:rsidRPr="00541EE9">
        <w:tab/>
      </w:r>
      <w:r w:rsidRPr="00541EE9">
        <w:rPr>
          <w:rFonts w:eastAsia="黑体" w:hint="eastAsia"/>
        </w:rPr>
        <w:t>缔约国应</w:t>
      </w:r>
      <w:r w:rsidRPr="00541EE9">
        <w:rPr>
          <w:rFonts w:eastAsia="黑体"/>
        </w:rPr>
        <w:t>：</w:t>
      </w:r>
    </w:p>
    <w:p w14:paraId="3701C990"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确保遵守关于审前拘留的规定，包括对审前拘留期限的法定限制，并确保仅在特殊情况下，在绝对必要和没有其他措施可适用时，根据法律在有限的时间内采用审前拘留；</w:t>
      </w:r>
    </w:p>
    <w:p w14:paraId="5A9E61C4" w14:textId="77777777" w:rsidR="00AC2717" w:rsidRPr="00541EE9" w:rsidRDefault="00AC2717" w:rsidP="00AC2717">
      <w:pPr>
        <w:pStyle w:val="SingleTxtGC"/>
        <w:rPr>
          <w:rFonts w:eastAsia="黑体"/>
        </w:rPr>
      </w:pPr>
      <w:r w:rsidRPr="00541EE9">
        <w:lastRenderedPageBreak/>
        <w:tab/>
        <w:t>(b)</w:t>
      </w:r>
      <w:r w:rsidRPr="00541EE9">
        <w:tab/>
      </w:r>
      <w:r w:rsidRPr="00541EE9">
        <w:rPr>
          <w:rFonts w:eastAsia="黑体" w:hint="eastAsia"/>
        </w:rPr>
        <w:t>停止将审前被拘留者置于警方拘留设施的做法，并采取必要步骤，将他们关押在适当的拘留场所。此外，缔约国应采取一切必要措施，改善警方拘留设施的拘留条件；</w:t>
      </w:r>
    </w:p>
    <w:p w14:paraId="09198ED9" w14:textId="77777777" w:rsidR="00AC2717" w:rsidRPr="00541EE9" w:rsidRDefault="00AC2717" w:rsidP="00AC2717">
      <w:pPr>
        <w:pStyle w:val="SingleTxtGC"/>
        <w:rPr>
          <w:rFonts w:eastAsia="黑体"/>
        </w:rPr>
      </w:pPr>
      <w:r w:rsidRPr="00541EE9">
        <w:tab/>
        <w:t>(c)</w:t>
      </w:r>
      <w:r w:rsidRPr="00541EE9">
        <w:tab/>
      </w:r>
      <w:r w:rsidRPr="00541EE9">
        <w:rPr>
          <w:rFonts w:eastAsia="黑体" w:hint="eastAsia"/>
        </w:rPr>
        <w:t>加紧努力改革刑事司法系统，包括提高司法能力，以减少案件积压，加快司法程序，并在可行的情况下，根据《联合国非拘禁措施最低限度标准规则》</w:t>
      </w:r>
      <w:r w:rsidRPr="00541EE9">
        <w:rPr>
          <w:rFonts w:eastAsia="黑体"/>
        </w:rPr>
        <w:t>(</w:t>
      </w:r>
      <w:r w:rsidRPr="00541EE9">
        <w:rPr>
          <w:rFonts w:eastAsia="黑体" w:hint="eastAsia"/>
        </w:rPr>
        <w:t>《东京规则》</w:t>
      </w:r>
      <w:r w:rsidRPr="00541EE9">
        <w:rPr>
          <w:rFonts w:eastAsia="黑体"/>
        </w:rPr>
        <w:t>)</w:t>
      </w:r>
      <w:r w:rsidRPr="00541EE9">
        <w:rPr>
          <w:rFonts w:eastAsia="黑体" w:hint="eastAsia"/>
        </w:rPr>
        <w:t>和《联合国女性囚犯待遇和女性罪犯非拘禁措施规则》</w:t>
      </w:r>
      <w:r w:rsidRPr="00541EE9">
        <w:rPr>
          <w:rFonts w:eastAsia="黑体"/>
        </w:rPr>
        <w:t>(</w:t>
      </w:r>
      <w:r w:rsidRPr="00541EE9">
        <w:rPr>
          <w:rFonts w:eastAsia="黑体" w:hint="eastAsia"/>
        </w:rPr>
        <w:t>《曼谷规则》</w:t>
      </w:r>
      <w:r w:rsidRPr="00541EE9">
        <w:rPr>
          <w:rFonts w:eastAsia="黑体"/>
        </w:rPr>
        <w:t>)</w:t>
      </w:r>
      <w:r w:rsidRPr="00541EE9">
        <w:rPr>
          <w:rFonts w:eastAsia="黑体" w:hint="eastAsia"/>
        </w:rPr>
        <w:t>，更多地使用审前拘留的替代办法，如电子监督、旅行禁令、软禁和保释。在可行的情况下，缔约国应采取进一步的必要措施，确保保释制度更容易利用和负担得起。</w:t>
      </w:r>
    </w:p>
    <w:p w14:paraId="3489CADD" w14:textId="77777777" w:rsidR="00AC2717" w:rsidRPr="00541EE9" w:rsidRDefault="00AC2717" w:rsidP="00595EB4">
      <w:pPr>
        <w:pStyle w:val="H23GC"/>
      </w:pPr>
      <w:r w:rsidRPr="00541EE9">
        <w:tab/>
      </w:r>
      <w:r w:rsidRPr="00541EE9">
        <w:tab/>
      </w:r>
      <w:r w:rsidRPr="00541EE9">
        <w:rPr>
          <w:rFonts w:hint="eastAsia"/>
        </w:rPr>
        <w:t>国家人权机构</w:t>
      </w:r>
    </w:p>
    <w:p w14:paraId="25384452" w14:textId="77777777" w:rsidR="00AC2717" w:rsidRPr="00541EE9" w:rsidRDefault="00AC2717" w:rsidP="00AC2717">
      <w:pPr>
        <w:pStyle w:val="SingleTxtGC"/>
      </w:pPr>
      <w:r w:rsidRPr="00541EE9">
        <w:t>14.</w:t>
      </w:r>
      <w:r w:rsidRPr="00541EE9">
        <w:tab/>
      </w:r>
      <w:r w:rsidRPr="00541EE9">
        <w:rPr>
          <w:rFonts w:hint="eastAsia"/>
        </w:rPr>
        <w:t>委员会注意到缔约国提供的资料，即</w:t>
      </w:r>
      <w:r w:rsidRPr="00541EE9">
        <w:t>2023</w:t>
      </w:r>
      <w:r w:rsidRPr="00541EE9">
        <w:rPr>
          <w:rFonts w:hint="eastAsia"/>
        </w:rPr>
        <w:t>年监察员法案将于</w:t>
      </w:r>
      <w:r w:rsidRPr="00541EE9">
        <w:t>2024</w:t>
      </w:r>
      <w:r w:rsidRPr="00541EE9">
        <w:rPr>
          <w:rFonts w:hint="eastAsia"/>
        </w:rPr>
        <w:t>年或</w:t>
      </w:r>
      <w:r w:rsidRPr="00541EE9">
        <w:t>2025</w:t>
      </w:r>
      <w:r w:rsidRPr="00541EE9">
        <w:rPr>
          <w:rFonts w:hint="eastAsia"/>
        </w:rPr>
        <w:t>年提交议会。根据缔约国提供的资料，新的法律将把监察员办公室从司法部分离出来，并使其成为公共服务中的一个独立机构，拥有自己的预算，这可以处理委员会对该机构目前财务和运作缺陷的关切。然而，委员会仍然不清楚新法律如何为该机构成员规定一个清晰、透明和参与式的遴选和任命程序，以及它是否为监察员规定了固定的任期。此外，委员会注意到，在报告所涉期间，该机构对一些剥夺自由的场所进行了查访，平均每年两次。然而，委员会感到遗憾的是，该机构既没有按照缔约国尚未批准的《公约任择议定书》的规定，对所有剥夺自由的场所进行不受限制和突击查访的具体任务，也没有在其常规活动之外定期执行这一任务所需的财政和人力资源</w:t>
      </w:r>
      <w:r w:rsidRPr="00541EE9">
        <w:t>(</w:t>
      </w:r>
      <w:r w:rsidRPr="00541EE9">
        <w:rPr>
          <w:rFonts w:hint="eastAsia"/>
        </w:rPr>
        <w:t>第</w:t>
      </w:r>
      <w:r w:rsidRPr="00541EE9">
        <w:t>2</w:t>
      </w:r>
      <w:r w:rsidRPr="00541EE9">
        <w:rPr>
          <w:rFonts w:hint="eastAsia"/>
        </w:rPr>
        <w:t>、第</w:t>
      </w:r>
      <w:r w:rsidRPr="00541EE9">
        <w:t>11</w:t>
      </w:r>
      <w:r w:rsidRPr="00541EE9">
        <w:rPr>
          <w:rFonts w:hint="eastAsia"/>
        </w:rPr>
        <w:t>和第</w:t>
      </w:r>
      <w:r w:rsidRPr="00541EE9">
        <w:t>16</w:t>
      </w:r>
      <w:r w:rsidRPr="00541EE9">
        <w:rPr>
          <w:rFonts w:hint="eastAsia"/>
        </w:rPr>
        <w:t>段</w:t>
      </w:r>
      <w:r w:rsidRPr="00541EE9">
        <w:t>)</w:t>
      </w:r>
      <w:r w:rsidRPr="00541EE9">
        <w:rPr>
          <w:rFonts w:hint="eastAsia"/>
        </w:rPr>
        <w:t>。</w:t>
      </w:r>
    </w:p>
    <w:p w14:paraId="7AA1D4ED" w14:textId="77777777" w:rsidR="00AC2717" w:rsidRPr="00541EE9" w:rsidRDefault="00AC2717" w:rsidP="00AC2717">
      <w:pPr>
        <w:pStyle w:val="SingleTxtGC"/>
        <w:rPr>
          <w:rFonts w:eastAsia="黑体"/>
        </w:rPr>
      </w:pPr>
      <w:r w:rsidRPr="00541EE9">
        <w:t>15.</w:t>
      </w:r>
      <w:r w:rsidRPr="00541EE9">
        <w:tab/>
      </w:r>
      <w:r w:rsidRPr="00541EE9">
        <w:rPr>
          <w:rFonts w:eastAsia="黑体" w:hint="eastAsia"/>
        </w:rPr>
        <w:t>缔约国应</w:t>
      </w:r>
      <w:r w:rsidRPr="00541EE9">
        <w:rPr>
          <w:rFonts w:eastAsia="黑体"/>
        </w:rPr>
        <w:t>：</w:t>
      </w:r>
    </w:p>
    <w:p w14:paraId="2D7291D1"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继续努力通过立法，确保为监察员办公室工作人员规定清晰、透明和参与式遴选和任命过程，同时根据《关于促进和保护人权的国家机构的地位的原则》</w:t>
      </w:r>
      <w:r w:rsidRPr="00541EE9">
        <w:rPr>
          <w:rFonts w:eastAsia="黑体"/>
        </w:rPr>
        <w:t>(</w:t>
      </w:r>
      <w:r w:rsidRPr="00541EE9">
        <w:rPr>
          <w:rFonts w:eastAsia="黑体" w:hint="eastAsia"/>
        </w:rPr>
        <w:t>《巴黎原则》</w:t>
      </w:r>
      <w:r w:rsidRPr="00541EE9">
        <w:rPr>
          <w:rFonts w:eastAsia="黑体"/>
        </w:rPr>
        <w:t>)</w:t>
      </w:r>
      <w:r w:rsidRPr="00541EE9">
        <w:rPr>
          <w:rFonts w:eastAsia="黑体" w:hint="eastAsia"/>
        </w:rPr>
        <w:t>，保障该机构的独立性、多样性和职能自主性，并确保在任命国家人权机构官员的过程中，与包括民间社会在内的相关行为体进行充分协商并让它们参与其中；</w:t>
      </w:r>
    </w:p>
    <w:p w14:paraId="1F50D35F" w14:textId="77777777" w:rsidR="00AC2717" w:rsidRPr="00541EE9" w:rsidRDefault="00AC2717" w:rsidP="00AC2717">
      <w:pPr>
        <w:pStyle w:val="SingleTxtGC"/>
        <w:rPr>
          <w:rFonts w:eastAsia="黑体"/>
        </w:rPr>
      </w:pPr>
      <w:r w:rsidRPr="00541EE9">
        <w:tab/>
        <w:t>(b)</w:t>
      </w:r>
      <w:r w:rsidRPr="00541EE9">
        <w:tab/>
      </w:r>
      <w:r w:rsidRPr="00541EE9">
        <w:rPr>
          <w:rFonts w:eastAsia="黑体" w:hint="eastAsia"/>
        </w:rPr>
        <w:t>考虑批准《禁止酷刑和其他残忍、不人道或有辱人格的待遇或处罚公约任择议定书》</w:t>
      </w:r>
      <w:r w:rsidRPr="00541EE9">
        <w:rPr>
          <w:rFonts w:eastAsia="黑体"/>
        </w:rPr>
        <w:t>，</w:t>
      </w:r>
      <w:r w:rsidRPr="00541EE9">
        <w:rPr>
          <w:rFonts w:eastAsia="黑体" w:hint="eastAsia"/>
        </w:rPr>
        <w:t>以设立国家防范机制。与此同时，缔约国应确保向监察员办公室提供必要的财政和人力资源，以根据当前的国际标准</w:t>
      </w:r>
      <w:r w:rsidRPr="004B50D0">
        <w:rPr>
          <w:rStyle w:val="a8"/>
          <w:rFonts w:eastAsia="宋体"/>
        </w:rPr>
        <w:footnoteReference w:id="10"/>
      </w:r>
      <w:r w:rsidRPr="00541EE9">
        <w:rPr>
          <w:rFonts w:eastAsia="黑体"/>
        </w:rPr>
        <w:t xml:space="preserve"> </w:t>
      </w:r>
      <w:r w:rsidRPr="00541EE9">
        <w:rPr>
          <w:rFonts w:eastAsia="黑体" w:hint="eastAsia"/>
        </w:rPr>
        <w:t>监测所有剥夺自由的场所，并确保其获得法律授权，可以进行突击访问，并在没有证人在场的情况下与被剥夺自由者进行私下的保密面谈。</w:t>
      </w:r>
    </w:p>
    <w:p w14:paraId="7AC9B22F" w14:textId="77777777" w:rsidR="00AC2717" w:rsidRPr="00541EE9" w:rsidRDefault="00AC2717" w:rsidP="00877D63">
      <w:pPr>
        <w:pStyle w:val="H23GC"/>
      </w:pPr>
      <w:r w:rsidRPr="00541EE9">
        <w:tab/>
      </w:r>
      <w:r w:rsidRPr="00541EE9">
        <w:tab/>
      </w:r>
      <w:r w:rsidRPr="00541EE9">
        <w:rPr>
          <w:rFonts w:hint="eastAsia"/>
        </w:rPr>
        <w:t>拘留条件</w:t>
      </w:r>
    </w:p>
    <w:p w14:paraId="26C5AAA3" w14:textId="77777777" w:rsidR="00AC2717" w:rsidRPr="00541EE9" w:rsidRDefault="00AC2717" w:rsidP="00AC2717">
      <w:pPr>
        <w:pStyle w:val="SingleTxtGC"/>
      </w:pPr>
      <w:r w:rsidRPr="00541EE9">
        <w:t>16.</w:t>
      </w:r>
      <w:r w:rsidRPr="00541EE9">
        <w:tab/>
      </w:r>
      <w:r w:rsidRPr="00541EE9">
        <w:rPr>
          <w:rFonts w:hint="eastAsia"/>
        </w:rPr>
        <w:t>委员会注意到缔约国提供的关于纳米比亚惩教署实施卫生政策、</w:t>
      </w:r>
      <w:r w:rsidRPr="00541EE9">
        <w:t>2019</w:t>
      </w:r>
      <w:r w:rsidRPr="00541EE9">
        <w:rPr>
          <w:rFonts w:hint="eastAsia"/>
        </w:rPr>
        <w:t>年在温得和克惩教设施建造一个女子惩教中心、其他惩教机构实施翻新工程以及引入社区服务作为对某些罪行监禁刑罚的替代办法的资料，但委员会仍感关切的是</w:t>
      </w:r>
      <w:r w:rsidRPr="00541EE9">
        <w:t>：</w:t>
      </w:r>
    </w:p>
    <w:p w14:paraId="083008E8" w14:textId="77777777" w:rsidR="00AC2717" w:rsidRPr="00541EE9" w:rsidRDefault="00AC2717" w:rsidP="00AC2717">
      <w:pPr>
        <w:pStyle w:val="SingleTxtGC"/>
      </w:pPr>
      <w:r w:rsidRPr="00541EE9">
        <w:tab/>
        <w:t>(a)</w:t>
      </w:r>
      <w:r w:rsidRPr="00541EE9">
        <w:tab/>
      </w:r>
      <w:r w:rsidRPr="00541EE9">
        <w:rPr>
          <w:rFonts w:hint="eastAsia"/>
        </w:rPr>
        <w:t>惩教设施中没有将被定罪者与审前被拘留者严格分开；</w:t>
      </w:r>
    </w:p>
    <w:p w14:paraId="35D27004" w14:textId="77777777" w:rsidR="00AC2717" w:rsidRPr="00541EE9" w:rsidRDefault="00AC2717" w:rsidP="00AC2717">
      <w:pPr>
        <w:pStyle w:val="SingleTxtGC"/>
      </w:pPr>
      <w:r w:rsidRPr="00541EE9">
        <w:lastRenderedPageBreak/>
        <w:tab/>
        <w:t>(b)</w:t>
      </w:r>
      <w:r w:rsidRPr="00541EE9">
        <w:tab/>
      </w:r>
      <w:r w:rsidRPr="00541EE9">
        <w:rPr>
          <w:rFonts w:hint="eastAsia"/>
        </w:rPr>
        <w:t>有报告称监狱工作人员和有资格向被拘留者提供医疗和心理援助的工作人员短缺</w:t>
      </w:r>
      <w:r w:rsidRPr="00541EE9">
        <w:rPr>
          <w:rFonts w:hint="eastAsia"/>
        </w:rPr>
        <w:t>(</w:t>
      </w:r>
      <w:r w:rsidRPr="00541EE9">
        <w:rPr>
          <w:rFonts w:hint="eastAsia"/>
        </w:rPr>
        <w:t>尽管委员会注意到，正如在对话中所解释的那样，已采取初步措施处理惩教设施中的这些不足</w:t>
      </w:r>
      <w:r w:rsidRPr="00541EE9">
        <w:rPr>
          <w:rFonts w:hint="eastAsia"/>
        </w:rPr>
        <w:t>)</w:t>
      </w:r>
      <w:r w:rsidRPr="00541EE9">
        <w:rPr>
          <w:rFonts w:hint="eastAsia"/>
        </w:rPr>
        <w:t>，对有心理或智力残疾的被拘留者，包括被关押在法医精神病病房的被拘留者的精神、社会和心理护理不足；</w:t>
      </w:r>
    </w:p>
    <w:p w14:paraId="65202B15" w14:textId="77777777" w:rsidR="00AC2717" w:rsidRPr="00541EE9" w:rsidRDefault="00AC2717" w:rsidP="00AC2717">
      <w:pPr>
        <w:pStyle w:val="SingleTxtGC"/>
      </w:pPr>
      <w:r w:rsidRPr="00541EE9">
        <w:tab/>
        <w:t>(c)</w:t>
      </w:r>
      <w:r w:rsidRPr="00541EE9">
        <w:tab/>
      </w:r>
      <w:r w:rsidRPr="00541EE9">
        <w:rPr>
          <w:rFonts w:hint="eastAsia"/>
        </w:rPr>
        <w:t>尽管委员会承认在控制肺结核、艾滋病毒</w:t>
      </w:r>
      <w:r w:rsidRPr="00541EE9">
        <w:t>/</w:t>
      </w:r>
      <w:r w:rsidRPr="00541EE9">
        <w:rPr>
          <w:rFonts w:hint="eastAsia"/>
        </w:rPr>
        <w:t>艾滋病和肝炎等传染病方面取得了进展，但没有为残疾被拘留者提供合理便利，被拘留者中艾滋病毒</w:t>
      </w:r>
      <w:r w:rsidRPr="00541EE9">
        <w:t>/</w:t>
      </w:r>
      <w:r w:rsidRPr="00541EE9">
        <w:rPr>
          <w:rFonts w:hint="eastAsia"/>
        </w:rPr>
        <w:t>艾滋病感染率很高；</w:t>
      </w:r>
    </w:p>
    <w:p w14:paraId="1E21B878" w14:textId="77777777" w:rsidR="00AC2717" w:rsidRPr="00541EE9" w:rsidRDefault="00AC2717" w:rsidP="00AC2717">
      <w:pPr>
        <w:pStyle w:val="SingleTxtGC"/>
      </w:pPr>
      <w:r w:rsidRPr="00541EE9">
        <w:tab/>
        <w:t>(d)</w:t>
      </w:r>
      <w:r w:rsidRPr="00541EE9">
        <w:tab/>
      </w:r>
      <w:r w:rsidRPr="00541EE9">
        <w:rPr>
          <w:rFonts w:hint="eastAsia"/>
        </w:rPr>
        <w:t>缺少关于为修订《惩教服务法》</w:t>
      </w:r>
      <w:r w:rsidRPr="00541EE9">
        <w:t>(2012</w:t>
      </w:r>
      <w:r w:rsidRPr="00541EE9">
        <w:rPr>
          <w:rFonts w:hint="eastAsia"/>
        </w:rPr>
        <w:t>年第</w:t>
      </w:r>
      <w:r w:rsidRPr="00541EE9">
        <w:t>9</w:t>
      </w:r>
      <w:r w:rsidRPr="00541EE9">
        <w:rPr>
          <w:rFonts w:hint="eastAsia"/>
        </w:rPr>
        <w:t>号法</w:t>
      </w:r>
      <w:r w:rsidRPr="00541EE9">
        <w:t>)</w:t>
      </w:r>
      <w:r w:rsidRPr="00541EE9">
        <w:rPr>
          <w:rFonts w:hint="eastAsia"/>
        </w:rPr>
        <w:t>以明确禁止拘留设施中的体罚而采取的步骤的资料；</w:t>
      </w:r>
    </w:p>
    <w:p w14:paraId="0EAEA665" w14:textId="77777777" w:rsidR="00AC2717" w:rsidRPr="00541EE9" w:rsidRDefault="00AC2717" w:rsidP="00AC2717">
      <w:pPr>
        <w:pStyle w:val="SingleTxtGC"/>
      </w:pPr>
      <w:r w:rsidRPr="00541EE9">
        <w:tab/>
        <w:t>(e)</w:t>
      </w:r>
      <w:r w:rsidRPr="00541EE9">
        <w:tab/>
      </w:r>
      <w:r w:rsidRPr="00541EE9">
        <w:rPr>
          <w:rFonts w:hint="eastAsia"/>
        </w:rPr>
        <w:t>仍将单独监禁作为纪律处罚，没有根据人权标准保证适当的程序保障，尽管监狱当局正在努力解决这一问题；</w:t>
      </w:r>
    </w:p>
    <w:p w14:paraId="5D321927" w14:textId="6866F79D" w:rsidR="00AC2717" w:rsidRPr="00541EE9" w:rsidRDefault="00AC2717" w:rsidP="00AC2717">
      <w:pPr>
        <w:pStyle w:val="SingleTxtGC"/>
      </w:pPr>
      <w:r w:rsidRPr="00541EE9">
        <w:tab/>
        <w:t>(f)</w:t>
      </w:r>
      <w:r w:rsidRPr="00541EE9">
        <w:tab/>
      </w:r>
      <w:r w:rsidRPr="00541EE9">
        <w:rPr>
          <w:rFonts w:hint="eastAsia"/>
        </w:rPr>
        <w:t>在处理总体上缺乏有意义的改造方案，包括为被判刑和还押被拘留者开展教育、娱乐和职业活动方面进展有限</w:t>
      </w:r>
      <w:r w:rsidRPr="00541EE9">
        <w:t>(</w:t>
      </w:r>
      <w:r w:rsidRPr="00541EE9">
        <w:rPr>
          <w:rFonts w:hint="eastAsia"/>
        </w:rPr>
        <w:t>第</w:t>
      </w:r>
      <w:r w:rsidRPr="00541EE9">
        <w:t>2</w:t>
      </w:r>
      <w:r w:rsidRPr="00541EE9">
        <w:rPr>
          <w:rFonts w:hint="eastAsia"/>
        </w:rPr>
        <w:t>、第</w:t>
      </w:r>
      <w:r w:rsidRPr="00541EE9">
        <w:t>11</w:t>
      </w:r>
      <w:r w:rsidR="002966D9">
        <w:rPr>
          <w:rFonts w:hint="eastAsia"/>
        </w:rPr>
        <w:t>-</w:t>
      </w:r>
      <w:r w:rsidRPr="00541EE9">
        <w:t>13</w:t>
      </w:r>
      <w:r w:rsidRPr="00541EE9">
        <w:rPr>
          <w:rFonts w:hint="eastAsia"/>
        </w:rPr>
        <w:t>和第</w:t>
      </w:r>
      <w:r w:rsidRPr="00541EE9">
        <w:t>16</w:t>
      </w:r>
      <w:r w:rsidRPr="00541EE9">
        <w:rPr>
          <w:rFonts w:hint="eastAsia"/>
        </w:rPr>
        <w:t>条</w:t>
      </w:r>
      <w:r w:rsidRPr="00541EE9">
        <w:t>)</w:t>
      </w:r>
      <w:r w:rsidRPr="00541EE9">
        <w:rPr>
          <w:rFonts w:hint="eastAsia"/>
        </w:rPr>
        <w:t>。</w:t>
      </w:r>
    </w:p>
    <w:p w14:paraId="65FBCA4D" w14:textId="77777777" w:rsidR="00AC2717" w:rsidRPr="00541EE9" w:rsidRDefault="00AC2717" w:rsidP="00AC2717">
      <w:pPr>
        <w:pStyle w:val="SingleTxtGC"/>
        <w:rPr>
          <w:rFonts w:eastAsia="黑体"/>
        </w:rPr>
      </w:pPr>
      <w:r w:rsidRPr="00541EE9">
        <w:t>17.</w:t>
      </w:r>
      <w:r w:rsidRPr="00541EE9">
        <w:tab/>
      </w:r>
      <w:r w:rsidRPr="00541EE9">
        <w:rPr>
          <w:rFonts w:eastAsia="黑体" w:hint="eastAsia"/>
        </w:rPr>
        <w:t>委员会重申其先前的建议</w:t>
      </w:r>
      <w:r w:rsidRPr="004B50D0">
        <w:rPr>
          <w:rStyle w:val="a8"/>
          <w:rFonts w:eastAsia="宋体"/>
        </w:rPr>
        <w:footnoteReference w:id="11"/>
      </w:r>
      <w:r w:rsidRPr="00541EE9">
        <w:rPr>
          <w:rFonts w:eastAsia="黑体" w:hint="eastAsia"/>
        </w:rPr>
        <w:t>，敦促缔约国</w:t>
      </w:r>
      <w:r w:rsidRPr="00541EE9">
        <w:rPr>
          <w:rFonts w:eastAsia="黑体"/>
        </w:rPr>
        <w:t>：</w:t>
      </w:r>
    </w:p>
    <w:p w14:paraId="078CE3B6"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继续努力按照《联合国囚犯待遇最低限度标准规则》</w:t>
      </w:r>
      <w:r w:rsidRPr="00541EE9">
        <w:rPr>
          <w:rFonts w:eastAsia="黑体"/>
        </w:rPr>
        <w:t>(</w:t>
      </w:r>
      <w:r w:rsidRPr="00541EE9">
        <w:rPr>
          <w:rFonts w:eastAsia="黑体" w:hint="eastAsia"/>
        </w:rPr>
        <w:t>《纳尔逊</w:t>
      </w:r>
      <w:r w:rsidRPr="002966D9">
        <w:rPr>
          <w:rFonts w:ascii="黑体" w:eastAsia="黑体" w:hAnsi="黑体" w:cs="黑体" w:hint="eastAsia"/>
        </w:rPr>
        <w:t>·</w:t>
      </w:r>
      <w:r w:rsidRPr="00541EE9">
        <w:rPr>
          <w:rFonts w:eastAsia="黑体" w:hint="eastAsia"/>
        </w:rPr>
        <w:t>曼德拉规则》</w:t>
      </w:r>
      <w:r w:rsidRPr="00541EE9">
        <w:rPr>
          <w:rFonts w:eastAsia="黑体"/>
        </w:rPr>
        <w:t>)</w:t>
      </w:r>
      <w:r w:rsidRPr="00541EE9">
        <w:rPr>
          <w:rFonts w:eastAsia="黑体" w:hint="eastAsia"/>
        </w:rPr>
        <w:t>，改善所有惩教设施的物质条件，包括按照国际标准采取适当措施，避免这类设施中过度拥挤的状况；</w:t>
      </w:r>
    </w:p>
    <w:p w14:paraId="43087AA2" w14:textId="77777777" w:rsidR="00AC2717" w:rsidRPr="00541EE9" w:rsidRDefault="00AC2717" w:rsidP="00AC2717">
      <w:pPr>
        <w:pStyle w:val="SingleTxtGC"/>
        <w:rPr>
          <w:rFonts w:eastAsia="黑体"/>
        </w:rPr>
      </w:pPr>
      <w:r w:rsidRPr="00541EE9">
        <w:tab/>
        <w:t>(b)</w:t>
      </w:r>
      <w:r w:rsidRPr="00541EE9">
        <w:tab/>
      </w:r>
      <w:r w:rsidRPr="00541EE9">
        <w:rPr>
          <w:rFonts w:eastAsia="黑体" w:hint="eastAsia"/>
        </w:rPr>
        <w:t>确保将候审被拘留者与服刑人员严格分开；</w:t>
      </w:r>
    </w:p>
    <w:p w14:paraId="37557790" w14:textId="77777777" w:rsidR="00AC2717" w:rsidRPr="00541EE9" w:rsidRDefault="00AC2717" w:rsidP="00AC2717">
      <w:pPr>
        <w:pStyle w:val="SingleTxtGC"/>
        <w:rPr>
          <w:rFonts w:eastAsia="黑体"/>
        </w:rPr>
      </w:pPr>
      <w:r w:rsidRPr="00541EE9">
        <w:tab/>
        <w:t>(c)</w:t>
      </w:r>
      <w:r w:rsidRPr="00541EE9">
        <w:tab/>
      </w:r>
      <w:r w:rsidRPr="00541EE9">
        <w:rPr>
          <w:rFonts w:eastAsia="黑体" w:hint="eastAsia"/>
        </w:rPr>
        <w:t>加强努力，招聘足够数量的监狱工作人员来维持监狱的安全，并确保有足够的合适医务人员来改善拘留中心的医疗服务和保健，包括提供心理和精神支助，继续努力预防、发现和治疗监狱人口中的传染病，特别是艾滋病毒</w:t>
      </w:r>
      <w:r w:rsidRPr="00541EE9">
        <w:rPr>
          <w:rFonts w:eastAsia="黑体"/>
        </w:rPr>
        <w:t>/</w:t>
      </w:r>
      <w:r w:rsidRPr="00541EE9">
        <w:rPr>
          <w:rFonts w:eastAsia="黑体" w:hint="eastAsia"/>
        </w:rPr>
        <w:t>艾滋病，并采取具体措施在监狱中为残疾人提供个性化的合理便利和无障碍设施；</w:t>
      </w:r>
    </w:p>
    <w:p w14:paraId="64D89991" w14:textId="77777777" w:rsidR="00AC2717" w:rsidRPr="00541EE9" w:rsidRDefault="00AC2717" w:rsidP="00AC2717">
      <w:pPr>
        <w:pStyle w:val="SingleTxtGC"/>
        <w:rPr>
          <w:rFonts w:eastAsia="黑体"/>
        </w:rPr>
      </w:pPr>
      <w:r w:rsidRPr="00541EE9">
        <w:tab/>
        <w:t>(d)</w:t>
      </w:r>
      <w:r w:rsidRPr="00541EE9">
        <w:tab/>
      </w:r>
      <w:r w:rsidRPr="00541EE9">
        <w:rPr>
          <w:rFonts w:eastAsia="黑体" w:hint="eastAsia"/>
        </w:rPr>
        <w:t>修订《惩教服务法》</w:t>
      </w:r>
      <w:r w:rsidRPr="00541EE9">
        <w:rPr>
          <w:rFonts w:eastAsia="黑体"/>
        </w:rPr>
        <w:t>(2012</w:t>
      </w:r>
      <w:r w:rsidRPr="00541EE9">
        <w:rPr>
          <w:rFonts w:eastAsia="黑体" w:hint="eastAsia"/>
        </w:rPr>
        <w:t>年第</w:t>
      </w:r>
      <w:r w:rsidRPr="00541EE9">
        <w:rPr>
          <w:rFonts w:eastAsia="黑体"/>
        </w:rPr>
        <w:t>9</w:t>
      </w:r>
      <w:r w:rsidRPr="00541EE9">
        <w:rPr>
          <w:rFonts w:eastAsia="黑体" w:hint="eastAsia"/>
        </w:rPr>
        <w:t>号法</w:t>
      </w:r>
      <w:r w:rsidRPr="00541EE9">
        <w:rPr>
          <w:rFonts w:eastAsia="黑体"/>
        </w:rPr>
        <w:t>)</w:t>
      </w:r>
      <w:r w:rsidRPr="00541EE9">
        <w:rPr>
          <w:rFonts w:eastAsia="黑体"/>
        </w:rPr>
        <w:t>，</w:t>
      </w:r>
      <w:r w:rsidRPr="00541EE9">
        <w:rPr>
          <w:rFonts w:eastAsia="黑体" w:hint="eastAsia"/>
        </w:rPr>
        <w:t>以明确禁止在所有剥夺自由场所实施体罚；</w:t>
      </w:r>
    </w:p>
    <w:p w14:paraId="648829BD" w14:textId="1517E360" w:rsidR="00AC2717" w:rsidRPr="00541EE9" w:rsidRDefault="00AC2717" w:rsidP="00AC2717">
      <w:pPr>
        <w:pStyle w:val="SingleTxtGC"/>
        <w:rPr>
          <w:rFonts w:eastAsia="黑体"/>
        </w:rPr>
      </w:pPr>
      <w:r w:rsidRPr="00541EE9">
        <w:tab/>
        <w:t>(e)</w:t>
      </w:r>
      <w:r w:rsidRPr="00541EE9">
        <w:tab/>
      </w:r>
      <w:r w:rsidRPr="00541EE9">
        <w:rPr>
          <w:rFonts w:eastAsia="黑体" w:hint="eastAsia"/>
        </w:rPr>
        <w:t>使其关于单独监禁的立法和做法符合国际标准，特别是《纳尔逊</w:t>
      </w:r>
      <w:r w:rsidRPr="00AE6DF1">
        <w:rPr>
          <w:rFonts w:ascii="黑体" w:eastAsia="黑体" w:hAnsi="黑体" w:cs="黑体" w:hint="eastAsia"/>
        </w:rPr>
        <w:t>·</w:t>
      </w:r>
      <w:r w:rsidRPr="00541EE9">
        <w:rPr>
          <w:rFonts w:eastAsia="黑体" w:hint="eastAsia"/>
        </w:rPr>
        <w:t>曼德拉规则》的规则</w:t>
      </w:r>
      <w:r w:rsidRPr="00541EE9">
        <w:rPr>
          <w:rFonts w:eastAsia="黑体"/>
        </w:rPr>
        <w:t>43</w:t>
      </w:r>
      <w:r w:rsidRPr="00541EE9">
        <w:rPr>
          <w:rFonts w:eastAsia="黑体" w:hint="eastAsia"/>
        </w:rPr>
        <w:t>至</w:t>
      </w:r>
      <w:r w:rsidRPr="00541EE9">
        <w:rPr>
          <w:rFonts w:eastAsia="黑体"/>
        </w:rPr>
        <w:t>46,</w:t>
      </w:r>
      <w:r w:rsidR="00AE6DF1">
        <w:rPr>
          <w:rFonts w:eastAsia="黑体" w:hint="eastAsia"/>
        </w:rPr>
        <w:t xml:space="preserve"> </w:t>
      </w:r>
      <w:r w:rsidRPr="00541EE9">
        <w:rPr>
          <w:rFonts w:eastAsia="黑体" w:hint="eastAsia"/>
        </w:rPr>
        <w:t>仅在特殊情况下作为最后手段使用单独监禁，时间尽可能短</w:t>
      </w:r>
      <w:r w:rsidRPr="00541EE9">
        <w:rPr>
          <w:rFonts w:eastAsia="黑体"/>
        </w:rPr>
        <w:t>(</w:t>
      </w:r>
      <w:r w:rsidRPr="00541EE9">
        <w:rPr>
          <w:rFonts w:eastAsia="黑体" w:hint="eastAsia"/>
        </w:rPr>
        <w:t>不超过</w:t>
      </w:r>
      <w:r w:rsidRPr="00541EE9">
        <w:rPr>
          <w:rFonts w:eastAsia="黑体"/>
        </w:rPr>
        <w:t>15</w:t>
      </w:r>
      <w:r w:rsidRPr="00541EE9">
        <w:rPr>
          <w:rFonts w:eastAsia="黑体" w:hint="eastAsia"/>
        </w:rPr>
        <w:t>天</w:t>
      </w:r>
      <w:r w:rsidRPr="00541EE9">
        <w:rPr>
          <w:rFonts w:eastAsia="黑体"/>
        </w:rPr>
        <w:t>)</w:t>
      </w:r>
      <w:r w:rsidRPr="00541EE9">
        <w:rPr>
          <w:rFonts w:eastAsia="黑体"/>
        </w:rPr>
        <w:t>，</w:t>
      </w:r>
      <w:r w:rsidRPr="00541EE9">
        <w:rPr>
          <w:rFonts w:eastAsia="黑体" w:hint="eastAsia"/>
        </w:rPr>
        <w:t>并接受独立审查，且须经主管官员核准；</w:t>
      </w:r>
    </w:p>
    <w:p w14:paraId="56B61E3C" w14:textId="77777777" w:rsidR="00AC2717" w:rsidRPr="00541EE9" w:rsidRDefault="00AC2717" w:rsidP="00AC2717">
      <w:pPr>
        <w:pStyle w:val="SingleTxtGC"/>
        <w:rPr>
          <w:rFonts w:eastAsia="黑体"/>
        </w:rPr>
      </w:pPr>
      <w:r w:rsidRPr="00541EE9">
        <w:tab/>
        <w:t>(f)</w:t>
      </w:r>
      <w:r w:rsidRPr="00541EE9">
        <w:tab/>
      </w:r>
      <w:r w:rsidRPr="00541EE9">
        <w:rPr>
          <w:rFonts w:eastAsia="黑体" w:hint="eastAsia"/>
        </w:rPr>
        <w:t>加强所有剥夺自由场所的改造和重返社会方案，特别是通过促进教育、娱乐、社会和就业融合活动。</w:t>
      </w:r>
    </w:p>
    <w:p w14:paraId="23B2D730" w14:textId="77777777" w:rsidR="00AC2717" w:rsidRPr="00541EE9" w:rsidRDefault="00AC2717" w:rsidP="00877D63">
      <w:pPr>
        <w:pStyle w:val="H23GC"/>
      </w:pPr>
      <w:r w:rsidRPr="00541EE9">
        <w:tab/>
      </w:r>
      <w:r w:rsidRPr="00541EE9">
        <w:tab/>
      </w:r>
      <w:r w:rsidRPr="00541EE9">
        <w:rPr>
          <w:rFonts w:hint="eastAsia"/>
        </w:rPr>
        <w:t>羁押期间死亡</w:t>
      </w:r>
    </w:p>
    <w:p w14:paraId="1EF61BCA" w14:textId="77777777" w:rsidR="00AC2717" w:rsidRPr="00541EE9" w:rsidRDefault="00AC2717" w:rsidP="00AC2717">
      <w:pPr>
        <w:pStyle w:val="SingleTxtGC"/>
      </w:pPr>
      <w:r w:rsidRPr="00541EE9">
        <w:t>18.</w:t>
      </w:r>
      <w:r w:rsidRPr="00541EE9">
        <w:tab/>
      </w:r>
      <w:r w:rsidRPr="00541EE9">
        <w:rPr>
          <w:rFonts w:hint="eastAsia"/>
        </w:rPr>
        <w:t>委员会感到遗憾的是，缔约国没有提供关于羁押期间死亡情况的完整数据，这限制了委员会准确评估情况的能力。委员会还感到关切的是，所收到的资料表明，对羁押期间的死亡事件没有进行充分调查</w:t>
      </w:r>
      <w:r w:rsidRPr="00541EE9">
        <w:t>(</w:t>
      </w:r>
      <w:r w:rsidRPr="00541EE9">
        <w:rPr>
          <w:rFonts w:hint="eastAsia"/>
        </w:rPr>
        <w:t>第</w:t>
      </w:r>
      <w:r w:rsidRPr="00541EE9">
        <w:t>2</w:t>
      </w:r>
      <w:r w:rsidRPr="00541EE9">
        <w:rPr>
          <w:rFonts w:hint="eastAsia"/>
        </w:rPr>
        <w:t>、第</w:t>
      </w:r>
      <w:r w:rsidRPr="00541EE9">
        <w:t>11-14</w:t>
      </w:r>
      <w:r w:rsidRPr="00541EE9">
        <w:rPr>
          <w:rFonts w:hint="eastAsia"/>
        </w:rPr>
        <w:t>和第</w:t>
      </w:r>
      <w:r w:rsidRPr="00541EE9">
        <w:t>16</w:t>
      </w:r>
      <w:r w:rsidRPr="00541EE9">
        <w:rPr>
          <w:rFonts w:hint="eastAsia"/>
        </w:rPr>
        <w:t>条</w:t>
      </w:r>
      <w:r w:rsidRPr="00541EE9">
        <w:t>)</w:t>
      </w:r>
      <w:r w:rsidRPr="00541EE9">
        <w:rPr>
          <w:rFonts w:hint="eastAsia"/>
        </w:rPr>
        <w:t>。</w:t>
      </w:r>
    </w:p>
    <w:p w14:paraId="6294D592" w14:textId="77777777" w:rsidR="00AC2717" w:rsidRPr="00541EE9" w:rsidRDefault="00AC2717" w:rsidP="00AC2717">
      <w:pPr>
        <w:pStyle w:val="SingleTxtGC"/>
        <w:rPr>
          <w:rFonts w:eastAsia="黑体"/>
        </w:rPr>
      </w:pPr>
      <w:r w:rsidRPr="00541EE9">
        <w:t>19.</w:t>
      </w:r>
      <w:r w:rsidRPr="00541EE9">
        <w:tab/>
      </w:r>
      <w:r w:rsidRPr="00541EE9">
        <w:rPr>
          <w:rFonts w:eastAsia="黑体" w:hint="eastAsia"/>
        </w:rPr>
        <w:t>缔约国应采取措施，确保所有羁押期间死亡事件得到独立机构的迅速和公正调查，包括进行法医检查，同时适当考虑《关于调查潜在非法死亡的明尼苏达规</w:t>
      </w:r>
      <w:r w:rsidRPr="00541EE9">
        <w:rPr>
          <w:rFonts w:eastAsia="黑体" w:hint="eastAsia"/>
        </w:rPr>
        <w:lastRenderedPageBreak/>
        <w:t>程》，并酌情实施相应的处罚。缔约国应维护和公布有关所有拘留地点死亡事件、死因和调查结果的最新分列数据。</w:t>
      </w:r>
    </w:p>
    <w:p w14:paraId="02D21CEE" w14:textId="77777777" w:rsidR="00AC2717" w:rsidRPr="00541EE9" w:rsidRDefault="00AC2717" w:rsidP="00877D63">
      <w:pPr>
        <w:pStyle w:val="H23GC"/>
      </w:pPr>
      <w:r w:rsidRPr="00541EE9">
        <w:tab/>
      </w:r>
      <w:r w:rsidRPr="00541EE9">
        <w:tab/>
      </w:r>
      <w:r w:rsidRPr="00541EE9">
        <w:rPr>
          <w:rFonts w:hint="eastAsia"/>
        </w:rPr>
        <w:t>少年司法</w:t>
      </w:r>
    </w:p>
    <w:p w14:paraId="51AC9699" w14:textId="77777777" w:rsidR="00AC2717" w:rsidRPr="00541EE9" w:rsidRDefault="00AC2717" w:rsidP="00AC2717">
      <w:pPr>
        <w:pStyle w:val="SingleTxtGC"/>
      </w:pPr>
      <w:r w:rsidRPr="00541EE9">
        <w:t>20.</w:t>
      </w:r>
      <w:r w:rsidRPr="00541EE9">
        <w:tab/>
      </w:r>
      <w:r w:rsidRPr="00541EE9">
        <w:rPr>
          <w:rFonts w:hint="eastAsia"/>
        </w:rPr>
        <w:t>委员会关切地注意到</w:t>
      </w:r>
      <w:r w:rsidRPr="00541EE9">
        <w:t>，</w:t>
      </w:r>
      <w:r w:rsidRPr="00541EE9">
        <w:rPr>
          <w:rFonts w:hint="eastAsia"/>
        </w:rPr>
        <w:t>《少年司法法案》尚未获得通过，</w:t>
      </w:r>
      <w:r w:rsidRPr="004B50D0">
        <w:rPr>
          <w:rStyle w:val="a8"/>
          <w:rFonts w:eastAsia="宋体"/>
        </w:rPr>
        <w:footnoteReference w:id="12"/>
      </w:r>
      <w:r w:rsidRPr="00541EE9">
        <w:rPr>
          <w:rFonts w:hint="eastAsia"/>
        </w:rPr>
        <w:t xml:space="preserve"> </w:t>
      </w:r>
      <w:r w:rsidRPr="00541EE9">
        <w:t>7</w:t>
      </w:r>
      <w:r w:rsidRPr="00541EE9">
        <w:rPr>
          <w:rFonts w:hint="eastAsia"/>
        </w:rPr>
        <w:t>至</w:t>
      </w:r>
      <w:r w:rsidRPr="00541EE9">
        <w:t>12</w:t>
      </w:r>
      <w:r w:rsidRPr="00541EE9">
        <w:rPr>
          <w:rFonts w:hint="eastAsia"/>
        </w:rPr>
        <w:t>岁的儿童可能被认定负有刑事责任，因为不承担刑事责任的推定可被驳回。此外，委员会仍感关切的是，《少年司法法案》继续将刑事责任最低年龄定在</w:t>
      </w:r>
      <w:r w:rsidRPr="00541EE9">
        <w:t>12</w:t>
      </w:r>
      <w:r w:rsidRPr="00541EE9">
        <w:rPr>
          <w:rFonts w:hint="eastAsia"/>
        </w:rPr>
        <w:t>岁，低于国际公认的标准。委员会还感到关切的是，有报告称，候审儿童有时被关押在成人拘留设施中，尽管委员会注意到缔约国的说法与此相反。委员会感到遗憾的是，缺乏关于为促进非监禁和非司法措施而采取的步骤的资料，以及关于专门为触法儿童设计的改造方案的资料</w:t>
      </w:r>
      <w:r w:rsidRPr="00541EE9">
        <w:rPr>
          <w:rFonts w:hint="eastAsia"/>
        </w:rPr>
        <w:t>(</w:t>
      </w:r>
      <w:r w:rsidRPr="00541EE9">
        <w:rPr>
          <w:rFonts w:hint="eastAsia"/>
        </w:rPr>
        <w:t>第</w:t>
      </w:r>
      <w:r w:rsidRPr="00541EE9">
        <w:t>2</w:t>
      </w:r>
      <w:r w:rsidRPr="00541EE9">
        <w:rPr>
          <w:rFonts w:hint="eastAsia"/>
        </w:rPr>
        <w:t>和第</w:t>
      </w:r>
      <w:r w:rsidRPr="00541EE9">
        <w:t>11</w:t>
      </w:r>
      <w:r w:rsidRPr="00541EE9">
        <w:rPr>
          <w:rFonts w:hint="eastAsia"/>
        </w:rPr>
        <w:t>条</w:t>
      </w:r>
      <w:r w:rsidRPr="00541EE9">
        <w:t>)</w:t>
      </w:r>
      <w:r w:rsidRPr="00541EE9">
        <w:rPr>
          <w:rFonts w:hint="eastAsia"/>
        </w:rPr>
        <w:t>。</w:t>
      </w:r>
    </w:p>
    <w:p w14:paraId="651A5801" w14:textId="77777777" w:rsidR="00AC2717" w:rsidRPr="00541EE9" w:rsidRDefault="00AC2717" w:rsidP="00AC2717">
      <w:pPr>
        <w:pStyle w:val="SingleTxtGC"/>
        <w:rPr>
          <w:rFonts w:eastAsia="黑体"/>
        </w:rPr>
      </w:pPr>
      <w:r w:rsidRPr="00541EE9">
        <w:t>21.</w:t>
      </w:r>
      <w:r w:rsidRPr="00541EE9">
        <w:tab/>
      </w:r>
      <w:r w:rsidRPr="00541EE9">
        <w:rPr>
          <w:rFonts w:eastAsia="黑体" w:hint="eastAsia"/>
        </w:rPr>
        <w:t>缔约国应加紧努力通过《少年司法法案》</w:t>
      </w:r>
      <w:r w:rsidRPr="00541EE9">
        <w:rPr>
          <w:rFonts w:eastAsia="黑体"/>
        </w:rPr>
        <w:t>，</w:t>
      </w:r>
      <w:r w:rsidRPr="00541EE9">
        <w:rPr>
          <w:rFonts w:eastAsia="黑体" w:hint="eastAsia"/>
        </w:rPr>
        <w:t>并应按照儿童权利委员会第</w:t>
      </w:r>
      <w:r w:rsidRPr="00541EE9">
        <w:rPr>
          <w:rFonts w:eastAsia="黑体"/>
        </w:rPr>
        <w:t>24</w:t>
      </w:r>
      <w:r w:rsidRPr="00541EE9">
        <w:rPr>
          <w:rFonts w:eastAsia="黑体" w:hint="eastAsia"/>
        </w:rPr>
        <w:t>号一般性意见</w:t>
      </w:r>
      <w:r w:rsidRPr="00541EE9">
        <w:rPr>
          <w:rFonts w:eastAsia="黑体"/>
        </w:rPr>
        <w:t>(2019</w:t>
      </w:r>
      <w:r w:rsidRPr="00541EE9">
        <w:rPr>
          <w:rFonts w:eastAsia="黑体" w:hint="eastAsia"/>
        </w:rPr>
        <w:t>年</w:t>
      </w:r>
      <w:r w:rsidRPr="00541EE9">
        <w:rPr>
          <w:rFonts w:eastAsia="黑体"/>
        </w:rPr>
        <w:t>)</w:t>
      </w:r>
      <w:r w:rsidRPr="00541EE9">
        <w:rPr>
          <w:rFonts w:eastAsia="黑体" w:hint="eastAsia"/>
        </w:rPr>
        <w:t>所述，将刑事责任最低年龄至少提高到</w:t>
      </w:r>
      <w:r w:rsidRPr="00541EE9">
        <w:rPr>
          <w:rFonts w:eastAsia="黑体"/>
        </w:rPr>
        <w:t>14</w:t>
      </w:r>
      <w:r w:rsidRPr="00541EE9">
        <w:rPr>
          <w:rFonts w:eastAsia="黑体" w:hint="eastAsia"/>
        </w:rPr>
        <w:t>岁，并确保充分执行少年司法标准。缔约国应按照《联合国少年司法最低限度标准规则》</w:t>
      </w:r>
      <w:r w:rsidRPr="00541EE9">
        <w:rPr>
          <w:rFonts w:eastAsia="黑体"/>
        </w:rPr>
        <w:t>(</w:t>
      </w:r>
      <w:r w:rsidRPr="00541EE9">
        <w:rPr>
          <w:rFonts w:eastAsia="黑体" w:hint="eastAsia"/>
        </w:rPr>
        <w:t>《北京规则》</w:t>
      </w:r>
      <w:r w:rsidRPr="00541EE9">
        <w:rPr>
          <w:rFonts w:eastAsia="黑体"/>
        </w:rPr>
        <w:t>)</w:t>
      </w:r>
      <w:r w:rsidRPr="00541EE9">
        <w:rPr>
          <w:rFonts w:eastAsia="黑体" w:hint="eastAsia"/>
        </w:rPr>
        <w:t>规定</w:t>
      </w:r>
      <w:r w:rsidRPr="00541EE9">
        <w:rPr>
          <w:rFonts w:eastAsia="黑体"/>
        </w:rPr>
        <w:t>13.4</w:t>
      </w:r>
      <w:r w:rsidRPr="00541EE9">
        <w:rPr>
          <w:rFonts w:eastAsia="黑体" w:hint="eastAsia"/>
        </w:rPr>
        <w:t>和</w:t>
      </w:r>
      <w:r w:rsidRPr="00541EE9">
        <w:rPr>
          <w:rFonts w:eastAsia="黑体"/>
        </w:rPr>
        <w:t>26.3</w:t>
      </w:r>
      <w:r w:rsidRPr="00541EE9">
        <w:rPr>
          <w:rFonts w:eastAsia="黑体" w:hint="eastAsia"/>
        </w:rPr>
        <w:t>以及《联合国保护被剥夺自由少年规则》</w:t>
      </w:r>
      <w:r w:rsidRPr="00541EE9">
        <w:rPr>
          <w:rFonts w:eastAsia="黑体"/>
        </w:rPr>
        <w:t>(</w:t>
      </w:r>
      <w:r w:rsidRPr="00541EE9">
        <w:rPr>
          <w:rFonts w:eastAsia="黑体" w:hint="eastAsia"/>
        </w:rPr>
        <w:t>《哈瓦那规则》</w:t>
      </w:r>
      <w:r w:rsidRPr="00541EE9">
        <w:rPr>
          <w:rFonts w:eastAsia="黑体"/>
        </w:rPr>
        <w:t>)</w:t>
      </w:r>
      <w:r w:rsidRPr="00541EE9">
        <w:rPr>
          <w:rFonts w:eastAsia="黑体"/>
        </w:rPr>
        <w:t>，</w:t>
      </w:r>
      <w:r w:rsidRPr="00541EE9">
        <w:rPr>
          <w:rFonts w:eastAsia="黑体" w:hint="eastAsia"/>
        </w:rPr>
        <w:t>推广非监禁和非司法措施，确保监禁仅作为最后手段使用，时间尽可能短，并确保被拘留的儿童与成人严格分开。缔约国还应加强现有的改造方案，并根据国际标准制定新的综合方案，为鼓励亲社会行为的有意义的活动分配更多时间，并为被剥夺自由的儿童提供有助于他们融入社会的适当娱乐活动。</w:t>
      </w:r>
    </w:p>
    <w:p w14:paraId="3EAF08D6" w14:textId="77777777" w:rsidR="00AC2717" w:rsidRPr="00541EE9" w:rsidRDefault="00AC2717" w:rsidP="00877D63">
      <w:pPr>
        <w:pStyle w:val="H23GC"/>
      </w:pPr>
      <w:r w:rsidRPr="00541EE9">
        <w:tab/>
      </w:r>
      <w:r w:rsidRPr="00541EE9">
        <w:tab/>
      </w:r>
      <w:r w:rsidRPr="00541EE9">
        <w:rPr>
          <w:rFonts w:hint="eastAsia"/>
        </w:rPr>
        <w:t>调查和起诉酷刑和虐待行为，包括过度使用武力</w:t>
      </w:r>
    </w:p>
    <w:p w14:paraId="5BF2D7DA" w14:textId="6AB16C00" w:rsidR="00AC2717" w:rsidRPr="00541EE9" w:rsidRDefault="00AC2717" w:rsidP="00AC2717">
      <w:pPr>
        <w:pStyle w:val="SingleTxtGC"/>
      </w:pPr>
      <w:r w:rsidRPr="00541EE9">
        <w:t>22.</w:t>
      </w:r>
      <w:r w:rsidRPr="00541EE9">
        <w:tab/>
      </w:r>
      <w:r w:rsidRPr="00541EE9">
        <w:rPr>
          <w:rFonts w:hint="eastAsia"/>
        </w:rPr>
        <w:t>委员会考虑到缔约国报告中提供的关于对一些行为不当的警察进行起诉、解雇和停职的资料，但关切地注意到，有资料表明，因为国内立法中没有具体的酷刑罪，属于《公约》第</w:t>
      </w:r>
      <w:r w:rsidRPr="00541EE9">
        <w:t>1</w:t>
      </w:r>
      <w:r w:rsidRPr="00541EE9">
        <w:rPr>
          <w:rFonts w:hint="eastAsia"/>
        </w:rPr>
        <w:t>条所载酷刑定义范围内的行为，在被起诉时，往往被归类为谋杀、袭击和意图造成严重身体伤害的袭击罪。此外，委员会感到关切的是，收到的指控称，警察在和平抗议期间使用暴力，并在逮捕和录取口供时实施虐待和过度使用武力行为，并伴有口头威胁和辱骂。此外，委员会仍感关切的是，负责处理针对警察的申诉的内部调查局缺乏独立性和公正性，因为该机构仍由纳米比亚警方管辖。委员会还注意到缔约国提供的各种不确定的统计数据，包括在报告所述期间对警察和狱警提出的</w:t>
      </w:r>
      <w:r w:rsidRPr="00541EE9">
        <w:t>300</w:t>
      </w:r>
      <w:r w:rsidRPr="00541EE9">
        <w:rPr>
          <w:rFonts w:hint="eastAsia"/>
        </w:rPr>
        <w:t>项申诉，</w:t>
      </w:r>
      <w:r w:rsidRPr="00541EE9">
        <w:t>2015</w:t>
      </w:r>
      <w:r w:rsidRPr="00541EE9">
        <w:rPr>
          <w:rFonts w:hint="eastAsia"/>
        </w:rPr>
        <w:t>年至</w:t>
      </w:r>
      <w:r w:rsidRPr="00541EE9">
        <w:t>2023</w:t>
      </w:r>
      <w:r w:rsidRPr="00541EE9">
        <w:rPr>
          <w:rFonts w:hint="eastAsia"/>
        </w:rPr>
        <w:t>年期间监察员办公室收到的</w:t>
      </w:r>
      <w:r w:rsidRPr="00541EE9">
        <w:t>34</w:t>
      </w:r>
      <w:r w:rsidRPr="00541EE9">
        <w:rPr>
          <w:rFonts w:hint="eastAsia"/>
        </w:rPr>
        <w:t>项酷刑申诉</w:t>
      </w:r>
      <w:r w:rsidRPr="00541EE9">
        <w:t>(</w:t>
      </w:r>
      <w:r w:rsidRPr="00541EE9">
        <w:rPr>
          <w:rFonts w:hint="eastAsia"/>
        </w:rPr>
        <w:t>特别是在没有酷刑罪的明确定义的情况下</w:t>
      </w:r>
      <w:r w:rsidRPr="00541EE9">
        <w:t>)</w:t>
      </w:r>
      <w:r w:rsidRPr="00541EE9">
        <w:rPr>
          <w:rFonts w:hint="eastAsia"/>
        </w:rPr>
        <w:t>，以及</w:t>
      </w:r>
      <w:r w:rsidRPr="00541EE9">
        <w:t>2019</w:t>
      </w:r>
      <w:r w:rsidRPr="00541EE9">
        <w:rPr>
          <w:rFonts w:hint="eastAsia"/>
        </w:rPr>
        <w:t>年至</w:t>
      </w:r>
      <w:r w:rsidRPr="00541EE9">
        <w:t>2024</w:t>
      </w:r>
      <w:r w:rsidRPr="00541EE9">
        <w:rPr>
          <w:rFonts w:hint="eastAsia"/>
        </w:rPr>
        <w:t>年期间内部调查局登记的针对警察的涉及谋杀未遂和袭击等罪行</w:t>
      </w:r>
      <w:r w:rsidRPr="00541EE9">
        <w:t>334</w:t>
      </w:r>
      <w:r w:rsidRPr="00541EE9">
        <w:rPr>
          <w:rFonts w:hint="eastAsia"/>
        </w:rPr>
        <w:t>起案件。委员会感到遗憾的是，除了</w:t>
      </w:r>
      <w:r w:rsidRPr="00541EE9">
        <w:t>2018</w:t>
      </w:r>
      <w:r w:rsidRPr="00541EE9">
        <w:rPr>
          <w:rFonts w:hint="eastAsia"/>
        </w:rPr>
        <w:t>年至</w:t>
      </w:r>
      <w:r w:rsidRPr="00541EE9">
        <w:t>2024</w:t>
      </w:r>
      <w:r w:rsidRPr="00541EE9">
        <w:rPr>
          <w:rFonts w:hint="eastAsia"/>
        </w:rPr>
        <w:t>年期间的一些人身伤害罪案件中对狱警处以的</w:t>
      </w:r>
      <w:r w:rsidRPr="00541EE9">
        <w:t>16</w:t>
      </w:r>
      <w:r w:rsidRPr="00541EE9">
        <w:rPr>
          <w:rFonts w:hint="eastAsia"/>
        </w:rPr>
        <w:t>笔罚款之外，没有按犯罪类型、涉嫌犯罪者</w:t>
      </w:r>
      <w:r w:rsidRPr="00541EE9">
        <w:t>(</w:t>
      </w:r>
      <w:r w:rsidRPr="00541EE9">
        <w:rPr>
          <w:rFonts w:hint="eastAsia"/>
        </w:rPr>
        <w:t>狱警或警察</w:t>
      </w:r>
      <w:r w:rsidRPr="00541EE9">
        <w:t>)</w:t>
      </w:r>
      <w:r w:rsidRPr="00541EE9">
        <w:rPr>
          <w:rFonts w:hint="eastAsia"/>
        </w:rPr>
        <w:t>和结果分列的关于检察长办公室在这方面开展的调查和起诉的全面资料</w:t>
      </w:r>
      <w:r w:rsidRPr="00541EE9">
        <w:rPr>
          <w:rFonts w:hint="eastAsia"/>
        </w:rPr>
        <w:t>(</w:t>
      </w:r>
      <w:r w:rsidRPr="00541EE9">
        <w:rPr>
          <w:rFonts w:hint="eastAsia"/>
        </w:rPr>
        <w:t>第</w:t>
      </w:r>
      <w:r w:rsidRPr="00541EE9">
        <w:t>12</w:t>
      </w:r>
      <w:r w:rsidR="00877D63">
        <w:rPr>
          <w:rFonts w:hint="eastAsia"/>
        </w:rPr>
        <w:t>-</w:t>
      </w:r>
      <w:r w:rsidRPr="00541EE9">
        <w:t>14</w:t>
      </w:r>
      <w:r w:rsidRPr="00541EE9">
        <w:rPr>
          <w:rFonts w:hint="eastAsia"/>
        </w:rPr>
        <w:t>和第</w:t>
      </w:r>
      <w:r w:rsidRPr="00541EE9">
        <w:t>16</w:t>
      </w:r>
      <w:r w:rsidRPr="00541EE9">
        <w:rPr>
          <w:rFonts w:hint="eastAsia"/>
        </w:rPr>
        <w:t>条</w:t>
      </w:r>
      <w:r w:rsidRPr="00541EE9">
        <w:t>)</w:t>
      </w:r>
      <w:r w:rsidRPr="00541EE9">
        <w:rPr>
          <w:rFonts w:hint="eastAsia"/>
        </w:rPr>
        <w:t>。</w:t>
      </w:r>
    </w:p>
    <w:p w14:paraId="0E4FA56F" w14:textId="77777777" w:rsidR="00AC2717" w:rsidRPr="00541EE9" w:rsidRDefault="00AC2717" w:rsidP="00AC2717">
      <w:pPr>
        <w:pStyle w:val="SingleTxtGC"/>
        <w:rPr>
          <w:rFonts w:eastAsia="黑体"/>
        </w:rPr>
      </w:pPr>
      <w:r w:rsidRPr="00541EE9">
        <w:t>23.</w:t>
      </w:r>
      <w:r w:rsidRPr="00541EE9">
        <w:tab/>
      </w:r>
      <w:r w:rsidRPr="00541EE9">
        <w:rPr>
          <w:rFonts w:eastAsia="黑体" w:hint="eastAsia"/>
        </w:rPr>
        <w:t>缔约国应：</w:t>
      </w:r>
    </w:p>
    <w:p w14:paraId="208A41A2"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确保由独立机构及时、公正调查所有酷刑或虐待指控，包括关于警察过度使用武力行为的指控，调查机构的调查人员与涉嫌实施此类行为的人员之间不应存在机构联系或隶属关系；应按正当程序对嫌犯进行审判，如果被判有罪，则按行为严重程度予以惩治。为此，缔约国应采取具体步骤，保障内部调查局的</w:t>
      </w:r>
      <w:r w:rsidRPr="00541EE9">
        <w:rPr>
          <w:rFonts w:eastAsia="黑体" w:hint="eastAsia"/>
        </w:rPr>
        <w:lastRenderedPageBreak/>
        <w:t>独立性，并保障在对警察进行刑事和纪律调查时与检察长办公室互动的程序的独立性；</w:t>
      </w:r>
    </w:p>
    <w:p w14:paraId="7304A111" w14:textId="77777777" w:rsidR="00AC2717" w:rsidRPr="00541EE9" w:rsidRDefault="00AC2717" w:rsidP="00AC2717">
      <w:pPr>
        <w:pStyle w:val="SingleTxtGC"/>
        <w:rPr>
          <w:rFonts w:eastAsia="黑体"/>
        </w:rPr>
      </w:pPr>
      <w:r w:rsidRPr="00541EE9">
        <w:tab/>
        <w:t>(b)</w:t>
      </w:r>
      <w:r w:rsidRPr="00541EE9">
        <w:tab/>
      </w:r>
      <w:r w:rsidRPr="00541EE9">
        <w:rPr>
          <w:rFonts w:eastAsia="黑体" w:hint="eastAsia"/>
        </w:rPr>
        <w:t>确保当局在有合理理由认为发生了酷刑和虐待行为，包括警察过度使用武力的情况下主动展开调查，并确保被控施害者在调查期间立即停职，特别是在他们有可能重复被指控的行为、对据称受害者进行报复或阻碍调查的情况下，同时确保无罪推定原则得到遵守；</w:t>
      </w:r>
    </w:p>
    <w:p w14:paraId="13A3F261" w14:textId="77777777" w:rsidR="00AC2717" w:rsidRPr="00541EE9" w:rsidRDefault="00AC2717" w:rsidP="00AC2717">
      <w:pPr>
        <w:pStyle w:val="SingleTxtGC"/>
        <w:rPr>
          <w:rFonts w:eastAsia="黑体"/>
        </w:rPr>
      </w:pPr>
      <w:r w:rsidRPr="00541EE9">
        <w:tab/>
        <w:t>(c)</w:t>
      </w:r>
      <w:r w:rsidRPr="00541EE9">
        <w:tab/>
      </w:r>
      <w:r w:rsidRPr="00541EE9">
        <w:rPr>
          <w:rFonts w:eastAsia="黑体" w:hint="eastAsia"/>
        </w:rPr>
        <w:t>向委员会通报所收到的关于酷刑和虐待，包括警察过度使用武力的申诉数量，按受害者的族裔群体、种族、年龄和性别分类，并通报这些投诉导致的刑事和纪律调查，包括依职权启动的调查，以及所实施的起诉、定罪、刑事和纪律处罚；</w:t>
      </w:r>
    </w:p>
    <w:p w14:paraId="1396279E" w14:textId="77777777" w:rsidR="00AC2717" w:rsidRPr="00541EE9" w:rsidRDefault="00AC2717" w:rsidP="00AC2717">
      <w:pPr>
        <w:pStyle w:val="SingleTxtGC"/>
        <w:rPr>
          <w:rFonts w:eastAsia="黑体"/>
        </w:rPr>
      </w:pPr>
      <w:r w:rsidRPr="00541EE9">
        <w:tab/>
        <w:t>(d)</w:t>
      </w:r>
      <w:r w:rsidRPr="00541EE9">
        <w:tab/>
      </w:r>
      <w:r w:rsidRPr="00541EE9">
        <w:rPr>
          <w:rFonts w:eastAsia="黑体" w:hint="eastAsia"/>
        </w:rPr>
        <w:t>继续加强对执法人员的强制性全面培训，使其了解非胁迫性面谈和调查技巧，包括《为调查和收集信息进行有效面谈的原则》</w:t>
      </w:r>
      <w:r w:rsidRPr="00541EE9">
        <w:rPr>
          <w:rFonts w:eastAsia="黑体"/>
        </w:rPr>
        <w:t>(</w:t>
      </w:r>
      <w:r w:rsidRPr="00541EE9">
        <w:rPr>
          <w:rFonts w:eastAsia="黑体" w:hint="eastAsia"/>
        </w:rPr>
        <w:t>《门德斯原则》</w:t>
      </w:r>
      <w:r w:rsidRPr="00541EE9">
        <w:rPr>
          <w:rFonts w:eastAsia="黑体"/>
        </w:rPr>
        <w:t>)</w:t>
      </w:r>
      <w:r w:rsidRPr="00541EE9">
        <w:rPr>
          <w:rFonts w:eastAsia="黑体" w:hint="eastAsia"/>
        </w:rPr>
        <w:t>，采用先进的调查工具，建立一个收集法医证据的系统，并根据国际标准，特别是《执法人员使用武力和火器的基本原则》和《联合国关于在执法中使用低致命性武器的人权指南》进行关于使用武力的培训，并在必要时制定明确的准则，纳入合法性、必要性和相称性原则以及预防原则。缔约国还应考虑将《执法人员在和平抗议背景下促进和保护人权示范规程》纳入其培训课程。</w:t>
      </w:r>
    </w:p>
    <w:p w14:paraId="027A8A9B" w14:textId="77777777" w:rsidR="00AC2717" w:rsidRPr="00541EE9" w:rsidRDefault="00AC2717" w:rsidP="00877D63">
      <w:pPr>
        <w:pStyle w:val="H23GC"/>
      </w:pPr>
      <w:r w:rsidRPr="00541EE9">
        <w:tab/>
      </w:r>
      <w:r w:rsidRPr="00541EE9">
        <w:tab/>
      </w:r>
      <w:r w:rsidRPr="00541EE9">
        <w:rPr>
          <w:rFonts w:hint="eastAsia"/>
        </w:rPr>
        <w:t>过去的酷刑和失踪罪行未受惩罚</w:t>
      </w:r>
    </w:p>
    <w:p w14:paraId="3224043F" w14:textId="77777777" w:rsidR="00AC2717" w:rsidRPr="00541EE9" w:rsidRDefault="00AC2717" w:rsidP="00AC2717">
      <w:pPr>
        <w:pStyle w:val="SingleTxtGC"/>
      </w:pPr>
      <w:r w:rsidRPr="00541EE9">
        <w:t>24.</w:t>
      </w:r>
      <w:r w:rsidRPr="00541EE9">
        <w:tab/>
      </w:r>
      <w:r w:rsidRPr="00541EE9">
        <w:rPr>
          <w:rFonts w:hint="eastAsia"/>
        </w:rPr>
        <w:t>委员会感到关切的是，缔约国没有对据报告在解放斗争期间犯下的酷刑和失踪罪行进行调查并确保有效补救，也未能规定对据报告在</w:t>
      </w:r>
      <w:r w:rsidRPr="00541EE9">
        <w:t>1999</w:t>
      </w:r>
      <w:r w:rsidRPr="00541EE9">
        <w:rPr>
          <w:rFonts w:hint="eastAsia"/>
        </w:rPr>
        <w:t>年</w:t>
      </w:r>
      <w:r w:rsidRPr="00541EE9">
        <w:t>8</w:t>
      </w:r>
      <w:r w:rsidRPr="00541EE9">
        <w:rPr>
          <w:rFonts w:hint="eastAsia"/>
        </w:rPr>
        <w:t>月卡普里维地区分裂主义企图期间犯下的酷刑罪行进行起诉</w:t>
      </w:r>
      <w:r w:rsidRPr="00541EE9">
        <w:t>(</w:t>
      </w:r>
      <w:r w:rsidRPr="00541EE9">
        <w:rPr>
          <w:rFonts w:hint="eastAsia"/>
        </w:rPr>
        <w:t>第</w:t>
      </w:r>
      <w:r w:rsidRPr="00541EE9">
        <w:t>2</w:t>
      </w:r>
      <w:r w:rsidRPr="00541EE9">
        <w:rPr>
          <w:rFonts w:hint="eastAsia"/>
        </w:rPr>
        <w:t>、第</w:t>
      </w:r>
      <w:r w:rsidRPr="00541EE9">
        <w:t>12</w:t>
      </w:r>
      <w:r w:rsidRPr="00541EE9">
        <w:rPr>
          <w:rFonts w:hint="eastAsia"/>
        </w:rPr>
        <w:t>、第</w:t>
      </w:r>
      <w:r w:rsidRPr="00541EE9">
        <w:t>13</w:t>
      </w:r>
      <w:r w:rsidRPr="00541EE9">
        <w:rPr>
          <w:rFonts w:hint="eastAsia"/>
        </w:rPr>
        <w:t>和第</w:t>
      </w:r>
      <w:r w:rsidRPr="00541EE9">
        <w:t>16</w:t>
      </w:r>
      <w:r w:rsidRPr="00541EE9">
        <w:rPr>
          <w:rFonts w:hint="eastAsia"/>
        </w:rPr>
        <w:t>条</w:t>
      </w:r>
      <w:r w:rsidRPr="00541EE9">
        <w:t>)</w:t>
      </w:r>
      <w:r w:rsidRPr="00541EE9">
        <w:rPr>
          <w:rFonts w:hint="eastAsia"/>
        </w:rPr>
        <w:t>。</w:t>
      </w:r>
    </w:p>
    <w:p w14:paraId="2AC3B79D" w14:textId="77777777" w:rsidR="00AC2717" w:rsidRPr="00541EE9" w:rsidRDefault="00AC2717" w:rsidP="00AC2717">
      <w:pPr>
        <w:pStyle w:val="SingleTxtGC"/>
        <w:rPr>
          <w:rFonts w:eastAsia="黑体"/>
        </w:rPr>
      </w:pPr>
      <w:r w:rsidRPr="00541EE9">
        <w:t>25.</w:t>
      </w:r>
      <w:r w:rsidRPr="00541EE9">
        <w:tab/>
      </w:r>
      <w:r w:rsidRPr="00541EE9">
        <w:rPr>
          <w:rFonts w:eastAsia="黑体" w:hint="eastAsia"/>
        </w:rPr>
        <w:t>委员会重申其先前结论性意见中提出的建议</w:t>
      </w:r>
      <w:r w:rsidRPr="004B50D0">
        <w:rPr>
          <w:rStyle w:val="a8"/>
          <w:rFonts w:eastAsia="宋体"/>
        </w:rPr>
        <w:footnoteReference w:id="13"/>
      </w:r>
      <w:r w:rsidRPr="00541EE9">
        <w:rPr>
          <w:rFonts w:eastAsia="黑体" w:hint="eastAsia"/>
        </w:rPr>
        <w:t>，请缔约国对酷刑和失踪指控展开调查，并结束有罪不罚现象，确保将所有实施酷刑行为的人绳之以法，并根据其行为的严重程度予以惩罚，确保受害者及其家人获得补救，包括医疗和心理援助、充分补偿和完全康复的手段。在这方面，缔约国应确保酷刑行为不受赦免，也不适用时效限制。委员会鼓励缔约国考虑批准《保护所有人免遭强迫失踪国际公约》。</w:t>
      </w:r>
    </w:p>
    <w:p w14:paraId="3167BA88" w14:textId="77777777" w:rsidR="00AC2717" w:rsidRPr="00541EE9" w:rsidRDefault="00AC2717" w:rsidP="00877D63">
      <w:pPr>
        <w:pStyle w:val="H23GC"/>
      </w:pPr>
      <w:r w:rsidRPr="00541EE9">
        <w:tab/>
      </w:r>
      <w:r w:rsidRPr="00541EE9">
        <w:tab/>
      </w:r>
      <w:r w:rsidRPr="00541EE9">
        <w:rPr>
          <w:rFonts w:hint="eastAsia"/>
        </w:rPr>
        <w:t>不推回、移民和无国籍状态</w:t>
      </w:r>
    </w:p>
    <w:p w14:paraId="736BCB98" w14:textId="23540AE6" w:rsidR="00AC2717" w:rsidRPr="00541EE9" w:rsidRDefault="00AC2717" w:rsidP="00AC2717">
      <w:pPr>
        <w:pStyle w:val="SingleTxtGC"/>
      </w:pPr>
      <w:r w:rsidRPr="00541EE9">
        <w:t>26.</w:t>
      </w:r>
      <w:r w:rsidRPr="00541EE9">
        <w:tab/>
      </w:r>
      <w:r w:rsidRPr="00541EE9">
        <w:rPr>
          <w:rFonts w:hint="eastAsia"/>
        </w:rPr>
        <w:t>鉴于其先前的建议</w:t>
      </w:r>
      <w:r w:rsidRPr="004B50D0">
        <w:rPr>
          <w:rStyle w:val="a8"/>
          <w:rFonts w:eastAsia="宋体"/>
        </w:rPr>
        <w:footnoteReference w:id="14"/>
      </w:r>
      <w:r w:rsidRPr="00541EE9">
        <w:rPr>
          <w:rFonts w:hint="eastAsia"/>
        </w:rPr>
        <w:t>，委员会感到遗憾的是，缔约国表示可能不会废除</w:t>
      </w:r>
      <w:r w:rsidRPr="00541EE9">
        <w:t>1999</w:t>
      </w:r>
      <w:r w:rsidRPr="00541EE9">
        <w:rPr>
          <w:rFonts w:hint="eastAsia"/>
        </w:rPr>
        <w:t>年《难民</w:t>
      </w:r>
      <w:r w:rsidRPr="00541EE9">
        <w:t>(</w:t>
      </w:r>
      <w:r w:rsidRPr="00541EE9">
        <w:rPr>
          <w:rFonts w:hint="eastAsia"/>
        </w:rPr>
        <w:t>承认和控制</w:t>
      </w:r>
      <w:r w:rsidRPr="00541EE9">
        <w:t>)</w:t>
      </w:r>
      <w:r w:rsidRPr="00541EE9">
        <w:rPr>
          <w:rFonts w:hint="eastAsia"/>
        </w:rPr>
        <w:t>法》第</w:t>
      </w:r>
      <w:r w:rsidRPr="00541EE9">
        <w:t>24</w:t>
      </w:r>
      <w:r w:rsidRPr="00541EE9">
        <w:rPr>
          <w:rFonts w:hint="eastAsia"/>
        </w:rPr>
        <w:t>条第</w:t>
      </w:r>
      <w:r w:rsidRPr="00541EE9">
        <w:t>1</w:t>
      </w:r>
      <w:r w:rsidRPr="00541EE9">
        <w:rPr>
          <w:rFonts w:hint="eastAsia"/>
        </w:rPr>
        <w:t>款，该款授权相关部长根据该法第</w:t>
      </w:r>
      <w:r w:rsidRPr="00541EE9">
        <w:t>24</w:t>
      </w:r>
      <w:r w:rsidRPr="00541EE9">
        <w:rPr>
          <w:rFonts w:hint="eastAsia"/>
        </w:rPr>
        <w:t>条和第</w:t>
      </w:r>
      <w:r w:rsidRPr="00541EE9">
        <w:t>26</w:t>
      </w:r>
      <w:r w:rsidRPr="00541EE9">
        <w:rPr>
          <w:rFonts w:hint="eastAsia"/>
        </w:rPr>
        <w:t>条规定的程序，在符合国家安全、体面或道德等利益的情况下，请求驱逐被确认的难民或受保护人员。此外，委员会感到关切的是，没有采取立法行动从《移民控制法》附表</w:t>
      </w:r>
      <w:r w:rsidRPr="00541EE9">
        <w:t>1</w:t>
      </w:r>
      <w:r w:rsidRPr="00541EE9">
        <w:rPr>
          <w:rFonts w:hint="eastAsia"/>
        </w:rPr>
        <w:t>拒绝入境的理由中删除鸡奸罪。委员会注意到，缔约国称没有向纳米比亚境内的难民或寻求庇护者发出驱逐通知，</w:t>
      </w:r>
      <w:r w:rsidRPr="00541EE9">
        <w:t>2016</w:t>
      </w:r>
      <w:r w:rsidRPr="00541EE9">
        <w:rPr>
          <w:rFonts w:hint="eastAsia"/>
        </w:rPr>
        <w:t>年至</w:t>
      </w:r>
      <w:r w:rsidRPr="00541EE9">
        <w:t>2019</w:t>
      </w:r>
      <w:r w:rsidRPr="00541EE9">
        <w:rPr>
          <w:rFonts w:hint="eastAsia"/>
        </w:rPr>
        <w:t>年期间收到了</w:t>
      </w:r>
      <w:r w:rsidRPr="00541EE9">
        <w:t>1,096</w:t>
      </w:r>
      <w:r w:rsidRPr="00541EE9">
        <w:rPr>
          <w:rFonts w:hint="eastAsia"/>
        </w:rPr>
        <w:t>份庇护申请，批准了</w:t>
      </w:r>
      <w:r w:rsidRPr="00541EE9">
        <w:t>642</w:t>
      </w:r>
      <w:r w:rsidRPr="00541EE9">
        <w:rPr>
          <w:rFonts w:hint="eastAsia"/>
        </w:rPr>
        <w:t>份。然而，委员会感到遗憾的是，缔约国未能提供统计数据，说明有多少寻求庇护者的申请被接受是因为他们曾遭受酷刑或如果返回原籍国可能遭受酷刑。此外，委员会感到关切的是，缔约国没有提</w:t>
      </w:r>
      <w:r w:rsidRPr="00541EE9">
        <w:rPr>
          <w:rFonts w:hint="eastAsia"/>
        </w:rPr>
        <w:lastRenderedPageBreak/>
        <w:t>供全面资料，说明对难民过去在奥西雷难民安置点遭受性虐待和性剥削的指称的调查情况，以及据报告该安置点恶劣的物质和生活条件。委员会注意到为处理无国籍问题采取的措施，包括实施国家行动计划和出生登记推广方案，特别是在农村地区，但委员会感到关切的是，有报告表明，部落和传统社区中仍存在事实上的无国籍人。委员会感到遗憾的是，尽管缔约国开展了区域磋商，但它没有采取步骤批准为难民和无国籍人提供国际保护框架的国际文书。然而，委员会注意到该国正在努力制定国家立法，以处理无国籍人的状况</w:t>
      </w:r>
      <w:r w:rsidRPr="00541EE9">
        <w:t>(</w:t>
      </w:r>
      <w:r w:rsidRPr="00541EE9">
        <w:rPr>
          <w:rFonts w:hint="eastAsia"/>
        </w:rPr>
        <w:t>第</w:t>
      </w:r>
      <w:r w:rsidRPr="00541EE9">
        <w:t>3</w:t>
      </w:r>
      <w:r w:rsidRPr="00541EE9">
        <w:rPr>
          <w:rFonts w:hint="eastAsia"/>
        </w:rPr>
        <w:t>、第</w:t>
      </w:r>
      <w:r w:rsidRPr="00541EE9">
        <w:t>12</w:t>
      </w:r>
      <w:r w:rsidR="00134560">
        <w:t>-</w:t>
      </w:r>
      <w:r w:rsidRPr="00541EE9">
        <w:t>14</w:t>
      </w:r>
      <w:r w:rsidRPr="00541EE9">
        <w:rPr>
          <w:rFonts w:hint="eastAsia"/>
        </w:rPr>
        <w:t>和第</w:t>
      </w:r>
      <w:r w:rsidRPr="00541EE9">
        <w:t>16</w:t>
      </w:r>
      <w:r w:rsidRPr="00541EE9">
        <w:rPr>
          <w:rFonts w:hint="eastAsia"/>
        </w:rPr>
        <w:t>条</w:t>
      </w:r>
      <w:r w:rsidRPr="00541EE9">
        <w:t>)</w:t>
      </w:r>
      <w:r w:rsidRPr="00541EE9">
        <w:rPr>
          <w:rFonts w:hint="eastAsia"/>
        </w:rPr>
        <w:t>。</w:t>
      </w:r>
    </w:p>
    <w:p w14:paraId="096E7E68" w14:textId="77777777" w:rsidR="00AC2717" w:rsidRPr="00541EE9" w:rsidRDefault="00AC2717" w:rsidP="00AC2717">
      <w:pPr>
        <w:pStyle w:val="SingleTxtGC"/>
        <w:rPr>
          <w:rFonts w:eastAsia="黑体"/>
        </w:rPr>
      </w:pPr>
      <w:r w:rsidRPr="00541EE9">
        <w:t>27.</w:t>
      </w:r>
      <w:r w:rsidRPr="00541EE9">
        <w:tab/>
      </w:r>
      <w:r w:rsidRPr="00541EE9">
        <w:rPr>
          <w:rFonts w:eastAsia="黑体" w:hint="eastAsia"/>
        </w:rPr>
        <w:t>缔约国应</w:t>
      </w:r>
      <w:r w:rsidRPr="00541EE9">
        <w:rPr>
          <w:rFonts w:eastAsia="黑体"/>
        </w:rPr>
        <w:t>：</w:t>
      </w:r>
    </w:p>
    <w:p w14:paraId="6EF41CBE"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废除</w:t>
      </w:r>
      <w:r w:rsidRPr="00541EE9">
        <w:rPr>
          <w:rFonts w:eastAsia="黑体"/>
        </w:rPr>
        <w:t>1999</w:t>
      </w:r>
      <w:r w:rsidRPr="00541EE9">
        <w:rPr>
          <w:rFonts w:eastAsia="黑体" w:hint="eastAsia"/>
        </w:rPr>
        <w:t>年《难民</w:t>
      </w:r>
      <w:r w:rsidRPr="00541EE9">
        <w:rPr>
          <w:rFonts w:eastAsia="黑体"/>
        </w:rPr>
        <w:t>(</w:t>
      </w:r>
      <w:r w:rsidRPr="00541EE9">
        <w:rPr>
          <w:rFonts w:eastAsia="黑体" w:hint="eastAsia"/>
        </w:rPr>
        <w:t>承认和控制</w:t>
      </w:r>
      <w:r w:rsidRPr="00541EE9">
        <w:rPr>
          <w:rFonts w:eastAsia="黑体"/>
        </w:rPr>
        <w:t>)</w:t>
      </w:r>
      <w:r w:rsidRPr="00541EE9">
        <w:rPr>
          <w:rFonts w:eastAsia="黑体" w:hint="eastAsia"/>
        </w:rPr>
        <w:t>法》第</w:t>
      </w:r>
      <w:r w:rsidRPr="00541EE9">
        <w:rPr>
          <w:rFonts w:eastAsia="黑体"/>
        </w:rPr>
        <w:t>24</w:t>
      </w:r>
      <w:r w:rsidRPr="00541EE9">
        <w:rPr>
          <w:rFonts w:eastAsia="黑体" w:hint="eastAsia"/>
        </w:rPr>
        <w:t>条第</w:t>
      </w:r>
      <w:r w:rsidRPr="00541EE9">
        <w:rPr>
          <w:rFonts w:eastAsia="黑体"/>
        </w:rPr>
        <w:t>1</w:t>
      </w:r>
      <w:r w:rsidRPr="00541EE9">
        <w:rPr>
          <w:rFonts w:eastAsia="黑体" w:hint="eastAsia"/>
        </w:rPr>
        <w:t>款，以履行《公约》第</w:t>
      </w:r>
      <w:r w:rsidRPr="00541EE9">
        <w:rPr>
          <w:rFonts w:eastAsia="黑体"/>
        </w:rPr>
        <w:t>3</w:t>
      </w:r>
      <w:r w:rsidRPr="00541EE9">
        <w:rPr>
          <w:rFonts w:eastAsia="黑体" w:hint="eastAsia"/>
        </w:rPr>
        <w:t>条规定的所有义务，从而保障不推回的绝对原则，并从</w:t>
      </w:r>
      <w:r w:rsidRPr="00541EE9">
        <w:rPr>
          <w:rFonts w:eastAsia="黑体"/>
        </w:rPr>
        <w:t>1993</w:t>
      </w:r>
      <w:r w:rsidRPr="00541EE9">
        <w:rPr>
          <w:rFonts w:eastAsia="黑体" w:hint="eastAsia"/>
        </w:rPr>
        <w:t>年《移民控制法》附表</w:t>
      </w:r>
      <w:r w:rsidRPr="00541EE9">
        <w:rPr>
          <w:rFonts w:eastAsia="黑体"/>
        </w:rPr>
        <w:t>1</w:t>
      </w:r>
      <w:r w:rsidRPr="00541EE9">
        <w:rPr>
          <w:rFonts w:eastAsia="黑体" w:hint="eastAsia"/>
        </w:rPr>
        <w:t>中删除鸡奸罪；</w:t>
      </w:r>
    </w:p>
    <w:p w14:paraId="25FF915F" w14:textId="77777777" w:rsidR="00AC2717" w:rsidRPr="00541EE9" w:rsidRDefault="00AC2717" w:rsidP="00AC2717">
      <w:pPr>
        <w:pStyle w:val="SingleTxtGC"/>
        <w:rPr>
          <w:rFonts w:eastAsia="黑体"/>
        </w:rPr>
      </w:pPr>
      <w:r w:rsidRPr="00541EE9">
        <w:tab/>
        <w:t>(b)</w:t>
      </w:r>
      <w:r w:rsidRPr="00541EE9">
        <w:tab/>
      </w:r>
      <w:r w:rsidRPr="00541EE9">
        <w:rPr>
          <w:rFonts w:eastAsia="黑体" w:hint="eastAsia"/>
        </w:rPr>
        <w:t>更新和保持按性别、年龄和原籍国分列的关于纳米比亚境内寻求庇护者、难民、无国籍人和移民的完整统计数据，包括关于驱逐和遣返程序以及在自愿基础上实施的回返的资料；</w:t>
      </w:r>
    </w:p>
    <w:p w14:paraId="5878B62A" w14:textId="77777777" w:rsidR="00AC2717" w:rsidRPr="00541EE9" w:rsidRDefault="00AC2717" w:rsidP="00AC2717">
      <w:pPr>
        <w:pStyle w:val="SingleTxtGC"/>
        <w:rPr>
          <w:rFonts w:eastAsia="黑体"/>
        </w:rPr>
      </w:pPr>
      <w:r w:rsidRPr="00541EE9">
        <w:tab/>
        <w:t>(c)</w:t>
      </w:r>
      <w:r w:rsidRPr="00541EE9">
        <w:tab/>
      </w:r>
      <w:r w:rsidRPr="00541EE9">
        <w:rPr>
          <w:rFonts w:eastAsia="黑体" w:hint="eastAsia"/>
        </w:rPr>
        <w:t>对奥西雷难民安置点难民遭受性虐待和性剥削的所有指控进行迅速、公正、独立和有效的调查，起诉所有此类行为的责任人，向受害者提供补救，并加强努力改善安置点的物质和生活条件，保障享有基本权利及获得适当的社会、教育和身心保健服务的机会；</w:t>
      </w:r>
    </w:p>
    <w:p w14:paraId="29F13C21" w14:textId="77777777" w:rsidR="00AC2717" w:rsidRPr="00541EE9" w:rsidRDefault="00AC2717" w:rsidP="00AC2717">
      <w:pPr>
        <w:pStyle w:val="SingleTxtGC"/>
        <w:rPr>
          <w:rFonts w:eastAsia="黑体"/>
        </w:rPr>
      </w:pPr>
      <w:r w:rsidRPr="00541EE9">
        <w:tab/>
        <w:t>(d)</w:t>
      </w:r>
      <w:r w:rsidRPr="00541EE9">
        <w:tab/>
      </w:r>
      <w:r w:rsidRPr="00541EE9">
        <w:rPr>
          <w:rFonts w:eastAsia="黑体" w:hint="eastAsia"/>
        </w:rPr>
        <w:t>考虑加入</w:t>
      </w:r>
      <w:r w:rsidRPr="00541EE9">
        <w:rPr>
          <w:rFonts w:eastAsia="黑体"/>
        </w:rPr>
        <w:t>1969</w:t>
      </w:r>
      <w:r w:rsidRPr="00541EE9">
        <w:rPr>
          <w:rFonts w:eastAsia="黑体" w:hint="eastAsia"/>
        </w:rPr>
        <w:t>年《非洲统一组织关于非洲难民问题某些特定方面的公约》、</w:t>
      </w:r>
      <w:r w:rsidRPr="00541EE9">
        <w:rPr>
          <w:rFonts w:eastAsia="黑体"/>
        </w:rPr>
        <w:t>1954</w:t>
      </w:r>
      <w:r w:rsidRPr="00541EE9">
        <w:rPr>
          <w:rFonts w:eastAsia="黑体" w:hint="eastAsia"/>
        </w:rPr>
        <w:t>年《关于无国籍人地位的公约》和</w:t>
      </w:r>
      <w:r w:rsidRPr="00541EE9">
        <w:rPr>
          <w:rFonts w:eastAsia="黑体"/>
        </w:rPr>
        <w:t>1961</w:t>
      </w:r>
      <w:r w:rsidRPr="00541EE9">
        <w:rPr>
          <w:rFonts w:eastAsia="黑体" w:hint="eastAsia"/>
        </w:rPr>
        <w:t>年《减少无国籍状态公约》</w:t>
      </w:r>
      <w:r w:rsidRPr="00541EE9">
        <w:rPr>
          <w:rFonts w:eastAsia="黑体"/>
        </w:rPr>
        <w:t>，</w:t>
      </w:r>
      <w:r w:rsidRPr="00541EE9">
        <w:rPr>
          <w:rFonts w:eastAsia="黑体" w:hint="eastAsia"/>
        </w:rPr>
        <w:t>并确保目前起草的关于无国籍人的国家立法符合国际标准。</w:t>
      </w:r>
    </w:p>
    <w:p w14:paraId="269C93C8" w14:textId="77777777" w:rsidR="00AC2717" w:rsidRPr="00541EE9" w:rsidRDefault="00AC2717" w:rsidP="00877D63">
      <w:pPr>
        <w:pStyle w:val="H23GC"/>
      </w:pPr>
      <w:r w:rsidRPr="00541EE9">
        <w:tab/>
      </w:r>
      <w:r w:rsidRPr="00541EE9">
        <w:tab/>
      </w:r>
      <w:r w:rsidRPr="00541EE9">
        <w:rPr>
          <w:rFonts w:hint="eastAsia"/>
        </w:rPr>
        <w:t>性别暴力</w:t>
      </w:r>
    </w:p>
    <w:p w14:paraId="5FDE38AB" w14:textId="135B0C09" w:rsidR="00AC2717" w:rsidRPr="00541EE9" w:rsidRDefault="00AC2717" w:rsidP="00AC2717">
      <w:pPr>
        <w:pStyle w:val="SingleTxtGC"/>
      </w:pPr>
      <w:r w:rsidRPr="00541EE9">
        <w:t>28.</w:t>
      </w:r>
      <w:r w:rsidRPr="00541EE9">
        <w:tab/>
      </w:r>
      <w:r w:rsidRPr="00541EE9">
        <w:rPr>
          <w:rFonts w:hint="eastAsia"/>
        </w:rPr>
        <w:t>委员会注意到缔约国为打击性别暴力而采取的立法和政策措施，包括</w:t>
      </w:r>
      <w:r w:rsidRPr="00541EE9">
        <w:t>2022</w:t>
      </w:r>
      <w:r w:rsidRPr="00541EE9">
        <w:rPr>
          <w:rFonts w:hint="eastAsia"/>
        </w:rPr>
        <w:t>年通过了《打击家庭暴力修正案法》和《打击强奸修正案法》，设立了性别暴力罪行特别法庭，并开展了能力建设活动。然而，正如其他条约机构所指出的</w:t>
      </w:r>
      <w:r w:rsidRPr="004B50D0">
        <w:rPr>
          <w:rStyle w:val="a8"/>
          <w:rFonts w:eastAsia="宋体"/>
        </w:rPr>
        <w:footnoteReference w:id="15"/>
      </w:r>
      <w:r w:rsidRPr="00541EE9">
        <w:rPr>
          <w:rFonts w:hint="eastAsia"/>
        </w:rPr>
        <w:t>，暴力侵害妇女行为，包括强奸、家庭暴力、对儿童的性剥削和虐待以及暴力侵害土著社区妇女的行为的发生率仍然极高，缔约国也承认这一挑战。委员会感到关切的是，这种暴力的根源尚未得到充分处理，据报告，《性别暴力问题国家行动计划》</w:t>
      </w:r>
      <w:r w:rsidRPr="00541EE9">
        <w:t>(2019-2023</w:t>
      </w:r>
      <w:r w:rsidRPr="00541EE9">
        <w:rPr>
          <w:rFonts w:hint="eastAsia"/>
        </w:rPr>
        <w:t>年</w:t>
      </w:r>
      <w:r w:rsidRPr="00541EE9">
        <w:t>)</w:t>
      </w:r>
      <w:r w:rsidRPr="00541EE9">
        <w:rPr>
          <w:rFonts w:hint="eastAsia"/>
        </w:rPr>
        <w:t>缺乏足够的执行资源，并且没有纳入全面的性别平等视角。还令人关切的是，妇女受害者利用保护令、庇护所和社会心理支持的机会有限，特别是在农村地区，尽管委员会注意到</w:t>
      </w:r>
      <w:r w:rsidRPr="00541EE9">
        <w:t>2021</w:t>
      </w:r>
      <w:r w:rsidRPr="00541EE9">
        <w:rPr>
          <w:rFonts w:hint="eastAsia"/>
        </w:rPr>
        <w:t>年和</w:t>
      </w:r>
      <w:r w:rsidRPr="00541EE9">
        <w:t>2022</w:t>
      </w:r>
      <w:r w:rsidRPr="00541EE9">
        <w:rPr>
          <w:rFonts w:hint="eastAsia"/>
        </w:rPr>
        <w:t>年被安置在庇护所获得支持的受害者人数有所增加。委员会感兴趣地注意到代表团提供的资料，说明由于其持续努力，</w:t>
      </w:r>
      <w:r w:rsidRPr="00541EE9">
        <w:t>2023</w:t>
      </w:r>
      <w:r w:rsidRPr="00541EE9">
        <w:rPr>
          <w:rFonts w:hint="eastAsia"/>
        </w:rPr>
        <w:t>年性别暴力案件数量据报告有所减少，并说明制定了新的</w:t>
      </w:r>
      <w:r w:rsidRPr="00541EE9">
        <w:t>2024-2030</w:t>
      </w:r>
      <w:r w:rsidRPr="00541EE9">
        <w:rPr>
          <w:rFonts w:hint="eastAsia"/>
        </w:rPr>
        <w:t>年性别政策</w:t>
      </w:r>
      <w:r w:rsidRPr="00541EE9">
        <w:t>(</w:t>
      </w:r>
      <w:r w:rsidRPr="00541EE9">
        <w:rPr>
          <w:rFonts w:hint="eastAsia"/>
        </w:rPr>
        <w:t>第</w:t>
      </w:r>
      <w:r w:rsidRPr="00541EE9">
        <w:t>2</w:t>
      </w:r>
      <w:r w:rsidRPr="00541EE9">
        <w:rPr>
          <w:rFonts w:hint="eastAsia"/>
        </w:rPr>
        <w:t>、第</w:t>
      </w:r>
      <w:r w:rsidRPr="00541EE9">
        <w:t>12</w:t>
      </w:r>
      <w:r w:rsidR="0066574B">
        <w:rPr>
          <w:rFonts w:hint="eastAsia"/>
        </w:rPr>
        <w:t>-</w:t>
      </w:r>
      <w:r w:rsidRPr="00541EE9">
        <w:t>14</w:t>
      </w:r>
      <w:r w:rsidRPr="00541EE9">
        <w:rPr>
          <w:rFonts w:hint="eastAsia"/>
        </w:rPr>
        <w:t>和第</w:t>
      </w:r>
      <w:r w:rsidRPr="00541EE9">
        <w:t>16</w:t>
      </w:r>
      <w:r w:rsidRPr="00541EE9">
        <w:rPr>
          <w:rFonts w:hint="eastAsia"/>
        </w:rPr>
        <w:t>条</w:t>
      </w:r>
      <w:r w:rsidRPr="00541EE9">
        <w:t>)</w:t>
      </w:r>
      <w:r w:rsidRPr="00541EE9">
        <w:rPr>
          <w:rFonts w:hint="eastAsia"/>
        </w:rPr>
        <w:t>。</w:t>
      </w:r>
    </w:p>
    <w:p w14:paraId="6B30F03B" w14:textId="77777777" w:rsidR="00AC2717" w:rsidRPr="00541EE9" w:rsidRDefault="00AC2717" w:rsidP="00AC2717">
      <w:pPr>
        <w:pStyle w:val="SingleTxtGC"/>
        <w:rPr>
          <w:rFonts w:eastAsia="黑体"/>
        </w:rPr>
      </w:pPr>
      <w:r w:rsidRPr="00541EE9">
        <w:t>29.</w:t>
      </w:r>
      <w:r w:rsidRPr="00541EE9">
        <w:tab/>
      </w:r>
      <w:r w:rsidRPr="00541EE9">
        <w:rPr>
          <w:rFonts w:eastAsia="黑体" w:hint="eastAsia"/>
        </w:rPr>
        <w:t>缔约国应确保彻底调查所有性别暴力行为，特别是涉及根据《公约》承担缔约国的国际责任的缔约国国家主管部门或其他实体的作为和不作为的行为，确保起诉被指控的施害者，认定有罪则予以适当惩罚，确保受害者和幸存者或其家人</w:t>
      </w:r>
      <w:r w:rsidRPr="00541EE9">
        <w:rPr>
          <w:rFonts w:eastAsia="黑体" w:hint="eastAsia"/>
        </w:rPr>
        <w:lastRenderedPageBreak/>
        <w:t>获得补救，包括适当的赔偿和康复，并获得法律援助、安全庇护所和必要的医疗保健和心理社会支持。缔约国应继续努力促进就性别暴力问题为公众开展教育和提高认识运动，特别注重在农村地区以及男子和男童中的宣传，以消除性别暴力幸存者遭受的社会污名，并在幸存者和相关当局之间建立信任。缔约国还应继续采取必要措施，鼓励和便利受害者提出申诉，并有效消除可能妨碍妇女报告暴力侵害行为或寻求保护措施的障碍，并在全国，包括在农村和偏远地区，为性别暴力受害者提供安全和资金充足的庇护所。缔约国应确保其新的</w:t>
      </w:r>
      <w:r w:rsidRPr="00541EE9">
        <w:rPr>
          <w:rFonts w:eastAsia="黑体"/>
        </w:rPr>
        <w:t>2024</w:t>
      </w:r>
      <w:r w:rsidRPr="00541EE9">
        <w:rPr>
          <w:rFonts w:eastAsia="黑体" w:hint="eastAsia"/>
        </w:rPr>
        <w:t>至</w:t>
      </w:r>
      <w:r w:rsidRPr="00541EE9">
        <w:rPr>
          <w:rFonts w:eastAsia="黑体"/>
        </w:rPr>
        <w:t>2030</w:t>
      </w:r>
      <w:r w:rsidRPr="00541EE9">
        <w:rPr>
          <w:rFonts w:eastAsia="黑体" w:hint="eastAsia"/>
        </w:rPr>
        <w:t>年性别政策处理包括家庭暴力在内的性暴力和性别暴力的根源以及在打击这种暴力过程中查明的挑战，完全按照国际标准适用性别平等视角。</w:t>
      </w:r>
    </w:p>
    <w:p w14:paraId="4F7CE7CA" w14:textId="77777777" w:rsidR="00AC2717" w:rsidRPr="00541EE9" w:rsidRDefault="00AC2717" w:rsidP="00A94CBF">
      <w:pPr>
        <w:pStyle w:val="H23GC"/>
      </w:pPr>
      <w:r w:rsidRPr="00541EE9">
        <w:tab/>
      </w:r>
      <w:r w:rsidRPr="00541EE9">
        <w:tab/>
      </w:r>
      <w:r w:rsidRPr="00541EE9">
        <w:rPr>
          <w:rFonts w:hint="eastAsia"/>
        </w:rPr>
        <w:t>有害传统习俗</w:t>
      </w:r>
    </w:p>
    <w:p w14:paraId="05D52101" w14:textId="77777777" w:rsidR="00AC2717" w:rsidRPr="00541EE9" w:rsidRDefault="00AC2717" w:rsidP="00AC2717">
      <w:pPr>
        <w:pStyle w:val="SingleTxtGC"/>
      </w:pPr>
      <w:r w:rsidRPr="00541EE9">
        <w:t>30.</w:t>
      </w:r>
      <w:r w:rsidRPr="00541EE9">
        <w:tab/>
      </w:r>
      <w:r w:rsidRPr="00541EE9">
        <w:rPr>
          <w:rFonts w:hint="eastAsia"/>
        </w:rPr>
        <w:t>委员会仍然感到关切的是，尽管《儿童保育和保护法》第</w:t>
      </w:r>
      <w:r w:rsidRPr="00541EE9">
        <w:t>226</w:t>
      </w:r>
      <w:r w:rsidRPr="00541EE9">
        <w:rPr>
          <w:rFonts w:hint="eastAsia"/>
        </w:rPr>
        <w:t>条禁止童婚，而且地区性别联络官和社会工作者开展了提高认识运动，但习惯法下的童婚这一有害传统习俗在一些社区依然存在。委员会还注意到尚未通过的《婚姻法案》，该法案规定禁止童婚，旨在进一步加强规范框架</w:t>
      </w:r>
      <w:r w:rsidRPr="00541EE9">
        <w:t>(</w:t>
      </w:r>
      <w:r w:rsidRPr="00541EE9">
        <w:rPr>
          <w:rFonts w:hint="eastAsia"/>
        </w:rPr>
        <w:t>第</w:t>
      </w:r>
      <w:r w:rsidRPr="00541EE9">
        <w:rPr>
          <w:rFonts w:hint="eastAsia"/>
        </w:rPr>
        <w:t>1</w:t>
      </w:r>
      <w:r w:rsidRPr="00541EE9">
        <w:t>6</w:t>
      </w:r>
      <w:r w:rsidRPr="00541EE9">
        <w:rPr>
          <w:rFonts w:hint="eastAsia"/>
        </w:rPr>
        <w:t>条</w:t>
      </w:r>
      <w:r w:rsidRPr="00541EE9">
        <w:t>)</w:t>
      </w:r>
      <w:r w:rsidRPr="00541EE9">
        <w:rPr>
          <w:rFonts w:hint="eastAsia"/>
        </w:rPr>
        <w:t>。</w:t>
      </w:r>
    </w:p>
    <w:p w14:paraId="5C5FD710" w14:textId="77777777" w:rsidR="00AC2717" w:rsidRPr="00541EE9" w:rsidRDefault="00AC2717" w:rsidP="00AC2717">
      <w:pPr>
        <w:pStyle w:val="SingleTxtGC"/>
        <w:rPr>
          <w:rFonts w:eastAsia="黑体"/>
        </w:rPr>
      </w:pPr>
      <w:r w:rsidRPr="00541EE9">
        <w:t>31.</w:t>
      </w:r>
      <w:r w:rsidRPr="00541EE9">
        <w:tab/>
      </w:r>
      <w:r w:rsidRPr="00541EE9">
        <w:rPr>
          <w:rFonts w:eastAsia="黑体" w:hint="eastAsia"/>
        </w:rPr>
        <w:t>缔约国应严格执行法律禁止童婚的立法，并处理这种习俗的有害后果。缔约国应继续开展活动，提高公众和媒体以及受影响社区的认识。</w:t>
      </w:r>
    </w:p>
    <w:p w14:paraId="63CA6763" w14:textId="77777777" w:rsidR="00AC2717" w:rsidRPr="00541EE9" w:rsidRDefault="00AC2717" w:rsidP="00A94CBF">
      <w:pPr>
        <w:pStyle w:val="H23GC"/>
      </w:pPr>
      <w:r w:rsidRPr="00541EE9">
        <w:tab/>
      </w:r>
      <w:r w:rsidRPr="00541EE9">
        <w:tab/>
      </w:r>
      <w:r w:rsidRPr="00541EE9">
        <w:rPr>
          <w:rFonts w:hint="eastAsia"/>
        </w:rPr>
        <w:t>基于实际或被认为的性取向或性别认同针对个人的暴力</w:t>
      </w:r>
    </w:p>
    <w:p w14:paraId="66ED345A" w14:textId="77777777" w:rsidR="00AC2717" w:rsidRPr="00541EE9" w:rsidRDefault="00AC2717" w:rsidP="00AC2717">
      <w:pPr>
        <w:pStyle w:val="SingleTxtGC"/>
      </w:pPr>
      <w:r w:rsidRPr="00541EE9">
        <w:t>32.</w:t>
      </w:r>
      <w:r w:rsidRPr="00541EE9">
        <w:tab/>
      </w:r>
      <w:r w:rsidRPr="00541EE9">
        <w:rPr>
          <w:rFonts w:hint="eastAsia"/>
        </w:rPr>
        <w:t>委员会感到关切的是，同性之间自愿的性关系被定为鸡奸罪</w:t>
      </w:r>
      <w:r w:rsidRPr="00541EE9">
        <w:t>(</w:t>
      </w:r>
      <w:r w:rsidRPr="00541EE9">
        <w:rPr>
          <w:rFonts w:hint="eastAsia"/>
        </w:rPr>
        <w:t>《刑事诉讼法》附表</w:t>
      </w:r>
      <w:r w:rsidRPr="00541EE9">
        <w:t>1</w:t>
      </w:r>
      <w:r w:rsidRPr="00541EE9">
        <w:rPr>
          <w:rFonts w:hint="eastAsia"/>
        </w:rPr>
        <w:t>和第</w:t>
      </w:r>
      <w:r w:rsidRPr="00541EE9">
        <w:t>269</w:t>
      </w:r>
      <w:r w:rsidRPr="00541EE9">
        <w:rPr>
          <w:rFonts w:hint="eastAsia"/>
        </w:rPr>
        <w:t>条</w:t>
      </w:r>
      <w:r w:rsidRPr="00541EE9">
        <w:t>)</w:t>
      </w:r>
      <w:r w:rsidRPr="00541EE9">
        <w:rPr>
          <w:rFonts w:hint="eastAsia"/>
        </w:rPr>
        <w:t>，但委员会感兴趣地注意到，高等法院</w:t>
      </w:r>
      <w:r w:rsidRPr="00541EE9">
        <w:t>2024</w:t>
      </w:r>
      <w:r w:rsidRPr="00541EE9">
        <w:rPr>
          <w:rFonts w:hint="eastAsia"/>
        </w:rPr>
        <w:t>年</w:t>
      </w:r>
      <w:r w:rsidRPr="00541EE9">
        <w:t>6</w:t>
      </w:r>
      <w:r w:rsidRPr="00541EE9">
        <w:rPr>
          <w:rFonts w:hint="eastAsia"/>
        </w:rPr>
        <w:t>月</w:t>
      </w:r>
      <w:r w:rsidRPr="00541EE9">
        <w:t>21</w:t>
      </w:r>
      <w:r w:rsidRPr="00541EE9">
        <w:rPr>
          <w:rFonts w:hint="eastAsia"/>
        </w:rPr>
        <w:t>日的裁决</w:t>
      </w:r>
      <w:r w:rsidRPr="00541EE9">
        <w:rPr>
          <w:rFonts w:hint="eastAsia"/>
        </w:rPr>
        <w:t>(</w:t>
      </w:r>
      <w:r w:rsidRPr="00541EE9">
        <w:rPr>
          <w:rFonts w:hint="eastAsia"/>
        </w:rPr>
        <w:t>目前正在上诉</w:t>
      </w:r>
      <w:r w:rsidRPr="00541EE9">
        <w:rPr>
          <w:rFonts w:hint="eastAsia"/>
        </w:rPr>
        <w:t>)</w:t>
      </w:r>
      <w:r w:rsidRPr="00541EE9">
        <w:rPr>
          <w:rFonts w:hint="eastAsia"/>
        </w:rPr>
        <w:t>宣布这些规定违宪。委员会还感到关切的是，据报告，基于实际或被认为的性取向或性别认同针对个人的暴力持续存在，包括骚扰、仇恨言论和仇恨犯罪，其中一些暴力行为导致了死亡，此类案件举报不足，仇恨犯罪等案件得不到有效调查和起诉</w:t>
      </w:r>
      <w:r w:rsidRPr="00541EE9">
        <w:t>(</w:t>
      </w:r>
      <w:r w:rsidRPr="00541EE9">
        <w:rPr>
          <w:rFonts w:hint="eastAsia"/>
        </w:rPr>
        <w:t>第</w:t>
      </w:r>
      <w:r w:rsidRPr="00541EE9">
        <w:t>2</w:t>
      </w:r>
      <w:r w:rsidRPr="00541EE9">
        <w:rPr>
          <w:rFonts w:hint="eastAsia"/>
        </w:rPr>
        <w:t>和第</w:t>
      </w:r>
      <w:r w:rsidRPr="00541EE9">
        <w:t>16</w:t>
      </w:r>
      <w:r w:rsidRPr="00541EE9">
        <w:rPr>
          <w:rFonts w:hint="eastAsia"/>
        </w:rPr>
        <w:t>条</w:t>
      </w:r>
      <w:r w:rsidRPr="00541EE9">
        <w:t>)</w:t>
      </w:r>
      <w:r w:rsidRPr="00541EE9">
        <w:rPr>
          <w:rFonts w:hint="eastAsia"/>
        </w:rPr>
        <w:t>。</w:t>
      </w:r>
    </w:p>
    <w:p w14:paraId="34FE5669" w14:textId="77777777" w:rsidR="00AC2717" w:rsidRPr="00541EE9" w:rsidRDefault="00AC2717" w:rsidP="00AC2717">
      <w:pPr>
        <w:pStyle w:val="SingleTxtGC"/>
        <w:rPr>
          <w:rFonts w:eastAsia="黑体"/>
        </w:rPr>
      </w:pPr>
      <w:r w:rsidRPr="00541EE9">
        <w:t>33.</w:t>
      </w:r>
      <w:r w:rsidRPr="00541EE9">
        <w:tab/>
      </w:r>
      <w:r w:rsidRPr="00541EE9">
        <w:rPr>
          <w:rFonts w:eastAsia="黑体" w:hint="eastAsia"/>
        </w:rPr>
        <w:t>缔约国应采取有效措施，防止</w:t>
      </w:r>
      <w:bookmarkStart w:id="1" w:name="_Hlk184930318"/>
      <w:r w:rsidRPr="00541EE9">
        <w:rPr>
          <w:rFonts w:eastAsia="黑体" w:hint="eastAsia"/>
        </w:rPr>
        <w:t>基于实际或被认为的性取向或性别认同</w:t>
      </w:r>
      <w:bookmarkEnd w:id="1"/>
      <w:r w:rsidRPr="00541EE9">
        <w:rPr>
          <w:rFonts w:eastAsia="黑体" w:hint="eastAsia"/>
        </w:rPr>
        <w:t>的暴力，为男女同性恋、双性恋、跨性别者和间性者提供安全和保障，并确保所有暴力行为，包括涉及承担《公约》规定的缔约国国际责任的国家当局或其他实体的作为或不作为的暴力行为，得到及时、有效和公正的调查和起诉，肇事者被绳之以法，受害者得到补救。缔约国还应收集详细资料和统计数据，说明基于实际或被认为的性取向或性别认同理由实施的犯罪数量和类型，为调查和起诉此类犯罪采取的行政和司法措施以及判处的刑罚。委员会建议缔约国废除将鸡奸和其他相关罪行定为刑事犯罪的法律，以期将自愿的同性关系非刑罪化。</w:t>
      </w:r>
    </w:p>
    <w:p w14:paraId="1C45BB56" w14:textId="77777777" w:rsidR="00AC2717" w:rsidRPr="00541EE9" w:rsidRDefault="00AC2717" w:rsidP="00A94CBF">
      <w:pPr>
        <w:pStyle w:val="H23GC"/>
      </w:pPr>
      <w:r w:rsidRPr="00541EE9">
        <w:tab/>
      </w:r>
      <w:r w:rsidRPr="00541EE9">
        <w:tab/>
      </w:r>
      <w:r w:rsidRPr="00541EE9">
        <w:rPr>
          <w:rFonts w:hint="eastAsia"/>
        </w:rPr>
        <w:t>体罚儿童</w:t>
      </w:r>
    </w:p>
    <w:p w14:paraId="3A3086C5" w14:textId="77777777" w:rsidR="00AC2717" w:rsidRPr="00541EE9" w:rsidRDefault="00AC2717" w:rsidP="00AC2717">
      <w:pPr>
        <w:pStyle w:val="SingleTxtGC"/>
      </w:pPr>
      <w:r w:rsidRPr="00541EE9">
        <w:t>34.</w:t>
      </w:r>
      <w:r w:rsidRPr="00541EE9">
        <w:tab/>
      </w:r>
      <w:r w:rsidRPr="00541EE9">
        <w:rPr>
          <w:rFonts w:hint="eastAsia"/>
        </w:rPr>
        <w:t>委员会欢迎在公立和私立学校禁止一切形式体罚的规定，但感到关切的是，缔约国没有明确禁止在家庭中对儿童进行体罚</w:t>
      </w:r>
      <w:r w:rsidRPr="00541EE9">
        <w:rPr>
          <w:rFonts w:hint="eastAsia"/>
        </w:rPr>
        <w:t>(</w:t>
      </w:r>
      <w:r w:rsidRPr="00541EE9">
        <w:rPr>
          <w:rFonts w:hint="eastAsia"/>
        </w:rPr>
        <w:t>无论多么轻微的体罚</w:t>
      </w:r>
      <w:r w:rsidRPr="00541EE9">
        <w:rPr>
          <w:rFonts w:hint="eastAsia"/>
        </w:rPr>
        <w:t>)</w:t>
      </w:r>
      <w:r w:rsidRPr="00541EE9">
        <w:rPr>
          <w:rFonts w:hint="eastAsia"/>
        </w:rPr>
        <w:t>，而且仍然接受在其他环境中对儿童的体罚。</w:t>
      </w:r>
      <w:r w:rsidRPr="004B50D0">
        <w:rPr>
          <w:rStyle w:val="a8"/>
          <w:rFonts w:eastAsia="宋体"/>
        </w:rPr>
        <w:footnoteReference w:id="16"/>
      </w:r>
      <w:r w:rsidRPr="00541EE9">
        <w:rPr>
          <w:rFonts w:hint="eastAsia"/>
        </w:rPr>
        <w:t xml:space="preserve"> </w:t>
      </w:r>
      <w:r w:rsidRPr="00541EE9">
        <w:rPr>
          <w:rFonts w:hint="eastAsia"/>
        </w:rPr>
        <w:t>委员会注意到缔约国提供的资料，即《儿童保育和保护法》第</w:t>
      </w:r>
      <w:r w:rsidRPr="00541EE9">
        <w:t>228</w:t>
      </w:r>
      <w:r w:rsidRPr="00541EE9">
        <w:rPr>
          <w:rFonts w:hint="eastAsia"/>
        </w:rPr>
        <w:t>条第</w:t>
      </w:r>
      <w:r w:rsidRPr="00541EE9">
        <w:t>(1)</w:t>
      </w:r>
      <w:r w:rsidRPr="00541EE9">
        <w:rPr>
          <w:rFonts w:hint="eastAsia"/>
        </w:rPr>
        <w:t>款列入了这一禁令，要求负有父母责任的人尊重儿童根据宪法享有的尊严权，但委员会强调，明确禁止父母对其子女使用体罚具有重要的威慑和教育作用</w:t>
      </w:r>
      <w:r w:rsidRPr="00541EE9">
        <w:t>(</w:t>
      </w:r>
      <w:r w:rsidRPr="00541EE9">
        <w:rPr>
          <w:rFonts w:hint="eastAsia"/>
        </w:rPr>
        <w:t>第</w:t>
      </w:r>
      <w:r w:rsidRPr="00541EE9">
        <w:t>2</w:t>
      </w:r>
      <w:r w:rsidRPr="00541EE9">
        <w:rPr>
          <w:rFonts w:hint="eastAsia"/>
        </w:rPr>
        <w:t>和第</w:t>
      </w:r>
      <w:r w:rsidRPr="00541EE9">
        <w:t>16</w:t>
      </w:r>
      <w:r w:rsidRPr="00541EE9">
        <w:rPr>
          <w:rFonts w:hint="eastAsia"/>
        </w:rPr>
        <w:t>条</w:t>
      </w:r>
      <w:r w:rsidRPr="00541EE9">
        <w:t>)</w:t>
      </w:r>
      <w:r w:rsidRPr="00541EE9">
        <w:rPr>
          <w:rFonts w:hint="eastAsia"/>
        </w:rPr>
        <w:t>。</w:t>
      </w:r>
    </w:p>
    <w:p w14:paraId="72AEF3B4" w14:textId="77777777" w:rsidR="00AC2717" w:rsidRPr="00541EE9" w:rsidRDefault="00AC2717" w:rsidP="00AC2717">
      <w:pPr>
        <w:pStyle w:val="SingleTxtGC"/>
        <w:rPr>
          <w:rFonts w:eastAsia="黑体"/>
        </w:rPr>
      </w:pPr>
      <w:r w:rsidRPr="00541EE9">
        <w:lastRenderedPageBreak/>
        <w:t>35.</w:t>
      </w:r>
      <w:r w:rsidRPr="00541EE9">
        <w:tab/>
      </w:r>
      <w:r w:rsidRPr="00541EE9">
        <w:rPr>
          <w:rFonts w:eastAsia="黑体" w:hint="eastAsia"/>
        </w:rPr>
        <w:t>委员会建议缔约国在其国家立法中禁止家庭体罚，并对公众开展提高认识和教育运动，让每个人都了解禁止体罚儿童的规定以及这种体罚的后果。</w:t>
      </w:r>
    </w:p>
    <w:p w14:paraId="3CC82CD0" w14:textId="77777777" w:rsidR="00AC2717" w:rsidRPr="00541EE9" w:rsidRDefault="00AC2717" w:rsidP="00A94CBF">
      <w:pPr>
        <w:pStyle w:val="H23GC"/>
      </w:pPr>
      <w:r w:rsidRPr="00541EE9">
        <w:tab/>
      </w:r>
      <w:r w:rsidRPr="00541EE9">
        <w:tab/>
      </w:r>
      <w:r w:rsidRPr="00541EE9">
        <w:rPr>
          <w:rFonts w:hint="eastAsia"/>
        </w:rPr>
        <w:t>贩运人口</w:t>
      </w:r>
    </w:p>
    <w:p w14:paraId="666BFB1B" w14:textId="77CAD02F" w:rsidR="00AC2717" w:rsidRPr="00541EE9" w:rsidRDefault="00AC2717" w:rsidP="00AC2717">
      <w:pPr>
        <w:pStyle w:val="SingleTxtGC"/>
      </w:pPr>
      <w:r w:rsidRPr="00541EE9">
        <w:t>36.</w:t>
      </w:r>
      <w:r w:rsidRPr="00541EE9">
        <w:tab/>
      </w:r>
      <w:r w:rsidRPr="00541EE9">
        <w:rPr>
          <w:rFonts w:hint="eastAsia"/>
        </w:rPr>
        <w:t>委员会承认缔约国为打击人口贩运作出的立法和政策努力，但仍感关切的是，这一现象在纳米比亚仍然普遍存在，特别是以性剥削和劳动剥削为目的的贩运。</w:t>
      </w:r>
      <w:r w:rsidRPr="004B50D0">
        <w:rPr>
          <w:rStyle w:val="a8"/>
          <w:rFonts w:eastAsia="宋体"/>
        </w:rPr>
        <w:footnoteReference w:id="17"/>
      </w:r>
      <w:r w:rsidRPr="00541EE9">
        <w:rPr>
          <w:rFonts w:hint="eastAsia"/>
        </w:rPr>
        <w:t xml:space="preserve"> </w:t>
      </w:r>
      <w:r w:rsidRPr="00541EE9">
        <w:rPr>
          <w:rFonts w:hint="eastAsia"/>
        </w:rPr>
        <w:t>委员会还感到关切的是，报案率低</w:t>
      </w:r>
      <w:r w:rsidRPr="00541EE9">
        <w:t>(2014</w:t>
      </w:r>
      <w:r w:rsidRPr="00541EE9">
        <w:rPr>
          <w:rFonts w:hint="eastAsia"/>
        </w:rPr>
        <w:t>年至</w:t>
      </w:r>
      <w:r w:rsidRPr="00541EE9">
        <w:t>2019</w:t>
      </w:r>
      <w:r w:rsidRPr="00541EE9">
        <w:rPr>
          <w:rFonts w:hint="eastAsia"/>
        </w:rPr>
        <w:t>年只有</w:t>
      </w:r>
      <w:r w:rsidRPr="00541EE9">
        <w:t>40</w:t>
      </w:r>
      <w:r w:rsidRPr="00541EE9">
        <w:rPr>
          <w:rFonts w:hint="eastAsia"/>
        </w:rPr>
        <w:t>起</w:t>
      </w:r>
      <w:r w:rsidRPr="00541EE9">
        <w:t>)</w:t>
      </w:r>
      <w:r w:rsidRPr="00541EE9">
        <w:rPr>
          <w:rFonts w:hint="eastAsia"/>
        </w:rPr>
        <w:t>，调查这些案件的进展缓慢，定罪数量少</w:t>
      </w:r>
      <w:r w:rsidRPr="00541EE9">
        <w:t>(2014</w:t>
      </w:r>
      <w:r w:rsidRPr="00541EE9">
        <w:rPr>
          <w:rFonts w:hint="eastAsia"/>
        </w:rPr>
        <w:t>年至</w:t>
      </w:r>
      <w:r w:rsidRPr="00541EE9">
        <w:t>2019</w:t>
      </w:r>
      <w:r w:rsidRPr="00541EE9">
        <w:rPr>
          <w:rFonts w:hint="eastAsia"/>
        </w:rPr>
        <w:t>年只有</w:t>
      </w:r>
      <w:r w:rsidRPr="00541EE9">
        <w:t>2</w:t>
      </w:r>
      <w:r w:rsidRPr="00541EE9">
        <w:rPr>
          <w:rFonts w:hint="eastAsia"/>
        </w:rPr>
        <w:t>起</w:t>
      </w:r>
      <w:r w:rsidRPr="00541EE9">
        <w:t>)</w:t>
      </w:r>
      <w:r w:rsidRPr="00541EE9">
        <w:rPr>
          <w:rFonts w:hint="eastAsia"/>
        </w:rPr>
        <w:t>。此外，委员会感到关切的是，缺乏有效执行《打击人口贩运国家行动计划》的资源</w:t>
      </w:r>
      <w:r w:rsidRPr="00541EE9">
        <w:t>(</w:t>
      </w:r>
      <w:r w:rsidRPr="00541EE9">
        <w:rPr>
          <w:rFonts w:hint="eastAsia"/>
        </w:rPr>
        <w:t>第</w:t>
      </w:r>
      <w:r w:rsidRPr="00541EE9">
        <w:t>2</w:t>
      </w:r>
      <w:r w:rsidRPr="00541EE9">
        <w:rPr>
          <w:rFonts w:hint="eastAsia"/>
        </w:rPr>
        <w:t>、第</w:t>
      </w:r>
      <w:r w:rsidRPr="00541EE9">
        <w:t>12</w:t>
      </w:r>
      <w:r w:rsidR="005B7085">
        <w:t>-</w:t>
      </w:r>
      <w:r w:rsidRPr="00541EE9">
        <w:t>14</w:t>
      </w:r>
      <w:r w:rsidRPr="00541EE9">
        <w:rPr>
          <w:rFonts w:hint="eastAsia"/>
        </w:rPr>
        <w:t>和第</w:t>
      </w:r>
      <w:r w:rsidRPr="00541EE9">
        <w:t>16</w:t>
      </w:r>
      <w:r w:rsidRPr="00541EE9">
        <w:rPr>
          <w:rFonts w:hint="eastAsia"/>
        </w:rPr>
        <w:t>条</w:t>
      </w:r>
      <w:r w:rsidRPr="00541EE9">
        <w:t>)</w:t>
      </w:r>
      <w:r w:rsidRPr="00541EE9">
        <w:rPr>
          <w:rFonts w:hint="eastAsia"/>
        </w:rPr>
        <w:t>。</w:t>
      </w:r>
    </w:p>
    <w:p w14:paraId="578D28F4" w14:textId="77777777" w:rsidR="00AC2717" w:rsidRPr="00541EE9" w:rsidRDefault="00AC2717" w:rsidP="00AC2717">
      <w:pPr>
        <w:pStyle w:val="SingleTxtGC"/>
        <w:rPr>
          <w:rFonts w:eastAsia="黑体"/>
        </w:rPr>
      </w:pPr>
      <w:r w:rsidRPr="00541EE9">
        <w:t>37.</w:t>
      </w:r>
      <w:r w:rsidRPr="00541EE9">
        <w:tab/>
      </w:r>
      <w:r w:rsidRPr="00541EE9">
        <w:rPr>
          <w:rFonts w:eastAsia="黑体" w:hint="eastAsia"/>
        </w:rPr>
        <w:t>缔约国应加强措施，打击和防止一切形式的人口贩运，确保此类案件得到彻底调查，犯罪嫌疑人受到起诉，如被定罪则受到适当处罚，受害者获得充分补救，包括适当赔偿和康复。缔约国应加强努力，通过提高公众对贩运风险的认识，鼓励举报案件，并培训法官、执法人员以及移民和边境管制人员及早识别贩运受害者并将其转介到适当的社会和法律服务机构。缔约国还应确保全面执行其《打击人口贩运国家行动计划》，并监测和评价结果，以便将经验教训纳入其未来的举措。此外，缔约国应汇编并向委员会提供关于人口贩运案件中记录的申诉、调查、起诉、定罪和判刑数量的最新统计数据。</w:t>
      </w:r>
    </w:p>
    <w:p w14:paraId="5D68F2EE" w14:textId="77777777" w:rsidR="00AC2717" w:rsidRPr="00541EE9" w:rsidRDefault="00AC2717" w:rsidP="00A94CBF">
      <w:pPr>
        <w:pStyle w:val="H23GC"/>
      </w:pPr>
      <w:r w:rsidRPr="00541EE9">
        <w:tab/>
      </w:r>
      <w:r w:rsidRPr="00541EE9">
        <w:tab/>
      </w:r>
      <w:r w:rsidRPr="00541EE9">
        <w:rPr>
          <w:rFonts w:hint="eastAsia"/>
        </w:rPr>
        <w:t>精神病院</w:t>
      </w:r>
    </w:p>
    <w:p w14:paraId="1E3C6995" w14:textId="77777777" w:rsidR="00AC2717" w:rsidRPr="00541EE9" w:rsidRDefault="00AC2717" w:rsidP="00AC2717">
      <w:pPr>
        <w:pStyle w:val="SingleTxtGC"/>
      </w:pPr>
      <w:r w:rsidRPr="00541EE9">
        <w:t>38.</w:t>
      </w:r>
      <w:r w:rsidRPr="00541EE9">
        <w:tab/>
      </w:r>
      <w:r w:rsidRPr="00541EE9">
        <w:rPr>
          <w:rFonts w:hint="eastAsia"/>
        </w:rPr>
        <w:t>委员会关切地注意到过时的</w:t>
      </w:r>
      <w:r w:rsidRPr="00541EE9">
        <w:t>1973</w:t>
      </w:r>
      <w:r w:rsidRPr="00541EE9">
        <w:rPr>
          <w:rFonts w:hint="eastAsia"/>
        </w:rPr>
        <w:t>年《精神卫生法》</w:t>
      </w:r>
      <w:r w:rsidRPr="00541EE9">
        <w:t>，</w:t>
      </w:r>
      <w:r w:rsidRPr="00541EE9">
        <w:rPr>
          <w:rFonts w:hint="eastAsia"/>
        </w:rPr>
        <w:t>该法允许精神病院过度使用机械约束和隔离手段。尽管如此，委员会赞赏缔约国代表在对话期间提供的资料，即目前有一项关于新的精神健康法案的提案，预计该法案将优先采用非胁迫性降级接触技术，而不是胁迫性方法，并明确禁止强迫残疾妇女绝育</w:t>
      </w:r>
      <w:r w:rsidRPr="00541EE9">
        <w:t>(</w:t>
      </w:r>
      <w:r w:rsidRPr="00541EE9">
        <w:rPr>
          <w:rFonts w:hint="eastAsia"/>
        </w:rPr>
        <w:t>第</w:t>
      </w:r>
      <w:r w:rsidRPr="00541EE9">
        <w:t>16</w:t>
      </w:r>
      <w:r w:rsidRPr="00541EE9">
        <w:rPr>
          <w:rFonts w:hint="eastAsia"/>
        </w:rPr>
        <w:t>条</w:t>
      </w:r>
      <w:r w:rsidRPr="00541EE9">
        <w:t>)</w:t>
      </w:r>
      <w:r w:rsidRPr="00541EE9">
        <w:rPr>
          <w:rFonts w:hint="eastAsia"/>
        </w:rPr>
        <w:t>。</w:t>
      </w:r>
    </w:p>
    <w:p w14:paraId="0EAB39CC" w14:textId="77777777" w:rsidR="00AC2717" w:rsidRPr="00541EE9" w:rsidRDefault="00AC2717" w:rsidP="00AC2717">
      <w:pPr>
        <w:pStyle w:val="SingleTxtGC"/>
        <w:rPr>
          <w:rFonts w:eastAsia="黑体"/>
        </w:rPr>
      </w:pPr>
      <w:r w:rsidRPr="00541EE9">
        <w:t>39.</w:t>
      </w:r>
      <w:r w:rsidRPr="00541EE9">
        <w:tab/>
      </w:r>
      <w:r w:rsidRPr="00541EE9">
        <w:rPr>
          <w:rFonts w:eastAsia="黑体" w:hint="eastAsia"/>
        </w:rPr>
        <w:t>委员会敦促缔约国加快改革其精神健康立法的进程，使其符合国际人权标准，包括禁止仅仅因为残障就对心理或智力残疾人使用身体和药物约束和隔离、强迫绝育以及非自愿送入精神病院。缔约国应确保限制和隔离的使用仅限于绝对必要和相称的情况，受到严格管制，时间尽可能短，以防止对有关个人或他人造成伤害的风险，并且只有在所有其他合理选择都无法令人满意地遏制这种风险的情况下才予以使用。缔约国应促进去机构化，支持替代性和基于社区的护理服务以及其他形式的门诊治疗方案。</w:t>
      </w:r>
    </w:p>
    <w:p w14:paraId="59D4F138" w14:textId="77777777" w:rsidR="00AC2717" w:rsidRPr="00541EE9" w:rsidRDefault="00AC2717" w:rsidP="00A94CBF">
      <w:pPr>
        <w:pStyle w:val="H23GC"/>
      </w:pPr>
      <w:r w:rsidRPr="00541EE9">
        <w:tab/>
      </w:r>
      <w:r w:rsidRPr="00541EE9">
        <w:tab/>
      </w:r>
      <w:r w:rsidRPr="00541EE9">
        <w:rPr>
          <w:rFonts w:hint="eastAsia"/>
        </w:rPr>
        <w:t>补救</w:t>
      </w:r>
    </w:p>
    <w:p w14:paraId="5936CE54" w14:textId="77777777" w:rsidR="00AC2717" w:rsidRPr="00541EE9" w:rsidRDefault="00AC2717" w:rsidP="00AC2717">
      <w:pPr>
        <w:pStyle w:val="SingleTxtGC"/>
      </w:pPr>
      <w:r w:rsidRPr="00541EE9">
        <w:t>40.</w:t>
      </w:r>
      <w:r w:rsidRPr="00541EE9">
        <w:tab/>
      </w:r>
      <w:r w:rsidRPr="00541EE9">
        <w:rPr>
          <w:rFonts w:hint="eastAsia"/>
        </w:rPr>
        <w:t>委员会注意到缔约国提供的资料，即酷刑和虐待的受害者可以提出民事申诉和损害赔偿，并寻求得到卫生设施的治疗。然而，委员会注意到，缔约国仅提供了</w:t>
      </w:r>
      <w:r w:rsidRPr="00541EE9">
        <w:t>2015</w:t>
      </w:r>
      <w:r w:rsidRPr="00541EE9">
        <w:rPr>
          <w:rFonts w:hint="eastAsia"/>
        </w:rPr>
        <w:t>年至</w:t>
      </w:r>
      <w:r w:rsidRPr="00541EE9">
        <w:t>2019</w:t>
      </w:r>
      <w:r w:rsidRPr="00541EE9">
        <w:rPr>
          <w:rFonts w:hint="eastAsia"/>
        </w:rPr>
        <w:t>年期间就非法逮捕和拘留提出的</w:t>
      </w:r>
      <w:r w:rsidRPr="00541EE9">
        <w:t>167</w:t>
      </w:r>
      <w:r w:rsidRPr="00541EE9">
        <w:rPr>
          <w:rFonts w:hint="eastAsia"/>
        </w:rPr>
        <w:t>项民事诉讼的资料，其中只有</w:t>
      </w:r>
      <w:r w:rsidRPr="00541EE9">
        <w:t>9</w:t>
      </w:r>
      <w:r w:rsidRPr="00541EE9">
        <w:rPr>
          <w:rFonts w:hint="eastAsia"/>
        </w:rPr>
        <w:t>项诉讼获得成功，</w:t>
      </w:r>
      <w:r w:rsidRPr="00541EE9">
        <w:t>2016</w:t>
      </w:r>
      <w:r w:rsidRPr="00541EE9">
        <w:rPr>
          <w:rFonts w:hint="eastAsia"/>
        </w:rPr>
        <w:t>年至</w:t>
      </w:r>
      <w:r w:rsidRPr="00541EE9">
        <w:t>2023</w:t>
      </w:r>
      <w:r w:rsidRPr="00541EE9">
        <w:rPr>
          <w:rFonts w:hint="eastAsia"/>
        </w:rPr>
        <w:t>年期间，纳米比亚警察部队仅解决了约</w:t>
      </w:r>
      <w:r w:rsidRPr="00541EE9">
        <w:t>52</w:t>
      </w:r>
      <w:r w:rsidRPr="00541EE9">
        <w:rPr>
          <w:rFonts w:hint="eastAsia"/>
        </w:rPr>
        <w:t>项涉及侵犯人权行为的民事诉讼，但没有说明其性质。委员会还关切地注意到，缔约国没有报告对酷刑或虐待受害者的赔偿方案，包括为创伤和其他形式的康复提供专门治疗的方案。此外，委员会注意到正在进行的关于承认</w:t>
      </w:r>
      <w:r w:rsidRPr="00541EE9">
        <w:t>1904</w:t>
      </w:r>
      <w:r w:rsidRPr="00541EE9">
        <w:rPr>
          <w:rFonts w:hint="eastAsia"/>
        </w:rPr>
        <w:t>年至</w:t>
      </w:r>
      <w:r w:rsidRPr="00541EE9">
        <w:lastRenderedPageBreak/>
        <w:t>1908</w:t>
      </w:r>
      <w:r w:rsidRPr="00541EE9">
        <w:rPr>
          <w:rFonts w:hint="eastAsia"/>
        </w:rPr>
        <w:t>年期间对前德属西南非洲殖民地的奥瓦赫雷罗人和纳马人犯下的灭绝种族罪的后续谈判，以及德国和纳米比亚于</w:t>
      </w:r>
      <w:r w:rsidRPr="00541EE9">
        <w:t>2021</w:t>
      </w:r>
      <w:r w:rsidRPr="00541EE9">
        <w:rPr>
          <w:rFonts w:hint="eastAsia"/>
        </w:rPr>
        <w:t>年</w:t>
      </w:r>
      <w:r w:rsidRPr="00541EE9">
        <w:t>6</w:t>
      </w:r>
      <w:r w:rsidRPr="00541EE9">
        <w:rPr>
          <w:rFonts w:hint="eastAsia"/>
        </w:rPr>
        <w:t>月发表的联合声明，特别是其中关于确保根据《公约》了解真相和获得补救的内容</w:t>
      </w:r>
      <w:r w:rsidRPr="00541EE9">
        <w:t>(</w:t>
      </w:r>
      <w:r w:rsidRPr="00541EE9">
        <w:rPr>
          <w:rFonts w:hint="eastAsia"/>
        </w:rPr>
        <w:t>第</w:t>
      </w:r>
      <w:r w:rsidRPr="00541EE9">
        <w:rPr>
          <w:rFonts w:hint="eastAsia"/>
        </w:rPr>
        <w:t>1</w:t>
      </w:r>
      <w:r w:rsidRPr="00541EE9">
        <w:t>4</w:t>
      </w:r>
      <w:r w:rsidRPr="00541EE9">
        <w:rPr>
          <w:rFonts w:hint="eastAsia"/>
        </w:rPr>
        <w:t>条</w:t>
      </w:r>
      <w:r w:rsidRPr="00541EE9">
        <w:t>)</w:t>
      </w:r>
      <w:r w:rsidRPr="00541EE9">
        <w:rPr>
          <w:rFonts w:hint="eastAsia"/>
        </w:rPr>
        <w:t>。</w:t>
      </w:r>
    </w:p>
    <w:p w14:paraId="26965651" w14:textId="77777777" w:rsidR="00AC2717" w:rsidRPr="00541EE9" w:rsidRDefault="00AC2717" w:rsidP="00AC2717">
      <w:pPr>
        <w:pStyle w:val="SingleTxtGC"/>
        <w:rPr>
          <w:rStyle w:val="a8"/>
          <w:rFonts w:eastAsia="黑体"/>
          <w:bCs/>
          <w:vertAlign w:val="baseline"/>
        </w:rPr>
      </w:pPr>
      <w:r w:rsidRPr="00541EE9">
        <w:t>41.</w:t>
      </w:r>
      <w:r w:rsidRPr="00541EE9">
        <w:tab/>
      </w:r>
      <w:r w:rsidRPr="00541EE9">
        <w:rPr>
          <w:rFonts w:eastAsia="黑体" w:hint="eastAsia"/>
        </w:rPr>
        <w:t>缔约国应确保在法律和实践中，所有酷刑和虐待受害者都能获得补救，包括确保获得公平和充分赔偿的强制执行权利以及尽可能使其完全复原。缔约国应向委员会提供全面资料，说明法院或其他国家机构下令和已向酷刑或虐待受害者实际提供的补救措施，包括复原措施。此外，缔约国应提供资料，说明任何赔偿方案的情况，包括向酷刑和虐待受害者提供的创伤治疗和其他形式的复原，以及分配足够的资源以确保此类方案的有效运作的情况。委员会鼓励缔约国落实消除种族歧视委员会关于受害者因历史不公，包括酷刑而获得补救的权利的建议。</w:t>
      </w:r>
      <w:r w:rsidRPr="004B50D0">
        <w:rPr>
          <w:rStyle w:val="a8"/>
          <w:rFonts w:eastAsia="宋体"/>
        </w:rPr>
        <w:footnoteReference w:id="18"/>
      </w:r>
    </w:p>
    <w:p w14:paraId="707A272E" w14:textId="77777777" w:rsidR="00AC2717" w:rsidRPr="00541EE9" w:rsidRDefault="00AC2717" w:rsidP="00A94CBF">
      <w:pPr>
        <w:pStyle w:val="H23GC"/>
      </w:pPr>
      <w:r w:rsidRPr="00541EE9">
        <w:tab/>
      </w:r>
      <w:r w:rsidRPr="00541EE9">
        <w:tab/>
      </w:r>
      <w:r w:rsidRPr="00541EE9">
        <w:rPr>
          <w:rFonts w:hint="eastAsia"/>
        </w:rPr>
        <w:t>培训</w:t>
      </w:r>
    </w:p>
    <w:p w14:paraId="193E1409" w14:textId="77777777" w:rsidR="00AC2717" w:rsidRPr="00541EE9" w:rsidRDefault="00AC2717" w:rsidP="00AC2717">
      <w:pPr>
        <w:pStyle w:val="SingleTxtGC"/>
      </w:pPr>
      <w:r w:rsidRPr="00541EE9">
        <w:t>42.</w:t>
      </w:r>
      <w:r w:rsidRPr="00541EE9">
        <w:tab/>
      </w:r>
      <w:r w:rsidRPr="00541EE9">
        <w:rPr>
          <w:rFonts w:hint="eastAsia"/>
        </w:rPr>
        <w:t>委员会考虑到监察员办公室为执法机构开展的防范酷刑培训项目、为警官编写的防范酷刑培训手册、《防范和打击酷刑法案》中设想的强制性培训规定以及纳米比亚惩教署人权课程</w:t>
      </w:r>
      <w:r w:rsidRPr="00541EE9">
        <w:rPr>
          <w:rFonts w:hint="eastAsia"/>
        </w:rPr>
        <w:t>(</w:t>
      </w:r>
      <w:r w:rsidRPr="00541EE9">
        <w:rPr>
          <w:rFonts w:hint="eastAsia"/>
        </w:rPr>
        <w:t>其中包括《纳尔逊</w:t>
      </w:r>
      <w:r w:rsidRPr="00541EE9">
        <w:rPr>
          <w:rFonts w:ascii="宋体" w:hAnsi="宋体" w:hint="eastAsia"/>
        </w:rPr>
        <w:t>·</w:t>
      </w:r>
      <w:r w:rsidRPr="00541EE9">
        <w:rPr>
          <w:rFonts w:hint="eastAsia"/>
        </w:rPr>
        <w:t>曼德拉规则》和关于使用武力和武器的规定</w:t>
      </w:r>
      <w:r w:rsidRPr="00541EE9">
        <w:rPr>
          <w:rFonts w:hint="eastAsia"/>
        </w:rPr>
        <w:t>)</w:t>
      </w:r>
      <w:r w:rsidRPr="00541EE9">
        <w:rPr>
          <w:rFonts w:hint="eastAsia"/>
        </w:rPr>
        <w:t>，但仍然感到关切的是，缔约国没有提供资料说明在报告所述期间向所有可能参与拘留、审讯或处理遭到任何形式逮捕、拘留或监禁的人的公职人员，包括法官、检察官和军事人员提供的强制性入职和在职培训。此外，委员会感到遗憾的是，没有收到全面资料，说明是否向与被剥夺自由者打交道的医务专业人员提供了关于经修订的《酷刑和其他残忍、不人道或有辱人格的待遇或处罚的有效调查和文件记录手册》</w:t>
      </w:r>
      <w:r w:rsidRPr="00541EE9">
        <w:t>(</w:t>
      </w:r>
      <w:r w:rsidRPr="00541EE9">
        <w:rPr>
          <w:rFonts w:hint="eastAsia"/>
        </w:rPr>
        <w:t>《伊斯坦布尔规程》</w:t>
      </w:r>
      <w:r w:rsidRPr="00541EE9">
        <w:t>)</w:t>
      </w:r>
      <w:r w:rsidRPr="00541EE9">
        <w:rPr>
          <w:rFonts w:hint="eastAsia"/>
        </w:rPr>
        <w:t>的培训</w:t>
      </w:r>
      <w:r w:rsidRPr="00541EE9">
        <w:t>(</w:t>
      </w:r>
      <w:r w:rsidRPr="00541EE9">
        <w:rPr>
          <w:rFonts w:hint="eastAsia"/>
        </w:rPr>
        <w:t>第</w:t>
      </w:r>
      <w:r w:rsidRPr="00541EE9">
        <w:t>10</w:t>
      </w:r>
      <w:r w:rsidRPr="00541EE9">
        <w:rPr>
          <w:rFonts w:hint="eastAsia"/>
        </w:rPr>
        <w:t>条</w:t>
      </w:r>
      <w:r w:rsidRPr="00541EE9">
        <w:t>)</w:t>
      </w:r>
      <w:r w:rsidRPr="00541EE9">
        <w:rPr>
          <w:rFonts w:hint="eastAsia"/>
        </w:rPr>
        <w:t>。</w:t>
      </w:r>
    </w:p>
    <w:p w14:paraId="7D936EB7" w14:textId="77777777" w:rsidR="00AC2717" w:rsidRPr="00541EE9" w:rsidRDefault="00AC2717" w:rsidP="00AC2717">
      <w:pPr>
        <w:pStyle w:val="SingleTxtGC"/>
        <w:rPr>
          <w:rFonts w:eastAsia="黑体"/>
        </w:rPr>
      </w:pPr>
      <w:r w:rsidRPr="00541EE9">
        <w:t>43.</w:t>
      </w:r>
      <w:r w:rsidRPr="00541EE9">
        <w:tab/>
      </w:r>
      <w:r w:rsidRPr="00541EE9">
        <w:rPr>
          <w:rFonts w:eastAsia="黑体" w:hint="eastAsia"/>
        </w:rPr>
        <w:t>缔约国应</w:t>
      </w:r>
      <w:r w:rsidRPr="00541EE9">
        <w:rPr>
          <w:rFonts w:eastAsia="黑体"/>
        </w:rPr>
        <w:t>：</w:t>
      </w:r>
    </w:p>
    <w:p w14:paraId="1C0B4D55" w14:textId="77777777" w:rsidR="00AC2717" w:rsidRPr="00541EE9" w:rsidRDefault="00AC2717" w:rsidP="00AC2717">
      <w:pPr>
        <w:pStyle w:val="SingleTxtGC"/>
        <w:rPr>
          <w:rFonts w:eastAsia="黑体"/>
        </w:rPr>
      </w:pPr>
      <w:r w:rsidRPr="00541EE9">
        <w:tab/>
        <w:t>(a)</w:t>
      </w:r>
      <w:r w:rsidRPr="00541EE9">
        <w:tab/>
      </w:r>
      <w:r w:rsidRPr="00541EE9">
        <w:rPr>
          <w:rFonts w:eastAsia="黑体" w:hint="eastAsia"/>
        </w:rPr>
        <w:t>继续制定和实施强制性入职和在职培训方案，确保所有公职人员，特别是执法人员、军事人员、司法人员、监狱工作人员和其他可能参与拘留、审讯或处理遭受任何形式逮捕、拘留或监禁的人的人员，熟知《公约》的规定，特别是绝对禁止酷刑的规定，并充分认识到侵权行为不会被容忍，而是将受到调查，责任人将受到起诉，如果被定罪，将受到适当惩罚；</w:t>
      </w:r>
    </w:p>
    <w:p w14:paraId="78A26A40" w14:textId="77777777" w:rsidR="00AC2717" w:rsidRPr="00541EE9" w:rsidRDefault="00AC2717" w:rsidP="00AC2717">
      <w:pPr>
        <w:pStyle w:val="SingleTxtGC"/>
        <w:rPr>
          <w:rFonts w:eastAsia="黑体"/>
        </w:rPr>
      </w:pPr>
      <w:r w:rsidRPr="00541EE9">
        <w:tab/>
        <w:t>(b)</w:t>
      </w:r>
      <w:r w:rsidRPr="00541EE9">
        <w:tab/>
      </w:r>
      <w:r w:rsidRPr="00541EE9">
        <w:rPr>
          <w:rFonts w:eastAsia="黑体" w:hint="eastAsia"/>
        </w:rPr>
        <w:t>根据经修订的《酷刑和其他残忍、不人道或有辱人格的待遇或处罚的有效调查和文件记录手册》</w:t>
      </w:r>
      <w:r w:rsidRPr="00541EE9">
        <w:rPr>
          <w:rFonts w:eastAsia="黑体" w:hint="eastAsia"/>
        </w:rPr>
        <w:t>(</w:t>
      </w:r>
      <w:r w:rsidRPr="00541EE9">
        <w:rPr>
          <w:rFonts w:eastAsia="黑体" w:hint="eastAsia"/>
        </w:rPr>
        <w:t>《伊斯坦布尔规程》</w:t>
      </w:r>
      <w:r w:rsidRPr="00541EE9">
        <w:rPr>
          <w:rFonts w:eastAsia="黑体" w:hint="eastAsia"/>
        </w:rPr>
        <w:t>)</w:t>
      </w:r>
      <w:r w:rsidRPr="00541EE9">
        <w:rPr>
          <w:rFonts w:eastAsia="黑体" w:hint="eastAsia"/>
        </w:rPr>
        <w:t>，确保包括医务人员在内的所有相关工作人员接受识别和报告酷刑和虐待案件的专门培训；</w:t>
      </w:r>
    </w:p>
    <w:p w14:paraId="09D3182F" w14:textId="77777777" w:rsidR="00AC2717" w:rsidRPr="00541EE9" w:rsidRDefault="00AC2717" w:rsidP="00AC2717">
      <w:pPr>
        <w:pStyle w:val="SingleTxtGC"/>
        <w:rPr>
          <w:rFonts w:eastAsia="黑体"/>
        </w:rPr>
      </w:pPr>
      <w:r w:rsidRPr="00541EE9">
        <w:tab/>
        <w:t>(c)</w:t>
      </w:r>
      <w:r w:rsidRPr="00541EE9">
        <w:rPr>
          <w:rFonts w:eastAsia="黑体"/>
        </w:rPr>
        <w:tab/>
      </w:r>
      <w:r w:rsidRPr="00541EE9">
        <w:rPr>
          <w:rFonts w:eastAsia="黑体" w:hint="eastAsia"/>
        </w:rPr>
        <w:t>制定并适用一种方法，评估教育和培训方案在减少酷刑和虐待案件数量方面，以及在确保识别、记录和调查此类行为及起诉责任人方面的有效性。</w:t>
      </w:r>
    </w:p>
    <w:p w14:paraId="02536B2A" w14:textId="77777777" w:rsidR="00AC2717" w:rsidRPr="00541EE9" w:rsidRDefault="00AC2717" w:rsidP="00A94CBF">
      <w:pPr>
        <w:pStyle w:val="H23GC"/>
      </w:pPr>
      <w:r w:rsidRPr="00541EE9">
        <w:tab/>
      </w:r>
      <w:r w:rsidRPr="00541EE9">
        <w:tab/>
      </w:r>
      <w:r w:rsidRPr="00541EE9">
        <w:rPr>
          <w:rFonts w:hint="eastAsia"/>
        </w:rPr>
        <w:t>普遍管辖权</w:t>
      </w:r>
    </w:p>
    <w:p w14:paraId="5542E48D" w14:textId="77777777" w:rsidR="00AC2717" w:rsidRPr="00541EE9" w:rsidRDefault="00AC2717" w:rsidP="00AC2717">
      <w:pPr>
        <w:pStyle w:val="SingleTxtGC"/>
      </w:pPr>
      <w:r w:rsidRPr="00541EE9">
        <w:t>44.</w:t>
      </w:r>
      <w:r w:rsidRPr="00541EE9">
        <w:tab/>
      </w:r>
      <w:r w:rsidRPr="00541EE9">
        <w:rPr>
          <w:rFonts w:hint="eastAsia"/>
        </w:rPr>
        <w:t>委员会感到关切的是，缔约国缺少使其能够确立对酷刑罪的普遍管辖权的法律规定，《防范和打击酷刑法案》中也没有这种规定</w:t>
      </w:r>
      <w:r w:rsidRPr="00541EE9">
        <w:t>(</w:t>
      </w:r>
      <w:r w:rsidRPr="00541EE9">
        <w:rPr>
          <w:rFonts w:hint="eastAsia"/>
        </w:rPr>
        <w:t>第</w:t>
      </w:r>
      <w:r w:rsidRPr="00541EE9">
        <w:rPr>
          <w:rFonts w:hint="eastAsia"/>
        </w:rPr>
        <w:t>5</w:t>
      </w:r>
      <w:r w:rsidRPr="00541EE9">
        <w:rPr>
          <w:rFonts w:hint="eastAsia"/>
        </w:rPr>
        <w:t>条</w:t>
      </w:r>
      <w:r w:rsidRPr="00541EE9">
        <w:t>)</w:t>
      </w:r>
      <w:r w:rsidRPr="00541EE9">
        <w:rPr>
          <w:rFonts w:hint="eastAsia"/>
        </w:rPr>
        <w:t>。</w:t>
      </w:r>
    </w:p>
    <w:p w14:paraId="0246DB35" w14:textId="77777777" w:rsidR="00AC2717" w:rsidRPr="00541EE9" w:rsidRDefault="00AC2717" w:rsidP="00AC2717">
      <w:pPr>
        <w:pStyle w:val="SingleTxtGC"/>
        <w:rPr>
          <w:rFonts w:eastAsia="黑体"/>
        </w:rPr>
      </w:pPr>
      <w:r w:rsidRPr="00541EE9">
        <w:t>45.</w:t>
      </w:r>
      <w:r w:rsidRPr="00541EE9">
        <w:tab/>
      </w:r>
      <w:r w:rsidRPr="00541EE9">
        <w:rPr>
          <w:rFonts w:eastAsia="黑体" w:hint="eastAsia"/>
        </w:rPr>
        <w:t>缔约国应根据《公约》第</w:t>
      </w:r>
      <w:r w:rsidRPr="00541EE9">
        <w:rPr>
          <w:rFonts w:eastAsia="黑体"/>
        </w:rPr>
        <w:t>5</w:t>
      </w:r>
      <w:r w:rsidRPr="00541EE9">
        <w:rPr>
          <w:rFonts w:eastAsia="黑体" w:hint="eastAsia"/>
        </w:rPr>
        <w:t>条第</w:t>
      </w:r>
      <w:r w:rsidRPr="00541EE9">
        <w:rPr>
          <w:rFonts w:eastAsia="黑体"/>
        </w:rPr>
        <w:t>2</w:t>
      </w:r>
      <w:r w:rsidRPr="00541EE9">
        <w:rPr>
          <w:rFonts w:eastAsia="黑体" w:hint="eastAsia"/>
        </w:rPr>
        <w:t>款，确立对酷刑罪的普遍管辖权，并在《防范和打击酷刑法案》通过之前将相关规定纳入其中。</w:t>
      </w:r>
    </w:p>
    <w:p w14:paraId="73542C89" w14:textId="77777777" w:rsidR="00AC2717" w:rsidRPr="00541EE9" w:rsidRDefault="00AC2717" w:rsidP="00A94CBF">
      <w:pPr>
        <w:pStyle w:val="H23GC"/>
      </w:pPr>
      <w:r w:rsidRPr="00541EE9">
        <w:lastRenderedPageBreak/>
        <w:tab/>
      </w:r>
      <w:r w:rsidRPr="00541EE9">
        <w:tab/>
      </w:r>
      <w:r w:rsidRPr="00541EE9">
        <w:rPr>
          <w:rFonts w:hint="eastAsia"/>
        </w:rPr>
        <w:t>后续程序</w:t>
      </w:r>
    </w:p>
    <w:p w14:paraId="7F3D6B05" w14:textId="77777777" w:rsidR="00AC2717" w:rsidRPr="00541EE9" w:rsidRDefault="00AC2717" w:rsidP="00AC2717">
      <w:pPr>
        <w:pStyle w:val="SingleTxtGC"/>
        <w:rPr>
          <w:rFonts w:eastAsia="黑体"/>
        </w:rPr>
      </w:pPr>
      <w:r w:rsidRPr="00541EE9">
        <w:t>46.</w:t>
      </w:r>
      <w:r w:rsidRPr="00541EE9">
        <w:tab/>
      </w:r>
      <w:r w:rsidRPr="00541EE9">
        <w:rPr>
          <w:rFonts w:eastAsia="黑体" w:hint="eastAsia"/>
        </w:rPr>
        <w:t>委员会请缔约国在</w:t>
      </w:r>
      <w:r w:rsidRPr="00541EE9">
        <w:rPr>
          <w:rFonts w:eastAsia="黑体"/>
        </w:rPr>
        <w:t>2025</w:t>
      </w:r>
      <w:r w:rsidRPr="00541EE9">
        <w:rPr>
          <w:rFonts w:eastAsia="黑体" w:hint="eastAsia"/>
        </w:rPr>
        <w:t>年</w:t>
      </w:r>
      <w:r w:rsidRPr="00541EE9">
        <w:rPr>
          <w:rFonts w:eastAsia="黑体"/>
        </w:rPr>
        <w:t>11</w:t>
      </w:r>
      <w:r w:rsidRPr="00541EE9">
        <w:rPr>
          <w:rFonts w:eastAsia="黑体" w:hint="eastAsia"/>
        </w:rPr>
        <w:t>月</w:t>
      </w:r>
      <w:r w:rsidRPr="00541EE9">
        <w:rPr>
          <w:rFonts w:eastAsia="黑体"/>
        </w:rPr>
        <w:t>22</w:t>
      </w:r>
      <w:r w:rsidRPr="00541EE9">
        <w:rPr>
          <w:rFonts w:eastAsia="黑体" w:hint="eastAsia"/>
        </w:rPr>
        <w:t>日之前提供资料，说明就委员会关于酷刑刑罪化、审前拘留和刑事司法系统以及拘留条件的建议</w:t>
      </w:r>
      <w:r w:rsidRPr="00541EE9">
        <w:rPr>
          <w:rFonts w:eastAsia="黑体"/>
        </w:rPr>
        <w:t>(</w:t>
      </w:r>
      <w:r w:rsidRPr="00541EE9">
        <w:rPr>
          <w:rFonts w:eastAsia="黑体" w:hint="eastAsia"/>
        </w:rPr>
        <w:t>见上文第</w:t>
      </w:r>
      <w:r w:rsidRPr="00541EE9">
        <w:rPr>
          <w:rFonts w:eastAsia="黑体"/>
        </w:rPr>
        <w:t>9</w:t>
      </w:r>
      <w:r w:rsidRPr="00541EE9">
        <w:rPr>
          <w:rFonts w:eastAsia="黑体" w:hint="eastAsia"/>
        </w:rPr>
        <w:t>、</w:t>
      </w:r>
      <w:r w:rsidRPr="00541EE9">
        <w:rPr>
          <w:rFonts w:eastAsia="黑体"/>
        </w:rPr>
        <w:t>13(a)</w:t>
      </w:r>
      <w:r w:rsidRPr="00541EE9">
        <w:rPr>
          <w:rFonts w:eastAsia="黑体" w:hint="eastAsia"/>
        </w:rPr>
        <w:t>和</w:t>
      </w:r>
      <w:r w:rsidRPr="00541EE9">
        <w:rPr>
          <w:rFonts w:eastAsia="黑体"/>
        </w:rPr>
        <w:t>(b)</w:t>
      </w:r>
      <w:r w:rsidRPr="00541EE9">
        <w:rPr>
          <w:rFonts w:eastAsia="黑体" w:hint="eastAsia"/>
        </w:rPr>
        <w:t>以及</w:t>
      </w:r>
      <w:r w:rsidRPr="00541EE9">
        <w:rPr>
          <w:rFonts w:eastAsia="黑体"/>
        </w:rPr>
        <w:t>17(c)</w:t>
      </w:r>
      <w:r w:rsidRPr="00541EE9">
        <w:rPr>
          <w:rFonts w:eastAsia="黑体" w:hint="eastAsia"/>
        </w:rPr>
        <w:t>段</w:t>
      </w:r>
      <w:r w:rsidRPr="00541EE9">
        <w:rPr>
          <w:rFonts w:eastAsia="黑体"/>
        </w:rPr>
        <w:t>)</w:t>
      </w:r>
      <w:r w:rsidRPr="00541EE9">
        <w:rPr>
          <w:rFonts w:eastAsia="黑体" w:hint="eastAsia"/>
        </w:rPr>
        <w:t>采取的后续行动。在这方面，请缔约国向委员会通报计划在下一个报告期内如何落实本结论性意见中其余建议。</w:t>
      </w:r>
    </w:p>
    <w:p w14:paraId="723F9B45" w14:textId="77777777" w:rsidR="00AC2717" w:rsidRPr="00541EE9" w:rsidRDefault="00AC2717" w:rsidP="00A94CBF">
      <w:pPr>
        <w:pStyle w:val="H1GC"/>
      </w:pPr>
      <w:r w:rsidRPr="00541EE9">
        <w:tab/>
      </w:r>
      <w:r w:rsidRPr="00541EE9">
        <w:tab/>
      </w:r>
      <w:r w:rsidRPr="00541EE9">
        <w:rPr>
          <w:rFonts w:hint="eastAsia"/>
        </w:rPr>
        <w:t>其他问题</w:t>
      </w:r>
    </w:p>
    <w:p w14:paraId="0D349B08" w14:textId="77777777" w:rsidR="00AC2717" w:rsidRPr="00541EE9" w:rsidRDefault="00AC2717" w:rsidP="00AC2717">
      <w:pPr>
        <w:pStyle w:val="SingleTxtGC"/>
        <w:rPr>
          <w:rFonts w:eastAsia="黑体"/>
        </w:rPr>
      </w:pPr>
      <w:r w:rsidRPr="00541EE9">
        <w:t>47.</w:t>
      </w:r>
      <w:r w:rsidRPr="00541EE9">
        <w:tab/>
      </w:r>
      <w:r w:rsidRPr="00541EE9">
        <w:rPr>
          <w:rFonts w:eastAsia="黑体" w:hint="eastAsia"/>
        </w:rPr>
        <w:t>委员会鼓励缔约国考虑根据《公约》第</w:t>
      </w:r>
      <w:r w:rsidRPr="00541EE9">
        <w:rPr>
          <w:rFonts w:eastAsia="黑体"/>
        </w:rPr>
        <w:t>21</w:t>
      </w:r>
      <w:r w:rsidRPr="00541EE9">
        <w:rPr>
          <w:rFonts w:eastAsia="黑体" w:hint="eastAsia"/>
        </w:rPr>
        <w:t>条和第</w:t>
      </w:r>
      <w:r w:rsidRPr="00541EE9">
        <w:rPr>
          <w:rFonts w:eastAsia="黑体"/>
        </w:rPr>
        <w:t>22</w:t>
      </w:r>
      <w:r w:rsidRPr="00541EE9">
        <w:rPr>
          <w:rFonts w:eastAsia="黑体" w:hint="eastAsia"/>
        </w:rPr>
        <w:t>条作出声明，承认委员会有权接受和审议国家间来文以及受该国管辖、声称因该缔约国违反《公约》规定而受害的个人或其代表提交的来文。</w:t>
      </w:r>
    </w:p>
    <w:p w14:paraId="362C4A37" w14:textId="77777777" w:rsidR="00AC2717" w:rsidRPr="00541EE9" w:rsidRDefault="00AC2717" w:rsidP="00AC2717">
      <w:pPr>
        <w:pStyle w:val="SingleTxtGC"/>
        <w:rPr>
          <w:rFonts w:eastAsia="黑体"/>
        </w:rPr>
      </w:pPr>
      <w:r w:rsidRPr="00541EE9">
        <w:t>48.</w:t>
      </w:r>
      <w:r w:rsidRPr="00541EE9">
        <w:tab/>
      </w:r>
      <w:r w:rsidRPr="00541EE9">
        <w:rPr>
          <w:rFonts w:eastAsia="黑体" w:hint="eastAsia"/>
        </w:rPr>
        <w:t>委员会请缔约国通过官方网站、媒体和非政府组织，以相关语言广泛传播提交委员会的报告和本结论性意见，并向委员会通报传播活动的情况。</w:t>
      </w:r>
    </w:p>
    <w:p w14:paraId="5C27DE52" w14:textId="77777777" w:rsidR="00AC2717" w:rsidRPr="00541EE9" w:rsidRDefault="00AC2717" w:rsidP="00AC2717">
      <w:pPr>
        <w:pStyle w:val="SingleTxtGC"/>
        <w:rPr>
          <w:rFonts w:eastAsia="黑体"/>
        </w:rPr>
      </w:pPr>
      <w:r w:rsidRPr="00541EE9">
        <w:t>49.</w:t>
      </w:r>
      <w:r w:rsidRPr="00541EE9">
        <w:tab/>
      </w:r>
      <w:r w:rsidRPr="00541EE9">
        <w:rPr>
          <w:rFonts w:eastAsia="黑体" w:hint="eastAsia"/>
        </w:rPr>
        <w:t>委员会请缔约国在</w:t>
      </w:r>
      <w:r w:rsidRPr="00541EE9">
        <w:rPr>
          <w:rFonts w:eastAsia="黑体"/>
        </w:rPr>
        <w:t>2028</w:t>
      </w:r>
      <w:r w:rsidRPr="00541EE9">
        <w:rPr>
          <w:rFonts w:eastAsia="黑体" w:hint="eastAsia"/>
        </w:rPr>
        <w:t>年</w:t>
      </w:r>
      <w:r w:rsidRPr="00541EE9">
        <w:rPr>
          <w:rFonts w:eastAsia="黑体"/>
        </w:rPr>
        <w:t>11</w:t>
      </w:r>
      <w:r w:rsidRPr="00541EE9">
        <w:rPr>
          <w:rFonts w:eastAsia="黑体" w:hint="eastAsia"/>
        </w:rPr>
        <w:t>月</w:t>
      </w:r>
      <w:r w:rsidRPr="00541EE9">
        <w:rPr>
          <w:rFonts w:eastAsia="黑体"/>
        </w:rPr>
        <w:t>22</w:t>
      </w:r>
      <w:r w:rsidRPr="00541EE9">
        <w:rPr>
          <w:rFonts w:eastAsia="黑体" w:hint="eastAsia"/>
        </w:rPr>
        <w:t>日前提交下一次定期报告，即第四次定期报告。为此，并考虑到缔约国已同意按照简化报告程序向委员会提交报告，委员会将在适当时候向缔约国发送报告前问题清单。缔约国对问题清单的答复将构成其根据《公约》第</w:t>
      </w:r>
      <w:r w:rsidRPr="00541EE9">
        <w:rPr>
          <w:rFonts w:eastAsia="黑体"/>
        </w:rPr>
        <w:t>19</w:t>
      </w:r>
      <w:r w:rsidRPr="00541EE9">
        <w:rPr>
          <w:rFonts w:eastAsia="黑体" w:hint="eastAsia"/>
        </w:rPr>
        <w:t>条提交的第四次定期报告。</w:t>
      </w:r>
    </w:p>
    <w:p w14:paraId="73D3747C" w14:textId="77777777" w:rsidR="00AC2717" w:rsidRDefault="00AC2717" w:rsidP="00AC2717">
      <w:pPr>
        <w:pStyle w:val="SingleTxtGC"/>
        <w:rPr>
          <w:lang w:val="en-GB"/>
        </w:rPr>
      </w:pPr>
    </w:p>
    <w:p w14:paraId="73FF6F59" w14:textId="77777777" w:rsidR="00AC2717" w:rsidRPr="002D6A9C" w:rsidRDefault="00AC271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F2AC5C5" w14:textId="1DD0F2CD" w:rsidR="00AC2717" w:rsidRPr="00AC2717" w:rsidRDefault="00AC2717" w:rsidP="00AC2717">
      <w:pPr>
        <w:pStyle w:val="SingleTxtGC"/>
        <w:rPr>
          <w:rFonts w:hint="eastAsia"/>
          <w:lang w:val="en-GB"/>
        </w:rPr>
      </w:pPr>
    </w:p>
    <w:sectPr w:rsidR="00AC2717" w:rsidRPr="00AC271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FFEEE" w14:textId="77777777" w:rsidR="0061399D" w:rsidRPr="000D319F" w:rsidRDefault="0061399D" w:rsidP="000D319F">
      <w:pPr>
        <w:pStyle w:val="af0"/>
        <w:spacing w:after="240"/>
        <w:ind w:left="907"/>
        <w:rPr>
          <w:rFonts w:asciiTheme="majorBidi" w:eastAsia="宋体" w:hAnsiTheme="majorBidi" w:cstheme="majorBidi"/>
          <w:sz w:val="21"/>
          <w:szCs w:val="21"/>
          <w:lang w:val="en-US"/>
        </w:rPr>
      </w:pPr>
    </w:p>
    <w:p w14:paraId="52F3ED84" w14:textId="77777777" w:rsidR="0061399D" w:rsidRPr="000D319F" w:rsidRDefault="006139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95584D0" w14:textId="77777777" w:rsidR="0061399D" w:rsidRPr="000D319F" w:rsidRDefault="0061399D" w:rsidP="000D319F">
      <w:pPr>
        <w:pStyle w:val="af0"/>
      </w:pPr>
    </w:p>
  </w:endnote>
  <w:endnote w:type="continuationNotice" w:id="1">
    <w:p w14:paraId="46792A31" w14:textId="77777777" w:rsidR="0061399D" w:rsidRDefault="006139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190DC" w14:textId="77777777" w:rsidR="008A5894" w:rsidRPr="00AC2717" w:rsidRDefault="00AC2717" w:rsidP="00AC271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AC2717">
      <w:rPr>
        <w:rStyle w:val="af2"/>
        <w:b w:val="0"/>
        <w:snapToGrid w:val="0"/>
        <w:sz w:val="16"/>
      </w:rPr>
      <w:t>GE.24-22240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50978" w14:textId="77777777" w:rsidR="008A5894" w:rsidRPr="00AC2717" w:rsidRDefault="00AC2717" w:rsidP="00AC2717">
    <w:pPr>
      <w:pStyle w:val="af0"/>
      <w:tabs>
        <w:tab w:val="clear" w:pos="431"/>
        <w:tab w:val="right" w:pos="9638"/>
      </w:tabs>
      <w:rPr>
        <w:rStyle w:val="af2"/>
      </w:rPr>
    </w:pPr>
    <w:r>
      <w:t>GE.24-22240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A7500" w14:textId="449E73C8" w:rsidR="008A5894" w:rsidRPr="00487939" w:rsidRDefault="00AC2717"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EC3F585" wp14:editId="0EAEA09F">
          <wp:simplePos x="0" y="0"/>
          <wp:positionH relativeFrom="column">
            <wp:align>right</wp:align>
          </wp:positionH>
          <wp:positionV relativeFrom="paragraph">
            <wp:posOffset>-69850</wp:posOffset>
          </wp:positionV>
          <wp:extent cx="571500" cy="571500"/>
          <wp:effectExtent l="0" t="0" r="0" b="0"/>
          <wp:wrapNone/>
          <wp:docPr id="13681040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GE.24-22240</w:t>
    </w:r>
    <w:r w:rsidR="00731A42" w:rsidRPr="00EE277A">
      <w:rPr>
        <w:sz w:val="20"/>
        <w:lang w:eastAsia="zh-CN"/>
      </w:rPr>
      <w:t xml:space="preserve"> (C)</w:t>
    </w:r>
    <w:r w:rsidR="005505A1">
      <w:rPr>
        <w:sz w:val="20"/>
        <w:lang w:eastAsia="zh-CN"/>
      </w:rPr>
      <w:tab/>
    </w:r>
    <w:r w:rsidR="00E431F2">
      <w:rPr>
        <w:sz w:val="20"/>
        <w:lang w:eastAsia="zh-CN"/>
      </w:rPr>
      <w:t>1612</w:t>
    </w:r>
    <w:r w:rsidR="00597013">
      <w:rPr>
        <w:sz w:val="20"/>
        <w:lang w:eastAsia="zh-CN"/>
      </w:rPr>
      <w:t>2</w:t>
    </w:r>
    <w:r w:rsidR="00155102">
      <w:rPr>
        <w:sz w:val="20"/>
        <w:lang w:eastAsia="zh-CN"/>
      </w:rPr>
      <w:t>4</w:t>
    </w:r>
    <w:r w:rsidR="00731A42">
      <w:rPr>
        <w:sz w:val="20"/>
        <w:lang w:eastAsia="zh-CN"/>
      </w:rPr>
      <w:tab/>
    </w:r>
    <w:r w:rsidR="00E431F2">
      <w:rPr>
        <w:sz w:val="20"/>
        <w:lang w:eastAsia="zh-CN"/>
      </w:rPr>
      <w:t>1912</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5C54BB2B" wp14:editId="399D3E6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D2F421" w14:textId="77777777" w:rsidR="0061399D" w:rsidRPr="000157B1" w:rsidRDefault="006139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16C24A9" w14:textId="77777777" w:rsidR="0061399D" w:rsidRPr="000157B1" w:rsidRDefault="006139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2F62E48" w14:textId="77777777" w:rsidR="0061399D" w:rsidRDefault="0061399D"/>
  </w:footnote>
  <w:footnote w:id="2">
    <w:p w14:paraId="63D03249" w14:textId="77777777" w:rsidR="00AC2717" w:rsidRPr="00541EE9" w:rsidRDefault="00AC2717" w:rsidP="00AC2717">
      <w:pPr>
        <w:pStyle w:val="a6"/>
      </w:pPr>
      <w:r w:rsidRPr="00541EE9">
        <w:tab/>
      </w:r>
      <w:r w:rsidRPr="00BB7E9D">
        <w:rPr>
          <w:sz w:val="21"/>
          <w:szCs w:val="21"/>
        </w:rPr>
        <w:t>*</w:t>
      </w:r>
      <w:r w:rsidRPr="00541EE9">
        <w:tab/>
      </w:r>
      <w:r w:rsidRPr="00541EE9">
        <w:rPr>
          <w:rFonts w:hint="eastAsia"/>
        </w:rPr>
        <w:t>委员会第八十一届会议</w:t>
      </w:r>
      <w:r w:rsidRPr="00541EE9">
        <w:t>(2024</w:t>
      </w:r>
      <w:r w:rsidRPr="00541EE9">
        <w:rPr>
          <w:rFonts w:hint="eastAsia"/>
        </w:rPr>
        <w:t>年</w:t>
      </w:r>
      <w:r w:rsidRPr="00541EE9">
        <w:t>10</w:t>
      </w:r>
      <w:r w:rsidRPr="00541EE9">
        <w:rPr>
          <w:rFonts w:hint="eastAsia"/>
        </w:rPr>
        <w:t>月</w:t>
      </w:r>
      <w:r w:rsidRPr="00541EE9">
        <w:t>28</w:t>
      </w:r>
      <w:r w:rsidRPr="00541EE9">
        <w:rPr>
          <w:rFonts w:hint="eastAsia"/>
        </w:rPr>
        <w:t>日至</w:t>
      </w:r>
      <w:r w:rsidRPr="00541EE9">
        <w:t>11</w:t>
      </w:r>
      <w:r w:rsidRPr="00541EE9">
        <w:rPr>
          <w:rFonts w:hint="eastAsia"/>
        </w:rPr>
        <w:t>月</w:t>
      </w:r>
      <w:r w:rsidRPr="00541EE9">
        <w:t>22</w:t>
      </w:r>
      <w:r w:rsidRPr="00541EE9">
        <w:rPr>
          <w:rFonts w:hint="eastAsia"/>
        </w:rPr>
        <w:t>日</w:t>
      </w:r>
      <w:r w:rsidRPr="00541EE9">
        <w:t>)</w:t>
      </w:r>
      <w:r w:rsidRPr="00541EE9">
        <w:rPr>
          <w:rFonts w:hint="eastAsia"/>
        </w:rPr>
        <w:t>通过。</w:t>
      </w:r>
    </w:p>
  </w:footnote>
  <w:footnote w:id="3">
    <w:p w14:paraId="45260C39" w14:textId="5EFF6CC1" w:rsidR="00AC2717" w:rsidRPr="002966D9" w:rsidRDefault="00AC2717" w:rsidP="00AC2717">
      <w:pPr>
        <w:pStyle w:val="a6"/>
        <w:rPr>
          <w:rFonts w:hint="eastAsia"/>
        </w:rPr>
      </w:pPr>
      <w:r w:rsidRPr="00541EE9">
        <w:tab/>
      </w:r>
      <w:r w:rsidRPr="004B50D0">
        <w:rPr>
          <w:rStyle w:val="a8"/>
          <w:rFonts w:eastAsia="宋体"/>
        </w:rPr>
        <w:footnoteRef/>
      </w:r>
      <w:r w:rsidRPr="00541EE9">
        <w:rPr>
          <w:rStyle w:val="a8"/>
          <w:rFonts w:eastAsia="宋体"/>
          <w:snapToGrid w:val="0"/>
          <w:sz w:val="18"/>
          <w:vertAlign w:val="baseline"/>
        </w:rPr>
        <w:tab/>
      </w:r>
      <w:r w:rsidRPr="00541EE9">
        <w:rPr>
          <w:rFonts w:hint="eastAsia"/>
        </w:rPr>
        <w:t>见</w:t>
      </w:r>
      <w:r w:rsidRPr="00127B09">
        <w:t>CAT/C/SR.2140</w:t>
      </w:r>
      <w:r w:rsidRPr="00541EE9">
        <w:rPr>
          <w:rFonts w:hint="eastAsia"/>
        </w:rPr>
        <w:t>和</w:t>
      </w:r>
      <w:r w:rsidRPr="00127B09">
        <w:t>CAT/C/SR.2143</w:t>
      </w:r>
      <w:r w:rsidR="00A54D23">
        <w:rPr>
          <w:rFonts w:hint="eastAsia"/>
          <w:lang w:val="fr-CH"/>
        </w:rPr>
        <w:t>。</w:t>
      </w:r>
    </w:p>
  </w:footnote>
  <w:footnote w:id="4">
    <w:p w14:paraId="5FAFC5DD" w14:textId="0D9B6EA7"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r w:rsidRPr="00127B09">
        <w:t>CAT/C/NAM/3</w:t>
      </w:r>
      <w:r w:rsidRPr="00541EE9">
        <w:t>.</w:t>
      </w:r>
    </w:p>
  </w:footnote>
  <w:footnote w:id="5">
    <w:p w14:paraId="7546A359" w14:textId="3EB0C44E"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r w:rsidRPr="00127B09">
        <w:t>CAT/C/NAM/QPR/3</w:t>
      </w:r>
      <w:r w:rsidRPr="00541EE9">
        <w:t>.</w:t>
      </w:r>
    </w:p>
  </w:footnote>
  <w:footnote w:id="6">
    <w:p w14:paraId="31F57509" w14:textId="68CCC0E7"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r w:rsidRPr="00127B09">
        <w:t>CAT/C/NAM/Q/3</w:t>
      </w:r>
      <w:r w:rsidRPr="00541EE9">
        <w:t>.</w:t>
      </w:r>
    </w:p>
  </w:footnote>
  <w:footnote w:id="7">
    <w:p w14:paraId="30979CBB" w14:textId="58BBC411"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1" w:history="1">
        <w:r w:rsidRPr="004751E8">
          <w:rPr>
            <w:rStyle w:val="af6"/>
          </w:rPr>
          <w:t>CAT/C/NAM/CO/2</w:t>
        </w:r>
      </w:hyperlink>
      <w:r w:rsidRPr="00541EE9">
        <w:t>,</w:t>
      </w:r>
      <w:r w:rsidR="00BB7E9D">
        <w:rPr>
          <w:rFonts w:hint="eastAsia"/>
        </w:rPr>
        <w:t xml:space="preserve"> </w:t>
      </w:r>
      <w:r w:rsidRPr="00541EE9">
        <w:rPr>
          <w:rFonts w:hint="eastAsia"/>
        </w:rPr>
        <w:t>第</w:t>
      </w:r>
      <w:r w:rsidRPr="00541EE9">
        <w:t>9</w:t>
      </w:r>
      <w:r w:rsidRPr="00541EE9">
        <w:rPr>
          <w:rFonts w:hint="eastAsia"/>
        </w:rPr>
        <w:t>、</w:t>
      </w:r>
      <w:r w:rsidRPr="00541EE9">
        <w:t>17(b)</w:t>
      </w:r>
      <w:r w:rsidRPr="00541EE9">
        <w:rPr>
          <w:rFonts w:hint="eastAsia"/>
        </w:rPr>
        <w:t>和</w:t>
      </w:r>
      <w:r w:rsidRPr="00541EE9">
        <w:t>(c)</w:t>
      </w:r>
      <w:r w:rsidRPr="00541EE9">
        <w:rPr>
          <w:rFonts w:hint="eastAsia"/>
        </w:rPr>
        <w:t>、</w:t>
      </w:r>
      <w:r w:rsidRPr="00541EE9">
        <w:t>27(c)</w:t>
      </w:r>
      <w:r w:rsidRPr="00541EE9">
        <w:rPr>
          <w:rFonts w:hint="eastAsia"/>
        </w:rPr>
        <w:t>以及</w:t>
      </w:r>
      <w:r w:rsidRPr="00541EE9">
        <w:t>46</w:t>
      </w:r>
      <w:r w:rsidRPr="00541EE9">
        <w:rPr>
          <w:rFonts w:hint="eastAsia"/>
        </w:rPr>
        <w:t>段。</w:t>
      </w:r>
    </w:p>
  </w:footnote>
  <w:footnote w:id="8">
    <w:p w14:paraId="43649032" w14:textId="12CCEFB1" w:rsidR="00AC2717" w:rsidRPr="00541EE9" w:rsidRDefault="00AC2717" w:rsidP="00595EB4">
      <w:pPr>
        <w:pStyle w:val="a6"/>
        <w:wordWrap w:val="0"/>
      </w:pPr>
      <w:r w:rsidRPr="00541EE9">
        <w:tab/>
      </w:r>
      <w:r w:rsidRPr="004B50D0">
        <w:rPr>
          <w:rStyle w:val="a8"/>
          <w:rFonts w:eastAsia="宋体"/>
        </w:rPr>
        <w:footnoteRef/>
      </w:r>
      <w:r w:rsidRPr="00541EE9">
        <w:rPr>
          <w:rStyle w:val="a8"/>
          <w:rFonts w:eastAsia="宋体"/>
          <w:snapToGrid w:val="0"/>
          <w:sz w:val="18"/>
          <w:vertAlign w:val="baseline"/>
        </w:rPr>
        <w:tab/>
      </w:r>
      <w:r w:rsidRPr="00541EE9">
        <w:rPr>
          <w:rFonts w:hint="eastAsia"/>
        </w:rPr>
        <w:t>可查阅</w:t>
      </w:r>
      <w:hyperlink r:id="rId2" w:history="1">
        <w:r w:rsidR="00A73880" w:rsidRPr="00B15C6E">
          <w:rPr>
            <w:rStyle w:val="af6"/>
          </w:rPr>
          <w:t>https://tbinternet.ohchr.org/_layouts/15/treatybodyexternal/Download.aspx?symbolno=INT%2FCAT%2FFUL%2FNAM%2F32200&amp;Lang=en</w:t>
        </w:r>
      </w:hyperlink>
      <w:r w:rsidRPr="00541EE9">
        <w:t>.</w:t>
      </w:r>
    </w:p>
  </w:footnote>
  <w:footnote w:id="9">
    <w:p w14:paraId="03FC94FA" w14:textId="49E408C1"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3" w:history="1">
        <w:r w:rsidRPr="004751E8">
          <w:rPr>
            <w:rStyle w:val="af6"/>
          </w:rPr>
          <w:t>A/HRC/48/4/Add.1</w:t>
        </w:r>
      </w:hyperlink>
      <w:r w:rsidRPr="00541EE9">
        <w:t xml:space="preserve">, </w:t>
      </w:r>
      <w:r w:rsidRPr="00541EE9">
        <w:rPr>
          <w:rFonts w:hint="eastAsia"/>
        </w:rPr>
        <w:t>第</w:t>
      </w:r>
      <w:r w:rsidRPr="00541EE9">
        <w:t>3</w:t>
      </w:r>
      <w:r w:rsidRPr="00541EE9">
        <w:rPr>
          <w:rFonts w:hint="eastAsia"/>
        </w:rPr>
        <w:t>段；</w:t>
      </w:r>
      <w:hyperlink r:id="rId4" w:history="1">
        <w:r w:rsidRPr="004751E8">
          <w:rPr>
            <w:rStyle w:val="af6"/>
          </w:rPr>
          <w:t>A/HRC/48/4</w:t>
        </w:r>
      </w:hyperlink>
      <w:r w:rsidRPr="00541EE9">
        <w:t xml:space="preserve">, </w:t>
      </w:r>
      <w:r w:rsidRPr="00541EE9">
        <w:rPr>
          <w:rFonts w:hint="eastAsia"/>
        </w:rPr>
        <w:t>第</w:t>
      </w:r>
      <w:r w:rsidRPr="00541EE9">
        <w:t>138.67</w:t>
      </w:r>
      <w:r w:rsidRPr="00541EE9">
        <w:rPr>
          <w:rFonts w:hint="eastAsia"/>
        </w:rPr>
        <w:t>段。</w:t>
      </w:r>
    </w:p>
  </w:footnote>
  <w:footnote w:id="10">
    <w:p w14:paraId="0BEBE0E3" w14:textId="77777777"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r w:rsidRPr="00541EE9">
        <w:rPr>
          <w:rFonts w:hint="eastAsia"/>
        </w:rPr>
        <w:t>防范酷刑和其他残忍、不人道或有辱人格待遇或处罚小组委员会，关于剥夺自由地点的定义和范围的第</w:t>
      </w:r>
      <w:r w:rsidRPr="00541EE9">
        <w:t>1</w:t>
      </w:r>
      <w:r w:rsidRPr="00541EE9">
        <w:rPr>
          <w:rFonts w:hint="eastAsia"/>
        </w:rPr>
        <w:t>号一般性意见</w:t>
      </w:r>
      <w:r w:rsidRPr="00541EE9">
        <w:t>(2024</w:t>
      </w:r>
      <w:r w:rsidRPr="00541EE9">
        <w:rPr>
          <w:rFonts w:hint="eastAsia"/>
        </w:rPr>
        <w:t>年</w:t>
      </w:r>
      <w:r w:rsidRPr="00541EE9">
        <w:t>)</w:t>
      </w:r>
      <w:r w:rsidRPr="00541EE9">
        <w:rPr>
          <w:rFonts w:hint="eastAsia"/>
        </w:rPr>
        <w:t>。</w:t>
      </w:r>
    </w:p>
  </w:footnote>
  <w:footnote w:id="11">
    <w:p w14:paraId="731F226E" w14:textId="7FACB88A"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5" w:history="1">
        <w:r w:rsidRPr="004751E8">
          <w:rPr>
            <w:rStyle w:val="af6"/>
          </w:rPr>
          <w:t>CAT/C/NAM/CO/2</w:t>
        </w:r>
      </w:hyperlink>
      <w:r w:rsidRPr="00541EE9">
        <w:t xml:space="preserve">, </w:t>
      </w:r>
      <w:r w:rsidRPr="00541EE9">
        <w:rPr>
          <w:rFonts w:hint="eastAsia"/>
        </w:rPr>
        <w:t>第</w:t>
      </w:r>
      <w:r w:rsidRPr="00541EE9">
        <w:t>16</w:t>
      </w:r>
      <w:r w:rsidRPr="00541EE9">
        <w:rPr>
          <w:rFonts w:hint="eastAsia"/>
        </w:rPr>
        <w:t>和</w:t>
      </w:r>
      <w:r w:rsidRPr="00541EE9">
        <w:t>17</w:t>
      </w:r>
      <w:r w:rsidRPr="00541EE9">
        <w:rPr>
          <w:rFonts w:hint="eastAsia"/>
        </w:rPr>
        <w:t>段。</w:t>
      </w:r>
    </w:p>
  </w:footnote>
  <w:footnote w:id="12">
    <w:p w14:paraId="0C78B81F" w14:textId="4CAA555D"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6" w:history="1">
        <w:r w:rsidRPr="004751E8">
          <w:rPr>
            <w:rStyle w:val="af6"/>
          </w:rPr>
          <w:t>CRC/C/NAM/CO/4-6</w:t>
        </w:r>
      </w:hyperlink>
      <w:r w:rsidRPr="00541EE9">
        <w:t xml:space="preserve">, </w:t>
      </w:r>
      <w:r w:rsidRPr="00541EE9">
        <w:rPr>
          <w:rFonts w:hint="eastAsia"/>
        </w:rPr>
        <w:t>第</w:t>
      </w:r>
      <w:r w:rsidRPr="00541EE9">
        <w:t>46</w:t>
      </w:r>
      <w:r w:rsidRPr="00541EE9">
        <w:rPr>
          <w:rFonts w:hint="eastAsia"/>
        </w:rPr>
        <w:t>段。</w:t>
      </w:r>
    </w:p>
  </w:footnote>
  <w:footnote w:id="13">
    <w:p w14:paraId="0E3C2EF1" w14:textId="33C1559B"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7" w:history="1">
        <w:r w:rsidRPr="004751E8">
          <w:rPr>
            <w:rStyle w:val="af6"/>
          </w:rPr>
          <w:t>CAT/C/NAM/CO/2</w:t>
        </w:r>
      </w:hyperlink>
      <w:r w:rsidRPr="00541EE9">
        <w:t xml:space="preserve">, </w:t>
      </w:r>
      <w:r w:rsidRPr="00541EE9">
        <w:rPr>
          <w:rFonts w:hint="eastAsia"/>
        </w:rPr>
        <w:t>第</w:t>
      </w:r>
      <w:r w:rsidRPr="00541EE9">
        <w:t>23</w:t>
      </w:r>
      <w:r w:rsidRPr="00541EE9">
        <w:rPr>
          <w:rFonts w:hint="eastAsia"/>
        </w:rPr>
        <w:t>段。</w:t>
      </w:r>
    </w:p>
  </w:footnote>
  <w:footnote w:id="14">
    <w:p w14:paraId="35E19770" w14:textId="52821F6D"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r w:rsidRPr="00541EE9">
        <w:rPr>
          <w:rFonts w:hint="eastAsia"/>
        </w:rPr>
        <w:t>同上</w:t>
      </w:r>
      <w:r w:rsidR="00506151">
        <w:rPr>
          <w:rFonts w:hint="eastAsia"/>
        </w:rPr>
        <w:t>，</w:t>
      </w:r>
      <w:r w:rsidRPr="00541EE9">
        <w:rPr>
          <w:rFonts w:hint="eastAsia"/>
        </w:rPr>
        <w:t>第</w:t>
      </w:r>
      <w:r w:rsidRPr="00541EE9">
        <w:t>27</w:t>
      </w:r>
      <w:r w:rsidRPr="00541EE9">
        <w:rPr>
          <w:rFonts w:hint="eastAsia"/>
        </w:rPr>
        <w:t>段。</w:t>
      </w:r>
    </w:p>
  </w:footnote>
  <w:footnote w:id="15">
    <w:p w14:paraId="2A7B6CE5" w14:textId="0CC89D45" w:rsidR="00AC2717" w:rsidRPr="00541EE9" w:rsidRDefault="00AC2717" w:rsidP="00BD3533">
      <w:pPr>
        <w:pStyle w:val="a6"/>
        <w:wordWrap w:val="0"/>
      </w:pPr>
      <w:r w:rsidRPr="00541EE9">
        <w:tab/>
      </w:r>
      <w:r w:rsidRPr="004B50D0">
        <w:rPr>
          <w:rStyle w:val="a8"/>
          <w:rFonts w:eastAsia="宋体"/>
        </w:rPr>
        <w:footnoteRef/>
      </w:r>
      <w:r w:rsidRPr="00541EE9">
        <w:rPr>
          <w:rStyle w:val="a8"/>
          <w:rFonts w:eastAsia="宋体"/>
          <w:snapToGrid w:val="0"/>
          <w:sz w:val="18"/>
          <w:vertAlign w:val="baseline"/>
        </w:rPr>
        <w:tab/>
      </w:r>
      <w:hyperlink r:id="rId8" w:history="1">
        <w:r w:rsidRPr="00BD3533">
          <w:rPr>
            <w:rStyle w:val="af6"/>
            <w:spacing w:val="2"/>
          </w:rPr>
          <w:t>CRC/C/NAM/CO/4-6</w:t>
        </w:r>
      </w:hyperlink>
      <w:r w:rsidRPr="00BD3533">
        <w:rPr>
          <w:spacing w:val="2"/>
        </w:rPr>
        <w:t xml:space="preserve">, </w:t>
      </w:r>
      <w:r w:rsidRPr="00BD3533">
        <w:rPr>
          <w:rFonts w:hint="eastAsia"/>
          <w:spacing w:val="2"/>
        </w:rPr>
        <w:t>第</w:t>
      </w:r>
      <w:r w:rsidRPr="00BD3533">
        <w:rPr>
          <w:spacing w:val="2"/>
        </w:rPr>
        <w:t>23</w:t>
      </w:r>
      <w:r w:rsidRPr="00BD3533">
        <w:rPr>
          <w:rFonts w:hint="eastAsia"/>
          <w:spacing w:val="2"/>
        </w:rPr>
        <w:t>和</w:t>
      </w:r>
      <w:r w:rsidRPr="00BD3533">
        <w:rPr>
          <w:spacing w:val="2"/>
        </w:rPr>
        <w:t>24</w:t>
      </w:r>
      <w:r w:rsidRPr="00BD3533">
        <w:rPr>
          <w:rFonts w:hint="eastAsia"/>
          <w:spacing w:val="2"/>
        </w:rPr>
        <w:t>段</w:t>
      </w:r>
      <w:r w:rsidR="00506151" w:rsidRPr="00BD3533">
        <w:rPr>
          <w:rFonts w:hint="eastAsia"/>
          <w:spacing w:val="2"/>
        </w:rPr>
        <w:t>；</w:t>
      </w:r>
      <w:hyperlink r:id="rId9" w:history="1">
        <w:r w:rsidRPr="00BD3533">
          <w:rPr>
            <w:rStyle w:val="af6"/>
            <w:spacing w:val="2"/>
          </w:rPr>
          <w:t>CERD/C/NAM/CO/16-18</w:t>
        </w:r>
      </w:hyperlink>
      <w:r w:rsidRPr="00BD3533">
        <w:rPr>
          <w:spacing w:val="2"/>
        </w:rPr>
        <w:t xml:space="preserve">, </w:t>
      </w:r>
      <w:r w:rsidRPr="00BD3533">
        <w:rPr>
          <w:rFonts w:hint="eastAsia"/>
          <w:spacing w:val="2"/>
        </w:rPr>
        <w:t>第</w:t>
      </w:r>
      <w:r w:rsidRPr="00BD3533">
        <w:rPr>
          <w:spacing w:val="2"/>
        </w:rPr>
        <w:t>26</w:t>
      </w:r>
      <w:r w:rsidRPr="00BD3533">
        <w:rPr>
          <w:rFonts w:hint="eastAsia"/>
          <w:spacing w:val="2"/>
        </w:rPr>
        <w:t>和</w:t>
      </w:r>
      <w:r w:rsidRPr="00BD3533">
        <w:rPr>
          <w:spacing w:val="2"/>
        </w:rPr>
        <w:t>27</w:t>
      </w:r>
      <w:r w:rsidRPr="00BD3533">
        <w:rPr>
          <w:rFonts w:hint="eastAsia"/>
          <w:spacing w:val="2"/>
        </w:rPr>
        <w:t>段</w:t>
      </w:r>
      <w:r w:rsidR="00506151" w:rsidRPr="00BD3533">
        <w:rPr>
          <w:rFonts w:hint="eastAsia"/>
          <w:spacing w:val="2"/>
        </w:rPr>
        <w:t>；</w:t>
      </w:r>
      <w:hyperlink r:id="rId10" w:history="1">
        <w:r w:rsidRPr="00BD3533">
          <w:rPr>
            <w:rStyle w:val="af6"/>
            <w:spacing w:val="2"/>
          </w:rPr>
          <w:t>CEDAW/C/NAM/CO/6</w:t>
        </w:r>
      </w:hyperlink>
      <w:r w:rsidRPr="00541EE9">
        <w:t xml:space="preserve">, </w:t>
      </w:r>
      <w:r w:rsidRPr="00541EE9">
        <w:rPr>
          <w:rFonts w:hint="eastAsia"/>
        </w:rPr>
        <w:t>第</w:t>
      </w:r>
      <w:r w:rsidRPr="00541EE9">
        <w:t>27</w:t>
      </w:r>
      <w:r w:rsidRPr="00541EE9">
        <w:rPr>
          <w:rFonts w:hint="eastAsia"/>
        </w:rPr>
        <w:t>和</w:t>
      </w:r>
      <w:r w:rsidRPr="00541EE9">
        <w:t>28</w:t>
      </w:r>
      <w:r w:rsidRPr="00541EE9">
        <w:rPr>
          <w:rFonts w:hint="eastAsia"/>
        </w:rPr>
        <w:t>段。</w:t>
      </w:r>
    </w:p>
  </w:footnote>
  <w:footnote w:id="16">
    <w:p w14:paraId="5C0D526C" w14:textId="501D5427"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11" w:history="1">
        <w:r w:rsidRPr="004751E8">
          <w:rPr>
            <w:rStyle w:val="af6"/>
          </w:rPr>
          <w:t>CRC/C/NAM/CO/4-6</w:t>
        </w:r>
      </w:hyperlink>
      <w:r w:rsidRPr="00541EE9">
        <w:t xml:space="preserve">, </w:t>
      </w:r>
      <w:r w:rsidRPr="00541EE9">
        <w:rPr>
          <w:rFonts w:hint="eastAsia"/>
        </w:rPr>
        <w:t>第</w:t>
      </w:r>
      <w:r w:rsidRPr="00541EE9">
        <w:t>25</w:t>
      </w:r>
      <w:r w:rsidRPr="00541EE9">
        <w:rPr>
          <w:rFonts w:hint="eastAsia"/>
        </w:rPr>
        <w:t>段。</w:t>
      </w:r>
    </w:p>
  </w:footnote>
  <w:footnote w:id="17">
    <w:p w14:paraId="061FF326" w14:textId="0012EEB7"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12" w:history="1">
        <w:r w:rsidRPr="004751E8">
          <w:rPr>
            <w:rStyle w:val="af6"/>
          </w:rPr>
          <w:t>CCPR/C/NAM/CO/3</w:t>
        </w:r>
      </w:hyperlink>
      <w:r w:rsidRPr="00541EE9">
        <w:t xml:space="preserve">, </w:t>
      </w:r>
      <w:r w:rsidRPr="00541EE9">
        <w:rPr>
          <w:rFonts w:hint="eastAsia"/>
        </w:rPr>
        <w:t>第</w:t>
      </w:r>
      <w:r w:rsidRPr="00541EE9">
        <w:t>20</w:t>
      </w:r>
      <w:r w:rsidRPr="00541EE9">
        <w:rPr>
          <w:rFonts w:hint="eastAsia"/>
        </w:rPr>
        <w:t>和</w:t>
      </w:r>
      <w:r w:rsidRPr="00541EE9">
        <w:t>21</w:t>
      </w:r>
      <w:r w:rsidRPr="00541EE9">
        <w:rPr>
          <w:rFonts w:hint="eastAsia"/>
        </w:rPr>
        <w:t>段</w:t>
      </w:r>
      <w:r w:rsidR="00506151">
        <w:rPr>
          <w:rFonts w:hint="eastAsia"/>
        </w:rPr>
        <w:t>；</w:t>
      </w:r>
      <w:hyperlink r:id="rId13" w:history="1">
        <w:r w:rsidRPr="004751E8">
          <w:rPr>
            <w:rStyle w:val="af6"/>
          </w:rPr>
          <w:t>CRC/C/NAM/CO/4-6</w:t>
        </w:r>
      </w:hyperlink>
      <w:r w:rsidRPr="00541EE9">
        <w:t xml:space="preserve">, </w:t>
      </w:r>
      <w:r w:rsidRPr="00541EE9">
        <w:rPr>
          <w:rFonts w:hint="eastAsia"/>
        </w:rPr>
        <w:t>第</w:t>
      </w:r>
      <w:r w:rsidRPr="00541EE9">
        <w:t>45</w:t>
      </w:r>
      <w:r w:rsidRPr="00541EE9">
        <w:rPr>
          <w:rFonts w:hint="eastAsia"/>
        </w:rPr>
        <w:t>段。</w:t>
      </w:r>
    </w:p>
  </w:footnote>
  <w:footnote w:id="18">
    <w:p w14:paraId="12BF9A3A" w14:textId="5EA3C4CB" w:rsidR="00AC2717" w:rsidRPr="00541EE9" w:rsidRDefault="00AC2717" w:rsidP="00AC2717">
      <w:pPr>
        <w:pStyle w:val="a6"/>
      </w:pPr>
      <w:r w:rsidRPr="00541EE9">
        <w:tab/>
      </w:r>
      <w:r w:rsidRPr="004B50D0">
        <w:rPr>
          <w:rStyle w:val="a8"/>
          <w:rFonts w:eastAsia="宋体"/>
        </w:rPr>
        <w:footnoteRef/>
      </w:r>
      <w:r w:rsidRPr="00541EE9">
        <w:rPr>
          <w:rStyle w:val="a8"/>
          <w:rFonts w:eastAsia="宋体"/>
          <w:snapToGrid w:val="0"/>
          <w:sz w:val="18"/>
          <w:vertAlign w:val="baseline"/>
        </w:rPr>
        <w:tab/>
      </w:r>
      <w:hyperlink r:id="rId14" w:history="1">
        <w:r w:rsidRPr="004751E8">
          <w:rPr>
            <w:rStyle w:val="af6"/>
          </w:rPr>
          <w:t>CERD/C/NAM/CO/16-18</w:t>
        </w:r>
      </w:hyperlink>
      <w:r w:rsidRPr="00541EE9">
        <w:t xml:space="preserve">, </w:t>
      </w:r>
      <w:r w:rsidRPr="00541EE9">
        <w:rPr>
          <w:rFonts w:hint="eastAsia"/>
        </w:rPr>
        <w:t>第</w:t>
      </w:r>
      <w:r w:rsidRPr="00541EE9">
        <w:t>30</w:t>
      </w:r>
      <w:r w:rsidRPr="00541EE9">
        <w:rPr>
          <w:rFonts w:hint="eastAsia"/>
        </w:rPr>
        <w:t>和</w:t>
      </w:r>
      <w:r w:rsidRPr="00541EE9">
        <w:t>31</w:t>
      </w:r>
      <w:r w:rsidRPr="00541EE9">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806545" w14:textId="77777777" w:rsidR="008A5894" w:rsidRDefault="00AC2717" w:rsidP="00AC2717">
    <w:pPr>
      <w:pStyle w:val="af3"/>
    </w:pPr>
    <w:r>
      <w:t>CAT/C/NAM/CO/3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088C0" w14:textId="77777777" w:rsidR="008A5894" w:rsidRPr="00202A30" w:rsidRDefault="00AC2717" w:rsidP="00AC2717">
    <w:pPr>
      <w:pStyle w:val="af3"/>
      <w:jc w:val="right"/>
    </w:pPr>
    <w:r>
      <w:t>CAT/C/NAM/CO/3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98D1A2">
      <w:start w:val="1"/>
      <w:numFmt w:val="decimal"/>
      <w:lvlText w:val="%1."/>
      <w:lvlJc w:val="left"/>
      <w:pPr>
        <w:tabs>
          <w:tab w:val="num" w:pos="1701"/>
        </w:tabs>
        <w:ind w:left="1134" w:firstLine="0"/>
      </w:pPr>
      <w:rPr>
        <w:rFonts w:ascii="Times New Roman" w:hAnsi="Times New Roman" w:hint="default"/>
        <w:b w:val="0"/>
        <w:i w:val="0"/>
        <w:sz w:val="20"/>
      </w:rPr>
    </w:lvl>
    <w:lvl w:ilvl="1" w:tplc="D29C286A" w:tentative="1">
      <w:start w:val="1"/>
      <w:numFmt w:val="lowerLetter"/>
      <w:lvlText w:val="%2."/>
      <w:lvlJc w:val="left"/>
      <w:pPr>
        <w:tabs>
          <w:tab w:val="num" w:pos="1440"/>
        </w:tabs>
        <w:ind w:left="1440" w:hanging="360"/>
      </w:pPr>
    </w:lvl>
    <w:lvl w:ilvl="2" w:tplc="DF5A3828" w:tentative="1">
      <w:start w:val="1"/>
      <w:numFmt w:val="lowerRoman"/>
      <w:lvlText w:val="%3."/>
      <w:lvlJc w:val="right"/>
      <w:pPr>
        <w:tabs>
          <w:tab w:val="num" w:pos="2160"/>
        </w:tabs>
        <w:ind w:left="2160" w:hanging="180"/>
      </w:pPr>
    </w:lvl>
    <w:lvl w:ilvl="3" w:tplc="E99A4A46" w:tentative="1">
      <w:start w:val="1"/>
      <w:numFmt w:val="decimal"/>
      <w:lvlText w:val="%4."/>
      <w:lvlJc w:val="left"/>
      <w:pPr>
        <w:tabs>
          <w:tab w:val="num" w:pos="2880"/>
        </w:tabs>
        <w:ind w:left="2880" w:hanging="360"/>
      </w:pPr>
    </w:lvl>
    <w:lvl w:ilvl="4" w:tplc="CC7C3812" w:tentative="1">
      <w:start w:val="1"/>
      <w:numFmt w:val="lowerLetter"/>
      <w:lvlText w:val="%5."/>
      <w:lvlJc w:val="left"/>
      <w:pPr>
        <w:tabs>
          <w:tab w:val="num" w:pos="3600"/>
        </w:tabs>
        <w:ind w:left="3600" w:hanging="360"/>
      </w:pPr>
    </w:lvl>
    <w:lvl w:ilvl="5" w:tplc="98325856" w:tentative="1">
      <w:start w:val="1"/>
      <w:numFmt w:val="lowerRoman"/>
      <w:lvlText w:val="%6."/>
      <w:lvlJc w:val="right"/>
      <w:pPr>
        <w:tabs>
          <w:tab w:val="num" w:pos="4320"/>
        </w:tabs>
        <w:ind w:left="4320" w:hanging="180"/>
      </w:pPr>
    </w:lvl>
    <w:lvl w:ilvl="6" w:tplc="47366BCA" w:tentative="1">
      <w:start w:val="1"/>
      <w:numFmt w:val="decimal"/>
      <w:lvlText w:val="%7."/>
      <w:lvlJc w:val="left"/>
      <w:pPr>
        <w:tabs>
          <w:tab w:val="num" w:pos="5040"/>
        </w:tabs>
        <w:ind w:left="5040" w:hanging="360"/>
      </w:pPr>
    </w:lvl>
    <w:lvl w:ilvl="7" w:tplc="815411A0" w:tentative="1">
      <w:start w:val="1"/>
      <w:numFmt w:val="lowerLetter"/>
      <w:lvlText w:val="%8."/>
      <w:lvlJc w:val="left"/>
      <w:pPr>
        <w:tabs>
          <w:tab w:val="num" w:pos="5760"/>
        </w:tabs>
        <w:ind w:left="5760" w:hanging="360"/>
      </w:pPr>
    </w:lvl>
    <w:lvl w:ilvl="8" w:tplc="A04E440E"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233F4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1" w15:restartNumberingAfterBreak="0">
    <w:nsid w:val="295C67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2AA0C8C8">
      <w:start w:val="1"/>
      <w:numFmt w:val="bullet"/>
      <w:lvlText w:val="•"/>
      <w:lvlJc w:val="left"/>
      <w:pPr>
        <w:tabs>
          <w:tab w:val="num" w:pos="2268"/>
        </w:tabs>
        <w:ind w:left="2268" w:hanging="170"/>
      </w:pPr>
      <w:rPr>
        <w:rFonts w:ascii="Times New Roman" w:hAnsi="Times New Roman" w:cs="Times New Roman" w:hint="default"/>
      </w:rPr>
    </w:lvl>
    <w:lvl w:ilvl="1" w:tplc="4B3461D6" w:tentative="1">
      <w:start w:val="1"/>
      <w:numFmt w:val="bullet"/>
      <w:lvlText w:val="o"/>
      <w:lvlJc w:val="left"/>
      <w:pPr>
        <w:tabs>
          <w:tab w:val="num" w:pos="3708"/>
        </w:tabs>
        <w:ind w:left="3708" w:hanging="360"/>
      </w:pPr>
      <w:rPr>
        <w:rFonts w:ascii="Courier New" w:hAnsi="Courier New" w:hint="default"/>
      </w:rPr>
    </w:lvl>
    <w:lvl w:ilvl="2" w:tplc="E5FC70E8" w:tentative="1">
      <w:start w:val="1"/>
      <w:numFmt w:val="bullet"/>
      <w:lvlText w:val=""/>
      <w:lvlJc w:val="left"/>
      <w:pPr>
        <w:tabs>
          <w:tab w:val="num" w:pos="4428"/>
        </w:tabs>
        <w:ind w:left="4428" w:hanging="360"/>
      </w:pPr>
      <w:rPr>
        <w:rFonts w:ascii="Wingdings" w:hAnsi="Wingdings" w:hint="default"/>
      </w:rPr>
    </w:lvl>
    <w:lvl w:ilvl="3" w:tplc="013213E6" w:tentative="1">
      <w:start w:val="1"/>
      <w:numFmt w:val="bullet"/>
      <w:lvlText w:val=""/>
      <w:lvlJc w:val="left"/>
      <w:pPr>
        <w:tabs>
          <w:tab w:val="num" w:pos="5148"/>
        </w:tabs>
        <w:ind w:left="5148" w:hanging="360"/>
      </w:pPr>
      <w:rPr>
        <w:rFonts w:ascii="Symbol" w:hAnsi="Symbol" w:hint="default"/>
      </w:rPr>
    </w:lvl>
    <w:lvl w:ilvl="4" w:tplc="E4B6C552" w:tentative="1">
      <w:start w:val="1"/>
      <w:numFmt w:val="bullet"/>
      <w:lvlText w:val="o"/>
      <w:lvlJc w:val="left"/>
      <w:pPr>
        <w:tabs>
          <w:tab w:val="num" w:pos="5868"/>
        </w:tabs>
        <w:ind w:left="5868" w:hanging="360"/>
      </w:pPr>
      <w:rPr>
        <w:rFonts w:ascii="Courier New" w:hAnsi="Courier New" w:hint="default"/>
      </w:rPr>
    </w:lvl>
    <w:lvl w:ilvl="5" w:tplc="70BEA808" w:tentative="1">
      <w:start w:val="1"/>
      <w:numFmt w:val="bullet"/>
      <w:lvlText w:val=""/>
      <w:lvlJc w:val="left"/>
      <w:pPr>
        <w:tabs>
          <w:tab w:val="num" w:pos="6588"/>
        </w:tabs>
        <w:ind w:left="6588" w:hanging="360"/>
      </w:pPr>
      <w:rPr>
        <w:rFonts w:ascii="Wingdings" w:hAnsi="Wingdings" w:hint="default"/>
      </w:rPr>
    </w:lvl>
    <w:lvl w:ilvl="6" w:tplc="E304B4A0" w:tentative="1">
      <w:start w:val="1"/>
      <w:numFmt w:val="bullet"/>
      <w:lvlText w:val=""/>
      <w:lvlJc w:val="left"/>
      <w:pPr>
        <w:tabs>
          <w:tab w:val="num" w:pos="7308"/>
        </w:tabs>
        <w:ind w:left="7308" w:hanging="360"/>
      </w:pPr>
      <w:rPr>
        <w:rFonts w:ascii="Symbol" w:hAnsi="Symbol" w:hint="default"/>
      </w:rPr>
    </w:lvl>
    <w:lvl w:ilvl="7" w:tplc="EF4A7794" w:tentative="1">
      <w:start w:val="1"/>
      <w:numFmt w:val="bullet"/>
      <w:lvlText w:val="o"/>
      <w:lvlJc w:val="left"/>
      <w:pPr>
        <w:tabs>
          <w:tab w:val="num" w:pos="8028"/>
        </w:tabs>
        <w:ind w:left="8028" w:hanging="360"/>
      </w:pPr>
      <w:rPr>
        <w:rFonts w:ascii="Courier New" w:hAnsi="Courier New" w:hint="default"/>
      </w:rPr>
    </w:lvl>
    <w:lvl w:ilvl="8" w:tplc="0D68C954"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8AD07B2"/>
    <w:multiLevelType w:val="hybridMultilevel"/>
    <w:tmpl w:val="7FEE3222"/>
    <w:lvl w:ilvl="0" w:tplc="8DA4748A">
      <w:start w:val="1"/>
      <w:numFmt w:val="bullet"/>
      <w:lvlText w:val="•"/>
      <w:lvlJc w:val="left"/>
      <w:pPr>
        <w:tabs>
          <w:tab w:val="num" w:pos="1701"/>
        </w:tabs>
        <w:ind w:left="1701" w:hanging="170"/>
      </w:pPr>
      <w:rPr>
        <w:rFonts w:ascii="Times New Roman" w:hAnsi="Times New Roman" w:cs="Times New Roman" w:hint="default"/>
      </w:rPr>
    </w:lvl>
    <w:lvl w:ilvl="1" w:tplc="465A4226" w:tentative="1">
      <w:start w:val="1"/>
      <w:numFmt w:val="bullet"/>
      <w:lvlText w:val="o"/>
      <w:lvlJc w:val="left"/>
      <w:pPr>
        <w:tabs>
          <w:tab w:val="num" w:pos="3141"/>
        </w:tabs>
        <w:ind w:left="3141" w:hanging="360"/>
      </w:pPr>
      <w:rPr>
        <w:rFonts w:ascii="Courier New" w:hAnsi="Courier New" w:hint="default"/>
      </w:rPr>
    </w:lvl>
    <w:lvl w:ilvl="2" w:tplc="06425348" w:tentative="1">
      <w:start w:val="1"/>
      <w:numFmt w:val="bullet"/>
      <w:lvlText w:val=""/>
      <w:lvlJc w:val="left"/>
      <w:pPr>
        <w:tabs>
          <w:tab w:val="num" w:pos="3861"/>
        </w:tabs>
        <w:ind w:left="3861" w:hanging="360"/>
      </w:pPr>
      <w:rPr>
        <w:rFonts w:ascii="Wingdings" w:hAnsi="Wingdings" w:hint="default"/>
      </w:rPr>
    </w:lvl>
    <w:lvl w:ilvl="3" w:tplc="7828204E" w:tentative="1">
      <w:start w:val="1"/>
      <w:numFmt w:val="bullet"/>
      <w:lvlText w:val=""/>
      <w:lvlJc w:val="left"/>
      <w:pPr>
        <w:tabs>
          <w:tab w:val="num" w:pos="4581"/>
        </w:tabs>
        <w:ind w:left="4581" w:hanging="360"/>
      </w:pPr>
      <w:rPr>
        <w:rFonts w:ascii="Symbol" w:hAnsi="Symbol" w:hint="default"/>
      </w:rPr>
    </w:lvl>
    <w:lvl w:ilvl="4" w:tplc="B774547A" w:tentative="1">
      <w:start w:val="1"/>
      <w:numFmt w:val="bullet"/>
      <w:lvlText w:val="o"/>
      <w:lvlJc w:val="left"/>
      <w:pPr>
        <w:tabs>
          <w:tab w:val="num" w:pos="5301"/>
        </w:tabs>
        <w:ind w:left="5301" w:hanging="360"/>
      </w:pPr>
      <w:rPr>
        <w:rFonts w:ascii="Courier New" w:hAnsi="Courier New" w:hint="default"/>
      </w:rPr>
    </w:lvl>
    <w:lvl w:ilvl="5" w:tplc="326CD9E8" w:tentative="1">
      <w:start w:val="1"/>
      <w:numFmt w:val="bullet"/>
      <w:lvlText w:val=""/>
      <w:lvlJc w:val="left"/>
      <w:pPr>
        <w:tabs>
          <w:tab w:val="num" w:pos="6021"/>
        </w:tabs>
        <w:ind w:left="6021" w:hanging="360"/>
      </w:pPr>
      <w:rPr>
        <w:rFonts w:ascii="Wingdings" w:hAnsi="Wingdings" w:hint="default"/>
      </w:rPr>
    </w:lvl>
    <w:lvl w:ilvl="6" w:tplc="45EA83EC" w:tentative="1">
      <w:start w:val="1"/>
      <w:numFmt w:val="bullet"/>
      <w:lvlText w:val=""/>
      <w:lvlJc w:val="left"/>
      <w:pPr>
        <w:tabs>
          <w:tab w:val="num" w:pos="6741"/>
        </w:tabs>
        <w:ind w:left="6741" w:hanging="360"/>
      </w:pPr>
      <w:rPr>
        <w:rFonts w:ascii="Symbol" w:hAnsi="Symbol" w:hint="default"/>
      </w:rPr>
    </w:lvl>
    <w:lvl w:ilvl="7" w:tplc="60A2AB44" w:tentative="1">
      <w:start w:val="1"/>
      <w:numFmt w:val="bullet"/>
      <w:lvlText w:val="o"/>
      <w:lvlJc w:val="left"/>
      <w:pPr>
        <w:tabs>
          <w:tab w:val="num" w:pos="7461"/>
        </w:tabs>
        <w:ind w:left="7461" w:hanging="360"/>
      </w:pPr>
      <w:rPr>
        <w:rFonts w:ascii="Courier New" w:hAnsi="Courier New" w:hint="default"/>
      </w:rPr>
    </w:lvl>
    <w:lvl w:ilvl="8" w:tplc="E768403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423F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F9E48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2711909">
    <w:abstractNumId w:val="12"/>
  </w:num>
  <w:num w:numId="2" w16cid:durableId="761141428">
    <w:abstractNumId w:val="30"/>
  </w:num>
  <w:num w:numId="3" w16cid:durableId="121465882">
    <w:abstractNumId w:val="14"/>
  </w:num>
  <w:num w:numId="4" w16cid:durableId="78404621">
    <w:abstractNumId w:val="8"/>
  </w:num>
  <w:num w:numId="5" w16cid:durableId="11199579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5"/>
  </w:num>
  <w:num w:numId="8" w16cid:durableId="481503494">
    <w:abstractNumId w:val="20"/>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8"/>
  </w:num>
  <w:num w:numId="19" w16cid:durableId="1311061048">
    <w:abstractNumId w:val="29"/>
  </w:num>
  <w:num w:numId="20" w16cid:durableId="721320761">
    <w:abstractNumId w:val="22"/>
  </w:num>
  <w:num w:numId="21" w16cid:durableId="206529638">
    <w:abstractNumId w:val="19"/>
  </w:num>
  <w:num w:numId="22" w16cid:durableId="696350335">
    <w:abstractNumId w:val="10"/>
  </w:num>
  <w:num w:numId="23" w16cid:durableId="1816992078">
    <w:abstractNumId w:val="27"/>
  </w:num>
  <w:num w:numId="24" w16cid:durableId="1538933287">
    <w:abstractNumId w:val="17"/>
  </w:num>
  <w:num w:numId="25" w16cid:durableId="1534343499">
    <w:abstractNumId w:val="33"/>
  </w:num>
  <w:num w:numId="26" w16cid:durableId="1494711762">
    <w:abstractNumId w:val="16"/>
  </w:num>
  <w:num w:numId="27" w16cid:durableId="986515179">
    <w:abstractNumId w:val="13"/>
  </w:num>
  <w:num w:numId="28" w16cid:durableId="1905287838">
    <w:abstractNumId w:val="26"/>
  </w:num>
  <w:num w:numId="29" w16cid:durableId="2080010068">
    <w:abstractNumId w:val="24"/>
  </w:num>
  <w:num w:numId="30" w16cid:durableId="1880240055">
    <w:abstractNumId w:val="32"/>
  </w:num>
  <w:num w:numId="31" w16cid:durableId="768239347">
    <w:abstractNumId w:val="23"/>
  </w:num>
  <w:num w:numId="32" w16cid:durableId="61759348">
    <w:abstractNumId w:val="11"/>
  </w:num>
  <w:num w:numId="33" w16cid:durableId="29963221">
    <w:abstractNumId w:val="21"/>
  </w:num>
  <w:num w:numId="34" w16cid:durableId="296953426">
    <w:abstractNumId w:val="28"/>
  </w:num>
  <w:num w:numId="35" w16cid:durableId="781533419">
    <w:abstractNumId w:val="25"/>
  </w:num>
  <w:num w:numId="36" w16cid:durableId="166875195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9D"/>
    <w:rsid w:val="00005AA7"/>
    <w:rsid w:val="00011483"/>
    <w:rsid w:val="0003324B"/>
    <w:rsid w:val="00065F7E"/>
    <w:rsid w:val="00080803"/>
    <w:rsid w:val="00091633"/>
    <w:rsid w:val="000A0B81"/>
    <w:rsid w:val="000B0E35"/>
    <w:rsid w:val="000D319F"/>
    <w:rsid w:val="000D637D"/>
    <w:rsid w:val="000E4D0E"/>
    <w:rsid w:val="00121B4A"/>
    <w:rsid w:val="00127B09"/>
    <w:rsid w:val="00134560"/>
    <w:rsid w:val="00144B69"/>
    <w:rsid w:val="00153E86"/>
    <w:rsid w:val="00155102"/>
    <w:rsid w:val="00192831"/>
    <w:rsid w:val="001973D9"/>
    <w:rsid w:val="001B1BD1"/>
    <w:rsid w:val="001C3EF2"/>
    <w:rsid w:val="001D17F6"/>
    <w:rsid w:val="00204B42"/>
    <w:rsid w:val="00206268"/>
    <w:rsid w:val="002231C3"/>
    <w:rsid w:val="00241057"/>
    <w:rsid w:val="0024417F"/>
    <w:rsid w:val="00250F8D"/>
    <w:rsid w:val="00256EC7"/>
    <w:rsid w:val="002944C2"/>
    <w:rsid w:val="002966D9"/>
    <w:rsid w:val="002D14FC"/>
    <w:rsid w:val="002E1C97"/>
    <w:rsid w:val="002E3254"/>
    <w:rsid w:val="002F0F24"/>
    <w:rsid w:val="002F5834"/>
    <w:rsid w:val="003006AB"/>
    <w:rsid w:val="00326EBF"/>
    <w:rsid w:val="00327FE4"/>
    <w:rsid w:val="00335E8A"/>
    <w:rsid w:val="00352798"/>
    <w:rsid w:val="003A25BA"/>
    <w:rsid w:val="003C5C17"/>
    <w:rsid w:val="003C6475"/>
    <w:rsid w:val="003D629B"/>
    <w:rsid w:val="003E319D"/>
    <w:rsid w:val="00427F63"/>
    <w:rsid w:val="00434D38"/>
    <w:rsid w:val="004751E8"/>
    <w:rsid w:val="00494EB8"/>
    <w:rsid w:val="004A34AA"/>
    <w:rsid w:val="004C135D"/>
    <w:rsid w:val="004C4A0A"/>
    <w:rsid w:val="004E5055"/>
    <w:rsid w:val="00501220"/>
    <w:rsid w:val="00506151"/>
    <w:rsid w:val="005124D0"/>
    <w:rsid w:val="005344F6"/>
    <w:rsid w:val="00540C1B"/>
    <w:rsid w:val="005505A1"/>
    <w:rsid w:val="00550A95"/>
    <w:rsid w:val="00566A7D"/>
    <w:rsid w:val="00595EB4"/>
    <w:rsid w:val="00597013"/>
    <w:rsid w:val="005A48BF"/>
    <w:rsid w:val="005B4286"/>
    <w:rsid w:val="005B5D35"/>
    <w:rsid w:val="005B7085"/>
    <w:rsid w:val="005D337E"/>
    <w:rsid w:val="005E403A"/>
    <w:rsid w:val="0061399D"/>
    <w:rsid w:val="00614C57"/>
    <w:rsid w:val="00631320"/>
    <w:rsid w:val="00640746"/>
    <w:rsid w:val="0066574B"/>
    <w:rsid w:val="00680656"/>
    <w:rsid w:val="006B07B3"/>
    <w:rsid w:val="006B1119"/>
    <w:rsid w:val="006C70CF"/>
    <w:rsid w:val="006E3E46"/>
    <w:rsid w:val="006E71B1"/>
    <w:rsid w:val="0070593B"/>
    <w:rsid w:val="00705D89"/>
    <w:rsid w:val="00731A42"/>
    <w:rsid w:val="00767AF7"/>
    <w:rsid w:val="00767E69"/>
    <w:rsid w:val="0077079A"/>
    <w:rsid w:val="0079294F"/>
    <w:rsid w:val="007A5599"/>
    <w:rsid w:val="007D7A4A"/>
    <w:rsid w:val="00831F30"/>
    <w:rsid w:val="0084154F"/>
    <w:rsid w:val="00856233"/>
    <w:rsid w:val="00860014"/>
    <w:rsid w:val="00860F27"/>
    <w:rsid w:val="00877D63"/>
    <w:rsid w:val="00892E66"/>
    <w:rsid w:val="008A5894"/>
    <w:rsid w:val="008B0560"/>
    <w:rsid w:val="008B2BFA"/>
    <w:rsid w:val="008D149F"/>
    <w:rsid w:val="008E6A3F"/>
    <w:rsid w:val="00905E67"/>
    <w:rsid w:val="0093002D"/>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739A"/>
    <w:rsid w:val="00A52DAF"/>
    <w:rsid w:val="00A54D23"/>
    <w:rsid w:val="00A6385B"/>
    <w:rsid w:val="00A73880"/>
    <w:rsid w:val="00A754DC"/>
    <w:rsid w:val="00A84072"/>
    <w:rsid w:val="00A94CBF"/>
    <w:rsid w:val="00AB5964"/>
    <w:rsid w:val="00AC2717"/>
    <w:rsid w:val="00AE6DF1"/>
    <w:rsid w:val="00B0756E"/>
    <w:rsid w:val="00B16570"/>
    <w:rsid w:val="00B23B03"/>
    <w:rsid w:val="00B43EB7"/>
    <w:rsid w:val="00B445D1"/>
    <w:rsid w:val="00B53320"/>
    <w:rsid w:val="00B71DC1"/>
    <w:rsid w:val="00BB7E9D"/>
    <w:rsid w:val="00BC6522"/>
    <w:rsid w:val="00BD3533"/>
    <w:rsid w:val="00BE03FD"/>
    <w:rsid w:val="00BF2A04"/>
    <w:rsid w:val="00C121D5"/>
    <w:rsid w:val="00C1625F"/>
    <w:rsid w:val="00C17146"/>
    <w:rsid w:val="00C17349"/>
    <w:rsid w:val="00C222E7"/>
    <w:rsid w:val="00C22DE0"/>
    <w:rsid w:val="00C351AA"/>
    <w:rsid w:val="00C7253F"/>
    <w:rsid w:val="00C859B3"/>
    <w:rsid w:val="00C95189"/>
    <w:rsid w:val="00D26A05"/>
    <w:rsid w:val="00D26E1F"/>
    <w:rsid w:val="00D7253D"/>
    <w:rsid w:val="00D81279"/>
    <w:rsid w:val="00D823A9"/>
    <w:rsid w:val="00D97B98"/>
    <w:rsid w:val="00DC18BF"/>
    <w:rsid w:val="00DC671F"/>
    <w:rsid w:val="00DE4DA7"/>
    <w:rsid w:val="00E245ED"/>
    <w:rsid w:val="00E33B38"/>
    <w:rsid w:val="00E431F2"/>
    <w:rsid w:val="00E47FE5"/>
    <w:rsid w:val="00E572EF"/>
    <w:rsid w:val="00E574AF"/>
    <w:rsid w:val="00E70FD4"/>
    <w:rsid w:val="00EF40DA"/>
    <w:rsid w:val="00F24E6D"/>
    <w:rsid w:val="00F57165"/>
    <w:rsid w:val="00F714DA"/>
    <w:rsid w:val="00F72137"/>
    <w:rsid w:val="00F96BD3"/>
    <w:rsid w:val="00FA1CD2"/>
    <w:rsid w:val="00FB456B"/>
    <w:rsid w:val="00FB7EFE"/>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A2AA7"/>
  <w15:docId w15:val="{E1B979B4-B9B5-4DFC-B273-8CE4D4638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AC2717"/>
    <w:rPr>
      <w:color w:val="0000FF"/>
      <w:u w:val="none"/>
    </w:rPr>
  </w:style>
  <w:style w:type="character" w:styleId="af7">
    <w:name w:val="FollowedHyperlink"/>
    <w:basedOn w:val="a0"/>
    <w:uiPriority w:val="99"/>
    <w:semiHidden/>
    <w:rsid w:val="00AC2717"/>
    <w:rPr>
      <w:color w:val="0000FF"/>
      <w:u w:val="none"/>
    </w:rPr>
  </w:style>
  <w:style w:type="paragraph" w:styleId="af8">
    <w:name w:val="macro"/>
    <w:link w:val="af9"/>
    <w:semiHidden/>
    <w:rsid w:val="00AC2717"/>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AC2717"/>
    <w:rPr>
      <w:kern w:val="24"/>
      <w:sz w:val="24"/>
      <w:szCs w:val="24"/>
    </w:rPr>
  </w:style>
  <w:style w:type="paragraph" w:styleId="afa">
    <w:name w:val="Subtitle"/>
    <w:basedOn w:val="a"/>
    <w:next w:val="a"/>
    <w:link w:val="afb"/>
    <w:uiPriority w:val="11"/>
    <w:semiHidden/>
    <w:rsid w:val="00AC2717"/>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AC2717"/>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AC2717"/>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AC2717"/>
    <w:rPr>
      <w:i/>
      <w:iCs/>
      <w:color w:val="404040" w:themeColor="text1" w:themeTint="BF"/>
      <w:sz w:val="21"/>
      <w:szCs w:val="21"/>
    </w:rPr>
  </w:style>
  <w:style w:type="paragraph" w:styleId="afe">
    <w:name w:val="List Paragraph"/>
    <w:basedOn w:val="a"/>
    <w:uiPriority w:val="34"/>
    <w:rsid w:val="00AC2717"/>
    <w:pPr>
      <w:ind w:left="720"/>
      <w:contextualSpacing/>
    </w:pPr>
    <w:rPr>
      <w:snapToGrid/>
      <w:szCs w:val="21"/>
    </w:rPr>
  </w:style>
  <w:style w:type="character" w:styleId="aff">
    <w:name w:val="Intense Emphasis"/>
    <w:basedOn w:val="a0"/>
    <w:uiPriority w:val="21"/>
    <w:rsid w:val="00AC2717"/>
    <w:rPr>
      <w:i/>
      <w:iCs/>
      <w:color w:val="365F91" w:themeColor="accent1" w:themeShade="BF"/>
    </w:rPr>
  </w:style>
  <w:style w:type="paragraph" w:styleId="aff0">
    <w:name w:val="Intense Quote"/>
    <w:basedOn w:val="a"/>
    <w:next w:val="a"/>
    <w:link w:val="aff1"/>
    <w:uiPriority w:val="30"/>
    <w:rsid w:val="00AC2717"/>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AC2717"/>
    <w:rPr>
      <w:i/>
      <w:iCs/>
      <w:color w:val="365F91" w:themeColor="accent1" w:themeShade="BF"/>
      <w:sz w:val="21"/>
      <w:szCs w:val="21"/>
    </w:rPr>
  </w:style>
  <w:style w:type="character" w:styleId="aff2">
    <w:name w:val="Intense Reference"/>
    <w:basedOn w:val="a0"/>
    <w:uiPriority w:val="32"/>
    <w:rsid w:val="00AC2717"/>
    <w:rPr>
      <w:b/>
      <w:bCs/>
      <w:smallCaps/>
      <w:color w:val="365F91" w:themeColor="accent1" w:themeShade="BF"/>
      <w:spacing w:val="5"/>
    </w:rPr>
  </w:style>
  <w:style w:type="character" w:styleId="aff3">
    <w:name w:val="Book Title"/>
    <w:basedOn w:val="a0"/>
    <w:uiPriority w:val="33"/>
    <w:rsid w:val="00AC2717"/>
    <w:rPr>
      <w:b/>
      <w:bCs/>
      <w:smallCaps/>
      <w:spacing w:val="5"/>
    </w:rPr>
  </w:style>
  <w:style w:type="paragraph" w:styleId="aff4">
    <w:name w:val="Balloon Text"/>
    <w:basedOn w:val="a"/>
    <w:link w:val="aff5"/>
    <w:uiPriority w:val="99"/>
    <w:semiHidden/>
    <w:unhideWhenUsed/>
    <w:rsid w:val="00AC2717"/>
    <w:pPr>
      <w:spacing w:line="240" w:lineRule="auto"/>
    </w:pPr>
    <w:rPr>
      <w:rFonts w:ascii="Tahoma" w:hAnsi="Tahoma" w:cs="Tahoma"/>
      <w:snapToGrid/>
      <w:sz w:val="16"/>
      <w:szCs w:val="16"/>
    </w:rPr>
  </w:style>
  <w:style w:type="character" w:customStyle="1" w:styleId="aff5">
    <w:name w:val="批注框文本 字符"/>
    <w:basedOn w:val="a0"/>
    <w:link w:val="aff4"/>
    <w:uiPriority w:val="99"/>
    <w:semiHidden/>
    <w:rsid w:val="00AC2717"/>
    <w:rPr>
      <w:rFonts w:ascii="Tahoma" w:hAnsi="Tahoma" w:cs="Tahoma"/>
      <w:sz w:val="16"/>
      <w:szCs w:val="16"/>
    </w:rPr>
  </w:style>
  <w:style w:type="paragraph" w:styleId="aff6">
    <w:name w:val="Revision"/>
    <w:hidden/>
    <w:uiPriority w:val="99"/>
    <w:semiHidden/>
    <w:rsid w:val="00AC2717"/>
    <w:rPr>
      <w:rFonts w:eastAsia="Times New Roman"/>
      <w:lang w:val="en-GB" w:eastAsia="en-US"/>
    </w:rPr>
  </w:style>
  <w:style w:type="character" w:styleId="aff7">
    <w:name w:val="Unresolved Mention"/>
    <w:basedOn w:val="a0"/>
    <w:uiPriority w:val="99"/>
    <w:semiHidden/>
    <w:unhideWhenUsed/>
    <w:rsid w:val="00AC27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NAM/CO/4-6" TargetMode="External"/><Relationship Id="rId13" Type="http://schemas.openxmlformats.org/officeDocument/2006/relationships/hyperlink" Target="http://undocs.org/ch/CRC/C/NAM/CO/4-6" TargetMode="External"/><Relationship Id="rId3" Type="http://schemas.openxmlformats.org/officeDocument/2006/relationships/hyperlink" Target="http://undocs.org/ch/A/HRC/48/4/Add.1" TargetMode="External"/><Relationship Id="rId7" Type="http://schemas.openxmlformats.org/officeDocument/2006/relationships/hyperlink" Target="http://undocs.org/ch/CAT/C/NAM/CO/2" TargetMode="External"/><Relationship Id="rId12" Type="http://schemas.openxmlformats.org/officeDocument/2006/relationships/hyperlink" Target="http://undocs.org/ch/CCPR/C/NAM/CO/3" TargetMode="External"/><Relationship Id="rId2" Type="http://schemas.openxmlformats.org/officeDocument/2006/relationships/hyperlink" Target="https://tbinternet.ohchr.org/_layouts/15/treatybodyexternal/Download.aspx?symbolno=INT%2FCAT%2FFUL%2FNAM%2F32200&amp;Lang=en" TargetMode="External"/><Relationship Id="rId1" Type="http://schemas.openxmlformats.org/officeDocument/2006/relationships/hyperlink" Target="http://undocs.org/ch/CAT/C/NAM/CO/2" TargetMode="External"/><Relationship Id="rId6" Type="http://schemas.openxmlformats.org/officeDocument/2006/relationships/hyperlink" Target="http://undocs.org/ch/CRC/C/NAM/CO/4-6" TargetMode="External"/><Relationship Id="rId11" Type="http://schemas.openxmlformats.org/officeDocument/2006/relationships/hyperlink" Target="http://undocs.org/ch/CRC/C/NAM/CO/4-6" TargetMode="External"/><Relationship Id="rId5" Type="http://schemas.openxmlformats.org/officeDocument/2006/relationships/hyperlink" Target="http://undocs.org/ch/CAT/C/NAM/CO/2" TargetMode="External"/><Relationship Id="rId10" Type="http://schemas.openxmlformats.org/officeDocument/2006/relationships/hyperlink" Target="http://undocs.org/ch/CEDAW/C/NAM/CO/6" TargetMode="External"/><Relationship Id="rId4" Type="http://schemas.openxmlformats.org/officeDocument/2006/relationships/hyperlink" Target="http://undocs.org/ch/A/HRC/48/4" TargetMode="External"/><Relationship Id="rId9" Type="http://schemas.openxmlformats.org/officeDocument/2006/relationships/hyperlink" Target="http://undocs.org/ch/CERD/C/NAM/CO/16-18" TargetMode="External"/><Relationship Id="rId14" Type="http://schemas.openxmlformats.org/officeDocument/2006/relationships/hyperlink" Target="http://undocs.org/ch/CERD/C/NAM/CO/1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11811</Words>
  <Characters>12432</Characters>
  <Application>Microsoft Office Word</Application>
  <DocSecurity>0</DocSecurity>
  <Lines>420</Lines>
  <Paragraphs>120</Paragraphs>
  <ScaleCrop>false</ScaleCrop>
  <Company>DCM</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CAT/C/NAM/CO/3</dc:title>
  <dc:subject>2422240</dc:subject>
  <dc:creator>tt</dc:creator>
  <cp:keywords/>
  <dc:description/>
  <cp:lastModifiedBy>Ting TANG</cp:lastModifiedBy>
  <cp:revision>2</cp:revision>
  <cp:lastPrinted>2014-05-09T11:28:00Z</cp:lastPrinted>
  <dcterms:created xsi:type="dcterms:W3CDTF">2024-12-19T12:33:00Z</dcterms:created>
  <dcterms:modified xsi:type="dcterms:W3CDTF">2024-12-19T12:33:00Z</dcterms:modified>
</cp:coreProperties>
</file>