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31739B">
      <w:pPr>
        <w:spacing w:after="320"/>
        <w:textAlignment w:val="center"/>
      </w:pPr>
      <w:r>
        <w:t>1999</w:t>
      </w:r>
      <w:r>
        <w:rPr>
          <w:rFonts w:hint="eastAsia"/>
        </w:rPr>
        <w:t>年实质性会议</w:t>
      </w:r>
    </w:p>
    <w:p w:rsidR="00000000" w:rsidRDefault="0031739B">
      <w:pPr>
        <w:pStyle w:val="Heading2"/>
      </w:pPr>
    </w:p>
    <w:p w:rsidR="00000000" w:rsidRDefault="0031739B">
      <w:pPr>
        <w:pStyle w:val="Heading2"/>
      </w:pPr>
      <w:r>
        <w:rPr>
          <w:rFonts w:hint="eastAsia"/>
        </w:rPr>
        <w:t>《经济、社会、文化权利国际盟约》的执行情况</w:t>
      </w:r>
    </w:p>
    <w:p w:rsidR="00000000" w:rsidRDefault="0031739B">
      <w:pPr>
        <w:pStyle w:val="Heading3"/>
      </w:pPr>
      <w:r>
        <w:rPr>
          <w:rFonts w:hint="eastAsia"/>
        </w:rPr>
        <w:t>按照经济及社会理事会第</w:t>
      </w:r>
      <w:r>
        <w:t>1988/4</w:t>
      </w:r>
      <w:r>
        <w:rPr>
          <w:rFonts w:hint="eastAsia"/>
        </w:rPr>
        <w:t>号决议制定的方案</w:t>
      </w:r>
      <w:r>
        <w:br/>
      </w:r>
      <w:r>
        <w:rPr>
          <w:rFonts w:hint="eastAsia"/>
        </w:rPr>
        <w:t>缔约国根据《盟约》第</w:t>
      </w:r>
      <w:r>
        <w:t>16</w:t>
      </w:r>
      <w:r>
        <w:rPr>
          <w:rFonts w:hint="eastAsia"/>
        </w:rPr>
        <w:t>和第</w:t>
      </w:r>
      <w:r>
        <w:t>17</w:t>
      </w:r>
      <w:r>
        <w:rPr>
          <w:rFonts w:hint="eastAsia"/>
        </w:rPr>
        <w:t>条</w:t>
      </w:r>
      <w:r>
        <w:br/>
      </w:r>
      <w:r>
        <w:rPr>
          <w:rFonts w:hint="eastAsia"/>
        </w:rPr>
        <w:t>提出的第二份定期报告</w:t>
      </w:r>
    </w:p>
    <w:p w:rsidR="00000000" w:rsidRDefault="0031739B">
      <w:pPr>
        <w:pStyle w:val="Heading3"/>
      </w:pPr>
      <w:r>
        <w:rPr>
          <w:rFonts w:hint="eastAsia"/>
        </w:rPr>
        <w:t>增</w:t>
      </w:r>
      <w:r>
        <w:t xml:space="preserve">  </w:t>
      </w:r>
      <w:r>
        <w:rPr>
          <w:rFonts w:hint="eastAsia"/>
        </w:rPr>
        <w:t>编</w:t>
      </w:r>
    </w:p>
    <w:p w:rsidR="00000000" w:rsidRDefault="0031739B">
      <w:pPr>
        <w:spacing w:after="320"/>
        <w:jc w:val="center"/>
        <w:textAlignment w:val="center"/>
      </w:pPr>
      <w:r>
        <w:t xml:space="preserve"> </w:t>
      </w:r>
      <w:r>
        <w:rPr>
          <w:rFonts w:hint="eastAsia"/>
        </w:rPr>
        <w:t>日</w:t>
      </w:r>
      <w:r>
        <w:t xml:space="preserve">  </w:t>
      </w:r>
      <w:r>
        <w:rPr>
          <w:rFonts w:hint="eastAsia"/>
        </w:rPr>
        <w:t>本</w:t>
      </w:r>
      <w:r>
        <w:rPr>
          <w:rStyle w:val="FootnoteReference"/>
          <w:vertAlign w:val="baseline"/>
        </w:rPr>
        <w:footnoteReference w:customMarkFollows="1" w:id="1"/>
        <w:t>*</w:t>
      </w:r>
      <w:r>
        <w:t xml:space="preserve"> </w:t>
      </w:r>
    </w:p>
    <w:p w:rsidR="00000000" w:rsidRDefault="0031739B">
      <w:pPr>
        <w:jc w:val="right"/>
      </w:pPr>
      <w:r>
        <w:rPr>
          <w:rFonts w:hint="eastAsia"/>
        </w:rPr>
        <w:t>［</w:t>
      </w:r>
      <w:r>
        <w:t>1998</w:t>
      </w:r>
      <w:r>
        <w:rPr>
          <w:rFonts w:hint="eastAsia"/>
        </w:rPr>
        <w:t>年</w:t>
      </w:r>
      <w:r>
        <w:t>8</w:t>
      </w:r>
      <w:r>
        <w:rPr>
          <w:rFonts w:hint="eastAsia"/>
        </w:rPr>
        <w:t>月</w:t>
      </w:r>
      <w:r>
        <w:t>28</w:t>
      </w:r>
      <w:r>
        <w:rPr>
          <w:rFonts w:hint="eastAsia"/>
        </w:rPr>
        <w:t>日］</w:t>
      </w:r>
    </w:p>
    <w:p w:rsidR="00000000" w:rsidRDefault="0031739B">
      <w:pPr>
        <w:pStyle w:val="ac"/>
        <w:keepNext/>
        <w:tabs>
          <w:tab w:val="clear" w:pos="7201"/>
          <w:tab w:val="clear" w:pos="8618"/>
          <w:tab w:val="left" w:pos="7088"/>
          <w:tab w:val="left" w:pos="8080"/>
          <w:tab w:val="left" w:pos="8640"/>
        </w:tabs>
        <w:spacing w:after="120" w:line="336" w:lineRule="auto"/>
        <w:jc w:val="center"/>
        <w:rPr>
          <w:rFonts w:eastAsia="长城楷体"/>
          <w:spacing w:val="10"/>
          <w:kern w:val="24"/>
          <w:sz w:val="26"/>
        </w:rPr>
      </w:pPr>
      <w:r>
        <w:br w:type="page"/>
      </w:r>
      <w:r>
        <w:rPr>
          <w:rFonts w:eastAsia="长城楷体" w:hint="eastAsia"/>
          <w:spacing w:val="10"/>
          <w:kern w:val="24"/>
          <w:sz w:val="26"/>
        </w:rPr>
        <w:t>目</w:t>
      </w:r>
      <w:r>
        <w:rPr>
          <w:rFonts w:eastAsia="长城楷体"/>
          <w:spacing w:val="10"/>
          <w:kern w:val="24"/>
          <w:sz w:val="26"/>
        </w:rPr>
        <w:tab/>
      </w:r>
      <w:r>
        <w:rPr>
          <w:rFonts w:eastAsia="长城楷体" w:hint="eastAsia"/>
          <w:spacing w:val="10"/>
          <w:kern w:val="24"/>
          <w:sz w:val="26"/>
        </w:rPr>
        <w:t>录</w:t>
      </w:r>
    </w:p>
    <w:p w:rsidR="00000000" w:rsidRDefault="0031739B">
      <w:pPr>
        <w:pStyle w:val="ac"/>
        <w:keepNext/>
        <w:tabs>
          <w:tab w:val="clear" w:pos="7201"/>
          <w:tab w:val="clear" w:pos="8618"/>
          <w:tab w:val="left" w:pos="7088"/>
          <w:tab w:val="left" w:pos="8080"/>
          <w:tab w:val="left" w:pos="8640"/>
        </w:tabs>
        <w:spacing w:after="120" w:line="336" w:lineRule="auto"/>
        <w:rPr>
          <w:rFonts w:eastAsia="长城楷体"/>
          <w:spacing w:val="10"/>
          <w:kern w:val="24"/>
          <w:sz w:val="26"/>
          <w:u w:val="single"/>
        </w:rPr>
      </w:pPr>
      <w:r>
        <w:rPr>
          <w:rFonts w:eastAsia="长城楷体"/>
          <w:spacing w:val="10"/>
          <w:kern w:val="24"/>
          <w:sz w:val="26"/>
        </w:rPr>
        <w:tab/>
      </w:r>
      <w:r>
        <w:rPr>
          <w:rFonts w:eastAsia="长城楷体"/>
          <w:spacing w:val="10"/>
          <w:kern w:val="24"/>
          <w:sz w:val="26"/>
        </w:rPr>
        <w:tab/>
      </w:r>
      <w:r>
        <w:rPr>
          <w:rFonts w:eastAsia="长城楷体" w:hint="eastAsia"/>
          <w:spacing w:val="10"/>
          <w:kern w:val="24"/>
          <w:sz w:val="26"/>
          <w:u w:val="single"/>
        </w:rPr>
        <w:t>段</w:t>
      </w:r>
      <w:r>
        <w:rPr>
          <w:rFonts w:eastAsia="长城楷体"/>
          <w:spacing w:val="10"/>
          <w:kern w:val="24"/>
          <w:sz w:val="26"/>
          <w:u w:val="single"/>
        </w:rPr>
        <w:tab/>
      </w:r>
      <w:r>
        <w:rPr>
          <w:rFonts w:eastAsia="长城楷体" w:hint="eastAsia"/>
          <w:spacing w:val="10"/>
          <w:kern w:val="24"/>
          <w:sz w:val="26"/>
          <w:u w:val="single"/>
        </w:rPr>
        <w:t>次</w:t>
      </w:r>
      <w:r>
        <w:rPr>
          <w:rFonts w:eastAsia="长城楷体"/>
          <w:spacing w:val="10"/>
          <w:kern w:val="24"/>
          <w:sz w:val="26"/>
        </w:rPr>
        <w:tab/>
      </w:r>
      <w:r>
        <w:rPr>
          <w:rFonts w:eastAsia="长城楷体"/>
          <w:spacing w:val="10"/>
          <w:kern w:val="24"/>
          <w:sz w:val="26"/>
        </w:rPr>
        <w:tab/>
      </w:r>
      <w:r>
        <w:rPr>
          <w:rFonts w:eastAsia="长城楷体" w:hint="eastAsia"/>
          <w:spacing w:val="10"/>
          <w:kern w:val="24"/>
          <w:sz w:val="26"/>
          <w:u w:val="single"/>
        </w:rPr>
        <w:t>页</w:t>
      </w:r>
      <w:r>
        <w:rPr>
          <w:rFonts w:eastAsia="长城楷体"/>
          <w:spacing w:val="10"/>
          <w:kern w:val="24"/>
          <w:sz w:val="26"/>
          <w:u w:val="single"/>
        </w:rPr>
        <w:tab/>
      </w:r>
      <w:r>
        <w:rPr>
          <w:rFonts w:eastAsia="长城楷体" w:hint="eastAsia"/>
          <w:spacing w:val="10"/>
          <w:kern w:val="24"/>
          <w:sz w:val="26"/>
          <w:u w:val="single"/>
        </w:rPr>
        <w:t>次</w:t>
      </w:r>
    </w:p>
    <w:p w:rsidR="00000000" w:rsidRDefault="0031739B">
      <w:pPr>
        <w:pStyle w:val="a3"/>
      </w:pPr>
      <w:r>
        <w:rPr>
          <w:rFonts w:hint="eastAsia"/>
        </w:rPr>
        <w:t>一、一般评论</w:t>
      </w:r>
      <w:r>
        <w:t>........................................................................</w:t>
      </w:r>
      <w:r>
        <w:tab/>
      </w:r>
      <w:r>
        <w:tab/>
        <w:t>1</w:t>
      </w:r>
      <w:r>
        <w:tab/>
        <w:t>-</w:t>
      </w:r>
      <w:r>
        <w:tab/>
        <w:t>23</w:t>
      </w:r>
      <w:r>
        <w:tab/>
        <w:t>6</w:t>
      </w:r>
    </w:p>
    <w:p w:rsidR="00000000" w:rsidRDefault="0031739B">
      <w:pPr>
        <w:pStyle w:val="a3"/>
      </w:pPr>
      <w:r>
        <w:tab/>
        <w:t xml:space="preserve">A.  </w:t>
      </w:r>
      <w:r>
        <w:rPr>
          <w:rFonts w:hint="eastAsia"/>
        </w:rPr>
        <w:t>自决权</w:t>
      </w:r>
      <w:r>
        <w:t>..................................................................</w:t>
      </w:r>
      <w:r>
        <w:tab/>
      </w:r>
      <w:r>
        <w:tab/>
      </w:r>
      <w:r>
        <w:tab/>
        <w:t>2</w:t>
      </w:r>
      <w:r>
        <w:tab/>
      </w:r>
      <w:r>
        <w:tab/>
        <w:t>6</w:t>
      </w:r>
    </w:p>
    <w:p w:rsidR="00000000" w:rsidRDefault="0031739B">
      <w:pPr>
        <w:pStyle w:val="a3"/>
      </w:pPr>
      <w:r>
        <w:tab/>
        <w:t xml:space="preserve">B.  </w:t>
      </w:r>
      <w:r>
        <w:rPr>
          <w:rFonts w:hint="eastAsia"/>
        </w:rPr>
        <w:t>外国人的地位和权利</w:t>
      </w:r>
      <w:r>
        <w:t>.............................................</w:t>
      </w:r>
      <w:r>
        <w:tab/>
      </w:r>
      <w:r>
        <w:tab/>
        <w:t>3</w:t>
      </w:r>
      <w:r>
        <w:tab/>
        <w:t>-</w:t>
      </w:r>
      <w:r>
        <w:tab/>
        <w:t>7</w:t>
      </w:r>
      <w:r>
        <w:tab/>
        <w:t>6</w:t>
      </w:r>
    </w:p>
    <w:p w:rsidR="00000000" w:rsidRDefault="0031739B">
      <w:pPr>
        <w:pStyle w:val="a3"/>
      </w:pPr>
      <w:r>
        <w:tab/>
        <w:t xml:space="preserve">C.  </w:t>
      </w:r>
      <w:r>
        <w:rPr>
          <w:rFonts w:hint="eastAsia"/>
        </w:rPr>
        <w:t>雇用外国人为公务</w:t>
      </w:r>
      <w:r>
        <w:rPr>
          <w:rFonts w:hint="eastAsia"/>
        </w:rPr>
        <w:t>员</w:t>
      </w:r>
      <w:r>
        <w:t>...........................................</w:t>
      </w:r>
      <w:r>
        <w:tab/>
      </w:r>
      <w:r>
        <w:tab/>
      </w:r>
      <w:r>
        <w:tab/>
        <w:t>8</w:t>
      </w:r>
      <w:r>
        <w:tab/>
      </w:r>
      <w:r>
        <w:tab/>
        <w:t>7</w:t>
      </w:r>
    </w:p>
    <w:p w:rsidR="00000000" w:rsidRDefault="0031739B">
      <w:pPr>
        <w:pStyle w:val="a3"/>
      </w:pPr>
      <w:r>
        <w:tab/>
        <w:t xml:space="preserve">D.  </w:t>
      </w:r>
      <w:r>
        <w:rPr>
          <w:rFonts w:hint="eastAsia"/>
        </w:rPr>
        <w:t>国内法中禁止歧视的条款</w:t>
      </w:r>
      <w:r>
        <w:t>....................................</w:t>
      </w:r>
      <w:r>
        <w:tab/>
      </w:r>
      <w:r>
        <w:tab/>
      </w:r>
      <w:r>
        <w:tab/>
        <w:t>9</w:t>
      </w:r>
      <w:r>
        <w:tab/>
      </w:r>
      <w:r>
        <w:tab/>
        <w:t>7</w:t>
      </w:r>
    </w:p>
    <w:p w:rsidR="00000000" w:rsidRDefault="0031739B">
      <w:pPr>
        <w:pStyle w:val="a3"/>
      </w:pPr>
      <w:r>
        <w:tab/>
        <w:t xml:space="preserve">E.  </w:t>
      </w:r>
      <w:r>
        <w:rPr>
          <w:rFonts w:hint="eastAsia"/>
        </w:rPr>
        <w:t>对别国的发展援助</w:t>
      </w:r>
      <w:r>
        <w:t>...........................................</w:t>
      </w:r>
      <w:r>
        <w:tab/>
      </w:r>
      <w:r>
        <w:tab/>
      </w:r>
      <w:r>
        <w:tab/>
        <w:t>10</w:t>
      </w:r>
      <w:r>
        <w:tab/>
      </w:r>
      <w:r>
        <w:tab/>
        <w:t>8</w:t>
      </w:r>
    </w:p>
    <w:p w:rsidR="00000000" w:rsidRDefault="0031739B">
      <w:pPr>
        <w:pStyle w:val="a3"/>
      </w:pPr>
      <w:r>
        <w:tab/>
        <w:t xml:space="preserve">F.  </w:t>
      </w:r>
      <w:r>
        <w:rPr>
          <w:rFonts w:hint="eastAsia"/>
        </w:rPr>
        <w:t>公共福利</w:t>
      </w:r>
      <w:r>
        <w:t>..................................................................</w:t>
      </w:r>
      <w:r>
        <w:tab/>
      </w:r>
      <w:r>
        <w:tab/>
      </w:r>
      <w:r>
        <w:tab/>
        <w:t>1</w:t>
      </w:r>
      <w:r>
        <w:t>1</w:t>
      </w:r>
      <w:r>
        <w:tab/>
      </w:r>
      <w:r>
        <w:tab/>
        <w:t>10</w:t>
      </w:r>
    </w:p>
    <w:p w:rsidR="00000000" w:rsidRDefault="0031739B">
      <w:pPr>
        <w:pStyle w:val="a3"/>
      </w:pPr>
      <w:r>
        <w:tab/>
        <w:t xml:space="preserve">G.  </w:t>
      </w:r>
      <w:r>
        <w:rPr>
          <w:rFonts w:hint="eastAsia"/>
        </w:rPr>
        <w:t>为处于社会不利地位的人采取的措施</w:t>
      </w:r>
      <w:r>
        <w:t>.....................</w:t>
      </w:r>
      <w:r>
        <w:tab/>
      </w:r>
      <w:r>
        <w:tab/>
        <w:t>12</w:t>
      </w:r>
      <w:r>
        <w:tab/>
        <w:t>-</w:t>
      </w:r>
      <w:r>
        <w:tab/>
        <w:t>20</w:t>
      </w:r>
      <w:r>
        <w:tab/>
        <w:t>10</w:t>
      </w:r>
    </w:p>
    <w:p w:rsidR="00000000" w:rsidRDefault="0031739B">
      <w:pPr>
        <w:pStyle w:val="a3"/>
      </w:pPr>
      <w:r>
        <w:tab/>
        <w:t xml:space="preserve">H.  </w:t>
      </w:r>
      <w:r>
        <w:rPr>
          <w:rFonts w:hint="eastAsia"/>
        </w:rPr>
        <w:t>实现性别平等社会的措施</w:t>
      </w:r>
      <w:r>
        <w:t>....................................</w:t>
      </w:r>
      <w:r>
        <w:tab/>
      </w:r>
      <w:r>
        <w:tab/>
        <w:t>21</w:t>
      </w:r>
      <w:r>
        <w:tab/>
        <w:t>-</w:t>
      </w:r>
      <w:r>
        <w:tab/>
        <w:t>22</w:t>
      </w:r>
      <w:r>
        <w:tab/>
        <w:t>13</w:t>
      </w:r>
    </w:p>
    <w:p w:rsidR="00000000" w:rsidRDefault="0031739B">
      <w:pPr>
        <w:pStyle w:val="a3"/>
      </w:pPr>
      <w:r>
        <w:tab/>
        <w:t xml:space="preserve">I.  </w:t>
      </w:r>
      <w:r>
        <w:rPr>
          <w:rFonts w:hint="eastAsia"/>
        </w:rPr>
        <w:t>《消除一切形式种族歧视国际公约》</w:t>
      </w:r>
      <w:r>
        <w:t>..................</w:t>
      </w:r>
      <w:r>
        <w:tab/>
      </w:r>
      <w:r>
        <w:tab/>
      </w:r>
      <w:r>
        <w:tab/>
        <w:t>23</w:t>
      </w:r>
      <w:r>
        <w:tab/>
      </w:r>
      <w:r>
        <w:tab/>
        <w:t>14</w:t>
      </w:r>
    </w:p>
    <w:p w:rsidR="00000000" w:rsidRDefault="0031739B">
      <w:pPr>
        <w:pStyle w:val="a3"/>
      </w:pPr>
      <w:r>
        <w:rPr>
          <w:rFonts w:hint="eastAsia"/>
        </w:rPr>
        <w:t>二、有关《盟约》各条款的报告</w:t>
      </w:r>
      <w:r>
        <w:t>.......................................</w:t>
      </w:r>
      <w:r>
        <w:tab/>
      </w:r>
      <w:r>
        <w:tab/>
        <w:t>24</w:t>
      </w:r>
      <w:r>
        <w:tab/>
        <w:t>-</w:t>
      </w:r>
      <w:r>
        <w:tab/>
        <w:t>276</w:t>
      </w:r>
      <w:r>
        <w:tab/>
        <w:t>15</w:t>
      </w:r>
    </w:p>
    <w:p w:rsidR="00000000" w:rsidRDefault="0031739B">
      <w:pPr>
        <w:pStyle w:val="a3"/>
      </w:pPr>
      <w:r>
        <w:tab/>
        <w:t xml:space="preserve">A.  </w:t>
      </w:r>
      <w:r>
        <w:rPr>
          <w:rFonts w:hint="eastAsia"/>
        </w:rPr>
        <w:t>第</w:t>
      </w:r>
      <w:r>
        <w:t>6</w:t>
      </w:r>
      <w:r>
        <w:rPr>
          <w:rFonts w:hint="eastAsia"/>
        </w:rPr>
        <w:t>条</w:t>
      </w:r>
      <w:r>
        <w:t>......</w:t>
      </w:r>
      <w:r>
        <w:t>.............................................................</w:t>
      </w:r>
      <w:r>
        <w:tab/>
      </w:r>
      <w:r>
        <w:tab/>
        <w:t>24</w:t>
      </w:r>
      <w:r>
        <w:tab/>
        <w:t>-</w:t>
      </w:r>
      <w:r>
        <w:tab/>
        <w:t>46</w:t>
      </w:r>
      <w:r>
        <w:tab/>
        <w:t>15</w:t>
      </w:r>
    </w:p>
    <w:p w:rsidR="00000000" w:rsidRDefault="0031739B">
      <w:pPr>
        <w:pStyle w:val="a3"/>
      </w:pPr>
      <w:r>
        <w:tab/>
      </w:r>
      <w:r>
        <w:tab/>
        <w:t xml:space="preserve">1.  </w:t>
      </w:r>
      <w:r>
        <w:rPr>
          <w:rFonts w:hint="eastAsia"/>
        </w:rPr>
        <w:t>与就业和失业有关的基本数据</w:t>
      </w:r>
      <w:r>
        <w:t>....................</w:t>
      </w:r>
      <w:r>
        <w:tab/>
      </w:r>
      <w:r>
        <w:tab/>
        <w:t>24</w:t>
      </w:r>
      <w:r>
        <w:tab/>
        <w:t>-</w:t>
      </w:r>
      <w:r>
        <w:tab/>
        <w:t>26</w:t>
      </w:r>
      <w:r>
        <w:tab/>
        <w:t>15</w:t>
      </w:r>
    </w:p>
    <w:p w:rsidR="00000000" w:rsidRDefault="0031739B">
      <w:pPr>
        <w:pStyle w:val="a3"/>
      </w:pPr>
      <w:r>
        <w:tab/>
      </w:r>
      <w:r>
        <w:tab/>
        <w:t xml:space="preserve">2.  </w:t>
      </w:r>
      <w:r>
        <w:rPr>
          <w:rFonts w:hint="eastAsia"/>
        </w:rPr>
        <w:t>保证工作权的政策和措施</w:t>
      </w:r>
      <w:r>
        <w:t>..........................</w:t>
      </w:r>
      <w:r>
        <w:tab/>
      </w:r>
      <w:r>
        <w:tab/>
        <w:t>27</w:t>
      </w:r>
      <w:r>
        <w:tab/>
        <w:t>-</w:t>
      </w:r>
      <w:r>
        <w:tab/>
        <w:t>31</w:t>
      </w:r>
      <w:r>
        <w:tab/>
        <w:t>18</w:t>
      </w:r>
    </w:p>
    <w:p w:rsidR="00000000" w:rsidRDefault="0031739B">
      <w:pPr>
        <w:pStyle w:val="a3"/>
      </w:pPr>
      <w:r>
        <w:tab/>
      </w:r>
      <w:r>
        <w:tab/>
        <w:t xml:space="preserve">3.  </w:t>
      </w:r>
      <w:r>
        <w:rPr>
          <w:rFonts w:hint="eastAsia"/>
        </w:rPr>
        <w:t>提高劳动生产率的政策</w:t>
      </w:r>
      <w:r>
        <w:t>..................................</w:t>
      </w:r>
      <w:r>
        <w:tab/>
      </w:r>
      <w:r>
        <w:tab/>
        <w:t>32</w:t>
      </w:r>
      <w:r>
        <w:tab/>
        <w:t>-</w:t>
      </w:r>
      <w:r>
        <w:tab/>
        <w:t>35</w:t>
      </w:r>
      <w:r>
        <w:tab/>
        <w:t>19</w:t>
      </w:r>
    </w:p>
    <w:p w:rsidR="00000000" w:rsidRDefault="0031739B">
      <w:pPr>
        <w:pStyle w:val="a3"/>
      </w:pPr>
      <w:r>
        <w:tab/>
      </w:r>
      <w:r>
        <w:tab/>
        <w:t xml:space="preserve">4.  </w:t>
      </w:r>
      <w:r>
        <w:rPr>
          <w:rFonts w:hint="eastAsia"/>
        </w:rPr>
        <w:t>职业培训方</w:t>
      </w:r>
      <w:r>
        <w:rPr>
          <w:rFonts w:hint="eastAsia"/>
        </w:rPr>
        <w:t>案</w:t>
      </w:r>
      <w:r>
        <w:t>..................................................</w:t>
      </w:r>
      <w:r>
        <w:tab/>
      </w:r>
      <w:r>
        <w:tab/>
        <w:t>36</w:t>
      </w:r>
      <w:r>
        <w:tab/>
        <w:t>-</w:t>
      </w:r>
      <w:r>
        <w:tab/>
        <w:t>38</w:t>
      </w:r>
      <w:r>
        <w:tab/>
        <w:t>20</w:t>
      </w:r>
    </w:p>
    <w:p w:rsidR="00000000" w:rsidRDefault="0031739B">
      <w:pPr>
        <w:pStyle w:val="a3"/>
      </w:pPr>
      <w:r>
        <w:tab/>
      </w:r>
      <w:r>
        <w:tab/>
        <w:t xml:space="preserve">5.  </w:t>
      </w:r>
      <w:r>
        <w:rPr>
          <w:rFonts w:hint="eastAsia"/>
        </w:rPr>
        <w:t>保证公平就业机会</w:t>
      </w:r>
      <w:r>
        <w:t>........................................</w:t>
      </w:r>
      <w:r>
        <w:tab/>
      </w:r>
      <w:r>
        <w:tab/>
        <w:t>39</w:t>
      </w:r>
      <w:r>
        <w:tab/>
        <w:t>-</w:t>
      </w:r>
      <w:r>
        <w:tab/>
        <w:t>46</w:t>
      </w:r>
      <w:r>
        <w:tab/>
        <w:t>20</w:t>
      </w:r>
    </w:p>
    <w:p w:rsidR="00000000" w:rsidRDefault="0031739B">
      <w:pPr>
        <w:pStyle w:val="a3"/>
      </w:pPr>
      <w:r>
        <w:tab/>
        <w:t xml:space="preserve">B.  </w:t>
      </w:r>
      <w:r>
        <w:rPr>
          <w:rFonts w:hint="eastAsia"/>
        </w:rPr>
        <w:t>第</w:t>
      </w:r>
      <w:r>
        <w:t>7</w:t>
      </w:r>
      <w:r>
        <w:rPr>
          <w:rFonts w:hint="eastAsia"/>
        </w:rPr>
        <w:t>条</w:t>
      </w:r>
      <w:r>
        <w:t>...............................................................</w:t>
      </w:r>
      <w:r>
        <w:tab/>
      </w:r>
      <w:r>
        <w:tab/>
        <w:t>47</w:t>
      </w:r>
      <w:r>
        <w:tab/>
        <w:t>-</w:t>
      </w:r>
      <w:r>
        <w:tab/>
        <w:t>78</w:t>
      </w:r>
      <w:r>
        <w:tab/>
        <w:t>23</w:t>
      </w:r>
    </w:p>
    <w:p w:rsidR="00000000" w:rsidRDefault="0031739B">
      <w:pPr>
        <w:pStyle w:val="a3"/>
      </w:pPr>
      <w:r>
        <w:tab/>
      </w:r>
      <w:r>
        <w:tab/>
        <w:t xml:space="preserve">1.  </w:t>
      </w:r>
      <w:r>
        <w:rPr>
          <w:rFonts w:hint="eastAsia"/>
        </w:rPr>
        <w:t>工资</w:t>
      </w:r>
      <w:r>
        <w:t>.................................</w:t>
      </w:r>
      <w:r>
        <w:t>...........................</w:t>
      </w:r>
      <w:r>
        <w:tab/>
      </w:r>
      <w:r>
        <w:tab/>
        <w:t>47</w:t>
      </w:r>
      <w:r>
        <w:tab/>
        <w:t>-</w:t>
      </w:r>
      <w:r>
        <w:tab/>
        <w:t>56</w:t>
      </w:r>
      <w:r>
        <w:tab/>
        <w:t>23</w:t>
      </w:r>
    </w:p>
    <w:p w:rsidR="00000000" w:rsidRDefault="0031739B">
      <w:pPr>
        <w:pStyle w:val="a3"/>
      </w:pPr>
      <w:r>
        <w:tab/>
      </w:r>
      <w:r>
        <w:tab/>
        <w:t xml:space="preserve">2.  </w:t>
      </w:r>
      <w:r>
        <w:rPr>
          <w:rFonts w:hint="eastAsia"/>
        </w:rPr>
        <w:t>同等待遇</w:t>
      </w:r>
      <w:r>
        <w:t>......................................................</w:t>
      </w:r>
      <w:r>
        <w:tab/>
      </w:r>
      <w:r>
        <w:tab/>
        <w:t>57</w:t>
      </w:r>
      <w:r>
        <w:tab/>
        <w:t>-</w:t>
      </w:r>
      <w:r>
        <w:tab/>
        <w:t>60</w:t>
      </w:r>
      <w:r>
        <w:tab/>
        <w:t>26</w:t>
      </w:r>
    </w:p>
    <w:p w:rsidR="00000000" w:rsidRDefault="0031739B">
      <w:pPr>
        <w:pStyle w:val="a3"/>
      </w:pPr>
      <w:r>
        <w:tab/>
      </w:r>
      <w:r>
        <w:tab/>
        <w:t xml:space="preserve">3.  </w:t>
      </w:r>
      <w:r>
        <w:rPr>
          <w:rFonts w:hint="eastAsia"/>
        </w:rPr>
        <w:t>安全和健康的工作条件</w:t>
      </w:r>
      <w:r>
        <w:t>...................................</w:t>
      </w:r>
      <w:r>
        <w:tab/>
      </w:r>
      <w:r>
        <w:tab/>
        <w:t>61</w:t>
      </w:r>
      <w:r>
        <w:tab/>
        <w:t>-</w:t>
      </w:r>
      <w:r>
        <w:tab/>
        <w:t>68</w:t>
      </w:r>
      <w:r>
        <w:tab/>
        <w:t>27</w:t>
      </w:r>
    </w:p>
    <w:p w:rsidR="00000000" w:rsidRDefault="0031739B">
      <w:pPr>
        <w:pStyle w:val="a3"/>
      </w:pPr>
      <w:r>
        <w:tab/>
      </w:r>
      <w:r>
        <w:tab/>
        <w:t xml:space="preserve">4.  </w:t>
      </w:r>
      <w:r>
        <w:rPr>
          <w:rFonts w:hint="eastAsia"/>
        </w:rPr>
        <w:t>休息、闲暇、工时限制和带薪假日</w:t>
      </w:r>
      <w:r>
        <w:t>.........</w:t>
      </w:r>
      <w:r>
        <w:tab/>
      </w:r>
      <w:r>
        <w:tab/>
        <w:t>69</w:t>
      </w:r>
      <w:r>
        <w:tab/>
        <w:t>-</w:t>
      </w:r>
      <w:r>
        <w:tab/>
        <w:t>75</w:t>
      </w:r>
      <w:r>
        <w:tab/>
        <w:t>28</w:t>
      </w:r>
    </w:p>
    <w:p w:rsidR="00000000" w:rsidRDefault="0031739B">
      <w:pPr>
        <w:pStyle w:val="a3"/>
        <w:ind w:left="1440" w:hanging="1440"/>
      </w:pPr>
      <w:r>
        <w:tab/>
      </w:r>
      <w:r>
        <w:tab/>
        <w:t xml:space="preserve">5.  </w:t>
      </w:r>
      <w:r>
        <w:rPr>
          <w:rFonts w:hint="eastAsia"/>
        </w:rPr>
        <w:t>影响实现各项权利的程度的因素和障碍：</w:t>
      </w:r>
      <w:r>
        <w:br/>
      </w:r>
      <w:r>
        <w:rPr>
          <w:rFonts w:hint="eastAsia"/>
        </w:rPr>
        <w:t>日本有关合理限</w:t>
      </w:r>
      <w:r>
        <w:rPr>
          <w:rFonts w:hint="eastAsia"/>
        </w:rPr>
        <w:t>制休息、闲暇和工作时间</w:t>
      </w:r>
      <w:r>
        <w:br/>
      </w:r>
      <w:r>
        <w:rPr>
          <w:rFonts w:hint="eastAsia"/>
        </w:rPr>
        <w:t>以及定期带薪假日和公共假日报酬的习惯</w:t>
      </w:r>
      <w:r>
        <w:br/>
      </w:r>
      <w:r>
        <w:rPr>
          <w:rFonts w:hint="eastAsia"/>
        </w:rPr>
        <w:t>和法律</w:t>
      </w:r>
      <w:r>
        <w:t>.........................................................</w:t>
      </w:r>
      <w:r>
        <w:tab/>
      </w:r>
      <w:r>
        <w:tab/>
        <w:t>76</w:t>
      </w:r>
      <w:r>
        <w:tab/>
        <w:t>-</w:t>
      </w:r>
      <w:r>
        <w:tab/>
        <w:t>78</w:t>
      </w:r>
      <w:r>
        <w:tab/>
        <w:t>29</w:t>
      </w:r>
    </w:p>
    <w:p w:rsidR="00000000" w:rsidRDefault="0031739B">
      <w:pPr>
        <w:pStyle w:val="ac"/>
        <w:keepNext/>
        <w:tabs>
          <w:tab w:val="clear" w:pos="7201"/>
          <w:tab w:val="clear" w:pos="8618"/>
          <w:tab w:val="left" w:pos="7088"/>
          <w:tab w:val="left" w:pos="8080"/>
          <w:tab w:val="left" w:pos="8640"/>
        </w:tabs>
        <w:spacing w:after="120" w:line="336" w:lineRule="auto"/>
        <w:jc w:val="center"/>
        <w:rPr>
          <w:rFonts w:eastAsia="长城楷体"/>
          <w:spacing w:val="10"/>
          <w:kern w:val="24"/>
          <w:sz w:val="26"/>
        </w:rPr>
      </w:pPr>
      <w:r>
        <w:rPr>
          <w:rFonts w:eastAsia="长城楷体" w:hint="eastAsia"/>
          <w:spacing w:val="10"/>
          <w:kern w:val="24"/>
          <w:sz w:val="26"/>
        </w:rPr>
        <w:t>目</w:t>
      </w:r>
      <w:r>
        <w:rPr>
          <w:rFonts w:eastAsia="长城楷体"/>
          <w:spacing w:val="10"/>
          <w:kern w:val="24"/>
          <w:sz w:val="26"/>
        </w:rPr>
        <w:tab/>
      </w:r>
      <w:r>
        <w:rPr>
          <w:rFonts w:eastAsia="长城楷体" w:hint="eastAsia"/>
          <w:spacing w:val="10"/>
          <w:kern w:val="24"/>
          <w:sz w:val="26"/>
        </w:rPr>
        <w:t>录</w:t>
      </w:r>
      <w:r>
        <w:rPr>
          <w:rFonts w:eastAsia="长城楷体"/>
          <w:spacing w:val="10"/>
          <w:kern w:val="24"/>
          <w:sz w:val="26"/>
        </w:rPr>
        <w:t>(</w:t>
      </w:r>
      <w:r>
        <w:rPr>
          <w:rFonts w:eastAsia="长城楷体" w:hint="eastAsia"/>
          <w:spacing w:val="10"/>
          <w:kern w:val="24"/>
          <w:sz w:val="26"/>
          <w:u w:val="single"/>
        </w:rPr>
        <w:t>续</w:t>
      </w:r>
      <w:r>
        <w:rPr>
          <w:rFonts w:eastAsia="长城楷体"/>
          <w:spacing w:val="10"/>
          <w:kern w:val="24"/>
          <w:sz w:val="26"/>
        </w:rPr>
        <w:t>)</w:t>
      </w:r>
    </w:p>
    <w:p w:rsidR="00000000" w:rsidRDefault="0031739B">
      <w:pPr>
        <w:pStyle w:val="ac"/>
        <w:keepNext/>
        <w:tabs>
          <w:tab w:val="clear" w:pos="7201"/>
          <w:tab w:val="clear" w:pos="8618"/>
          <w:tab w:val="left" w:pos="7088"/>
          <w:tab w:val="left" w:pos="8080"/>
          <w:tab w:val="left" w:pos="8640"/>
        </w:tabs>
        <w:spacing w:after="120" w:line="336" w:lineRule="auto"/>
        <w:rPr>
          <w:rFonts w:eastAsia="长城楷体"/>
          <w:spacing w:val="10"/>
          <w:kern w:val="24"/>
          <w:sz w:val="26"/>
          <w:u w:val="single"/>
        </w:rPr>
      </w:pPr>
      <w:r>
        <w:rPr>
          <w:rFonts w:eastAsia="长城楷体"/>
          <w:spacing w:val="10"/>
          <w:kern w:val="24"/>
          <w:sz w:val="26"/>
        </w:rPr>
        <w:tab/>
      </w:r>
      <w:r>
        <w:rPr>
          <w:rFonts w:eastAsia="长城楷体"/>
          <w:spacing w:val="10"/>
          <w:kern w:val="24"/>
          <w:sz w:val="26"/>
        </w:rPr>
        <w:tab/>
      </w:r>
      <w:r>
        <w:rPr>
          <w:rFonts w:eastAsia="长城楷体" w:hint="eastAsia"/>
          <w:spacing w:val="10"/>
          <w:kern w:val="24"/>
          <w:sz w:val="26"/>
          <w:u w:val="single"/>
        </w:rPr>
        <w:t>段</w:t>
      </w:r>
      <w:r>
        <w:rPr>
          <w:rFonts w:eastAsia="长城楷体"/>
          <w:spacing w:val="10"/>
          <w:kern w:val="24"/>
          <w:sz w:val="26"/>
          <w:u w:val="single"/>
        </w:rPr>
        <w:tab/>
      </w:r>
      <w:r>
        <w:rPr>
          <w:rFonts w:eastAsia="长城楷体" w:hint="eastAsia"/>
          <w:spacing w:val="10"/>
          <w:kern w:val="24"/>
          <w:sz w:val="26"/>
          <w:u w:val="single"/>
        </w:rPr>
        <w:t>次</w:t>
      </w:r>
      <w:r>
        <w:rPr>
          <w:rFonts w:eastAsia="长城楷体"/>
          <w:spacing w:val="10"/>
          <w:kern w:val="24"/>
          <w:sz w:val="26"/>
        </w:rPr>
        <w:tab/>
      </w:r>
      <w:r>
        <w:rPr>
          <w:rFonts w:eastAsia="长城楷体"/>
          <w:spacing w:val="10"/>
          <w:kern w:val="24"/>
          <w:sz w:val="26"/>
        </w:rPr>
        <w:tab/>
      </w:r>
      <w:r>
        <w:rPr>
          <w:rFonts w:eastAsia="长城楷体" w:hint="eastAsia"/>
          <w:spacing w:val="10"/>
          <w:kern w:val="24"/>
          <w:sz w:val="26"/>
          <w:u w:val="single"/>
        </w:rPr>
        <w:t>页</w:t>
      </w:r>
      <w:r>
        <w:rPr>
          <w:rFonts w:eastAsia="长城楷体"/>
          <w:spacing w:val="10"/>
          <w:kern w:val="24"/>
          <w:sz w:val="26"/>
          <w:u w:val="single"/>
        </w:rPr>
        <w:tab/>
      </w:r>
      <w:r>
        <w:rPr>
          <w:rFonts w:eastAsia="长城楷体" w:hint="eastAsia"/>
          <w:spacing w:val="10"/>
          <w:kern w:val="24"/>
          <w:sz w:val="26"/>
          <w:u w:val="single"/>
        </w:rPr>
        <w:t>次</w:t>
      </w:r>
    </w:p>
    <w:p w:rsidR="00000000" w:rsidRDefault="0031739B">
      <w:pPr>
        <w:pStyle w:val="a3"/>
        <w:ind w:left="1440" w:hanging="1440"/>
      </w:pPr>
      <w:r>
        <w:tab/>
        <w:t xml:space="preserve">C.  </w:t>
      </w:r>
      <w:r>
        <w:rPr>
          <w:rFonts w:hint="eastAsia"/>
        </w:rPr>
        <w:t>第</w:t>
      </w:r>
      <w:r>
        <w:t>8</w:t>
      </w:r>
      <w:r>
        <w:rPr>
          <w:rFonts w:hint="eastAsia"/>
        </w:rPr>
        <w:t>条</w:t>
      </w:r>
      <w:r>
        <w:t>.................................................................</w:t>
      </w:r>
      <w:r>
        <w:tab/>
      </w:r>
      <w:r>
        <w:tab/>
        <w:t>79</w:t>
      </w:r>
      <w:r>
        <w:tab/>
        <w:t>-</w:t>
      </w:r>
      <w:r>
        <w:tab/>
        <w:t>81</w:t>
      </w:r>
      <w:r>
        <w:tab/>
        <w:t>30</w:t>
      </w:r>
    </w:p>
    <w:p w:rsidR="00000000" w:rsidRDefault="0031739B">
      <w:pPr>
        <w:pStyle w:val="a3"/>
        <w:ind w:left="1440" w:hanging="1440"/>
      </w:pPr>
      <w:r>
        <w:tab/>
        <w:t xml:space="preserve">D.  </w:t>
      </w:r>
      <w:r>
        <w:rPr>
          <w:rFonts w:hint="eastAsia"/>
        </w:rPr>
        <w:t>第</w:t>
      </w:r>
      <w:r>
        <w:t>9</w:t>
      </w:r>
      <w:r>
        <w:rPr>
          <w:rFonts w:hint="eastAsia"/>
        </w:rPr>
        <w:t>条</w:t>
      </w:r>
      <w:r>
        <w:t>........................................</w:t>
      </w:r>
      <w:r>
        <w:t>...........................</w:t>
      </w:r>
      <w:r>
        <w:tab/>
      </w:r>
      <w:r>
        <w:tab/>
        <w:t>82</w:t>
      </w:r>
      <w:r>
        <w:tab/>
        <w:t>-</w:t>
      </w:r>
      <w:r>
        <w:tab/>
        <w:t>105</w:t>
      </w:r>
      <w:r>
        <w:tab/>
        <w:t>31</w:t>
      </w:r>
    </w:p>
    <w:p w:rsidR="00000000" w:rsidRDefault="0031739B">
      <w:pPr>
        <w:pStyle w:val="a3"/>
        <w:ind w:left="1440" w:hanging="1440"/>
      </w:pPr>
      <w:r>
        <w:tab/>
      </w:r>
      <w:r>
        <w:tab/>
        <w:t xml:space="preserve">1.  </w:t>
      </w:r>
      <w:r>
        <w:rPr>
          <w:rFonts w:hint="eastAsia"/>
        </w:rPr>
        <w:t>医疗保健、受伤或疾病津贴和产妇津贴</w:t>
      </w:r>
      <w:r>
        <w:t>...........</w:t>
      </w:r>
      <w:r>
        <w:tab/>
      </w:r>
      <w:r>
        <w:tab/>
        <w:t>83</w:t>
      </w:r>
      <w:r>
        <w:tab/>
        <w:t>-</w:t>
      </w:r>
      <w:r>
        <w:tab/>
        <w:t>90</w:t>
      </w:r>
      <w:r>
        <w:tab/>
        <w:t>31</w:t>
      </w:r>
    </w:p>
    <w:p w:rsidR="00000000" w:rsidRDefault="0031739B">
      <w:pPr>
        <w:pStyle w:val="a3"/>
        <w:ind w:left="1440" w:hanging="1440"/>
      </w:pPr>
      <w:r>
        <w:tab/>
      </w:r>
      <w:r>
        <w:tab/>
        <w:t xml:space="preserve">2.  </w:t>
      </w:r>
      <w:r>
        <w:rPr>
          <w:rFonts w:hint="eastAsia"/>
        </w:rPr>
        <w:t>老年津贴、残疾人津贴和幸存者津贴</w:t>
      </w:r>
      <w:r>
        <w:t>..............</w:t>
      </w:r>
      <w:r>
        <w:tab/>
      </w:r>
      <w:r>
        <w:tab/>
        <w:t>91</w:t>
      </w:r>
      <w:r>
        <w:tab/>
        <w:t>-</w:t>
      </w:r>
      <w:r>
        <w:tab/>
        <w:t>94</w:t>
      </w:r>
      <w:r>
        <w:tab/>
        <w:t>33</w:t>
      </w:r>
    </w:p>
    <w:p w:rsidR="00000000" w:rsidRDefault="0031739B">
      <w:pPr>
        <w:pStyle w:val="a3"/>
        <w:ind w:left="1440" w:hanging="1440"/>
      </w:pPr>
      <w:r>
        <w:tab/>
      </w:r>
      <w:r>
        <w:tab/>
        <w:t xml:space="preserve">3.  </w:t>
      </w:r>
      <w:r>
        <w:rPr>
          <w:rFonts w:hint="eastAsia"/>
        </w:rPr>
        <w:t>家庭津贴</w:t>
      </w:r>
      <w:r>
        <w:t>.......................................................</w:t>
      </w:r>
      <w:r>
        <w:tab/>
      </w:r>
      <w:r>
        <w:tab/>
      </w:r>
      <w:r>
        <w:tab/>
        <w:t>95</w:t>
      </w:r>
      <w:r>
        <w:tab/>
      </w:r>
      <w:r>
        <w:tab/>
        <w:t>34</w:t>
      </w:r>
    </w:p>
    <w:p w:rsidR="00000000" w:rsidRDefault="0031739B">
      <w:pPr>
        <w:pStyle w:val="a3"/>
        <w:ind w:left="1440" w:hanging="1440"/>
      </w:pPr>
      <w:r>
        <w:tab/>
      </w:r>
      <w:r>
        <w:tab/>
        <w:t xml:space="preserve">4.  </w:t>
      </w:r>
      <w:r>
        <w:rPr>
          <w:rFonts w:hint="eastAsia"/>
        </w:rPr>
        <w:t>工伤事故津贴</w:t>
      </w:r>
      <w:r>
        <w:t>................................</w:t>
      </w:r>
      <w:r>
        <w:t>..............</w:t>
      </w:r>
      <w:r>
        <w:tab/>
      </w:r>
      <w:r>
        <w:tab/>
        <w:t>96</w:t>
      </w:r>
      <w:r>
        <w:tab/>
        <w:t>-</w:t>
      </w:r>
      <w:r>
        <w:tab/>
        <w:t>100</w:t>
      </w:r>
      <w:r>
        <w:tab/>
        <w:t>35</w:t>
      </w:r>
    </w:p>
    <w:p w:rsidR="00000000" w:rsidRDefault="0031739B">
      <w:pPr>
        <w:pStyle w:val="a3"/>
        <w:ind w:left="1440" w:hanging="1440"/>
      </w:pPr>
      <w:r>
        <w:tab/>
      </w:r>
      <w:r>
        <w:tab/>
        <w:t xml:space="preserve">5.  </w:t>
      </w:r>
      <w:r>
        <w:rPr>
          <w:rFonts w:hint="eastAsia"/>
        </w:rPr>
        <w:t>失业津贴</w:t>
      </w:r>
      <w:r>
        <w:t>.....................................................</w:t>
      </w:r>
      <w:r>
        <w:tab/>
      </w:r>
      <w:r>
        <w:tab/>
        <w:t>101</w:t>
      </w:r>
      <w:r>
        <w:tab/>
        <w:t>-</w:t>
      </w:r>
      <w:r>
        <w:tab/>
        <w:t>104</w:t>
      </w:r>
      <w:r>
        <w:tab/>
        <w:t>36</w:t>
      </w:r>
    </w:p>
    <w:p w:rsidR="00000000" w:rsidRDefault="0031739B">
      <w:pPr>
        <w:pStyle w:val="a3"/>
        <w:ind w:left="1440" w:hanging="1440"/>
      </w:pPr>
      <w:r>
        <w:tab/>
      </w:r>
      <w:r>
        <w:tab/>
        <w:t xml:space="preserve">6.  </w:t>
      </w:r>
      <w:r>
        <w:rPr>
          <w:rFonts w:hint="eastAsia"/>
        </w:rPr>
        <w:t>与社会保险有关的费用变化</w:t>
      </w:r>
      <w:r>
        <w:t>.......................</w:t>
      </w:r>
      <w:r>
        <w:tab/>
      </w:r>
      <w:r>
        <w:tab/>
      </w:r>
      <w:r>
        <w:tab/>
        <w:t>105</w:t>
      </w:r>
      <w:r>
        <w:tab/>
        <w:t>36</w:t>
      </w:r>
    </w:p>
    <w:p w:rsidR="00000000" w:rsidRDefault="0031739B">
      <w:pPr>
        <w:pStyle w:val="a3"/>
        <w:ind w:left="1440" w:hanging="1440"/>
      </w:pPr>
      <w:r>
        <w:tab/>
        <w:t xml:space="preserve">E.  </w:t>
      </w:r>
      <w:r>
        <w:rPr>
          <w:rFonts w:hint="eastAsia"/>
        </w:rPr>
        <w:t>第</w:t>
      </w:r>
      <w:r>
        <w:t>10</w:t>
      </w:r>
      <w:r>
        <w:rPr>
          <w:rFonts w:hint="eastAsia"/>
        </w:rPr>
        <w:t>条</w:t>
      </w:r>
      <w:r>
        <w:t>.............................................................</w:t>
      </w:r>
      <w:r>
        <w:tab/>
      </w:r>
      <w:r>
        <w:tab/>
        <w:t>106</w:t>
      </w:r>
      <w:r>
        <w:tab/>
        <w:t>-</w:t>
      </w:r>
      <w:r>
        <w:tab/>
        <w:t>137</w:t>
      </w:r>
      <w:r>
        <w:tab/>
        <w:t>37</w:t>
      </w:r>
    </w:p>
    <w:p w:rsidR="00000000" w:rsidRDefault="0031739B">
      <w:pPr>
        <w:pStyle w:val="a3"/>
        <w:ind w:left="1440" w:hanging="1440"/>
      </w:pPr>
      <w:r>
        <w:tab/>
      </w:r>
      <w:r>
        <w:tab/>
        <w:t xml:space="preserve">1.  </w:t>
      </w:r>
      <w:r>
        <w:rPr>
          <w:rFonts w:hint="eastAsia"/>
        </w:rPr>
        <w:t>保护家庭</w:t>
      </w:r>
      <w:r>
        <w:t>....</w:t>
      </w:r>
      <w:r>
        <w:t>..................................................</w:t>
      </w:r>
      <w:r>
        <w:tab/>
      </w:r>
      <w:r>
        <w:tab/>
        <w:t>106</w:t>
      </w:r>
      <w:r>
        <w:tab/>
        <w:t>-</w:t>
      </w:r>
      <w:r>
        <w:tab/>
        <w:t>118</w:t>
      </w:r>
      <w:r>
        <w:tab/>
        <w:t>37</w:t>
      </w:r>
    </w:p>
    <w:p w:rsidR="00000000" w:rsidRDefault="0031739B">
      <w:pPr>
        <w:pStyle w:val="a3"/>
        <w:ind w:left="1440" w:hanging="1440"/>
      </w:pPr>
      <w:r>
        <w:tab/>
      </w:r>
      <w:r>
        <w:tab/>
        <w:t xml:space="preserve">2.  </w:t>
      </w:r>
      <w:r>
        <w:rPr>
          <w:rFonts w:hint="eastAsia"/>
        </w:rPr>
        <w:t>保护母亲</w:t>
      </w:r>
      <w:r>
        <w:t>.......................................................</w:t>
      </w:r>
      <w:r>
        <w:tab/>
      </w:r>
      <w:r>
        <w:tab/>
        <w:t>119</w:t>
      </w:r>
      <w:r>
        <w:tab/>
        <w:t>-</w:t>
      </w:r>
      <w:r>
        <w:tab/>
        <w:t>126</w:t>
      </w:r>
      <w:r>
        <w:tab/>
        <w:t>39</w:t>
      </w:r>
    </w:p>
    <w:p w:rsidR="00000000" w:rsidRDefault="0031739B">
      <w:pPr>
        <w:pStyle w:val="a3"/>
        <w:ind w:left="1440" w:hanging="1440"/>
      </w:pPr>
      <w:r>
        <w:tab/>
      </w:r>
      <w:r>
        <w:tab/>
        <w:t xml:space="preserve">3.  </w:t>
      </w:r>
      <w:r>
        <w:rPr>
          <w:rFonts w:hint="eastAsia"/>
        </w:rPr>
        <w:t>保护儿童</w:t>
      </w:r>
      <w:r>
        <w:t>.......................................................</w:t>
      </w:r>
      <w:r>
        <w:tab/>
      </w:r>
      <w:r>
        <w:tab/>
        <w:t>127</w:t>
      </w:r>
      <w:r>
        <w:tab/>
        <w:t>-</w:t>
      </w:r>
      <w:r>
        <w:tab/>
        <w:t>137</w:t>
      </w:r>
      <w:r>
        <w:tab/>
        <w:t>41</w:t>
      </w:r>
    </w:p>
    <w:p w:rsidR="00000000" w:rsidRDefault="0031739B">
      <w:pPr>
        <w:pStyle w:val="a3"/>
      </w:pPr>
      <w:r>
        <w:tab/>
        <w:t xml:space="preserve">F.  </w:t>
      </w:r>
      <w:r>
        <w:rPr>
          <w:rFonts w:hint="eastAsia"/>
        </w:rPr>
        <w:t>第</w:t>
      </w:r>
      <w:r>
        <w:t>11</w:t>
      </w:r>
      <w:r>
        <w:rPr>
          <w:rFonts w:hint="eastAsia"/>
        </w:rPr>
        <w:t>条</w:t>
      </w:r>
      <w:r>
        <w:t>......................</w:t>
      </w:r>
      <w:r>
        <w:t>.....................................</w:t>
      </w:r>
      <w:r>
        <w:tab/>
      </w:r>
      <w:r>
        <w:tab/>
        <w:t>138</w:t>
      </w:r>
      <w:r>
        <w:tab/>
        <w:t>-</w:t>
      </w:r>
      <w:r>
        <w:tab/>
        <w:t>179</w:t>
      </w:r>
      <w:r>
        <w:tab/>
        <w:t>42</w:t>
      </w:r>
    </w:p>
    <w:p w:rsidR="00000000" w:rsidRDefault="0031739B">
      <w:pPr>
        <w:pStyle w:val="a3"/>
      </w:pPr>
      <w:r>
        <w:tab/>
      </w:r>
      <w:r>
        <w:tab/>
        <w:t xml:space="preserve">1.  </w:t>
      </w:r>
      <w:r>
        <w:rPr>
          <w:rFonts w:hint="eastAsia"/>
        </w:rPr>
        <w:t>享有适当生活水平的权利</w:t>
      </w:r>
      <w:r>
        <w:t>.......................</w:t>
      </w:r>
      <w:r>
        <w:tab/>
      </w:r>
      <w:r>
        <w:tab/>
        <w:t>139</w:t>
      </w:r>
      <w:r>
        <w:tab/>
        <w:t>-</w:t>
      </w:r>
      <w:r>
        <w:tab/>
        <w:t>142</w:t>
      </w:r>
      <w:r>
        <w:tab/>
        <w:t>42</w:t>
      </w:r>
    </w:p>
    <w:p w:rsidR="00000000" w:rsidRDefault="0031739B">
      <w:pPr>
        <w:pStyle w:val="a3"/>
      </w:pPr>
      <w:r>
        <w:tab/>
      </w:r>
      <w:r>
        <w:tab/>
        <w:t xml:space="preserve">2.  </w:t>
      </w:r>
      <w:r>
        <w:rPr>
          <w:rFonts w:hint="eastAsia"/>
        </w:rPr>
        <w:t>享有足够食物的权利</w:t>
      </w:r>
      <w:r>
        <w:t>................................</w:t>
      </w:r>
      <w:r>
        <w:tab/>
      </w:r>
      <w:r>
        <w:tab/>
        <w:t>143</w:t>
      </w:r>
      <w:r>
        <w:tab/>
        <w:t>-</w:t>
      </w:r>
      <w:r>
        <w:tab/>
        <w:t>164</w:t>
      </w:r>
      <w:r>
        <w:tab/>
        <w:t>44</w:t>
      </w:r>
    </w:p>
    <w:p w:rsidR="00000000" w:rsidRDefault="0031739B">
      <w:pPr>
        <w:pStyle w:val="a3"/>
      </w:pPr>
      <w:r>
        <w:tab/>
      </w:r>
      <w:r>
        <w:tab/>
        <w:t xml:space="preserve">3.  </w:t>
      </w:r>
      <w:r>
        <w:rPr>
          <w:rFonts w:hint="eastAsia"/>
        </w:rPr>
        <w:t>享有适当住房的权利</w:t>
      </w:r>
      <w:r>
        <w:t>..............................</w:t>
      </w:r>
      <w:r>
        <w:tab/>
      </w:r>
      <w:r>
        <w:tab/>
        <w:t>165</w:t>
      </w:r>
      <w:r>
        <w:tab/>
        <w:t>-</w:t>
      </w:r>
      <w:r>
        <w:tab/>
        <w:t>179</w:t>
      </w:r>
      <w:r>
        <w:tab/>
        <w:t>47</w:t>
      </w:r>
    </w:p>
    <w:p w:rsidR="00000000" w:rsidRDefault="0031739B">
      <w:pPr>
        <w:pStyle w:val="a3"/>
      </w:pPr>
      <w:r>
        <w:tab/>
        <w:t xml:space="preserve">G.  </w:t>
      </w:r>
      <w:r>
        <w:rPr>
          <w:rFonts w:hint="eastAsia"/>
        </w:rPr>
        <w:t>第</w:t>
      </w:r>
      <w:r>
        <w:t>12</w:t>
      </w:r>
      <w:r>
        <w:rPr>
          <w:rFonts w:hint="eastAsia"/>
        </w:rPr>
        <w:t>条</w:t>
      </w:r>
      <w:r>
        <w:t>..................</w:t>
      </w:r>
      <w:r>
        <w:t>.................................</w:t>
      </w:r>
      <w:r>
        <w:tab/>
      </w:r>
      <w:r>
        <w:tab/>
        <w:t>180</w:t>
      </w:r>
      <w:r>
        <w:tab/>
        <w:t>-</w:t>
      </w:r>
      <w:r>
        <w:tab/>
        <w:t>210</w:t>
      </w:r>
      <w:r>
        <w:tab/>
        <w:t>52</w:t>
      </w:r>
    </w:p>
    <w:p w:rsidR="00000000" w:rsidRDefault="0031739B">
      <w:pPr>
        <w:pStyle w:val="a3"/>
      </w:pPr>
      <w:r>
        <w:tab/>
      </w:r>
      <w:r>
        <w:tab/>
        <w:t xml:space="preserve">1.  </w:t>
      </w:r>
      <w:r>
        <w:rPr>
          <w:rFonts w:hint="eastAsia"/>
        </w:rPr>
        <w:t>有关公民卫生条件的资料</w:t>
      </w:r>
      <w:r>
        <w:t>.............................</w:t>
      </w:r>
      <w:r>
        <w:tab/>
      </w:r>
      <w:r>
        <w:tab/>
      </w:r>
      <w:r>
        <w:tab/>
        <w:t>180</w:t>
      </w:r>
      <w:r>
        <w:tab/>
        <w:t>52</w:t>
      </w:r>
    </w:p>
    <w:p w:rsidR="00000000" w:rsidRDefault="0031739B">
      <w:pPr>
        <w:pStyle w:val="a3"/>
      </w:pPr>
      <w:r>
        <w:tab/>
      </w:r>
      <w:r>
        <w:tab/>
        <w:t xml:space="preserve">2.  </w:t>
      </w:r>
      <w:r>
        <w:rPr>
          <w:rFonts w:hint="eastAsia"/>
        </w:rPr>
        <w:t>卫生政策</w:t>
      </w:r>
      <w:r>
        <w:t>..............................................</w:t>
      </w:r>
      <w:r>
        <w:tab/>
      </w:r>
      <w:r>
        <w:tab/>
        <w:t>181</w:t>
      </w:r>
      <w:r>
        <w:tab/>
        <w:t>-</w:t>
      </w:r>
      <w:r>
        <w:tab/>
        <w:t>209</w:t>
      </w:r>
      <w:r>
        <w:tab/>
        <w:t>52</w:t>
      </w:r>
    </w:p>
    <w:p w:rsidR="00000000" w:rsidRDefault="0031739B">
      <w:pPr>
        <w:pStyle w:val="a3"/>
      </w:pPr>
      <w:r>
        <w:tab/>
      </w:r>
      <w:r>
        <w:tab/>
        <w:t xml:space="preserve">3.  </w:t>
      </w:r>
      <w:r>
        <w:rPr>
          <w:rFonts w:hint="eastAsia"/>
        </w:rPr>
        <w:t>国际援助</w:t>
      </w:r>
      <w:r>
        <w:t>.................................................</w:t>
      </w:r>
      <w:r>
        <w:tab/>
      </w:r>
      <w:r>
        <w:tab/>
      </w:r>
      <w:r>
        <w:tab/>
        <w:t>210</w:t>
      </w:r>
      <w:r>
        <w:tab/>
        <w:t>56</w:t>
      </w:r>
    </w:p>
    <w:p w:rsidR="00000000" w:rsidRDefault="0031739B">
      <w:pPr>
        <w:pStyle w:val="a3"/>
      </w:pPr>
      <w:r>
        <w:tab/>
        <w:t xml:space="preserve">H.  </w:t>
      </w:r>
      <w:r>
        <w:rPr>
          <w:rFonts w:hint="eastAsia"/>
        </w:rPr>
        <w:t>第</w:t>
      </w:r>
      <w:r>
        <w:t>13</w:t>
      </w:r>
      <w:r>
        <w:rPr>
          <w:rFonts w:hint="eastAsia"/>
        </w:rPr>
        <w:t>条</w:t>
      </w:r>
      <w:r>
        <w:t>...</w:t>
      </w:r>
      <w:r>
        <w:t>...................................................</w:t>
      </w:r>
      <w:r>
        <w:tab/>
      </w:r>
      <w:r>
        <w:tab/>
        <w:t>211</w:t>
      </w:r>
      <w:r>
        <w:tab/>
        <w:t>-</w:t>
      </w:r>
      <w:r>
        <w:tab/>
        <w:t>233</w:t>
      </w:r>
      <w:r>
        <w:tab/>
        <w:t>57</w:t>
      </w:r>
    </w:p>
    <w:p w:rsidR="00000000" w:rsidRDefault="0031739B">
      <w:pPr>
        <w:pStyle w:val="a3"/>
      </w:pPr>
      <w:r>
        <w:tab/>
      </w:r>
      <w:r>
        <w:tab/>
        <w:t xml:space="preserve">1.  </w:t>
      </w:r>
      <w:r>
        <w:rPr>
          <w:rFonts w:hint="eastAsia"/>
        </w:rPr>
        <w:t>受教育权</w:t>
      </w:r>
      <w:r>
        <w:t>.................................................</w:t>
      </w:r>
      <w:r>
        <w:tab/>
      </w:r>
      <w:r>
        <w:tab/>
        <w:t>211</w:t>
      </w:r>
      <w:r>
        <w:tab/>
        <w:t>-</w:t>
      </w:r>
      <w:r>
        <w:tab/>
        <w:t>225</w:t>
      </w:r>
      <w:r>
        <w:tab/>
        <w:t>57</w:t>
      </w:r>
    </w:p>
    <w:p w:rsidR="00000000" w:rsidRDefault="0031739B">
      <w:pPr>
        <w:pStyle w:val="a3"/>
      </w:pPr>
      <w:r>
        <w:tab/>
      </w:r>
      <w:r>
        <w:tab/>
        <w:t xml:space="preserve">2.  </w:t>
      </w:r>
      <w:r>
        <w:rPr>
          <w:rFonts w:hint="eastAsia"/>
        </w:rPr>
        <w:t>实行高中和大学免费教育</w:t>
      </w:r>
      <w:r>
        <w:t>.......................</w:t>
      </w:r>
      <w:r>
        <w:tab/>
      </w:r>
      <w:r>
        <w:tab/>
        <w:t>226</w:t>
      </w:r>
      <w:r>
        <w:tab/>
        <w:t>-</w:t>
      </w:r>
      <w:r>
        <w:tab/>
        <w:t>228</w:t>
      </w:r>
      <w:r>
        <w:tab/>
        <w:t>59</w:t>
      </w:r>
    </w:p>
    <w:p w:rsidR="00000000" w:rsidRDefault="0031739B">
      <w:pPr>
        <w:pStyle w:val="a3"/>
      </w:pPr>
      <w:r>
        <w:tab/>
      </w:r>
      <w:r>
        <w:tab/>
        <w:t xml:space="preserve">3.  </w:t>
      </w:r>
      <w:r>
        <w:rPr>
          <w:rFonts w:hint="eastAsia"/>
        </w:rPr>
        <w:t>教职员工的待遇</w:t>
      </w:r>
      <w:r>
        <w:t>........................................</w:t>
      </w:r>
      <w:r>
        <w:tab/>
      </w:r>
      <w:r>
        <w:tab/>
        <w:t>229</w:t>
      </w:r>
      <w:r>
        <w:tab/>
        <w:t>-</w:t>
      </w:r>
      <w:r>
        <w:tab/>
      </w:r>
      <w:r>
        <w:t>230</w:t>
      </w:r>
      <w:r>
        <w:tab/>
        <w:t>59</w:t>
      </w:r>
    </w:p>
    <w:p w:rsidR="00000000" w:rsidRDefault="0031739B">
      <w:pPr>
        <w:pStyle w:val="a3"/>
      </w:pPr>
      <w:r>
        <w:tab/>
      </w:r>
      <w:r>
        <w:tab/>
        <w:t xml:space="preserve">4.  </w:t>
      </w:r>
      <w:r>
        <w:rPr>
          <w:rFonts w:hint="eastAsia"/>
        </w:rPr>
        <w:t>私立学校</w:t>
      </w:r>
      <w:r>
        <w:t>..................................................</w:t>
      </w:r>
      <w:r>
        <w:tab/>
      </w:r>
      <w:r>
        <w:tab/>
      </w:r>
      <w:r>
        <w:tab/>
        <w:t>231</w:t>
      </w:r>
      <w:r>
        <w:tab/>
        <w:t>60</w:t>
      </w:r>
    </w:p>
    <w:p w:rsidR="00000000" w:rsidRDefault="0031739B">
      <w:pPr>
        <w:pStyle w:val="a3"/>
      </w:pPr>
      <w:r>
        <w:tab/>
      </w:r>
      <w:r>
        <w:tab/>
        <w:t xml:space="preserve">5.  </w:t>
      </w:r>
      <w:r>
        <w:rPr>
          <w:rFonts w:hint="eastAsia"/>
        </w:rPr>
        <w:t>教育领域里的国际合作</w:t>
      </w:r>
      <w:r>
        <w:t>........................</w:t>
      </w:r>
      <w:r>
        <w:tab/>
      </w:r>
      <w:r>
        <w:tab/>
        <w:t>232</w:t>
      </w:r>
      <w:r>
        <w:tab/>
        <w:t>-</w:t>
      </w:r>
      <w:r>
        <w:tab/>
        <w:t>233</w:t>
      </w:r>
      <w:r>
        <w:tab/>
        <w:t>60</w:t>
      </w:r>
    </w:p>
    <w:p w:rsidR="00000000" w:rsidRDefault="0031739B">
      <w:pPr>
        <w:pStyle w:val="ac"/>
        <w:keepNext/>
        <w:tabs>
          <w:tab w:val="clear" w:pos="7201"/>
          <w:tab w:val="clear" w:pos="8618"/>
          <w:tab w:val="left" w:pos="7088"/>
          <w:tab w:val="left" w:pos="8080"/>
          <w:tab w:val="left" w:pos="8640"/>
        </w:tabs>
        <w:spacing w:after="120" w:line="336" w:lineRule="auto"/>
        <w:jc w:val="center"/>
        <w:rPr>
          <w:rFonts w:eastAsia="长城楷体"/>
          <w:spacing w:val="10"/>
          <w:kern w:val="24"/>
          <w:sz w:val="26"/>
        </w:rPr>
      </w:pPr>
      <w:r>
        <w:rPr>
          <w:rFonts w:eastAsia="长城楷体" w:hint="eastAsia"/>
          <w:spacing w:val="10"/>
          <w:kern w:val="24"/>
          <w:sz w:val="26"/>
        </w:rPr>
        <w:t>目</w:t>
      </w:r>
      <w:r>
        <w:rPr>
          <w:rFonts w:eastAsia="长城楷体"/>
          <w:spacing w:val="10"/>
          <w:kern w:val="24"/>
          <w:sz w:val="26"/>
        </w:rPr>
        <w:tab/>
      </w:r>
      <w:r>
        <w:rPr>
          <w:rFonts w:eastAsia="长城楷体" w:hint="eastAsia"/>
          <w:spacing w:val="10"/>
          <w:kern w:val="24"/>
          <w:sz w:val="26"/>
        </w:rPr>
        <w:t>录</w:t>
      </w:r>
      <w:r>
        <w:rPr>
          <w:rFonts w:eastAsia="长城楷体"/>
          <w:spacing w:val="10"/>
          <w:kern w:val="24"/>
          <w:sz w:val="26"/>
        </w:rPr>
        <w:t>(</w:t>
      </w:r>
      <w:r>
        <w:rPr>
          <w:rFonts w:eastAsia="长城楷体" w:hint="eastAsia"/>
          <w:spacing w:val="10"/>
          <w:kern w:val="24"/>
          <w:sz w:val="26"/>
          <w:u w:val="single"/>
        </w:rPr>
        <w:t>续</w:t>
      </w:r>
      <w:r>
        <w:rPr>
          <w:rFonts w:eastAsia="长城楷体"/>
          <w:spacing w:val="10"/>
          <w:kern w:val="24"/>
          <w:sz w:val="26"/>
        </w:rPr>
        <w:t>)</w:t>
      </w:r>
    </w:p>
    <w:p w:rsidR="00000000" w:rsidRDefault="0031739B">
      <w:pPr>
        <w:pStyle w:val="ac"/>
        <w:keepNext/>
        <w:tabs>
          <w:tab w:val="clear" w:pos="7201"/>
          <w:tab w:val="clear" w:pos="8618"/>
          <w:tab w:val="left" w:pos="7088"/>
          <w:tab w:val="left" w:pos="8080"/>
          <w:tab w:val="left" w:pos="8640"/>
        </w:tabs>
        <w:spacing w:after="120" w:line="336" w:lineRule="auto"/>
        <w:rPr>
          <w:rFonts w:eastAsia="长城楷体"/>
          <w:spacing w:val="10"/>
          <w:kern w:val="24"/>
          <w:sz w:val="26"/>
          <w:u w:val="single"/>
        </w:rPr>
      </w:pPr>
      <w:r>
        <w:rPr>
          <w:rFonts w:eastAsia="长城楷体"/>
          <w:spacing w:val="10"/>
          <w:kern w:val="24"/>
          <w:sz w:val="26"/>
        </w:rPr>
        <w:tab/>
      </w:r>
      <w:r>
        <w:rPr>
          <w:rFonts w:eastAsia="长城楷体"/>
          <w:spacing w:val="10"/>
          <w:kern w:val="24"/>
          <w:sz w:val="26"/>
        </w:rPr>
        <w:tab/>
      </w:r>
      <w:r>
        <w:rPr>
          <w:rFonts w:eastAsia="长城楷体" w:hint="eastAsia"/>
          <w:spacing w:val="10"/>
          <w:kern w:val="24"/>
          <w:sz w:val="26"/>
          <w:u w:val="single"/>
        </w:rPr>
        <w:t>段</w:t>
      </w:r>
      <w:r>
        <w:rPr>
          <w:rFonts w:eastAsia="长城楷体"/>
          <w:spacing w:val="10"/>
          <w:kern w:val="24"/>
          <w:sz w:val="26"/>
          <w:u w:val="single"/>
        </w:rPr>
        <w:tab/>
      </w:r>
      <w:r>
        <w:rPr>
          <w:rFonts w:eastAsia="长城楷体" w:hint="eastAsia"/>
          <w:spacing w:val="10"/>
          <w:kern w:val="24"/>
          <w:sz w:val="26"/>
          <w:u w:val="single"/>
        </w:rPr>
        <w:t>次</w:t>
      </w:r>
      <w:r>
        <w:rPr>
          <w:rFonts w:eastAsia="长城楷体"/>
          <w:spacing w:val="10"/>
          <w:kern w:val="24"/>
          <w:sz w:val="26"/>
        </w:rPr>
        <w:tab/>
      </w:r>
      <w:r>
        <w:rPr>
          <w:rFonts w:eastAsia="长城楷体"/>
          <w:spacing w:val="10"/>
          <w:kern w:val="24"/>
          <w:sz w:val="26"/>
        </w:rPr>
        <w:tab/>
      </w:r>
      <w:r>
        <w:rPr>
          <w:rFonts w:eastAsia="长城楷体" w:hint="eastAsia"/>
          <w:spacing w:val="10"/>
          <w:kern w:val="24"/>
          <w:sz w:val="26"/>
          <w:u w:val="single"/>
        </w:rPr>
        <w:t>页</w:t>
      </w:r>
      <w:r>
        <w:rPr>
          <w:rFonts w:eastAsia="长城楷体"/>
          <w:spacing w:val="10"/>
          <w:kern w:val="24"/>
          <w:sz w:val="26"/>
          <w:u w:val="single"/>
        </w:rPr>
        <w:tab/>
      </w:r>
      <w:r>
        <w:rPr>
          <w:rFonts w:eastAsia="长城楷体" w:hint="eastAsia"/>
          <w:spacing w:val="10"/>
          <w:kern w:val="24"/>
          <w:sz w:val="26"/>
          <w:u w:val="single"/>
        </w:rPr>
        <w:t>次</w:t>
      </w:r>
    </w:p>
    <w:p w:rsidR="00000000" w:rsidRDefault="0031739B">
      <w:pPr>
        <w:pStyle w:val="a3"/>
      </w:pPr>
      <w:r>
        <w:tab/>
        <w:t xml:space="preserve">I.  </w:t>
      </w:r>
      <w:r>
        <w:rPr>
          <w:rFonts w:hint="eastAsia"/>
        </w:rPr>
        <w:t>第</w:t>
      </w:r>
      <w:r>
        <w:t>14</w:t>
      </w:r>
      <w:r>
        <w:rPr>
          <w:rFonts w:hint="eastAsia"/>
        </w:rPr>
        <w:t>条</w:t>
      </w:r>
      <w:r>
        <w:t>............................................................</w:t>
      </w:r>
      <w:r>
        <w:tab/>
      </w:r>
      <w:r>
        <w:tab/>
      </w:r>
      <w:r>
        <w:tab/>
        <w:t>234</w:t>
      </w:r>
      <w:r>
        <w:tab/>
        <w:t>60</w:t>
      </w:r>
    </w:p>
    <w:p w:rsidR="00000000" w:rsidRDefault="0031739B">
      <w:pPr>
        <w:pStyle w:val="a3"/>
      </w:pPr>
      <w:r>
        <w:tab/>
        <w:t xml:space="preserve">J.  </w:t>
      </w:r>
      <w:r>
        <w:rPr>
          <w:rFonts w:hint="eastAsia"/>
        </w:rPr>
        <w:t>第</w:t>
      </w:r>
      <w:r>
        <w:t>15</w:t>
      </w:r>
      <w:r>
        <w:rPr>
          <w:rFonts w:hint="eastAsia"/>
        </w:rPr>
        <w:t>条</w:t>
      </w:r>
      <w:r>
        <w:t>..................</w:t>
      </w:r>
      <w:r>
        <w:t>.......................................</w:t>
      </w:r>
      <w:r>
        <w:tab/>
      </w:r>
      <w:r>
        <w:tab/>
        <w:t>235</w:t>
      </w:r>
      <w:r>
        <w:tab/>
        <w:t>-</w:t>
      </w:r>
      <w:r>
        <w:tab/>
        <w:t>277</w:t>
      </w:r>
      <w:r>
        <w:tab/>
        <w:t>61</w:t>
      </w:r>
    </w:p>
    <w:p w:rsidR="00000000" w:rsidRDefault="0031739B">
      <w:pPr>
        <w:pStyle w:val="a3"/>
      </w:pPr>
      <w:r>
        <w:tab/>
      </w:r>
      <w:r>
        <w:tab/>
        <w:t xml:space="preserve">1.  </w:t>
      </w:r>
      <w:r>
        <w:rPr>
          <w:rFonts w:hint="eastAsia"/>
        </w:rPr>
        <w:t>参加文化生活的权利</w:t>
      </w:r>
      <w:r>
        <w:t>...................................</w:t>
      </w:r>
      <w:r>
        <w:tab/>
      </w:r>
      <w:r>
        <w:tab/>
        <w:t>235</w:t>
      </w:r>
      <w:r>
        <w:tab/>
        <w:t>-</w:t>
      </w:r>
      <w:r>
        <w:tab/>
        <w:t>249</w:t>
      </w:r>
      <w:r>
        <w:tab/>
        <w:t>61</w:t>
      </w:r>
    </w:p>
    <w:p w:rsidR="00000000" w:rsidRDefault="0031739B">
      <w:pPr>
        <w:pStyle w:val="a3"/>
      </w:pPr>
      <w:r>
        <w:tab/>
      </w:r>
      <w:r>
        <w:tab/>
        <w:t xml:space="preserve">2.  </w:t>
      </w:r>
      <w:r>
        <w:rPr>
          <w:rFonts w:hint="eastAsia"/>
        </w:rPr>
        <w:t>享受科学进步和应用成果的权利</w:t>
      </w:r>
      <w:r>
        <w:t>................</w:t>
      </w:r>
      <w:r>
        <w:tab/>
      </w:r>
      <w:r>
        <w:tab/>
        <w:t>250</w:t>
      </w:r>
      <w:r>
        <w:tab/>
        <w:t>-</w:t>
      </w:r>
      <w:r>
        <w:tab/>
        <w:t>263</w:t>
      </w:r>
      <w:r>
        <w:tab/>
        <w:t>64</w:t>
      </w:r>
    </w:p>
    <w:p w:rsidR="00000000" w:rsidRDefault="0031739B">
      <w:pPr>
        <w:pStyle w:val="a3"/>
      </w:pPr>
      <w:r>
        <w:tab/>
      </w:r>
      <w:r>
        <w:tab/>
        <w:t xml:space="preserve">3.  </w:t>
      </w:r>
      <w:r>
        <w:rPr>
          <w:rFonts w:hint="eastAsia"/>
        </w:rPr>
        <w:t>保护著作权</w:t>
      </w:r>
      <w:r>
        <w:t>................................................</w:t>
      </w:r>
      <w:r>
        <w:tab/>
      </w:r>
      <w:r>
        <w:tab/>
        <w:t>264</w:t>
      </w:r>
      <w:r>
        <w:tab/>
        <w:t>-</w:t>
      </w:r>
      <w:r>
        <w:tab/>
        <w:t>268</w:t>
      </w:r>
      <w:r>
        <w:tab/>
        <w:t>66</w:t>
      </w:r>
    </w:p>
    <w:p w:rsidR="00000000" w:rsidRDefault="0031739B">
      <w:pPr>
        <w:pStyle w:val="a3"/>
        <w:spacing w:after="320"/>
        <w:textAlignment w:val="center"/>
      </w:pPr>
      <w:r>
        <w:tab/>
      </w:r>
      <w:r>
        <w:tab/>
        <w:t xml:space="preserve">4.  </w:t>
      </w:r>
      <w:r>
        <w:rPr>
          <w:rFonts w:hint="eastAsia"/>
        </w:rPr>
        <w:t>鼓励和发展国</w:t>
      </w:r>
      <w:r>
        <w:rPr>
          <w:rFonts w:hint="eastAsia"/>
        </w:rPr>
        <w:t>际交流与合作</w:t>
      </w:r>
      <w:r>
        <w:t>........................</w:t>
      </w:r>
      <w:r>
        <w:tab/>
      </w:r>
      <w:r>
        <w:tab/>
        <w:t>269</w:t>
      </w:r>
      <w:r>
        <w:tab/>
        <w:t>-</w:t>
      </w:r>
      <w:r>
        <w:tab/>
        <w:t>277</w:t>
      </w:r>
      <w:r>
        <w:tab/>
        <w:t>67</w:t>
      </w:r>
    </w:p>
    <w:p w:rsidR="00000000" w:rsidRDefault="0031739B">
      <w:pPr>
        <w:pStyle w:val="ac"/>
        <w:keepNext/>
        <w:tabs>
          <w:tab w:val="clear" w:pos="7201"/>
          <w:tab w:val="clear" w:pos="8618"/>
          <w:tab w:val="left" w:pos="7088"/>
          <w:tab w:val="left" w:pos="8080"/>
          <w:tab w:val="left" w:pos="8640"/>
        </w:tabs>
        <w:spacing w:after="160" w:line="336" w:lineRule="auto"/>
        <w:jc w:val="center"/>
        <w:textAlignment w:val="center"/>
        <w:rPr>
          <w:rFonts w:eastAsia="长城楷体"/>
          <w:spacing w:val="10"/>
          <w:kern w:val="24"/>
          <w:sz w:val="26"/>
        </w:rPr>
      </w:pPr>
      <w:r>
        <w:br w:type="page"/>
      </w:r>
      <w:r>
        <w:rPr>
          <w:rFonts w:eastAsia="长城楷体" w:hint="eastAsia"/>
          <w:spacing w:val="10"/>
          <w:kern w:val="24"/>
          <w:sz w:val="26"/>
        </w:rPr>
        <w:t>目</w:t>
      </w:r>
      <w:r>
        <w:rPr>
          <w:rFonts w:eastAsia="长城楷体"/>
          <w:spacing w:val="10"/>
          <w:kern w:val="24"/>
          <w:sz w:val="26"/>
        </w:rPr>
        <w:tab/>
      </w:r>
      <w:r>
        <w:rPr>
          <w:rFonts w:eastAsia="长城楷体" w:hint="eastAsia"/>
          <w:spacing w:val="10"/>
          <w:kern w:val="24"/>
          <w:sz w:val="26"/>
        </w:rPr>
        <w:t>录</w:t>
      </w:r>
      <w:r>
        <w:rPr>
          <w:rFonts w:eastAsia="长城楷体"/>
          <w:spacing w:val="10"/>
          <w:kern w:val="24"/>
          <w:sz w:val="26"/>
        </w:rPr>
        <w:t>(</w:t>
      </w:r>
      <w:r>
        <w:rPr>
          <w:rFonts w:eastAsia="长城楷体" w:hint="eastAsia"/>
          <w:spacing w:val="10"/>
          <w:kern w:val="24"/>
          <w:sz w:val="26"/>
          <w:u w:val="single"/>
        </w:rPr>
        <w:t>续</w:t>
      </w:r>
      <w:r>
        <w:rPr>
          <w:rFonts w:eastAsia="长城楷体"/>
          <w:spacing w:val="10"/>
          <w:kern w:val="24"/>
          <w:sz w:val="26"/>
        </w:rPr>
        <w:t>)</w:t>
      </w:r>
    </w:p>
    <w:p w:rsidR="00000000" w:rsidRDefault="0031739B">
      <w:pPr>
        <w:pStyle w:val="ac"/>
        <w:keepNext/>
        <w:tabs>
          <w:tab w:val="clear" w:pos="8618"/>
          <w:tab w:val="left" w:pos="7088"/>
          <w:tab w:val="left" w:pos="8080"/>
          <w:tab w:val="left" w:pos="8640"/>
        </w:tabs>
        <w:spacing w:after="120" w:line="336" w:lineRule="auto"/>
        <w:rPr>
          <w:rFonts w:eastAsia="长城楷体"/>
          <w:spacing w:val="10"/>
          <w:kern w:val="24"/>
          <w:sz w:val="26"/>
          <w:u w:val="single"/>
        </w:rPr>
      </w:pPr>
      <w:r>
        <w:rPr>
          <w:rFonts w:eastAsia="长城楷体"/>
          <w:spacing w:val="10"/>
          <w:kern w:val="24"/>
          <w:sz w:val="26"/>
        </w:rPr>
        <w:tab/>
      </w:r>
      <w:r>
        <w:rPr>
          <w:rFonts w:eastAsia="长城楷体"/>
          <w:spacing w:val="10"/>
          <w:kern w:val="24"/>
          <w:sz w:val="26"/>
        </w:rPr>
        <w:tab/>
      </w:r>
      <w:r>
        <w:rPr>
          <w:rFonts w:eastAsia="长城楷体"/>
          <w:spacing w:val="10"/>
          <w:kern w:val="24"/>
          <w:sz w:val="26"/>
        </w:rPr>
        <w:tab/>
      </w:r>
      <w:r>
        <w:rPr>
          <w:rFonts w:eastAsia="长城楷体"/>
          <w:spacing w:val="10"/>
          <w:kern w:val="24"/>
          <w:sz w:val="26"/>
        </w:rPr>
        <w:tab/>
      </w:r>
      <w:r>
        <w:rPr>
          <w:rFonts w:eastAsia="长城楷体"/>
          <w:spacing w:val="10"/>
          <w:kern w:val="24"/>
          <w:sz w:val="26"/>
        </w:rPr>
        <w:tab/>
      </w:r>
      <w:r>
        <w:rPr>
          <w:rFonts w:eastAsia="长城楷体"/>
          <w:spacing w:val="10"/>
          <w:kern w:val="24"/>
          <w:sz w:val="26"/>
        </w:rPr>
        <w:tab/>
      </w:r>
      <w:r>
        <w:rPr>
          <w:rFonts w:eastAsia="长城楷体" w:hint="eastAsia"/>
          <w:spacing w:val="10"/>
          <w:kern w:val="24"/>
          <w:sz w:val="26"/>
          <w:u w:val="single"/>
        </w:rPr>
        <w:t>页</w:t>
      </w:r>
      <w:r>
        <w:rPr>
          <w:rFonts w:eastAsia="长城楷体"/>
          <w:spacing w:val="10"/>
          <w:kern w:val="24"/>
          <w:sz w:val="26"/>
          <w:u w:val="single"/>
        </w:rPr>
        <w:tab/>
      </w:r>
      <w:r>
        <w:rPr>
          <w:rFonts w:eastAsia="长城楷体" w:hint="eastAsia"/>
          <w:spacing w:val="10"/>
          <w:kern w:val="24"/>
          <w:sz w:val="26"/>
          <w:u w:val="single"/>
        </w:rPr>
        <w:t>次</w:t>
      </w:r>
    </w:p>
    <w:p w:rsidR="00000000" w:rsidRDefault="0031739B">
      <w:pPr>
        <w:spacing w:after="160"/>
        <w:jc w:val="center"/>
        <w:textAlignment w:val="center"/>
        <w:rPr>
          <w:rFonts w:eastAsia="长城楷体"/>
          <w:sz w:val="26"/>
        </w:rPr>
      </w:pPr>
      <w:r>
        <w:rPr>
          <w:rFonts w:eastAsia="长城楷体" w:hint="eastAsia"/>
          <w:sz w:val="26"/>
          <w:u w:val="single"/>
        </w:rPr>
        <w:t>表</w:t>
      </w:r>
      <w:r>
        <w:rPr>
          <w:rFonts w:eastAsia="长城楷体"/>
          <w:sz w:val="26"/>
          <w:u w:val="single"/>
        </w:rPr>
        <w:tab/>
      </w:r>
      <w:r>
        <w:rPr>
          <w:rFonts w:eastAsia="长城楷体" w:hint="eastAsia"/>
          <w:sz w:val="26"/>
          <w:u w:val="single"/>
        </w:rPr>
        <w:t>格</w:t>
      </w:r>
    </w:p>
    <w:p w:rsidR="00000000" w:rsidRDefault="0031739B">
      <w:pPr>
        <w:pStyle w:val="a2"/>
      </w:pPr>
      <w:r>
        <w:rPr>
          <w:rFonts w:hint="eastAsia"/>
        </w:rPr>
        <w:t>表</w:t>
      </w:r>
      <w:r>
        <w:t xml:space="preserve">1.  </w:t>
      </w:r>
      <w:r>
        <w:rPr>
          <w:rFonts w:hint="eastAsia"/>
        </w:rPr>
        <w:t>到</w:t>
      </w:r>
      <w:r>
        <w:t>1990</w:t>
      </w:r>
      <w:r>
        <w:rPr>
          <w:rFonts w:hint="eastAsia"/>
        </w:rPr>
        <w:t>年底的改进目标</w:t>
      </w:r>
      <w:r>
        <w:t>...........................................................</w:t>
      </w:r>
      <w:r>
        <w:tab/>
      </w:r>
      <w:r>
        <w:tab/>
        <w:t>12</w:t>
      </w:r>
    </w:p>
    <w:p w:rsidR="00000000" w:rsidRDefault="0031739B">
      <w:pPr>
        <w:pStyle w:val="a2"/>
      </w:pPr>
      <w:r>
        <w:rPr>
          <w:rFonts w:hint="eastAsia"/>
        </w:rPr>
        <w:t>表</w:t>
      </w:r>
      <w:r>
        <w:t xml:space="preserve">2.  </w:t>
      </w:r>
      <w:r>
        <w:rPr>
          <w:rFonts w:hint="eastAsia"/>
        </w:rPr>
        <w:t>有效工作机会与有效工作申请的比率变化</w:t>
      </w:r>
      <w:r>
        <w:t>......................................</w:t>
      </w:r>
      <w:r>
        <w:tab/>
      </w:r>
      <w:r>
        <w:tab/>
        <w:t>15</w:t>
      </w:r>
    </w:p>
    <w:p w:rsidR="00000000" w:rsidRDefault="0031739B">
      <w:pPr>
        <w:pStyle w:val="a2"/>
      </w:pPr>
      <w:r>
        <w:rPr>
          <w:rFonts w:hint="eastAsia"/>
        </w:rPr>
        <w:t>表</w:t>
      </w:r>
      <w:r>
        <w:t xml:space="preserve">3.  </w:t>
      </w:r>
      <w:r>
        <w:rPr>
          <w:rFonts w:hint="eastAsia"/>
        </w:rPr>
        <w:t>按性别和年龄分类的全失业率的变化</w:t>
      </w:r>
      <w:r>
        <w:t>.....................</w:t>
      </w:r>
      <w:r>
        <w:t>......................</w:t>
      </w:r>
      <w:r>
        <w:tab/>
      </w:r>
      <w:r>
        <w:tab/>
        <w:t>16</w:t>
      </w:r>
    </w:p>
    <w:p w:rsidR="00000000" w:rsidRDefault="0031739B">
      <w:pPr>
        <w:pStyle w:val="a2"/>
      </w:pPr>
      <w:r>
        <w:rPr>
          <w:rFonts w:hint="eastAsia"/>
        </w:rPr>
        <w:t>表</w:t>
      </w:r>
      <w:r>
        <w:t xml:space="preserve">4.  </w:t>
      </w:r>
      <w:r>
        <w:rPr>
          <w:rFonts w:hint="eastAsia"/>
        </w:rPr>
        <w:t>按地区分类的有效工作机会与有效工作申请的比率</w:t>
      </w:r>
      <w:r>
        <w:br/>
      </w:r>
      <w:r>
        <w:tab/>
        <w:t xml:space="preserve">  </w:t>
      </w:r>
      <w:r>
        <w:rPr>
          <w:rFonts w:hint="eastAsia"/>
        </w:rPr>
        <w:t>和全失业率的变化</w:t>
      </w:r>
      <w:r>
        <w:t>......................................................................</w:t>
      </w:r>
      <w:r>
        <w:tab/>
      </w:r>
      <w:r>
        <w:tab/>
        <w:t>17</w:t>
      </w:r>
    </w:p>
    <w:p w:rsidR="00000000" w:rsidRDefault="0031739B">
      <w:pPr>
        <w:pStyle w:val="a2"/>
      </w:pPr>
      <w:r>
        <w:rPr>
          <w:rFonts w:hint="eastAsia"/>
        </w:rPr>
        <w:t>表</w:t>
      </w:r>
      <w:r>
        <w:t xml:space="preserve">5.  </w:t>
      </w:r>
      <w:r>
        <w:rPr>
          <w:rFonts w:hint="eastAsia"/>
        </w:rPr>
        <w:t>在公共就业保障处登记的残疾人的就业条件</w:t>
      </w:r>
      <w:r>
        <w:t>..............................</w:t>
      </w:r>
      <w:r>
        <w:tab/>
      </w:r>
      <w:r>
        <w:tab/>
        <w:t>18</w:t>
      </w:r>
    </w:p>
    <w:p w:rsidR="00000000" w:rsidRDefault="0031739B">
      <w:pPr>
        <w:pStyle w:val="a2"/>
      </w:pPr>
      <w:r>
        <w:rPr>
          <w:rFonts w:hint="eastAsia"/>
        </w:rPr>
        <w:t>表</w:t>
      </w:r>
      <w:r>
        <w:t xml:space="preserve">6.  </w:t>
      </w:r>
      <w:r>
        <w:rPr>
          <w:rFonts w:hint="eastAsia"/>
        </w:rPr>
        <w:t>制订的最低工资制度数目和适用最低工资的工人人</w:t>
      </w:r>
      <w:r>
        <w:br/>
      </w:r>
      <w:r>
        <w:tab/>
        <w:t xml:space="preserve">  </w:t>
      </w:r>
      <w:r>
        <w:rPr>
          <w:rFonts w:hint="eastAsia"/>
        </w:rPr>
        <w:t>数</w:t>
      </w:r>
      <w:r>
        <w:t>........................</w:t>
      </w:r>
      <w:r>
        <w:t>..............................................................</w:t>
      </w:r>
      <w:r>
        <w:tab/>
      </w:r>
      <w:r>
        <w:tab/>
        <w:t>24</w:t>
      </w:r>
    </w:p>
    <w:p w:rsidR="00000000" w:rsidRDefault="0031739B">
      <w:pPr>
        <w:pStyle w:val="a2"/>
      </w:pPr>
      <w:r>
        <w:rPr>
          <w:rFonts w:hint="eastAsia"/>
        </w:rPr>
        <w:t>表</w:t>
      </w:r>
      <w:r>
        <w:t xml:space="preserve">7.  </w:t>
      </w:r>
      <w:r>
        <w:rPr>
          <w:rFonts w:hint="eastAsia"/>
        </w:rPr>
        <w:t>一名全时工人平均总月薪</w:t>
      </w:r>
      <w:r>
        <w:t>.........................................................</w:t>
      </w:r>
      <w:r>
        <w:tab/>
      </w:r>
      <w:r>
        <w:tab/>
        <w:t>25</w:t>
      </w:r>
    </w:p>
    <w:p w:rsidR="00000000" w:rsidRDefault="0031739B">
      <w:pPr>
        <w:pStyle w:val="a2"/>
      </w:pPr>
      <w:r>
        <w:rPr>
          <w:rFonts w:hint="eastAsia"/>
        </w:rPr>
        <w:t>表</w:t>
      </w:r>
      <w:r>
        <w:t xml:space="preserve">8.  </w:t>
      </w:r>
      <w:r>
        <w:rPr>
          <w:rFonts w:hint="eastAsia"/>
        </w:rPr>
        <w:t>按地区和行业分类的全国平均最低日工资</w:t>
      </w:r>
      <w:r>
        <w:t>......................................</w:t>
      </w:r>
      <w:r>
        <w:tab/>
      </w:r>
      <w:r>
        <w:tab/>
        <w:t>25</w:t>
      </w:r>
    </w:p>
    <w:p w:rsidR="00000000" w:rsidRDefault="0031739B">
      <w:pPr>
        <w:pStyle w:val="a2"/>
      </w:pPr>
      <w:r>
        <w:rPr>
          <w:rFonts w:hint="eastAsia"/>
        </w:rPr>
        <w:t>表</w:t>
      </w:r>
      <w:r>
        <w:t xml:space="preserve">9.  </w:t>
      </w:r>
      <w:r>
        <w:rPr>
          <w:rFonts w:hint="eastAsia"/>
        </w:rPr>
        <w:t>劳动事故趋势</w:t>
      </w:r>
      <w:r>
        <w:t>..................................</w:t>
      </w:r>
      <w:r>
        <w:t>...............................................</w:t>
      </w:r>
      <w:r>
        <w:tab/>
      </w:r>
      <w:r>
        <w:tab/>
        <w:t>28</w:t>
      </w:r>
    </w:p>
    <w:p w:rsidR="00000000" w:rsidRDefault="0031739B">
      <w:pPr>
        <w:pStyle w:val="a2"/>
      </w:pPr>
      <w:r>
        <w:rPr>
          <w:rFonts w:hint="eastAsia"/>
        </w:rPr>
        <w:t>表</w:t>
      </w:r>
      <w:r>
        <w:t xml:space="preserve">10. </w:t>
      </w:r>
      <w:r>
        <w:rPr>
          <w:rFonts w:hint="eastAsia"/>
        </w:rPr>
        <w:t>按行业分列的工会及会员数目</w:t>
      </w:r>
      <w:r>
        <w:t>...................................................</w:t>
      </w:r>
      <w:r>
        <w:tab/>
      </w:r>
      <w:r>
        <w:tab/>
        <w:t>30</w:t>
      </w:r>
    </w:p>
    <w:p w:rsidR="00000000" w:rsidRDefault="0031739B">
      <w:pPr>
        <w:pStyle w:val="a2"/>
      </w:pPr>
      <w:r>
        <w:rPr>
          <w:rFonts w:hint="eastAsia"/>
        </w:rPr>
        <w:t>表</w:t>
      </w:r>
      <w:r>
        <w:t xml:space="preserve">11. </w:t>
      </w:r>
      <w:r>
        <w:rPr>
          <w:rFonts w:hint="eastAsia"/>
        </w:rPr>
        <w:t>社会保险费用在国民预算中的份额</w:t>
      </w:r>
      <w:r>
        <w:t>..............................................</w:t>
      </w:r>
      <w:r>
        <w:tab/>
      </w:r>
      <w:r>
        <w:tab/>
        <w:t>36</w:t>
      </w:r>
    </w:p>
    <w:p w:rsidR="00000000" w:rsidRDefault="0031739B">
      <w:pPr>
        <w:pStyle w:val="a2"/>
      </w:pPr>
      <w:r>
        <w:rPr>
          <w:rFonts w:hint="eastAsia"/>
        </w:rPr>
        <w:t>表</w:t>
      </w:r>
      <w:r>
        <w:t xml:space="preserve">12. </w:t>
      </w:r>
      <w:r>
        <w:rPr>
          <w:rFonts w:hint="eastAsia"/>
        </w:rPr>
        <w:t>按收入分类的年收入和消费变化</w:t>
      </w:r>
      <w:r>
        <w:t>(</w:t>
      </w:r>
      <w:r>
        <w:rPr>
          <w:rFonts w:hint="eastAsia"/>
        </w:rPr>
        <w:t>全国所有家庭</w:t>
      </w:r>
      <w:r>
        <w:t>).........................</w:t>
      </w:r>
      <w:r>
        <w:tab/>
      </w:r>
      <w:r>
        <w:tab/>
        <w:t>43</w:t>
      </w:r>
    </w:p>
    <w:p w:rsidR="00000000" w:rsidRDefault="0031739B">
      <w:pPr>
        <w:pStyle w:val="a2"/>
      </w:pPr>
      <w:r>
        <w:rPr>
          <w:rFonts w:hint="eastAsia"/>
        </w:rPr>
        <w:t>表</w:t>
      </w:r>
      <w:r>
        <w:t>1</w:t>
      </w:r>
      <w:r>
        <w:t xml:space="preserve">3. </w:t>
      </w:r>
      <w:r>
        <w:rPr>
          <w:rFonts w:hint="eastAsia"/>
        </w:rPr>
        <w:t>标准生活补助额的变化</w:t>
      </w:r>
      <w:r>
        <w:t>..............................................................</w:t>
      </w:r>
      <w:r>
        <w:tab/>
      </w:r>
      <w:r>
        <w:tab/>
        <w:t>43</w:t>
      </w:r>
    </w:p>
    <w:p w:rsidR="00000000" w:rsidRDefault="0031739B">
      <w:pPr>
        <w:pStyle w:val="a2"/>
      </w:pPr>
      <w:r>
        <w:rPr>
          <w:rFonts w:hint="eastAsia"/>
        </w:rPr>
        <w:t>表</w:t>
      </w:r>
      <w:r>
        <w:t xml:space="preserve">14. </w:t>
      </w:r>
      <w:r>
        <w:rPr>
          <w:rFonts w:hint="eastAsia"/>
        </w:rPr>
        <w:t>生活支出指数</w:t>
      </w:r>
      <w:r>
        <w:t>............................................................................</w:t>
      </w:r>
      <w:r>
        <w:tab/>
      </w:r>
      <w:r>
        <w:tab/>
        <w:t>44</w:t>
      </w:r>
    </w:p>
    <w:p w:rsidR="00000000" w:rsidRDefault="0031739B">
      <w:pPr>
        <w:pStyle w:val="a2"/>
      </w:pPr>
      <w:r>
        <w:rPr>
          <w:rFonts w:hint="eastAsia"/>
        </w:rPr>
        <w:t>表</w:t>
      </w:r>
      <w:r>
        <w:t xml:space="preserve">15. </w:t>
      </w:r>
      <w:r>
        <w:rPr>
          <w:rFonts w:hint="eastAsia"/>
        </w:rPr>
        <w:t>住房数量、住房拥有率和空房率的变化</w:t>
      </w:r>
      <w:r>
        <w:t>........................................</w:t>
      </w:r>
      <w:r>
        <w:tab/>
      </w:r>
      <w:r>
        <w:tab/>
        <w:t>48</w:t>
      </w:r>
    </w:p>
    <w:p w:rsidR="00000000" w:rsidRDefault="0031739B">
      <w:pPr>
        <w:pStyle w:val="a2"/>
      </w:pPr>
      <w:r>
        <w:rPr>
          <w:rFonts w:hint="eastAsia"/>
        </w:rPr>
        <w:t>表</w:t>
      </w:r>
      <w:r>
        <w:t xml:space="preserve">16. </w:t>
      </w:r>
      <w:r>
        <w:rPr>
          <w:rFonts w:hint="eastAsia"/>
        </w:rPr>
        <w:t>按住房类型划分，每个住房</w:t>
      </w:r>
      <w:r>
        <w:rPr>
          <w:rFonts w:hint="eastAsia"/>
        </w:rPr>
        <w:t>总面积的变化</w:t>
      </w:r>
      <w:r>
        <w:t>......................................</w:t>
      </w:r>
      <w:r>
        <w:tab/>
      </w:r>
      <w:r>
        <w:tab/>
        <w:t>48</w:t>
      </w:r>
    </w:p>
    <w:p w:rsidR="00000000" w:rsidRDefault="0031739B">
      <w:pPr>
        <w:pStyle w:val="a2"/>
      </w:pPr>
      <w:r>
        <w:rPr>
          <w:rFonts w:hint="eastAsia"/>
        </w:rPr>
        <w:t>表</w:t>
      </w:r>
      <w:r>
        <w:t xml:space="preserve">17. </w:t>
      </w:r>
      <w:r>
        <w:rPr>
          <w:rFonts w:hint="eastAsia"/>
        </w:rPr>
        <w:t>卫生设施和住房的折旧</w:t>
      </w:r>
      <w:r>
        <w:t>.................................................................</w:t>
      </w:r>
      <w:r>
        <w:tab/>
      </w:r>
      <w:r>
        <w:tab/>
        <w:t>49</w:t>
      </w:r>
    </w:p>
    <w:p w:rsidR="00000000" w:rsidRDefault="0031739B">
      <w:pPr>
        <w:pStyle w:val="a2"/>
      </w:pPr>
      <w:r>
        <w:rPr>
          <w:rFonts w:hint="eastAsia"/>
        </w:rPr>
        <w:t>表</w:t>
      </w:r>
      <w:r>
        <w:t xml:space="preserve">18. </w:t>
      </w:r>
      <w:r>
        <w:rPr>
          <w:rFonts w:hint="eastAsia"/>
        </w:rPr>
        <w:t>根据住房建造时间划分的使用情况</w:t>
      </w:r>
      <w:r>
        <w:t>.........................................</w:t>
      </w:r>
      <w:r>
        <w:tab/>
      </w:r>
      <w:r>
        <w:tab/>
        <w:t>49</w:t>
      </w:r>
    </w:p>
    <w:p w:rsidR="00000000" w:rsidRDefault="0031739B">
      <w:pPr>
        <w:pStyle w:val="a2"/>
      </w:pPr>
      <w:r>
        <w:rPr>
          <w:rFonts w:hint="eastAsia"/>
        </w:rPr>
        <w:t>表</w:t>
      </w:r>
      <w:r>
        <w:t>19. 1991</w:t>
      </w:r>
      <w:r>
        <w:rPr>
          <w:rFonts w:hint="eastAsia"/>
        </w:rPr>
        <w:t>至</w:t>
      </w:r>
      <w:r>
        <w:t>1995</w:t>
      </w:r>
      <w:r>
        <w:rPr>
          <w:rFonts w:hint="eastAsia"/>
        </w:rPr>
        <w:t>年每十万人的医生、医院和病床数量</w:t>
      </w:r>
      <w:r>
        <w:t>.......................</w:t>
      </w:r>
      <w:r>
        <w:tab/>
      </w:r>
      <w:r>
        <w:tab/>
        <w:t>5</w:t>
      </w:r>
      <w:r>
        <w:t>4</w:t>
      </w:r>
    </w:p>
    <w:p w:rsidR="00000000" w:rsidRDefault="0031739B">
      <w:pPr>
        <w:pStyle w:val="Heading2"/>
      </w:pPr>
      <w:r>
        <w:br w:type="page"/>
      </w:r>
      <w:r>
        <w:rPr>
          <w:rFonts w:hint="eastAsia"/>
        </w:rPr>
        <w:t>一、一般评论</w:t>
      </w:r>
    </w:p>
    <w:p w:rsidR="00000000" w:rsidRDefault="0031739B">
      <w:pPr>
        <w:spacing w:after="320"/>
        <w:textAlignment w:val="center"/>
      </w:pPr>
      <w:r>
        <w:tab/>
        <w:t xml:space="preserve">1.  </w:t>
      </w:r>
      <w:r>
        <w:rPr>
          <w:rFonts w:hint="eastAsia"/>
        </w:rPr>
        <w:t>日本宪法以“尊重个人”为基础，规定“法律面前人人平等，不得因种族、教义、性别、社会地位或家庭出身而进行政治、经济或社会关系的歧视”</w:t>
      </w:r>
      <w:r>
        <w:t>(</w:t>
      </w:r>
      <w:r>
        <w:rPr>
          <w:rFonts w:hint="eastAsia"/>
        </w:rPr>
        <w:t>第</w:t>
      </w:r>
      <w:r>
        <w:t>14</w:t>
      </w:r>
      <w:r>
        <w:rPr>
          <w:rFonts w:hint="eastAsia"/>
        </w:rPr>
        <w:t>条，第</w:t>
      </w:r>
      <w:r>
        <w:t>1</w:t>
      </w:r>
      <w:r>
        <w:rPr>
          <w:rFonts w:hint="eastAsia"/>
        </w:rPr>
        <w:t>款</w:t>
      </w:r>
      <w:r>
        <w:t>)</w:t>
      </w:r>
      <w:r>
        <w:rPr>
          <w:rFonts w:hint="eastAsia"/>
        </w:rPr>
        <w:t>。该条是法律面前人人平等的保证。“法律面前平等”是约束立法、行政和司法部门的一般原则，这条原则是国家一切事务中的最高考虑因素。</w:t>
      </w:r>
    </w:p>
    <w:p w:rsidR="00000000" w:rsidRDefault="0031739B">
      <w:pPr>
        <w:pStyle w:val="Heading3"/>
      </w:pPr>
      <w:r>
        <w:rPr>
          <w:u w:val="none"/>
        </w:rPr>
        <w:t xml:space="preserve">A.  </w:t>
      </w:r>
      <w:r>
        <w:rPr>
          <w:rFonts w:hint="eastAsia"/>
        </w:rPr>
        <w:t>自决权</w:t>
      </w:r>
    </w:p>
    <w:p w:rsidR="00000000" w:rsidRDefault="0031739B">
      <w:pPr>
        <w:spacing w:after="320"/>
        <w:textAlignment w:val="center"/>
      </w:pPr>
      <w:r>
        <w:tab/>
        <w:t xml:space="preserve">2.  </w:t>
      </w:r>
      <w:r>
        <w:rPr>
          <w:rFonts w:hint="eastAsia"/>
        </w:rPr>
        <w:t>请参考第三份定期报告第二部分第</w:t>
      </w:r>
      <w:r>
        <w:t>1</w:t>
      </w:r>
      <w:r>
        <w:rPr>
          <w:rFonts w:hint="eastAsia"/>
        </w:rPr>
        <w:t>条之下提到的项目。</w:t>
      </w:r>
    </w:p>
    <w:p w:rsidR="00000000" w:rsidRDefault="0031739B">
      <w:pPr>
        <w:pStyle w:val="Heading3"/>
      </w:pPr>
      <w:r>
        <w:rPr>
          <w:u w:val="none"/>
        </w:rPr>
        <w:t xml:space="preserve">B.  </w:t>
      </w:r>
      <w:r>
        <w:rPr>
          <w:rFonts w:hint="eastAsia"/>
        </w:rPr>
        <w:t>外国人的地位和权利</w:t>
      </w:r>
    </w:p>
    <w:p w:rsidR="00000000" w:rsidRDefault="0031739B">
      <w:r>
        <w:tab/>
        <w:t xml:space="preserve">3.  </w:t>
      </w:r>
      <w:r>
        <w:rPr>
          <w:rFonts w:hint="eastAsia"/>
        </w:rPr>
        <w:t>根据宪法精神</w:t>
      </w:r>
      <w:r>
        <w:t>(</w:t>
      </w:r>
      <w:r>
        <w:rPr>
          <w:rFonts w:hint="eastAsia"/>
        </w:rPr>
        <w:t>宪法的基本原则是尊重基本人权和国际合作精神</w:t>
      </w:r>
      <w:r>
        <w:t>)</w:t>
      </w:r>
      <w:r>
        <w:rPr>
          <w:rFonts w:hint="eastAsia"/>
        </w:rPr>
        <w:t>，外国人的基本权利得到保证，诸</w:t>
      </w:r>
      <w:r>
        <w:rPr>
          <w:rFonts w:hint="eastAsia"/>
        </w:rPr>
        <w:t>如投票权等除外，这些权利由于其性质仅日本国民才享有。日本政府努力保证外国人同样享有《盟约》规定的权利。这些权利如下。</w:t>
      </w:r>
    </w:p>
    <w:p w:rsidR="00000000" w:rsidRDefault="0031739B">
      <w:r>
        <w:tab/>
        <w:t xml:space="preserve">4.  </w:t>
      </w:r>
      <w:r>
        <w:rPr>
          <w:rFonts w:hint="eastAsia"/>
          <w:u w:val="single"/>
        </w:rPr>
        <w:t>工作权与选择和改变职业的自由</w:t>
      </w:r>
      <w:r>
        <w:rPr>
          <w:rFonts w:hint="eastAsia"/>
        </w:rPr>
        <w:t>。根据移民控制和难民承认法，政府允许外国人入境和居住，只要他们属于该法规定的任何居住地位范围并符合与适用的居住地位相关的要求</w:t>
      </w:r>
      <w:r>
        <w:t>(</w:t>
      </w:r>
      <w:r>
        <w:rPr>
          <w:rFonts w:hint="eastAsia"/>
        </w:rPr>
        <w:t>标准</w:t>
      </w:r>
      <w:r>
        <w:t>)</w:t>
      </w:r>
      <w:r>
        <w:rPr>
          <w:rFonts w:hint="eastAsia"/>
        </w:rPr>
        <w:t>。因此，外国人在日本工作的类型和工作期限实际上受到限制。然而，这对于在日本无居住权的外国人是符合逻辑的。这些限制不适用在日本拥有长期居住地位的外国人。</w:t>
      </w:r>
    </w:p>
    <w:p w:rsidR="00000000" w:rsidRDefault="0031739B">
      <w:r>
        <w:tab/>
        <w:t xml:space="preserve">5.  </w:t>
      </w:r>
      <w:r>
        <w:rPr>
          <w:rFonts w:hint="eastAsia"/>
          <w:u w:val="single"/>
        </w:rPr>
        <w:t>劳动条件</w:t>
      </w:r>
      <w:r>
        <w:rPr>
          <w:rFonts w:hint="eastAsia"/>
        </w:rPr>
        <w:t>。与劳动条件有关的法律和规章，如下文提到的劳动标准法，</w:t>
      </w:r>
      <w:r>
        <w:rPr>
          <w:rFonts w:hint="eastAsia"/>
        </w:rPr>
        <w:t>适用于在日本雇用的所有工人，不分国籍。</w:t>
      </w:r>
    </w:p>
    <w:p w:rsidR="00000000" w:rsidRDefault="0031739B">
      <w:r>
        <w:tab/>
        <w:t xml:space="preserve">6.  </w:t>
      </w:r>
      <w:r>
        <w:rPr>
          <w:rFonts w:hint="eastAsia"/>
          <w:u w:val="single"/>
        </w:rPr>
        <w:t>社会保险</w:t>
      </w:r>
      <w:r>
        <w:rPr>
          <w:rFonts w:hint="eastAsia"/>
        </w:rPr>
        <w:t>。根据外国人与日本国民平等的原则，政府努力向合法居住在日本的外国人，无论国籍如何，提供与日本国民同样的社会保险服务，只要支付必要款项。例如，享受下列制度的福利不需要拥有日本国籍：</w:t>
      </w:r>
    </w:p>
    <w:p w:rsidR="00000000" w:rsidRDefault="0031739B">
      <w:pPr>
        <w:pStyle w:val="a5"/>
        <w:ind w:left="1546"/>
      </w:pPr>
      <w:r>
        <w:t>(a)</w:t>
      </w:r>
      <w:r>
        <w:tab/>
      </w:r>
      <w:r>
        <w:rPr>
          <w:rFonts w:hint="eastAsia"/>
        </w:rPr>
        <w:t>全国养老金</w:t>
      </w:r>
      <w:r>
        <w:t>(</w:t>
      </w:r>
      <w:r>
        <w:rPr>
          <w:rFonts w:hint="eastAsia"/>
        </w:rPr>
        <w:t>全国养老金法</w:t>
      </w:r>
      <w:r>
        <w:t>)</w:t>
      </w:r>
      <w:r>
        <w:rPr>
          <w:rFonts w:hint="eastAsia"/>
        </w:rPr>
        <w:t>；</w:t>
      </w:r>
    </w:p>
    <w:p w:rsidR="00000000" w:rsidRDefault="0031739B">
      <w:pPr>
        <w:pStyle w:val="a5"/>
        <w:ind w:left="1546"/>
      </w:pPr>
      <w:r>
        <w:t>(b)</w:t>
      </w:r>
      <w:r>
        <w:tab/>
      </w:r>
      <w:r>
        <w:rPr>
          <w:rFonts w:hint="eastAsia"/>
        </w:rPr>
        <w:t>儿童抚养津贴</w:t>
      </w:r>
      <w:r>
        <w:t>(</w:t>
      </w:r>
      <w:r>
        <w:rPr>
          <w:rFonts w:hint="eastAsia"/>
        </w:rPr>
        <w:t>儿童抚养津贴法</w:t>
      </w:r>
      <w:r>
        <w:t>)</w:t>
      </w:r>
      <w:r>
        <w:rPr>
          <w:rFonts w:hint="eastAsia"/>
        </w:rPr>
        <w:t>；</w:t>
      </w:r>
    </w:p>
    <w:p w:rsidR="00000000" w:rsidRDefault="0031739B">
      <w:pPr>
        <w:pStyle w:val="a5"/>
        <w:ind w:left="1546"/>
      </w:pPr>
      <w:r>
        <w:t>(c)</w:t>
      </w:r>
      <w:r>
        <w:tab/>
      </w:r>
      <w:r>
        <w:rPr>
          <w:rFonts w:hint="eastAsia"/>
        </w:rPr>
        <w:t>儿童津贴</w:t>
      </w:r>
      <w:r>
        <w:t>(</w:t>
      </w:r>
      <w:r>
        <w:rPr>
          <w:rFonts w:hint="eastAsia"/>
        </w:rPr>
        <w:t>儿童津贴法</w:t>
      </w:r>
      <w:r>
        <w:t>)</w:t>
      </w:r>
      <w:r>
        <w:rPr>
          <w:rFonts w:hint="eastAsia"/>
        </w:rPr>
        <w:t>；</w:t>
      </w:r>
    </w:p>
    <w:p w:rsidR="00000000" w:rsidRDefault="0031739B">
      <w:pPr>
        <w:pStyle w:val="a5"/>
        <w:ind w:left="1546"/>
      </w:pPr>
      <w:r>
        <w:t>(d)</w:t>
      </w:r>
      <w:r>
        <w:tab/>
      </w:r>
      <w:r>
        <w:rPr>
          <w:rFonts w:hint="eastAsia"/>
        </w:rPr>
        <w:t>儿童抚养特别津贴、残疾人福利津贴、残疾人特别津贴和暂行福利津贴</w:t>
      </w:r>
      <w:r>
        <w:t>(</w:t>
      </w:r>
      <w:r>
        <w:rPr>
          <w:rFonts w:hint="eastAsia"/>
        </w:rPr>
        <w:t>有关支付儿童抚养特别津贴的法律等和修订全国养老金法的法律等</w:t>
      </w:r>
      <w:r>
        <w:t>)</w:t>
      </w:r>
      <w:r>
        <w:rPr>
          <w:rFonts w:hint="eastAsia"/>
        </w:rPr>
        <w:t>；以及</w:t>
      </w:r>
    </w:p>
    <w:p w:rsidR="00000000" w:rsidRDefault="0031739B">
      <w:pPr>
        <w:pStyle w:val="a5"/>
        <w:ind w:left="1546"/>
      </w:pPr>
      <w:r>
        <w:t>(e)</w:t>
      </w:r>
      <w:r>
        <w:tab/>
      </w:r>
      <w:r>
        <w:rPr>
          <w:rFonts w:hint="eastAsia"/>
        </w:rPr>
        <w:t>国民健康保险</w:t>
      </w:r>
      <w:r>
        <w:t>(</w:t>
      </w:r>
      <w:r>
        <w:rPr>
          <w:rFonts w:hint="eastAsia"/>
        </w:rPr>
        <w:t>国民健康保险法</w:t>
      </w:r>
      <w:r>
        <w:t>)</w:t>
      </w:r>
      <w:r>
        <w:rPr>
          <w:rFonts w:hint="eastAsia"/>
        </w:rPr>
        <w:t>。</w:t>
      </w:r>
    </w:p>
    <w:p w:rsidR="00000000" w:rsidRDefault="0031739B">
      <w:pPr>
        <w:spacing w:after="320"/>
        <w:textAlignment w:val="center"/>
      </w:pPr>
      <w:r>
        <w:tab/>
        <w:t xml:space="preserve">7.  </w:t>
      </w:r>
      <w:r>
        <w:rPr>
          <w:rFonts w:hint="eastAsia"/>
          <w:u w:val="single"/>
        </w:rPr>
        <w:t>教育权</w:t>
      </w:r>
      <w:r>
        <w:rPr>
          <w:rFonts w:hint="eastAsia"/>
        </w:rPr>
        <w:t>。提供义务教育的公立学校应接受希望得到教育的任何外国儿童。有关学校入学的手册提供给没有日本国籍的学龄儿童的父母，以免该儿童被剥夺受教育的机会。此外，依据外国人和日本国民平等的原则，外国学生在免收学费、免费课本和就学援助措施方面与日本学生享受同样待遇。</w:t>
      </w:r>
    </w:p>
    <w:p w:rsidR="00000000" w:rsidRDefault="0031739B">
      <w:pPr>
        <w:pStyle w:val="Heading3"/>
      </w:pPr>
      <w:r>
        <w:rPr>
          <w:u w:val="none"/>
        </w:rPr>
        <w:t xml:space="preserve">C.  </w:t>
      </w:r>
      <w:r>
        <w:rPr>
          <w:rFonts w:hint="eastAsia"/>
        </w:rPr>
        <w:t>雇用外国人为公务员</w:t>
      </w:r>
    </w:p>
    <w:p w:rsidR="00000000" w:rsidRDefault="0031739B">
      <w:pPr>
        <w:spacing w:after="320"/>
        <w:textAlignment w:val="center"/>
      </w:pPr>
      <w:r>
        <w:tab/>
        <w:t xml:space="preserve">8.  </w:t>
      </w:r>
      <w:r>
        <w:rPr>
          <w:rFonts w:hint="eastAsia"/>
        </w:rPr>
        <w:t>担任参与行使公共权力或公共决策的公务员需拥有日本国籍；然而，有一项谅解，即担任不从事上述工作的公务员不一定要求拥有日本国籍。上述要求原则上适用于在日本的朝鲜居民；此外，关于公立学校的教</w:t>
      </w:r>
      <w:r>
        <w:rPr>
          <w:rFonts w:hint="eastAsia"/>
        </w:rPr>
        <w:t>师，根据按日本与大韩民国政府自</w:t>
      </w:r>
      <w:r>
        <w:t>1988</w:t>
      </w:r>
      <w:r>
        <w:rPr>
          <w:rFonts w:hint="eastAsia"/>
        </w:rPr>
        <w:t>年以来举行的所谓“第三代协商”成果起草的备忘录，从</w:t>
      </w:r>
      <w:r>
        <w:t>1991</w:t>
      </w:r>
      <w:r>
        <w:rPr>
          <w:rFonts w:hint="eastAsia"/>
        </w:rPr>
        <w:t>年</w:t>
      </w:r>
      <w:r>
        <w:t>3</w:t>
      </w:r>
      <w:r>
        <w:rPr>
          <w:rFonts w:hint="eastAsia"/>
        </w:rPr>
        <w:t>月起，无日本国籍的个人包括在日本的朝鲜居民有可能被雇用为教师。与日本国民通过同样考试的人被雇用为全时教员，无任期限制。政府重视雇用他们的稳定性和条件。</w:t>
      </w:r>
    </w:p>
    <w:p w:rsidR="00000000" w:rsidRDefault="0031739B">
      <w:pPr>
        <w:pStyle w:val="Heading3"/>
      </w:pPr>
      <w:r>
        <w:rPr>
          <w:u w:val="none"/>
        </w:rPr>
        <w:t xml:space="preserve">D.  </w:t>
      </w:r>
      <w:r>
        <w:rPr>
          <w:rFonts w:hint="eastAsia"/>
        </w:rPr>
        <w:t>国内法中禁止歧视的条款</w:t>
      </w:r>
    </w:p>
    <w:p w:rsidR="00000000" w:rsidRDefault="0031739B">
      <w:r>
        <w:tab/>
        <w:t xml:space="preserve">9.  </w:t>
      </w:r>
      <w:r>
        <w:rPr>
          <w:rFonts w:hint="eastAsia"/>
        </w:rPr>
        <w:t>这些条款如下：</w:t>
      </w:r>
    </w:p>
    <w:p w:rsidR="00000000" w:rsidRDefault="0031739B">
      <w:pPr>
        <w:pStyle w:val="a5"/>
        <w:ind w:left="1546"/>
      </w:pPr>
      <w:r>
        <w:t>(a)</w:t>
      </w:r>
      <w:r>
        <w:tab/>
      </w:r>
      <w:r>
        <w:rPr>
          <w:rFonts w:hint="eastAsia"/>
        </w:rPr>
        <w:t>一般原则</w:t>
      </w:r>
      <w:r>
        <w:rPr>
          <w:rFonts w:hint="eastAsia"/>
          <w:spacing w:val="-40"/>
        </w:rPr>
        <w:t>——</w:t>
      </w:r>
      <w:r>
        <w:t xml:space="preserve"> </w:t>
      </w:r>
      <w:r>
        <w:rPr>
          <w:rFonts w:hint="eastAsia"/>
        </w:rPr>
        <w:t>宪法第</w:t>
      </w:r>
      <w:r>
        <w:t>14</w:t>
      </w:r>
      <w:r>
        <w:rPr>
          <w:rFonts w:hint="eastAsia"/>
        </w:rPr>
        <w:t>条第</w:t>
      </w:r>
      <w:r>
        <w:t>1</w:t>
      </w:r>
      <w:r>
        <w:rPr>
          <w:rFonts w:hint="eastAsia"/>
        </w:rPr>
        <w:t>款：“法律面前人人平等，不得因种族、教义、性别、社会地位或家庭出身而进行政治、经济或社会关系歧视。”；</w:t>
      </w:r>
    </w:p>
    <w:p w:rsidR="00000000" w:rsidRDefault="0031739B">
      <w:pPr>
        <w:pStyle w:val="a5"/>
        <w:ind w:left="1546"/>
      </w:pPr>
      <w:r>
        <w:t>(b)</w:t>
      </w:r>
      <w:r>
        <w:tab/>
      </w:r>
      <w:r>
        <w:rPr>
          <w:rFonts w:hint="eastAsia"/>
        </w:rPr>
        <w:t>国会议员及其选举人的资格</w:t>
      </w:r>
      <w:r>
        <w:rPr>
          <w:rFonts w:hint="eastAsia"/>
          <w:spacing w:val="-40"/>
        </w:rPr>
        <w:t>——</w:t>
      </w:r>
      <w:r>
        <w:t xml:space="preserve"> </w:t>
      </w:r>
      <w:r>
        <w:rPr>
          <w:rFonts w:hint="eastAsia"/>
        </w:rPr>
        <w:t>宪法第</w:t>
      </w:r>
      <w:r>
        <w:t>44</w:t>
      </w:r>
      <w:r>
        <w:rPr>
          <w:rFonts w:hint="eastAsia"/>
        </w:rPr>
        <w:t>条：“两院议</w:t>
      </w:r>
      <w:r>
        <w:rPr>
          <w:rFonts w:hint="eastAsia"/>
        </w:rPr>
        <w:t>员及其选举人的资格应由法律规定。然而，不得因种族、教义、性别、社会地位、家庭出身、教育、财产或收入而进行歧视。”；</w:t>
      </w:r>
    </w:p>
    <w:p w:rsidR="00000000" w:rsidRDefault="0031739B">
      <w:pPr>
        <w:pStyle w:val="a5"/>
        <w:ind w:left="1546"/>
      </w:pPr>
      <w:r>
        <w:t>(c)</w:t>
      </w:r>
      <w:r>
        <w:tab/>
      </w:r>
      <w:r>
        <w:rPr>
          <w:rFonts w:hint="eastAsia"/>
        </w:rPr>
        <w:t>国家公务雇员待遇</w:t>
      </w:r>
      <w:r>
        <w:rPr>
          <w:rFonts w:hint="eastAsia"/>
          <w:spacing w:val="-40"/>
        </w:rPr>
        <w:t>——</w:t>
      </w:r>
      <w:r>
        <w:t xml:space="preserve"> </w:t>
      </w:r>
      <w:r>
        <w:rPr>
          <w:rFonts w:hint="eastAsia"/>
        </w:rPr>
        <w:t>国家公务法第</w:t>
      </w:r>
      <w:r>
        <w:t>27</w:t>
      </w:r>
      <w:r>
        <w:rPr>
          <w:rFonts w:hint="eastAsia"/>
        </w:rPr>
        <w:t>条：“在适用该法时，所有人应得到同等待遇，不应受到出于种族、宗教信仰、性别、社会地位、家庭出身或除第</w:t>
      </w:r>
      <w:r>
        <w:t>38</w:t>
      </w:r>
      <w:r>
        <w:rPr>
          <w:rFonts w:hint="eastAsia"/>
        </w:rPr>
        <w:t>条规定外的政治见解或联系等原因的歧视”；［在日本宪法颁布之日或其后成立、或属于主张用武力推翻日本宪法或根据该宪法组成的政府的政党或其他组织者除外］；</w:t>
      </w:r>
    </w:p>
    <w:p w:rsidR="00000000" w:rsidRDefault="0031739B">
      <w:pPr>
        <w:pStyle w:val="a5"/>
        <w:ind w:left="1546"/>
      </w:pPr>
      <w:r>
        <w:t>(d)</w:t>
      </w:r>
      <w:r>
        <w:tab/>
      </w:r>
      <w:r>
        <w:rPr>
          <w:rFonts w:hint="eastAsia"/>
        </w:rPr>
        <w:t>地方公共雇员待遇</w:t>
      </w:r>
      <w:r>
        <w:rPr>
          <w:rFonts w:hint="eastAsia"/>
          <w:spacing w:val="-40"/>
        </w:rPr>
        <w:t>——</w:t>
      </w:r>
      <w:r>
        <w:t xml:space="preserve"> </w:t>
      </w:r>
      <w:r>
        <w:rPr>
          <w:rFonts w:hint="eastAsia"/>
        </w:rPr>
        <w:t>地方公务法第</w:t>
      </w:r>
      <w:r>
        <w:t>13</w:t>
      </w:r>
      <w:r>
        <w:rPr>
          <w:rFonts w:hint="eastAsia"/>
        </w:rPr>
        <w:t>条：“在适用该法时，所有人应得到同样待遇，不应受到</w:t>
      </w:r>
      <w:r>
        <w:rPr>
          <w:rFonts w:hint="eastAsia"/>
        </w:rPr>
        <w:t>出于种族、宗教信仰、性别、社会地位、家庭出身或除第</w:t>
      </w:r>
      <w:r>
        <w:t>16</w:t>
      </w:r>
      <w:r>
        <w:rPr>
          <w:rFonts w:hint="eastAsia"/>
        </w:rPr>
        <w:t>条规定外的政治见解或联系等原因的歧视”［与上文</w:t>
      </w:r>
      <w:r>
        <w:t>(c)</w:t>
      </w:r>
      <w:r>
        <w:rPr>
          <w:rFonts w:hint="eastAsia"/>
        </w:rPr>
        <w:t>段相同］；</w:t>
      </w:r>
    </w:p>
    <w:p w:rsidR="00000000" w:rsidRDefault="0031739B">
      <w:pPr>
        <w:pStyle w:val="a5"/>
        <w:ind w:left="1546"/>
      </w:pPr>
      <w:r>
        <w:t>(e)</w:t>
      </w:r>
      <w:r>
        <w:tab/>
      </w:r>
      <w:r>
        <w:rPr>
          <w:rFonts w:hint="eastAsia"/>
        </w:rPr>
        <w:t>劳动条件</w:t>
      </w:r>
      <w:r>
        <w:rPr>
          <w:rFonts w:hint="eastAsia"/>
          <w:spacing w:val="-40"/>
        </w:rPr>
        <w:t>——</w:t>
      </w:r>
      <w:r>
        <w:t xml:space="preserve"> </w:t>
      </w:r>
      <w:r>
        <w:rPr>
          <w:rFonts w:hint="eastAsia"/>
        </w:rPr>
        <w:t>劳工标准法第</w:t>
      </w:r>
      <w:r>
        <w:t>3</w:t>
      </w:r>
      <w:r>
        <w:rPr>
          <w:rFonts w:hint="eastAsia"/>
        </w:rPr>
        <w:t>条：“雇主在工资、工作时间或其他工作条件方面不得以任何工人的国籍、教义或社会地位为理由歧视或优待任何工人”；</w:t>
      </w:r>
    </w:p>
    <w:p w:rsidR="00000000" w:rsidRDefault="0031739B">
      <w:pPr>
        <w:pStyle w:val="a5"/>
        <w:ind w:left="1546"/>
      </w:pPr>
      <w:r>
        <w:t>(f)</w:t>
      </w:r>
      <w:r>
        <w:tab/>
      </w:r>
      <w:r>
        <w:rPr>
          <w:rFonts w:hint="eastAsia"/>
        </w:rPr>
        <w:t>工资</w:t>
      </w:r>
      <w:r>
        <w:rPr>
          <w:rFonts w:hint="eastAsia"/>
          <w:spacing w:val="-40"/>
        </w:rPr>
        <w:t>——</w:t>
      </w:r>
      <w:r>
        <w:t xml:space="preserve"> </w:t>
      </w:r>
      <w:r>
        <w:rPr>
          <w:rFonts w:hint="eastAsia"/>
        </w:rPr>
        <w:t>劳工标准法第</w:t>
      </w:r>
      <w:r>
        <w:t>4</w:t>
      </w:r>
      <w:r>
        <w:rPr>
          <w:rFonts w:hint="eastAsia"/>
        </w:rPr>
        <w:t>条：“雇主在工资方面不得以工人是妇女为理由而对妇女实行有别于男人的歧视”；</w:t>
      </w:r>
    </w:p>
    <w:p w:rsidR="00000000" w:rsidRDefault="0031739B">
      <w:pPr>
        <w:pStyle w:val="a5"/>
        <w:ind w:left="1546"/>
      </w:pPr>
      <w:r>
        <w:t>(g)</w:t>
      </w:r>
      <w:r>
        <w:tab/>
      </w:r>
      <w:r>
        <w:rPr>
          <w:rFonts w:hint="eastAsia"/>
        </w:rPr>
        <w:t>就业机会和待遇</w:t>
      </w:r>
      <w:r>
        <w:rPr>
          <w:rFonts w:hint="eastAsia"/>
          <w:spacing w:val="-40"/>
        </w:rPr>
        <w:t>——</w:t>
      </w:r>
      <w:r>
        <w:t xml:space="preserve"> </w:t>
      </w:r>
      <w:r>
        <w:rPr>
          <w:rFonts w:hint="eastAsia"/>
        </w:rPr>
        <w:t>公平就业机会法第</w:t>
      </w:r>
      <w:r>
        <w:t>11</w:t>
      </w:r>
      <w:r>
        <w:rPr>
          <w:rFonts w:hint="eastAsia"/>
        </w:rPr>
        <w:t>条：“雇主不得因为是妇女而对女工实行有别于男人的歧视”；</w:t>
      </w:r>
    </w:p>
    <w:p w:rsidR="00000000" w:rsidRDefault="0031739B">
      <w:pPr>
        <w:pStyle w:val="a5"/>
        <w:ind w:left="1546"/>
      </w:pPr>
      <w:r>
        <w:t>(h)</w:t>
      </w:r>
      <w:r>
        <w:tab/>
      </w:r>
      <w:r>
        <w:rPr>
          <w:rFonts w:hint="eastAsia"/>
        </w:rPr>
        <w:t>加入工会权</w:t>
      </w:r>
      <w:r>
        <w:rPr>
          <w:rFonts w:hint="eastAsia"/>
          <w:spacing w:val="-40"/>
        </w:rPr>
        <w:t>——</w:t>
      </w:r>
      <w:r>
        <w:t xml:space="preserve"> </w:t>
      </w:r>
      <w:r>
        <w:rPr>
          <w:rFonts w:hint="eastAsia"/>
        </w:rPr>
        <w:t>工会法第</w:t>
      </w:r>
      <w:r>
        <w:t>5</w:t>
      </w:r>
      <w:r>
        <w:rPr>
          <w:rFonts w:hint="eastAsia"/>
        </w:rPr>
        <w:t>条第</w:t>
      </w:r>
      <w:r>
        <w:t>2</w:t>
      </w:r>
      <w:r>
        <w:rPr>
          <w:rFonts w:hint="eastAsia"/>
        </w:rPr>
        <w:t>款第</w:t>
      </w:r>
      <w:r>
        <w:t>(4)</w:t>
      </w:r>
      <w:r>
        <w:rPr>
          <w:rFonts w:hint="eastAsia"/>
        </w:rPr>
        <w:t>项：“无论在何种情况下，任何人不得因种族、宗教、性别、社会地位或家庭出身等原因而无资格成为工会成员”；</w:t>
      </w:r>
    </w:p>
    <w:p w:rsidR="00000000" w:rsidRDefault="0031739B">
      <w:pPr>
        <w:pStyle w:val="a5"/>
        <w:ind w:left="1546"/>
      </w:pPr>
      <w:r>
        <w:t>(i)</w:t>
      </w:r>
      <w:r>
        <w:tab/>
      </w:r>
      <w:r>
        <w:rPr>
          <w:rFonts w:hint="eastAsia"/>
        </w:rPr>
        <w:t>就业交换和职业指导</w:t>
      </w:r>
      <w:r>
        <w:rPr>
          <w:rFonts w:hint="eastAsia"/>
          <w:spacing w:val="-40"/>
        </w:rPr>
        <w:t>——</w:t>
      </w:r>
      <w:r>
        <w:t xml:space="preserve"> </w:t>
      </w:r>
      <w:r>
        <w:rPr>
          <w:rFonts w:hint="eastAsia"/>
        </w:rPr>
        <w:t>就业保险法第</w:t>
      </w:r>
      <w:r>
        <w:t>3</w:t>
      </w:r>
      <w:r>
        <w:rPr>
          <w:rFonts w:hint="eastAsia"/>
        </w:rPr>
        <w:t>条：“任何人不得因种族、国籍、教义、性别、社会地位、家庭出身、以前的就业、加入或未加入工会等原因而在就业交流或职业指导方面受到歧视”；</w:t>
      </w:r>
    </w:p>
    <w:p w:rsidR="00000000" w:rsidRDefault="0031739B">
      <w:pPr>
        <w:pStyle w:val="a5"/>
        <w:spacing w:after="320"/>
        <w:ind w:left="1546"/>
        <w:textAlignment w:val="center"/>
      </w:pPr>
      <w:r>
        <w:t>(j)</w:t>
      </w:r>
      <w:r>
        <w:tab/>
      </w:r>
      <w:r>
        <w:rPr>
          <w:rFonts w:hint="eastAsia"/>
        </w:rPr>
        <w:t>教育权</w:t>
      </w:r>
      <w:r>
        <w:rPr>
          <w:rFonts w:hint="eastAsia"/>
          <w:spacing w:val="-40"/>
        </w:rPr>
        <w:t>——</w:t>
      </w:r>
      <w:r>
        <w:t xml:space="preserve"> </w:t>
      </w:r>
      <w:r>
        <w:rPr>
          <w:rFonts w:hint="eastAsia"/>
        </w:rPr>
        <w:t>教育基本法第</w:t>
      </w:r>
      <w:r>
        <w:t>3</w:t>
      </w:r>
      <w:r>
        <w:rPr>
          <w:rFonts w:hint="eastAsia"/>
        </w:rPr>
        <w:t>条第</w:t>
      </w:r>
      <w:r>
        <w:t>1</w:t>
      </w:r>
      <w:r>
        <w:rPr>
          <w:rFonts w:hint="eastAsia"/>
        </w:rPr>
        <w:t>款：“所有人将根据其能力获得受教育的公平机会，并不应因种族、教义、性别、社会地位、经济状况或家庭出身等原因在教育方面受歧视。”</w:t>
      </w:r>
    </w:p>
    <w:p w:rsidR="00000000" w:rsidRDefault="0031739B">
      <w:pPr>
        <w:pStyle w:val="Heading3"/>
      </w:pPr>
      <w:r>
        <w:rPr>
          <w:u w:val="none"/>
        </w:rPr>
        <w:t xml:space="preserve">E.  </w:t>
      </w:r>
      <w:r>
        <w:rPr>
          <w:rFonts w:hint="eastAsia"/>
        </w:rPr>
        <w:t>对别国的发展援助</w:t>
      </w:r>
    </w:p>
    <w:p w:rsidR="00000000" w:rsidRDefault="0031739B">
      <w:r>
        <w:tab/>
        <w:t xml:space="preserve">10.  </w:t>
      </w:r>
      <w:r>
        <w:rPr>
          <w:rFonts w:hint="eastAsia"/>
        </w:rPr>
        <w:t>日本</w:t>
      </w:r>
      <w:r>
        <w:rPr>
          <w:rFonts w:hint="eastAsia"/>
        </w:rPr>
        <w:t>采取的基本立场是人权是一普遍价值观和全人类共同的合法国际关注。日本相信发展援助应有助于促进和保护人权。日本用发展援助促进其他国家的经济、社会和文化权利的事例如下：</w:t>
      </w:r>
    </w:p>
    <w:p w:rsidR="00000000" w:rsidRDefault="0031739B">
      <w:pPr>
        <w:pStyle w:val="a5"/>
        <w:ind w:left="1546"/>
      </w:pPr>
      <w:r>
        <w:t>(a)</w:t>
      </w:r>
      <w:r>
        <w:tab/>
      </w:r>
      <w:r>
        <w:rPr>
          <w:rFonts w:hint="eastAsia"/>
        </w:rPr>
        <w:t>实现工作权的援助。日本视在发展中国家的技术和职业培训为发展援助的最高优先。《官方发展援助宪章》阐明了发展人力资源的重要性，该宪章于</w:t>
      </w:r>
      <w:r>
        <w:t>1992</w:t>
      </w:r>
      <w:r>
        <w:rPr>
          <w:rFonts w:hint="eastAsia"/>
        </w:rPr>
        <w:t>年</w:t>
      </w:r>
      <w:r>
        <w:t>6</w:t>
      </w:r>
      <w:r>
        <w:rPr>
          <w:rFonts w:hint="eastAsia"/>
        </w:rPr>
        <w:t>月由内阁通过，其基础是承认人力资源是实现发展中国家经济权利不可或缺和至关重要的。从这一观点出发，日本努力通过下列各种措施从事技术转让，如提供援助建立培训中心、接受其他国家的受培训人员、提供设备和物资</w:t>
      </w:r>
      <w:r>
        <w:rPr>
          <w:rFonts w:hint="eastAsia"/>
        </w:rPr>
        <w:t>、派遣专家和志愿人员</w:t>
      </w:r>
      <w:r>
        <w:t>(</w:t>
      </w:r>
      <w:r>
        <w:rPr>
          <w:rFonts w:hint="eastAsia"/>
        </w:rPr>
        <w:t>日本海外合作志愿者</w:t>
      </w:r>
      <w:r>
        <w:t>)</w:t>
      </w:r>
      <w:r>
        <w:rPr>
          <w:rFonts w:hint="eastAsia"/>
        </w:rPr>
        <w:t>和进行发展研究；</w:t>
      </w:r>
    </w:p>
    <w:p w:rsidR="00000000" w:rsidRDefault="0031739B">
      <w:pPr>
        <w:pStyle w:val="a5"/>
        <w:ind w:left="1546"/>
      </w:pPr>
      <w:r>
        <w:t>(b)</w:t>
      </w:r>
      <w:r>
        <w:tab/>
      </w:r>
      <w:r>
        <w:rPr>
          <w:rFonts w:hint="eastAsia"/>
        </w:rPr>
        <w:t>实现享有健康权的援助。发展中国家的保健和医疗条件普遍较差。那里有许多人受到死亡威胁和患有各种疾病，如传染病。低生活标准、营养不良和恶劣的卫生条件增加了对健康的威胁。日本在保健和医疗领域通过下列途径提供援助：赠款援助、贷款、接纳受培训人员、派遣专门人员和志愿者进行技术合作，这些援助所依据的概念是福利应该在人类之间共同享有。此外，日本执行建立社会基础设施项目，包括供水系统、污水排除系统和城市卫生设施，作为官方发展援助人类基本需要项目的一部分；</w:t>
      </w:r>
    </w:p>
    <w:p w:rsidR="00000000" w:rsidRDefault="0031739B">
      <w:pPr>
        <w:pStyle w:val="a5"/>
        <w:ind w:left="1546"/>
      </w:pPr>
      <w:r>
        <w:t>(c)</w:t>
      </w:r>
      <w:r>
        <w:tab/>
      </w:r>
      <w:r>
        <w:rPr>
          <w:rFonts w:hint="eastAsia"/>
        </w:rPr>
        <w:t>实现无饥饿之虞的基本权利援助。公民无饥饿之虞的基本权利可通过稳定一国的农业、林业和渔业予以保证。从这一观点出发，日本强调开发对发展中国家农业和农业村庄的援助，办法是执行农业基础设施项目，如灌溉和排水项目、农产品研究和试验项目，传播与种植有关的信息、组织农业村庄的项目和促进农业产品推销的项目。日本在该领域的官方发展援助通过各种形式落实，如赠款援助、贷款和技术合作。日本也在饥荒救济方面作出贡献，采用农业发展援助形式，如一般赠款、海事赠款和救灾赠款；</w:t>
      </w:r>
    </w:p>
    <w:p w:rsidR="00000000" w:rsidRDefault="0031739B">
      <w:pPr>
        <w:pStyle w:val="a5"/>
        <w:spacing w:after="320"/>
        <w:ind w:left="1546"/>
        <w:textAlignment w:val="center"/>
      </w:pPr>
      <w:r>
        <w:t>(d)</w:t>
      </w:r>
      <w:r>
        <w:tab/>
      </w:r>
      <w:r>
        <w:rPr>
          <w:rFonts w:hint="eastAsia"/>
        </w:rPr>
        <w:t>实现受教育权的援助。人力资源开发在谋求经济发展</w:t>
      </w:r>
      <w:r>
        <w:rPr>
          <w:rFonts w:hint="eastAsia"/>
        </w:rPr>
        <w:t>的国家至关重要。一般来说，发展中国家社会服务部门的发展滞后，教育基础设施尤其落后。日本认识到教育基础设施发展不足阻碍人力资源的开发，而人力资源开发对于经济发展至关重要。因此它提供各种援助，既有基本的基础设施又有“软件”，如人力资源和能力建设。日本高等教育机构积极接受来自发展中国家的学生。日本全面促进各种措施，如日本政府奖学金制度，以便在世界其他地区提供高等教育服务。日本提供赠款和贷款，用于修建小学和中学，以及社会教育设施和用于发展无线广播课程和学校工作人员的培训和进修。与这些活动同时，日本支持基层项目，如非</w:t>
      </w:r>
      <w:r>
        <w:rPr>
          <w:rFonts w:hint="eastAsia"/>
        </w:rPr>
        <w:t>政府组织进行的项目，办法是修建各种设施和自</w:t>
      </w:r>
      <w:r>
        <w:t>1989</w:t>
      </w:r>
      <w:r>
        <w:rPr>
          <w:rFonts w:hint="eastAsia"/>
        </w:rPr>
        <w:t>年以来通过小规模赠款提供设备和物资。技术合作在教育领域取得许多成就，特别是通过项目型技术合作和日本海外合作志愿人员。具体而言，日本海外合作志愿人员的活动包括基础教育领域，此前在该领域日本援助相对有限。这些活动一般得到受援国的高度评价。</w:t>
      </w:r>
    </w:p>
    <w:p w:rsidR="00000000" w:rsidRDefault="0031739B">
      <w:pPr>
        <w:pStyle w:val="Heading3"/>
      </w:pPr>
      <w:r>
        <w:rPr>
          <w:u w:val="none"/>
        </w:rPr>
        <w:t xml:space="preserve">F.  </w:t>
      </w:r>
      <w:r>
        <w:rPr>
          <w:rFonts w:hint="eastAsia"/>
        </w:rPr>
        <w:t>公共福利</w:t>
      </w:r>
    </w:p>
    <w:p w:rsidR="00000000" w:rsidRDefault="0031739B">
      <w:pPr>
        <w:spacing w:after="320"/>
        <w:textAlignment w:val="center"/>
      </w:pPr>
      <w:r>
        <w:tab/>
        <w:t xml:space="preserve">11.  </w:t>
      </w:r>
      <w:r>
        <w:rPr>
          <w:rFonts w:hint="eastAsia"/>
        </w:rPr>
        <w:t>宪法规定为了“公共福利”人权可以受到限制</w:t>
      </w:r>
      <w:r>
        <w:t>(</w:t>
      </w:r>
      <w:r>
        <w:rPr>
          <w:rFonts w:hint="eastAsia"/>
        </w:rPr>
        <w:t>第</w:t>
      </w:r>
      <w:r>
        <w:t>12</w:t>
      </w:r>
      <w:r>
        <w:rPr>
          <w:rFonts w:hint="eastAsia"/>
        </w:rPr>
        <w:t>和</w:t>
      </w:r>
      <w:r>
        <w:t>13</w:t>
      </w:r>
      <w:r>
        <w:rPr>
          <w:rFonts w:hint="eastAsia"/>
        </w:rPr>
        <w:t>条</w:t>
      </w:r>
      <w:r>
        <w:t>)</w:t>
      </w:r>
      <w:r>
        <w:rPr>
          <w:rFonts w:hint="eastAsia"/>
        </w:rPr>
        <w:t>。对“公共福利”概念的解释十分严格，以使每个人的人权得到同等尊重。因此，公共福利并非对人权的不合理限制。如果政府对人权实行限制，它们必须符</w:t>
      </w:r>
      <w:r>
        <w:rPr>
          <w:rFonts w:hint="eastAsia"/>
        </w:rPr>
        <w:t>合法律和规章；因此，无限的限制是不可能的，因为限制仅在于“合理考虑因素”。判断这一合理性的标准称为“公共福利”。</w:t>
      </w:r>
    </w:p>
    <w:p w:rsidR="00000000" w:rsidRDefault="0031739B">
      <w:pPr>
        <w:pStyle w:val="Heading3"/>
      </w:pPr>
      <w:r>
        <w:rPr>
          <w:u w:val="none"/>
        </w:rPr>
        <w:t xml:space="preserve">G.  </w:t>
      </w:r>
      <w:r>
        <w:rPr>
          <w:rFonts w:hint="eastAsia"/>
        </w:rPr>
        <w:t>为处于社会不利地位的人采取的措施</w:t>
      </w:r>
    </w:p>
    <w:p w:rsidR="00000000" w:rsidRDefault="0031739B">
      <w:pPr>
        <w:pStyle w:val="Heading3"/>
      </w:pPr>
      <w:r>
        <w:rPr>
          <w:u w:val="none"/>
        </w:rPr>
        <w:t xml:space="preserve">1.  </w:t>
      </w:r>
      <w:r>
        <w:rPr>
          <w:rFonts w:hint="eastAsia"/>
        </w:rPr>
        <w:t>为残疾人采取的措施</w:t>
      </w:r>
    </w:p>
    <w:p w:rsidR="00000000" w:rsidRDefault="0031739B">
      <w:r>
        <w:tab/>
        <w:t xml:space="preserve">12.  </w:t>
      </w:r>
      <w:r>
        <w:rPr>
          <w:rFonts w:hint="eastAsia"/>
        </w:rPr>
        <w:t>日本于</w:t>
      </w:r>
      <w:r>
        <w:t>1995</w:t>
      </w:r>
      <w:r>
        <w:rPr>
          <w:rFonts w:hint="eastAsia"/>
        </w:rPr>
        <w:t>年为残疾人颁布了政府行动计划，其中规定下列七项目标，以执行</w:t>
      </w:r>
      <w:r>
        <w:t>1993</w:t>
      </w:r>
      <w:r>
        <w:rPr>
          <w:rFonts w:hint="eastAsia"/>
        </w:rPr>
        <w:t>年颁布的“为残疾人采取政府措施的新长期方案”。行动计划以复原和恢复正常原则为基础，前者旨在让处于人生各阶段的人恢复所有人权；后者致力于创造一个残疾人的日常生活及活动与非残疾人的日常生活及活动在质量上平等的社会。这七项目标是：</w:t>
      </w:r>
    </w:p>
    <w:p w:rsidR="00000000" w:rsidRDefault="0031739B">
      <w:pPr>
        <w:ind w:left="1036"/>
      </w:pPr>
      <w:r>
        <w:t>(a)</w:t>
      </w:r>
      <w:r>
        <w:tab/>
      </w:r>
      <w:r>
        <w:rPr>
          <w:rFonts w:hint="eastAsia"/>
        </w:rPr>
        <w:t>作</w:t>
      </w:r>
      <w:r>
        <w:rPr>
          <w:rFonts w:hint="eastAsia"/>
        </w:rPr>
        <w:t>为普通公民在社区生活；</w:t>
      </w:r>
    </w:p>
    <w:p w:rsidR="00000000" w:rsidRDefault="0031739B">
      <w:pPr>
        <w:ind w:left="1036"/>
      </w:pPr>
      <w:r>
        <w:t>(b)</w:t>
      </w:r>
      <w:r>
        <w:tab/>
      </w:r>
      <w:r>
        <w:rPr>
          <w:rFonts w:hint="eastAsia"/>
        </w:rPr>
        <w:t>促进残疾人的社会独立；</w:t>
      </w:r>
    </w:p>
    <w:p w:rsidR="00000000" w:rsidRDefault="0031739B">
      <w:pPr>
        <w:ind w:left="1036"/>
      </w:pPr>
      <w:r>
        <w:t>(c)</w:t>
      </w:r>
      <w:r>
        <w:tab/>
      </w:r>
      <w:r>
        <w:rPr>
          <w:rFonts w:hint="eastAsia"/>
        </w:rPr>
        <w:t>促进无障碍的社会；</w:t>
      </w:r>
    </w:p>
    <w:p w:rsidR="00000000" w:rsidRDefault="0031739B">
      <w:pPr>
        <w:ind w:left="1036"/>
      </w:pPr>
      <w:r>
        <w:t>(d)</w:t>
      </w:r>
      <w:r>
        <w:tab/>
      </w:r>
      <w:r>
        <w:rPr>
          <w:rFonts w:hint="eastAsia"/>
        </w:rPr>
        <w:t>以生活质量为目标；</w:t>
      </w:r>
    </w:p>
    <w:p w:rsidR="00000000" w:rsidRDefault="0031739B">
      <w:pPr>
        <w:ind w:left="1036"/>
      </w:pPr>
      <w:r>
        <w:t>(e)</w:t>
      </w:r>
      <w:r>
        <w:tab/>
      </w:r>
      <w:r>
        <w:rPr>
          <w:rFonts w:hint="eastAsia"/>
        </w:rPr>
        <w:t>使生活确有保障；</w:t>
      </w:r>
    </w:p>
    <w:p w:rsidR="00000000" w:rsidRDefault="0031739B">
      <w:pPr>
        <w:ind w:left="1036"/>
      </w:pPr>
      <w:r>
        <w:t>(f)</w:t>
      </w:r>
      <w:r>
        <w:tab/>
      </w:r>
      <w:r>
        <w:rPr>
          <w:rFonts w:hint="eastAsia"/>
        </w:rPr>
        <w:t>消除心理障碍；及</w:t>
      </w:r>
    </w:p>
    <w:p w:rsidR="00000000" w:rsidRDefault="0031739B">
      <w:pPr>
        <w:spacing w:after="320"/>
        <w:ind w:left="1036"/>
        <w:textAlignment w:val="center"/>
      </w:pPr>
      <w:r>
        <w:t>(g)</w:t>
      </w:r>
      <w:r>
        <w:tab/>
      </w:r>
      <w:r>
        <w:rPr>
          <w:rFonts w:hint="eastAsia"/>
        </w:rPr>
        <w:t>促进国际合作和交流。</w:t>
      </w:r>
    </w:p>
    <w:p w:rsidR="00000000" w:rsidRDefault="0031739B">
      <w:pPr>
        <w:pStyle w:val="Heading3"/>
      </w:pPr>
      <w:r>
        <w:rPr>
          <w:u w:val="none"/>
        </w:rPr>
        <w:t xml:space="preserve">2.  </w:t>
      </w:r>
      <w:r>
        <w:rPr>
          <w:rFonts w:hint="eastAsia"/>
        </w:rPr>
        <w:t>老年人措施</w:t>
      </w:r>
    </w:p>
    <w:p w:rsidR="00000000" w:rsidRDefault="0031739B">
      <w:r>
        <w:tab/>
        <w:t xml:space="preserve">13.  </w:t>
      </w:r>
      <w:r>
        <w:rPr>
          <w:rFonts w:hint="eastAsia"/>
        </w:rPr>
        <w:t>日本人的平均寿命期约为</w:t>
      </w:r>
      <w:r>
        <w:t>80</w:t>
      </w:r>
      <w:r>
        <w:rPr>
          <w:rFonts w:hint="eastAsia"/>
        </w:rPr>
        <w:t>岁，是世界最长的。根据国立人口和社会保险研究所的人口估计，</w:t>
      </w:r>
      <w:r>
        <w:t>65</w:t>
      </w:r>
      <w:r>
        <w:rPr>
          <w:rFonts w:hint="eastAsia"/>
        </w:rPr>
        <w:t>岁和以上人口的百分比预计</w:t>
      </w:r>
      <w:r>
        <w:t>2020</w:t>
      </w:r>
      <w:r>
        <w:rPr>
          <w:rFonts w:hint="eastAsia"/>
        </w:rPr>
        <w:t>年达到</w:t>
      </w:r>
      <w:r>
        <w:t>26.9%</w:t>
      </w:r>
      <w:r>
        <w:rPr>
          <w:rFonts w:hint="eastAsia"/>
        </w:rPr>
        <w:t>，这意味着未来社会严重老龄化的问题，届时每四个公民中将有一名为老年公民。为使</w:t>
      </w:r>
      <w:r>
        <w:t>21</w:t>
      </w:r>
      <w:r>
        <w:rPr>
          <w:rFonts w:hint="eastAsia"/>
        </w:rPr>
        <w:t>世纪这一老龄社会成为人人健康、有生活保障和无忧无虑的社会，为一个无可否</w:t>
      </w:r>
      <w:r>
        <w:rPr>
          <w:rFonts w:hint="eastAsia"/>
        </w:rPr>
        <w:t>认的长寿社会制定适当的社会经济制度是一项迫切的挑战。</w:t>
      </w:r>
    </w:p>
    <w:p w:rsidR="00000000" w:rsidRDefault="0031739B">
      <w:r>
        <w:tab/>
        <w:t xml:space="preserve">14.  </w:t>
      </w:r>
      <w:r>
        <w:rPr>
          <w:rFonts w:hint="eastAsia"/>
        </w:rPr>
        <w:t>在上述情况下，日本政府于</w:t>
      </w:r>
      <w:r>
        <w:t>1989</w:t>
      </w:r>
      <w:r>
        <w:rPr>
          <w:rFonts w:hint="eastAsia"/>
        </w:rPr>
        <w:t>年制定了“促进老年人健康和福利的十年战略</w:t>
      </w:r>
      <w:r>
        <w:t>(</w:t>
      </w:r>
      <w:r>
        <w:rPr>
          <w:rFonts w:hint="eastAsia"/>
        </w:rPr>
        <w:t>黄金计划</w:t>
      </w:r>
      <w:r>
        <w:t>)</w:t>
      </w:r>
      <w:r>
        <w:rPr>
          <w:rFonts w:hint="eastAsia"/>
        </w:rPr>
        <w:t>”</w:t>
      </w:r>
      <w:r>
        <w:t>(1990</w:t>
      </w:r>
      <w:r>
        <w:rPr>
          <w:rFonts w:hint="eastAsia"/>
        </w:rPr>
        <w:t>至</w:t>
      </w:r>
      <w:r>
        <w:t>1999</w:t>
      </w:r>
      <w:r>
        <w:rPr>
          <w:rFonts w:hint="eastAsia"/>
        </w:rPr>
        <w:t>年</w:t>
      </w:r>
      <w:r>
        <w:t>)</w:t>
      </w:r>
      <w:r>
        <w:rPr>
          <w:rFonts w:hint="eastAsia"/>
        </w:rPr>
        <w:t>，其中为健康和福利服务的必要改善规定了数量目标。该计划旨在保证老年人能尽可能长期和平生活在自己家中或社区；如果他们在自己家里生活有困难，就向他们提供适当设施。通过这种方式，将为老年人促进系统而根本改善健康和福利领域的公共服务。</w:t>
      </w:r>
    </w:p>
    <w:p w:rsidR="00000000" w:rsidRDefault="0031739B">
      <w:r>
        <w:tab/>
        <w:t xml:space="preserve">15.  </w:t>
      </w:r>
      <w:r>
        <w:rPr>
          <w:rFonts w:hint="eastAsia"/>
        </w:rPr>
        <w:t>自</w:t>
      </w:r>
      <w:r>
        <w:t>1990</w:t>
      </w:r>
      <w:r>
        <w:rPr>
          <w:rFonts w:hint="eastAsia"/>
        </w:rPr>
        <w:t>年以来，促进黄金计划是日本最重要的任务之一。然而，自</w:t>
      </w:r>
      <w:r>
        <w:t>1993</w:t>
      </w:r>
      <w:r>
        <w:rPr>
          <w:rFonts w:hint="eastAsia"/>
        </w:rPr>
        <w:t>年以来，老年人健康和福利地</w:t>
      </w:r>
      <w:r>
        <w:rPr>
          <w:rFonts w:hint="eastAsia"/>
        </w:rPr>
        <w:t>方计划清楚显示，有必要改善老年人健康和福利服务，改善规模要比黄金计划规定的大得多</w:t>
      </w:r>
      <w:r>
        <w:t>(</w:t>
      </w:r>
      <w:r>
        <w:rPr>
          <w:rFonts w:hint="eastAsia"/>
        </w:rPr>
        <w:t>老年人健康和福利地方计划是地方公共组织制定的计划，以便有系统地促进老年人健康和福利措施</w:t>
      </w:r>
      <w:r>
        <w:t>)</w:t>
      </w:r>
      <w:r>
        <w:rPr>
          <w:rFonts w:hint="eastAsia"/>
        </w:rPr>
        <w:t>。此外，黄金计划开始后已执行了促进老年人健康和福利的各种措施。因此，政府于</w:t>
      </w:r>
      <w:r>
        <w:t>1994</w:t>
      </w:r>
      <w:r>
        <w:rPr>
          <w:rFonts w:hint="eastAsia"/>
        </w:rPr>
        <w:t>年彻底修改了该计划并制定了“新黄金计划”。</w:t>
      </w:r>
    </w:p>
    <w:p w:rsidR="00000000" w:rsidRDefault="0031739B">
      <w:pPr>
        <w:spacing w:after="240"/>
        <w:textAlignment w:val="center"/>
      </w:pPr>
      <w:r>
        <w:tab/>
        <w:t xml:space="preserve">16.  </w:t>
      </w:r>
      <w:r>
        <w:rPr>
          <w:rFonts w:hint="eastAsia"/>
        </w:rPr>
        <w:t>在新黄金计划中，政府提高了到</w:t>
      </w:r>
      <w:r>
        <w:t>1999</w:t>
      </w:r>
      <w:r>
        <w:rPr>
          <w:rFonts w:hint="eastAsia"/>
        </w:rPr>
        <w:t>年改善基本服务的目标并将整个项目费用提高到</w:t>
      </w:r>
      <w:r>
        <w:t>9</w:t>
      </w:r>
      <w:r>
        <w:rPr>
          <w:rFonts w:hint="eastAsia"/>
        </w:rPr>
        <w:t>万亿日元；此外，政府为将来推行的措施重新制定了基本框架。</w:t>
      </w:r>
    </w:p>
    <w:p w:rsidR="00000000" w:rsidRDefault="0031739B">
      <w:pPr>
        <w:pStyle w:val="Heading3"/>
      </w:pPr>
      <w:r>
        <w:br w:type="page"/>
      </w:r>
      <w:r>
        <w:rPr>
          <w:rFonts w:hint="eastAsia"/>
          <w:u w:val="none"/>
        </w:rPr>
        <w:t>表</w:t>
      </w:r>
      <w:r>
        <w:rPr>
          <w:u w:val="none"/>
        </w:rPr>
        <w:t xml:space="preserve"> 1.  </w:t>
      </w:r>
      <w:r>
        <w:rPr>
          <w:rFonts w:hint="eastAsia"/>
        </w:rPr>
        <w:t>到</w:t>
      </w:r>
      <w:r>
        <w:t>1999</w:t>
      </w:r>
      <w:r>
        <w:rPr>
          <w:rFonts w:hint="eastAsia"/>
        </w:rPr>
        <w:t>年底的改进目标</w:t>
      </w:r>
    </w:p>
    <w:tbl>
      <w:tblPr>
        <w:tblW w:w="0" w:type="auto"/>
        <w:tblInd w:w="-2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3268"/>
        <w:gridCol w:w="3970"/>
        <w:gridCol w:w="2173"/>
      </w:tblGrid>
      <w:tr w:rsidR="00000000">
        <w:tblPrEx>
          <w:tblCellMar>
            <w:top w:w="0" w:type="dxa"/>
            <w:bottom w:w="0" w:type="dxa"/>
          </w:tblCellMar>
        </w:tblPrEx>
        <w:tc>
          <w:tcPr>
            <w:tcW w:w="3268" w:type="dxa"/>
          </w:tcPr>
          <w:p w:rsidR="00000000" w:rsidRDefault="0031739B">
            <w:pPr>
              <w:spacing w:before="120" w:after="40"/>
              <w:ind w:left="113"/>
              <w:rPr>
                <w:sz w:val="21"/>
              </w:rPr>
            </w:pPr>
          </w:p>
        </w:tc>
        <w:tc>
          <w:tcPr>
            <w:tcW w:w="3970" w:type="dxa"/>
          </w:tcPr>
          <w:p w:rsidR="00000000" w:rsidRDefault="0031739B">
            <w:pPr>
              <w:spacing w:before="120" w:after="40"/>
              <w:ind w:left="113"/>
              <w:rPr>
                <w:sz w:val="21"/>
              </w:rPr>
            </w:pPr>
            <w:r>
              <w:rPr>
                <w:rFonts w:hint="eastAsia"/>
                <w:sz w:val="21"/>
              </w:rPr>
              <w:t>改进目标</w:t>
            </w:r>
          </w:p>
        </w:tc>
        <w:tc>
          <w:tcPr>
            <w:tcW w:w="2173" w:type="dxa"/>
          </w:tcPr>
          <w:p w:rsidR="00000000" w:rsidRDefault="0031739B">
            <w:pPr>
              <w:spacing w:before="120" w:after="40"/>
              <w:jc w:val="center"/>
              <w:rPr>
                <w:sz w:val="21"/>
              </w:rPr>
            </w:pPr>
            <w:r>
              <w:rPr>
                <w:sz w:val="21"/>
              </w:rPr>
              <w:t>1996</w:t>
            </w:r>
            <w:r>
              <w:rPr>
                <w:rFonts w:hint="eastAsia"/>
                <w:sz w:val="21"/>
              </w:rPr>
              <w:t>年的实</w:t>
            </w:r>
            <w:r>
              <w:rPr>
                <w:rFonts w:hint="eastAsia"/>
                <w:sz w:val="21"/>
              </w:rPr>
              <w:t>际结果</w:t>
            </w:r>
          </w:p>
        </w:tc>
      </w:tr>
      <w:tr w:rsidR="00000000">
        <w:tblPrEx>
          <w:tblCellMar>
            <w:top w:w="0" w:type="dxa"/>
            <w:bottom w:w="0" w:type="dxa"/>
          </w:tblCellMar>
        </w:tblPrEx>
        <w:tc>
          <w:tcPr>
            <w:tcW w:w="9411" w:type="dxa"/>
            <w:gridSpan w:val="3"/>
          </w:tcPr>
          <w:p w:rsidR="00000000" w:rsidRDefault="0031739B">
            <w:pPr>
              <w:spacing w:before="60"/>
              <w:ind w:left="113"/>
              <w:rPr>
                <w:sz w:val="21"/>
              </w:rPr>
            </w:pPr>
            <w:r>
              <w:rPr>
                <w:sz w:val="21"/>
              </w:rPr>
              <w:t>(</w:t>
            </w:r>
            <w:r>
              <w:rPr>
                <w:rFonts w:hint="eastAsia"/>
                <w:sz w:val="21"/>
              </w:rPr>
              <w:t>一</w:t>
            </w:r>
            <w:r>
              <w:rPr>
                <w:sz w:val="21"/>
              </w:rPr>
              <w:t xml:space="preserve">) </w:t>
            </w:r>
            <w:r>
              <w:rPr>
                <w:rFonts w:hint="eastAsia"/>
                <w:sz w:val="21"/>
              </w:rPr>
              <w:t>居民服务</w:t>
            </w:r>
          </w:p>
        </w:tc>
      </w:tr>
      <w:tr w:rsidR="00000000">
        <w:tblPrEx>
          <w:tblCellMar>
            <w:top w:w="0" w:type="dxa"/>
            <w:bottom w:w="0" w:type="dxa"/>
          </w:tblCellMar>
        </w:tblPrEx>
        <w:tc>
          <w:tcPr>
            <w:tcW w:w="3268" w:type="dxa"/>
          </w:tcPr>
          <w:p w:rsidR="00000000" w:rsidRDefault="0031739B">
            <w:pPr>
              <w:spacing w:before="60"/>
              <w:ind w:left="113"/>
              <w:rPr>
                <w:sz w:val="21"/>
              </w:rPr>
            </w:pPr>
            <w:r>
              <w:rPr>
                <w:rFonts w:hint="eastAsia"/>
                <w:sz w:val="21"/>
              </w:rPr>
              <w:t>家佣</w:t>
            </w:r>
          </w:p>
        </w:tc>
        <w:tc>
          <w:tcPr>
            <w:tcW w:w="3970" w:type="dxa"/>
          </w:tcPr>
          <w:p w:rsidR="00000000" w:rsidRDefault="0031739B">
            <w:pPr>
              <w:spacing w:before="60"/>
              <w:ind w:left="113"/>
              <w:rPr>
                <w:sz w:val="21"/>
              </w:rPr>
            </w:pPr>
            <w:r>
              <w:rPr>
                <w:sz w:val="21"/>
              </w:rPr>
              <w:t>170,000</w:t>
            </w:r>
            <w:r>
              <w:rPr>
                <w:rFonts w:hint="eastAsia"/>
                <w:sz w:val="21"/>
              </w:rPr>
              <w:t>人</w:t>
            </w:r>
            <w:r>
              <w:rPr>
                <w:sz w:val="21"/>
              </w:rPr>
              <w:t>(809.1)</w:t>
            </w:r>
          </w:p>
        </w:tc>
        <w:tc>
          <w:tcPr>
            <w:tcW w:w="2173" w:type="dxa"/>
          </w:tcPr>
          <w:p w:rsidR="00000000" w:rsidRDefault="0031739B">
            <w:pPr>
              <w:spacing w:before="60"/>
              <w:ind w:right="567"/>
              <w:jc w:val="right"/>
              <w:rPr>
                <w:sz w:val="21"/>
              </w:rPr>
            </w:pPr>
            <w:r>
              <w:rPr>
                <w:sz w:val="21"/>
              </w:rPr>
              <w:t>118,779</w:t>
            </w:r>
          </w:p>
        </w:tc>
      </w:tr>
      <w:tr w:rsidR="00000000">
        <w:tblPrEx>
          <w:tblCellMar>
            <w:top w:w="0" w:type="dxa"/>
            <w:bottom w:w="0" w:type="dxa"/>
          </w:tblCellMar>
        </w:tblPrEx>
        <w:tc>
          <w:tcPr>
            <w:tcW w:w="3268" w:type="dxa"/>
          </w:tcPr>
          <w:p w:rsidR="00000000" w:rsidRDefault="0031739B">
            <w:pPr>
              <w:spacing w:before="60"/>
              <w:ind w:left="113"/>
              <w:rPr>
                <w:sz w:val="21"/>
              </w:rPr>
            </w:pPr>
            <w:r>
              <w:rPr>
                <w:rFonts w:hint="eastAsia"/>
                <w:sz w:val="21"/>
              </w:rPr>
              <w:t>短期逗留</w:t>
            </w:r>
          </w:p>
        </w:tc>
        <w:tc>
          <w:tcPr>
            <w:tcW w:w="3970" w:type="dxa"/>
          </w:tcPr>
          <w:p w:rsidR="00000000" w:rsidRDefault="0031739B">
            <w:pPr>
              <w:spacing w:before="60"/>
              <w:ind w:left="113"/>
              <w:rPr>
                <w:sz w:val="21"/>
              </w:rPr>
            </w:pPr>
            <w:r>
              <w:rPr>
                <w:sz w:val="21"/>
              </w:rPr>
              <w:t xml:space="preserve">60,000 </w:t>
            </w:r>
            <w:r>
              <w:rPr>
                <w:rFonts w:hint="eastAsia"/>
                <w:sz w:val="21"/>
              </w:rPr>
              <w:t>人均</w:t>
            </w:r>
            <w:r>
              <w:rPr>
                <w:sz w:val="21"/>
              </w:rPr>
              <w:t xml:space="preserve"> (285.6</w:t>
            </w:r>
            <w:r>
              <w:rPr>
                <w:rFonts w:hint="eastAsia"/>
                <w:sz w:val="21"/>
              </w:rPr>
              <w:t>人均</w:t>
            </w:r>
            <w:r>
              <w:rPr>
                <w:sz w:val="21"/>
              </w:rPr>
              <w:t>)</w:t>
            </w:r>
          </w:p>
        </w:tc>
        <w:tc>
          <w:tcPr>
            <w:tcW w:w="2173" w:type="dxa"/>
          </w:tcPr>
          <w:p w:rsidR="00000000" w:rsidRDefault="0031739B">
            <w:pPr>
              <w:spacing w:before="60"/>
              <w:ind w:right="567"/>
              <w:jc w:val="right"/>
              <w:rPr>
                <w:sz w:val="21"/>
              </w:rPr>
            </w:pPr>
            <w:r>
              <w:rPr>
                <w:sz w:val="21"/>
              </w:rPr>
              <w:t>38,619</w:t>
            </w:r>
          </w:p>
        </w:tc>
      </w:tr>
      <w:tr w:rsidR="00000000">
        <w:tblPrEx>
          <w:tblCellMar>
            <w:top w:w="0" w:type="dxa"/>
            <w:bottom w:w="0" w:type="dxa"/>
          </w:tblCellMar>
        </w:tblPrEx>
        <w:tc>
          <w:tcPr>
            <w:tcW w:w="3268" w:type="dxa"/>
          </w:tcPr>
          <w:p w:rsidR="00000000" w:rsidRDefault="0031739B">
            <w:pPr>
              <w:spacing w:before="60"/>
              <w:ind w:left="113"/>
              <w:rPr>
                <w:sz w:val="21"/>
              </w:rPr>
            </w:pPr>
            <w:r>
              <w:rPr>
                <w:rFonts w:hint="eastAsia"/>
                <w:sz w:val="21"/>
              </w:rPr>
              <w:t>日服务</w:t>
            </w:r>
            <w:r>
              <w:rPr>
                <w:sz w:val="21"/>
              </w:rPr>
              <w:t>/</w:t>
            </w:r>
            <w:r>
              <w:rPr>
                <w:rFonts w:hint="eastAsia"/>
                <w:sz w:val="21"/>
              </w:rPr>
              <w:t>日照料</w:t>
            </w:r>
          </w:p>
        </w:tc>
        <w:tc>
          <w:tcPr>
            <w:tcW w:w="3970" w:type="dxa"/>
          </w:tcPr>
          <w:p w:rsidR="00000000" w:rsidRDefault="0031739B">
            <w:pPr>
              <w:spacing w:before="60"/>
              <w:ind w:left="113"/>
              <w:rPr>
                <w:sz w:val="21"/>
              </w:rPr>
            </w:pPr>
            <w:r>
              <w:rPr>
                <w:sz w:val="21"/>
              </w:rPr>
              <w:t xml:space="preserve">10,000 </w:t>
            </w:r>
            <w:r>
              <w:rPr>
                <w:rFonts w:hint="eastAsia"/>
                <w:sz w:val="21"/>
              </w:rPr>
              <w:t>个机构</w:t>
            </w:r>
            <w:r>
              <w:rPr>
                <w:sz w:val="21"/>
              </w:rPr>
              <w:t>(47.6)</w:t>
            </w:r>
          </w:p>
        </w:tc>
        <w:tc>
          <w:tcPr>
            <w:tcW w:w="2173" w:type="dxa"/>
          </w:tcPr>
          <w:p w:rsidR="00000000" w:rsidRDefault="0031739B">
            <w:pPr>
              <w:spacing w:before="60"/>
              <w:ind w:right="567"/>
              <w:jc w:val="right"/>
              <w:rPr>
                <w:sz w:val="21"/>
              </w:rPr>
            </w:pPr>
            <w:r>
              <w:rPr>
                <w:sz w:val="21"/>
              </w:rPr>
              <w:t>7,922</w:t>
            </w:r>
          </w:p>
        </w:tc>
      </w:tr>
      <w:tr w:rsidR="00000000">
        <w:tblPrEx>
          <w:tblCellMar>
            <w:top w:w="0" w:type="dxa"/>
            <w:bottom w:w="0" w:type="dxa"/>
          </w:tblCellMar>
        </w:tblPrEx>
        <w:tc>
          <w:tcPr>
            <w:tcW w:w="3268" w:type="dxa"/>
          </w:tcPr>
          <w:p w:rsidR="00000000" w:rsidRDefault="0031739B">
            <w:pPr>
              <w:spacing w:before="60"/>
              <w:ind w:left="113"/>
              <w:rPr>
                <w:sz w:val="21"/>
              </w:rPr>
            </w:pPr>
            <w:r>
              <w:rPr>
                <w:rFonts w:hint="eastAsia"/>
                <w:sz w:val="21"/>
              </w:rPr>
              <w:t>居民家庭护理帮助中心</w:t>
            </w:r>
          </w:p>
        </w:tc>
        <w:tc>
          <w:tcPr>
            <w:tcW w:w="3970" w:type="dxa"/>
          </w:tcPr>
          <w:p w:rsidR="00000000" w:rsidRDefault="0031739B">
            <w:pPr>
              <w:spacing w:before="60"/>
              <w:ind w:left="113"/>
              <w:rPr>
                <w:sz w:val="21"/>
              </w:rPr>
            </w:pPr>
            <w:r>
              <w:rPr>
                <w:sz w:val="21"/>
              </w:rPr>
              <w:t xml:space="preserve">17,000 </w:t>
            </w:r>
            <w:r>
              <w:rPr>
                <w:rFonts w:hint="eastAsia"/>
                <w:sz w:val="21"/>
              </w:rPr>
              <w:t>个机构</w:t>
            </w:r>
            <w:r>
              <w:rPr>
                <w:sz w:val="21"/>
              </w:rPr>
              <w:t>(80.9)</w:t>
            </w:r>
          </w:p>
        </w:tc>
        <w:tc>
          <w:tcPr>
            <w:tcW w:w="2173" w:type="dxa"/>
          </w:tcPr>
          <w:p w:rsidR="00000000" w:rsidRDefault="0031739B">
            <w:pPr>
              <w:spacing w:before="60"/>
              <w:ind w:right="567"/>
              <w:jc w:val="right"/>
              <w:rPr>
                <w:sz w:val="21"/>
              </w:rPr>
            </w:pPr>
            <w:r>
              <w:rPr>
                <w:sz w:val="21"/>
              </w:rPr>
              <w:t>3,347</w:t>
            </w:r>
          </w:p>
        </w:tc>
      </w:tr>
      <w:tr w:rsidR="00000000">
        <w:tblPrEx>
          <w:tblCellMar>
            <w:top w:w="0" w:type="dxa"/>
            <w:bottom w:w="0" w:type="dxa"/>
          </w:tblCellMar>
        </w:tblPrEx>
        <w:tc>
          <w:tcPr>
            <w:tcW w:w="3268" w:type="dxa"/>
          </w:tcPr>
          <w:p w:rsidR="00000000" w:rsidRDefault="0031739B">
            <w:pPr>
              <w:spacing w:before="60"/>
              <w:ind w:left="113"/>
              <w:rPr>
                <w:sz w:val="21"/>
              </w:rPr>
            </w:pPr>
            <w:r>
              <w:rPr>
                <w:rFonts w:hint="eastAsia"/>
                <w:sz w:val="21"/>
              </w:rPr>
              <w:t>探望老年人护理站</w:t>
            </w:r>
          </w:p>
        </w:tc>
        <w:tc>
          <w:tcPr>
            <w:tcW w:w="3970" w:type="dxa"/>
          </w:tcPr>
          <w:p w:rsidR="00000000" w:rsidRDefault="0031739B">
            <w:pPr>
              <w:spacing w:before="60"/>
              <w:ind w:left="113"/>
              <w:rPr>
                <w:sz w:val="21"/>
              </w:rPr>
            </w:pPr>
            <w:r>
              <w:rPr>
                <w:sz w:val="21"/>
              </w:rPr>
              <w:t xml:space="preserve">5,000 </w:t>
            </w:r>
            <w:r>
              <w:rPr>
                <w:rFonts w:hint="eastAsia"/>
                <w:sz w:val="21"/>
              </w:rPr>
              <w:t>个机构</w:t>
            </w:r>
            <w:r>
              <w:rPr>
                <w:sz w:val="21"/>
              </w:rPr>
              <w:t>(23.8)</w:t>
            </w:r>
          </w:p>
        </w:tc>
        <w:tc>
          <w:tcPr>
            <w:tcW w:w="2173" w:type="dxa"/>
          </w:tcPr>
          <w:p w:rsidR="00000000" w:rsidRDefault="0031739B">
            <w:pPr>
              <w:spacing w:before="60"/>
              <w:ind w:right="567"/>
              <w:jc w:val="right"/>
              <w:rPr>
                <w:sz w:val="21"/>
              </w:rPr>
            </w:pPr>
            <w:r>
              <w:rPr>
                <w:sz w:val="21"/>
              </w:rPr>
              <w:t>1,863</w:t>
            </w:r>
          </w:p>
        </w:tc>
      </w:tr>
      <w:tr w:rsidR="00000000">
        <w:tblPrEx>
          <w:tblCellMar>
            <w:top w:w="0" w:type="dxa"/>
            <w:bottom w:w="0" w:type="dxa"/>
          </w:tblCellMar>
        </w:tblPrEx>
        <w:tc>
          <w:tcPr>
            <w:tcW w:w="9411" w:type="dxa"/>
            <w:gridSpan w:val="3"/>
          </w:tcPr>
          <w:p w:rsidR="00000000" w:rsidRDefault="0031739B">
            <w:pPr>
              <w:spacing w:before="60"/>
              <w:ind w:left="113"/>
              <w:rPr>
                <w:sz w:val="21"/>
              </w:rPr>
            </w:pPr>
            <w:r>
              <w:rPr>
                <w:sz w:val="21"/>
              </w:rPr>
              <w:t>(</w:t>
            </w:r>
            <w:r>
              <w:rPr>
                <w:rFonts w:hint="eastAsia"/>
                <w:sz w:val="21"/>
              </w:rPr>
              <w:t>二</w:t>
            </w:r>
            <w:r>
              <w:rPr>
                <w:sz w:val="21"/>
              </w:rPr>
              <w:t xml:space="preserve">) </w:t>
            </w:r>
            <w:r>
              <w:rPr>
                <w:rFonts w:hint="eastAsia"/>
                <w:sz w:val="21"/>
              </w:rPr>
              <w:t>设施服务</w:t>
            </w:r>
          </w:p>
        </w:tc>
      </w:tr>
      <w:tr w:rsidR="00000000">
        <w:tblPrEx>
          <w:tblCellMar>
            <w:top w:w="0" w:type="dxa"/>
            <w:bottom w:w="0" w:type="dxa"/>
          </w:tblCellMar>
        </w:tblPrEx>
        <w:tc>
          <w:tcPr>
            <w:tcW w:w="3268" w:type="dxa"/>
          </w:tcPr>
          <w:p w:rsidR="00000000" w:rsidRDefault="0031739B">
            <w:pPr>
              <w:spacing w:before="60"/>
              <w:ind w:left="113"/>
              <w:rPr>
                <w:sz w:val="21"/>
              </w:rPr>
            </w:pPr>
            <w:r>
              <w:rPr>
                <w:rFonts w:hint="eastAsia"/>
                <w:sz w:val="21"/>
              </w:rPr>
              <w:t>老年人特别护理服务</w:t>
            </w:r>
          </w:p>
        </w:tc>
        <w:tc>
          <w:tcPr>
            <w:tcW w:w="3970" w:type="dxa"/>
          </w:tcPr>
          <w:p w:rsidR="00000000" w:rsidRDefault="0031739B">
            <w:pPr>
              <w:spacing w:before="60"/>
              <w:ind w:left="113"/>
              <w:rPr>
                <w:sz w:val="21"/>
              </w:rPr>
            </w:pPr>
            <w:r>
              <w:rPr>
                <w:sz w:val="21"/>
              </w:rPr>
              <w:t xml:space="preserve">290,000 </w:t>
            </w:r>
            <w:r>
              <w:rPr>
                <w:rFonts w:hint="eastAsia"/>
                <w:sz w:val="21"/>
              </w:rPr>
              <w:t>人均</w:t>
            </w:r>
            <w:r>
              <w:rPr>
                <w:sz w:val="21"/>
              </w:rPr>
              <w:t xml:space="preserve"> (1,380.3</w:t>
            </w:r>
            <w:r>
              <w:rPr>
                <w:rFonts w:hint="eastAsia"/>
                <w:sz w:val="21"/>
              </w:rPr>
              <w:t>人均</w:t>
            </w:r>
            <w:r>
              <w:rPr>
                <w:sz w:val="21"/>
              </w:rPr>
              <w:t>)</w:t>
            </w:r>
          </w:p>
        </w:tc>
        <w:tc>
          <w:tcPr>
            <w:tcW w:w="2173" w:type="dxa"/>
          </w:tcPr>
          <w:p w:rsidR="00000000" w:rsidRDefault="0031739B">
            <w:pPr>
              <w:spacing w:before="60"/>
              <w:ind w:right="567"/>
              <w:jc w:val="right"/>
              <w:rPr>
                <w:sz w:val="21"/>
              </w:rPr>
            </w:pPr>
            <w:r>
              <w:rPr>
                <w:sz w:val="21"/>
              </w:rPr>
              <w:t>249,017</w:t>
            </w:r>
          </w:p>
        </w:tc>
      </w:tr>
      <w:tr w:rsidR="00000000">
        <w:tblPrEx>
          <w:tblCellMar>
            <w:top w:w="0" w:type="dxa"/>
            <w:bottom w:w="0" w:type="dxa"/>
          </w:tblCellMar>
        </w:tblPrEx>
        <w:tc>
          <w:tcPr>
            <w:tcW w:w="3268" w:type="dxa"/>
          </w:tcPr>
          <w:p w:rsidR="00000000" w:rsidRDefault="0031739B">
            <w:pPr>
              <w:spacing w:before="60"/>
              <w:ind w:left="113"/>
              <w:rPr>
                <w:sz w:val="21"/>
              </w:rPr>
            </w:pPr>
            <w:r>
              <w:rPr>
                <w:rFonts w:hint="eastAsia"/>
                <w:sz w:val="21"/>
              </w:rPr>
              <w:t>老年人健康设施</w:t>
            </w:r>
          </w:p>
        </w:tc>
        <w:tc>
          <w:tcPr>
            <w:tcW w:w="3970" w:type="dxa"/>
          </w:tcPr>
          <w:p w:rsidR="00000000" w:rsidRDefault="0031739B">
            <w:pPr>
              <w:spacing w:before="60"/>
              <w:ind w:left="113"/>
              <w:rPr>
                <w:sz w:val="21"/>
              </w:rPr>
            </w:pPr>
            <w:r>
              <w:rPr>
                <w:sz w:val="21"/>
              </w:rPr>
              <w:t xml:space="preserve">280,000 </w:t>
            </w:r>
            <w:r>
              <w:rPr>
                <w:rFonts w:hint="eastAsia"/>
                <w:sz w:val="21"/>
              </w:rPr>
              <w:t>人均</w:t>
            </w:r>
            <w:r>
              <w:rPr>
                <w:sz w:val="21"/>
              </w:rPr>
              <w:t xml:space="preserve"> (1,332.7</w:t>
            </w:r>
            <w:r>
              <w:rPr>
                <w:rFonts w:hint="eastAsia"/>
                <w:sz w:val="21"/>
              </w:rPr>
              <w:t>人均</w:t>
            </w:r>
            <w:r>
              <w:rPr>
                <w:sz w:val="21"/>
              </w:rPr>
              <w:t>)</w:t>
            </w:r>
          </w:p>
        </w:tc>
        <w:tc>
          <w:tcPr>
            <w:tcW w:w="2173" w:type="dxa"/>
          </w:tcPr>
          <w:p w:rsidR="00000000" w:rsidRDefault="0031739B">
            <w:pPr>
              <w:spacing w:before="60"/>
              <w:ind w:right="567"/>
              <w:jc w:val="right"/>
              <w:rPr>
                <w:sz w:val="21"/>
              </w:rPr>
            </w:pPr>
            <w:r>
              <w:rPr>
                <w:sz w:val="21"/>
              </w:rPr>
              <w:t>147,243</w:t>
            </w:r>
          </w:p>
        </w:tc>
      </w:tr>
      <w:tr w:rsidR="00000000">
        <w:tblPrEx>
          <w:tblCellMar>
            <w:top w:w="0" w:type="dxa"/>
            <w:bottom w:w="0" w:type="dxa"/>
          </w:tblCellMar>
        </w:tblPrEx>
        <w:tc>
          <w:tcPr>
            <w:tcW w:w="3268" w:type="dxa"/>
          </w:tcPr>
          <w:p w:rsidR="00000000" w:rsidRDefault="0031739B">
            <w:pPr>
              <w:spacing w:before="60"/>
              <w:ind w:left="113"/>
              <w:rPr>
                <w:sz w:val="21"/>
              </w:rPr>
            </w:pPr>
            <w:r>
              <w:rPr>
                <w:rFonts w:hint="eastAsia"/>
                <w:sz w:val="21"/>
              </w:rPr>
              <w:t>老年人福利中心</w:t>
            </w:r>
          </w:p>
        </w:tc>
        <w:tc>
          <w:tcPr>
            <w:tcW w:w="3970" w:type="dxa"/>
          </w:tcPr>
          <w:p w:rsidR="00000000" w:rsidRDefault="0031739B">
            <w:pPr>
              <w:spacing w:before="60"/>
              <w:ind w:left="113"/>
              <w:rPr>
                <w:sz w:val="21"/>
              </w:rPr>
            </w:pPr>
            <w:r>
              <w:rPr>
                <w:sz w:val="21"/>
              </w:rPr>
              <w:t xml:space="preserve">400 </w:t>
            </w:r>
            <w:r>
              <w:rPr>
                <w:rFonts w:hint="eastAsia"/>
                <w:sz w:val="21"/>
              </w:rPr>
              <w:t>个机构</w:t>
            </w:r>
            <w:r>
              <w:rPr>
                <w:sz w:val="21"/>
              </w:rPr>
              <w:t>(1.9)</w:t>
            </w:r>
          </w:p>
        </w:tc>
        <w:tc>
          <w:tcPr>
            <w:tcW w:w="2173" w:type="dxa"/>
          </w:tcPr>
          <w:p w:rsidR="00000000" w:rsidRDefault="0031739B">
            <w:pPr>
              <w:spacing w:before="60"/>
              <w:ind w:right="567"/>
              <w:jc w:val="right"/>
              <w:rPr>
                <w:sz w:val="21"/>
              </w:rPr>
            </w:pPr>
            <w:r>
              <w:rPr>
                <w:sz w:val="21"/>
              </w:rPr>
              <w:t>204</w:t>
            </w:r>
          </w:p>
        </w:tc>
      </w:tr>
      <w:tr w:rsidR="00000000">
        <w:tblPrEx>
          <w:tblCellMar>
            <w:top w:w="0" w:type="dxa"/>
            <w:bottom w:w="0" w:type="dxa"/>
          </w:tblCellMar>
        </w:tblPrEx>
        <w:tc>
          <w:tcPr>
            <w:tcW w:w="3268" w:type="dxa"/>
          </w:tcPr>
          <w:p w:rsidR="00000000" w:rsidRDefault="0031739B">
            <w:pPr>
              <w:spacing w:before="60"/>
              <w:ind w:left="113"/>
              <w:rPr>
                <w:sz w:val="21"/>
              </w:rPr>
            </w:pPr>
            <w:r>
              <w:rPr>
                <w:rFonts w:hint="eastAsia"/>
                <w:sz w:val="21"/>
              </w:rPr>
              <w:t>护理机构</w:t>
            </w:r>
          </w:p>
        </w:tc>
        <w:tc>
          <w:tcPr>
            <w:tcW w:w="3970" w:type="dxa"/>
          </w:tcPr>
          <w:p w:rsidR="00000000" w:rsidRDefault="0031739B">
            <w:pPr>
              <w:spacing w:before="60"/>
              <w:ind w:left="113"/>
              <w:rPr>
                <w:sz w:val="21"/>
              </w:rPr>
            </w:pPr>
            <w:r>
              <w:rPr>
                <w:sz w:val="21"/>
              </w:rPr>
              <w:t xml:space="preserve">100,000 </w:t>
            </w:r>
            <w:r>
              <w:rPr>
                <w:rFonts w:hint="eastAsia"/>
                <w:sz w:val="21"/>
              </w:rPr>
              <w:t>人均</w:t>
            </w:r>
            <w:r>
              <w:rPr>
                <w:sz w:val="21"/>
              </w:rPr>
              <w:t xml:space="preserve"> (476.0</w:t>
            </w:r>
            <w:r>
              <w:rPr>
                <w:rFonts w:hint="eastAsia"/>
                <w:sz w:val="21"/>
              </w:rPr>
              <w:t>人均</w:t>
            </w:r>
            <w:r>
              <w:rPr>
                <w:sz w:val="21"/>
              </w:rPr>
              <w:t>)</w:t>
            </w:r>
          </w:p>
        </w:tc>
        <w:tc>
          <w:tcPr>
            <w:tcW w:w="2173" w:type="dxa"/>
          </w:tcPr>
          <w:p w:rsidR="00000000" w:rsidRDefault="0031739B">
            <w:pPr>
              <w:spacing w:before="60"/>
              <w:ind w:right="567"/>
              <w:jc w:val="right"/>
              <w:rPr>
                <w:sz w:val="21"/>
              </w:rPr>
            </w:pPr>
            <w:r>
              <w:rPr>
                <w:sz w:val="21"/>
              </w:rPr>
              <w:t>23,326</w:t>
            </w:r>
          </w:p>
        </w:tc>
      </w:tr>
      <w:tr w:rsidR="00000000">
        <w:tblPrEx>
          <w:tblCellMar>
            <w:top w:w="0" w:type="dxa"/>
            <w:bottom w:w="0" w:type="dxa"/>
          </w:tblCellMar>
        </w:tblPrEx>
        <w:tc>
          <w:tcPr>
            <w:tcW w:w="9411" w:type="dxa"/>
            <w:gridSpan w:val="3"/>
          </w:tcPr>
          <w:p w:rsidR="00000000" w:rsidRDefault="0031739B">
            <w:pPr>
              <w:spacing w:before="60"/>
              <w:ind w:left="113"/>
              <w:rPr>
                <w:sz w:val="21"/>
              </w:rPr>
            </w:pPr>
            <w:r>
              <w:rPr>
                <w:sz w:val="21"/>
              </w:rPr>
              <w:t>(</w:t>
            </w:r>
            <w:r>
              <w:rPr>
                <w:rFonts w:hint="eastAsia"/>
                <w:sz w:val="21"/>
              </w:rPr>
              <w:t>三</w:t>
            </w:r>
            <w:r>
              <w:rPr>
                <w:sz w:val="21"/>
              </w:rPr>
              <w:t xml:space="preserve">) </w:t>
            </w:r>
            <w:r>
              <w:rPr>
                <w:rFonts w:hint="eastAsia"/>
                <w:sz w:val="21"/>
              </w:rPr>
              <w:t>确保所需人力</w:t>
            </w:r>
          </w:p>
        </w:tc>
      </w:tr>
      <w:tr w:rsidR="00000000">
        <w:tblPrEx>
          <w:tblCellMar>
            <w:top w:w="0" w:type="dxa"/>
            <w:bottom w:w="0" w:type="dxa"/>
          </w:tblCellMar>
        </w:tblPrEx>
        <w:tc>
          <w:tcPr>
            <w:tcW w:w="3268" w:type="dxa"/>
          </w:tcPr>
          <w:p w:rsidR="00000000" w:rsidRDefault="0031739B">
            <w:pPr>
              <w:spacing w:before="60"/>
              <w:ind w:left="113"/>
              <w:rPr>
                <w:sz w:val="21"/>
              </w:rPr>
            </w:pPr>
            <w:r>
              <w:rPr>
                <w:rFonts w:hint="eastAsia"/>
                <w:sz w:val="21"/>
              </w:rPr>
              <w:t>女护理、个人护理工作人员</w:t>
            </w:r>
          </w:p>
        </w:tc>
        <w:tc>
          <w:tcPr>
            <w:tcW w:w="3970" w:type="dxa"/>
          </w:tcPr>
          <w:p w:rsidR="00000000" w:rsidRDefault="0031739B">
            <w:pPr>
              <w:spacing w:before="60"/>
              <w:ind w:left="113"/>
              <w:rPr>
                <w:sz w:val="21"/>
              </w:rPr>
            </w:pPr>
            <w:r>
              <w:rPr>
                <w:sz w:val="21"/>
              </w:rPr>
              <w:t xml:space="preserve">200,000 </w:t>
            </w:r>
            <w:r>
              <w:rPr>
                <w:rFonts w:hint="eastAsia"/>
                <w:sz w:val="21"/>
              </w:rPr>
              <w:t>人均</w:t>
            </w:r>
            <w:r>
              <w:rPr>
                <w:sz w:val="21"/>
              </w:rPr>
              <w:t xml:space="preserve"> (951.9 </w:t>
            </w:r>
            <w:r>
              <w:rPr>
                <w:rFonts w:hint="eastAsia"/>
                <w:sz w:val="21"/>
              </w:rPr>
              <w:t>人均</w:t>
            </w:r>
            <w:r>
              <w:rPr>
                <w:sz w:val="21"/>
              </w:rPr>
              <w:t>)</w:t>
            </w:r>
          </w:p>
        </w:tc>
        <w:tc>
          <w:tcPr>
            <w:tcW w:w="2173" w:type="dxa"/>
          </w:tcPr>
          <w:p w:rsidR="00000000" w:rsidRDefault="0031739B">
            <w:pPr>
              <w:spacing w:before="60"/>
              <w:ind w:right="567"/>
              <w:jc w:val="right"/>
              <w:rPr>
                <w:sz w:val="21"/>
              </w:rPr>
            </w:pPr>
            <w:r>
              <w:rPr>
                <w:sz w:val="21"/>
              </w:rPr>
              <w:t>--</w:t>
            </w:r>
          </w:p>
        </w:tc>
      </w:tr>
      <w:tr w:rsidR="00000000">
        <w:tblPrEx>
          <w:tblCellMar>
            <w:top w:w="0" w:type="dxa"/>
            <w:bottom w:w="0" w:type="dxa"/>
          </w:tblCellMar>
        </w:tblPrEx>
        <w:tc>
          <w:tcPr>
            <w:tcW w:w="3268" w:type="dxa"/>
          </w:tcPr>
          <w:p w:rsidR="00000000" w:rsidRDefault="0031739B">
            <w:pPr>
              <w:spacing w:before="60"/>
              <w:ind w:left="113"/>
              <w:rPr>
                <w:sz w:val="21"/>
              </w:rPr>
            </w:pPr>
            <w:r>
              <w:rPr>
                <w:rFonts w:hint="eastAsia"/>
                <w:sz w:val="21"/>
              </w:rPr>
              <w:t>护理工作人员</w:t>
            </w:r>
          </w:p>
        </w:tc>
        <w:tc>
          <w:tcPr>
            <w:tcW w:w="3970" w:type="dxa"/>
          </w:tcPr>
          <w:p w:rsidR="00000000" w:rsidRDefault="0031739B">
            <w:pPr>
              <w:spacing w:before="60"/>
              <w:ind w:left="113"/>
              <w:rPr>
                <w:sz w:val="21"/>
              </w:rPr>
            </w:pPr>
            <w:r>
              <w:rPr>
                <w:sz w:val="21"/>
              </w:rPr>
              <w:t xml:space="preserve">100,000 </w:t>
            </w:r>
            <w:r>
              <w:rPr>
                <w:rFonts w:hint="eastAsia"/>
                <w:sz w:val="21"/>
              </w:rPr>
              <w:t>人均</w:t>
            </w:r>
            <w:r>
              <w:rPr>
                <w:sz w:val="21"/>
              </w:rPr>
              <w:t xml:space="preserve"> (476.0 </w:t>
            </w:r>
            <w:r>
              <w:rPr>
                <w:rFonts w:hint="eastAsia"/>
                <w:sz w:val="21"/>
              </w:rPr>
              <w:t>人均</w:t>
            </w:r>
            <w:r>
              <w:rPr>
                <w:sz w:val="21"/>
              </w:rPr>
              <w:t>)</w:t>
            </w:r>
          </w:p>
        </w:tc>
        <w:tc>
          <w:tcPr>
            <w:tcW w:w="2173" w:type="dxa"/>
          </w:tcPr>
          <w:p w:rsidR="00000000" w:rsidRDefault="0031739B">
            <w:pPr>
              <w:spacing w:before="60"/>
              <w:ind w:right="567"/>
              <w:jc w:val="right"/>
              <w:rPr>
                <w:sz w:val="21"/>
              </w:rPr>
            </w:pPr>
            <w:r>
              <w:rPr>
                <w:sz w:val="21"/>
              </w:rPr>
              <w:t>--</w:t>
            </w:r>
          </w:p>
        </w:tc>
      </w:tr>
      <w:tr w:rsidR="00000000">
        <w:tblPrEx>
          <w:tblCellMar>
            <w:top w:w="0" w:type="dxa"/>
            <w:bottom w:w="0" w:type="dxa"/>
          </w:tblCellMar>
        </w:tblPrEx>
        <w:tc>
          <w:tcPr>
            <w:tcW w:w="3268" w:type="dxa"/>
          </w:tcPr>
          <w:p w:rsidR="00000000" w:rsidRDefault="0031739B">
            <w:pPr>
              <w:spacing w:before="60"/>
              <w:ind w:left="113"/>
              <w:rPr>
                <w:sz w:val="21"/>
              </w:rPr>
            </w:pPr>
            <w:r>
              <w:rPr>
                <w:rFonts w:hint="eastAsia"/>
                <w:sz w:val="21"/>
              </w:rPr>
              <w:t>职业</w:t>
            </w:r>
            <w:r>
              <w:rPr>
                <w:sz w:val="21"/>
              </w:rPr>
              <w:t>/</w:t>
            </w:r>
            <w:r>
              <w:rPr>
                <w:rFonts w:hint="eastAsia"/>
                <w:sz w:val="21"/>
              </w:rPr>
              <w:t>体格医疗人员</w:t>
            </w:r>
          </w:p>
        </w:tc>
        <w:tc>
          <w:tcPr>
            <w:tcW w:w="3970" w:type="dxa"/>
          </w:tcPr>
          <w:p w:rsidR="00000000" w:rsidRDefault="0031739B">
            <w:pPr>
              <w:spacing w:before="60"/>
              <w:ind w:left="113"/>
              <w:rPr>
                <w:sz w:val="21"/>
              </w:rPr>
            </w:pPr>
            <w:r>
              <w:rPr>
                <w:sz w:val="21"/>
              </w:rPr>
              <w:t xml:space="preserve">15,000 </w:t>
            </w:r>
            <w:r>
              <w:rPr>
                <w:rFonts w:hint="eastAsia"/>
                <w:sz w:val="21"/>
              </w:rPr>
              <w:t>人均</w:t>
            </w:r>
            <w:r>
              <w:rPr>
                <w:sz w:val="21"/>
              </w:rPr>
              <w:t xml:space="preserve"> (71.4</w:t>
            </w:r>
            <w:r>
              <w:rPr>
                <w:rFonts w:hint="eastAsia"/>
                <w:sz w:val="21"/>
              </w:rPr>
              <w:t>人均</w:t>
            </w:r>
            <w:r>
              <w:rPr>
                <w:sz w:val="21"/>
              </w:rPr>
              <w:t>)</w:t>
            </w:r>
          </w:p>
        </w:tc>
        <w:tc>
          <w:tcPr>
            <w:tcW w:w="2173" w:type="dxa"/>
          </w:tcPr>
          <w:p w:rsidR="00000000" w:rsidRDefault="0031739B">
            <w:pPr>
              <w:spacing w:before="60"/>
              <w:ind w:right="567"/>
              <w:jc w:val="right"/>
              <w:rPr>
                <w:sz w:val="21"/>
              </w:rPr>
            </w:pPr>
            <w:r>
              <w:rPr>
                <w:sz w:val="21"/>
              </w:rPr>
              <w:t>--</w:t>
            </w:r>
          </w:p>
        </w:tc>
      </w:tr>
    </w:tbl>
    <w:p w:rsidR="00000000" w:rsidRDefault="0031739B">
      <w:pPr>
        <w:pStyle w:val="EndnoteText"/>
        <w:spacing w:before="240" w:after="320"/>
        <w:ind w:hanging="958"/>
        <w:textAlignment w:val="center"/>
      </w:pPr>
      <w:r>
        <w:rPr>
          <w:rFonts w:hint="eastAsia"/>
          <w:u w:val="single"/>
        </w:rPr>
        <w:t>说</w:t>
      </w:r>
      <w:r>
        <w:rPr>
          <w:u w:val="single"/>
        </w:rPr>
        <w:t xml:space="preserve">  </w:t>
      </w:r>
      <w:r>
        <w:rPr>
          <w:rFonts w:hint="eastAsia"/>
          <w:u w:val="single"/>
        </w:rPr>
        <w:t>明</w:t>
      </w:r>
      <w:r>
        <w:rPr>
          <w:rFonts w:hint="eastAsia"/>
        </w:rPr>
        <w:t>：括号内的数字为每</w:t>
      </w:r>
      <w:r>
        <w:t>100,000</w:t>
      </w:r>
      <w:r>
        <w:rPr>
          <w:rFonts w:hint="eastAsia"/>
        </w:rPr>
        <w:t>个老年人的数值。</w:t>
      </w:r>
    </w:p>
    <w:p w:rsidR="00000000" w:rsidRDefault="0031739B">
      <w:r>
        <w:tab/>
        <w:t xml:space="preserve">17.  </w:t>
      </w:r>
      <w:r>
        <w:rPr>
          <w:rFonts w:hint="eastAsia"/>
        </w:rPr>
        <w:t>政府在根本改善基于新黄金计划的服务方面正取得稳定进展，尽管成就大小</w:t>
      </w:r>
      <w:r>
        <w:rPr>
          <w:rFonts w:hint="eastAsia"/>
        </w:rPr>
        <w:t>因措施而异。</w:t>
      </w:r>
    </w:p>
    <w:p w:rsidR="00000000" w:rsidRDefault="0031739B">
      <w:r>
        <w:tab/>
        <w:t xml:space="preserve">18.  </w:t>
      </w:r>
      <w:r>
        <w:rPr>
          <w:rFonts w:hint="eastAsia"/>
        </w:rPr>
        <w:t>在日本社会迅速老龄化的同时，需要照顾的老年人数也迅速增加。一般照顾问题加上长期照顾的需要和核心家庭的增加，成为老年人生活不稳定的主要原因。针对这一情况，</w:t>
      </w:r>
      <w:r>
        <w:t>1997</w:t>
      </w:r>
      <w:r>
        <w:rPr>
          <w:rFonts w:hint="eastAsia"/>
        </w:rPr>
        <w:t>年</w:t>
      </w:r>
      <w:r>
        <w:t>12</w:t>
      </w:r>
      <w:r>
        <w:rPr>
          <w:rFonts w:hint="eastAsia"/>
        </w:rPr>
        <w:t>月制定了长期照顾保险法，以修改现有照顾老年人的制度</w:t>
      </w:r>
      <w:r>
        <w:t>(</w:t>
      </w:r>
      <w:r>
        <w:rPr>
          <w:rFonts w:hint="eastAsia"/>
        </w:rPr>
        <w:t>它对医疗与福利加以区别</w:t>
      </w:r>
      <w:r>
        <w:t>)</w:t>
      </w:r>
      <w:r>
        <w:rPr>
          <w:rFonts w:hint="eastAsia"/>
        </w:rPr>
        <w:t>，并建立公平和便利用户的普遍社会支持制度。政府正为在</w:t>
      </w:r>
      <w:r>
        <w:t>2000</w:t>
      </w:r>
      <w:r>
        <w:rPr>
          <w:rFonts w:hint="eastAsia"/>
        </w:rPr>
        <w:t>年付诸实施作准备。</w:t>
      </w:r>
    </w:p>
    <w:p w:rsidR="00000000" w:rsidRDefault="0031739B">
      <w:pPr>
        <w:spacing w:after="320"/>
        <w:textAlignment w:val="center"/>
      </w:pPr>
      <w:r>
        <w:tab/>
        <w:t xml:space="preserve">19.  </w:t>
      </w:r>
      <w:r>
        <w:rPr>
          <w:rFonts w:hint="eastAsia"/>
        </w:rPr>
        <w:t>关于为老年人推行公共照顾保险的问题，政府将适当执行新黄金计划，并在目前予以支持。具体而言，对服务不适足的地区如大城市和人口较少地区将给予优先，以改善基本</w:t>
      </w:r>
      <w:r>
        <w:rPr>
          <w:rFonts w:hint="eastAsia"/>
        </w:rPr>
        <w:t>的基础设施。新黄金计划提供适当服务，进一步改善家庭和护理机构的照顾服务基础。此外，为老年人的照顾保险一旦推行，政府期望增加必要的服务，因为对这种保险的需求十分明显。日本继续研究基本的基础设施，以改善必要的照顾服务。</w:t>
      </w:r>
    </w:p>
    <w:p w:rsidR="00000000" w:rsidRDefault="0031739B">
      <w:pPr>
        <w:pStyle w:val="Heading3"/>
      </w:pPr>
      <w:r>
        <w:rPr>
          <w:u w:val="none"/>
        </w:rPr>
        <w:t xml:space="preserve">3.  </w:t>
      </w:r>
      <w:r>
        <w:rPr>
          <w:rFonts w:hint="eastAsia"/>
        </w:rPr>
        <w:t>儿童和家庭措施</w:t>
      </w:r>
    </w:p>
    <w:p w:rsidR="00000000" w:rsidRDefault="0031739B">
      <w:pPr>
        <w:spacing w:after="320"/>
        <w:textAlignment w:val="center"/>
      </w:pPr>
      <w:r>
        <w:tab/>
        <w:t xml:space="preserve">20.  </w:t>
      </w:r>
      <w:r>
        <w:rPr>
          <w:rFonts w:hint="eastAsia"/>
        </w:rPr>
        <w:t>近几年出生减少和总生育率下降十分明显。因此人们担心难以培养儿童的独立性和社交能力，因为如今他们与其他儿童的接触较少。为了克服这些问题，全国和地方政府正将精力用于建立一个“儿童支助社会”，其中除了全国和地方政府外，公司、工作场所和当地社会积极执行儿童支助措施。</w:t>
      </w:r>
      <w:r>
        <w:t>1</w:t>
      </w:r>
      <w:r>
        <w:t>994</w:t>
      </w:r>
      <w:r>
        <w:rPr>
          <w:rFonts w:hint="eastAsia"/>
        </w:rPr>
        <w:t>年</w:t>
      </w:r>
      <w:r>
        <w:t>12</w:t>
      </w:r>
      <w:r>
        <w:rPr>
          <w:rFonts w:hint="eastAsia"/>
        </w:rPr>
        <w:t>月，政府制定了“未来儿童抚养支持措施基本方针</w:t>
      </w:r>
      <w:r>
        <w:t>(</w:t>
      </w:r>
      <w:r>
        <w:rPr>
          <w:rFonts w:hint="eastAsia"/>
        </w:rPr>
        <w:t>天使计划</w:t>
      </w:r>
      <w:r>
        <w:t>)</w:t>
      </w:r>
      <w:r>
        <w:rPr>
          <w:rFonts w:hint="eastAsia"/>
        </w:rPr>
        <w:t>”，并普遍系统地促进全社会儿童支助政策。最后，政府制定了“紧急护理措施五年项目”作为“天使计划”的一部分。政府正努力扩大婴儿护理和儿童长期照管，以适应近几年更多的妇女参加工作、引起多种护理需要有增无已的情况。</w:t>
      </w:r>
    </w:p>
    <w:p w:rsidR="00000000" w:rsidRDefault="0031739B">
      <w:pPr>
        <w:pStyle w:val="Heading3"/>
      </w:pPr>
      <w:r>
        <w:rPr>
          <w:u w:val="none"/>
        </w:rPr>
        <w:t xml:space="preserve">H.  </w:t>
      </w:r>
      <w:r>
        <w:rPr>
          <w:rFonts w:hint="eastAsia"/>
        </w:rPr>
        <w:t>实现性别平等社会的措施</w:t>
      </w:r>
    </w:p>
    <w:p w:rsidR="00000000" w:rsidRDefault="0031739B">
      <w:r>
        <w:tab/>
        <w:t xml:space="preserve">21.  </w:t>
      </w:r>
      <w:r>
        <w:rPr>
          <w:rFonts w:hint="eastAsia"/>
        </w:rPr>
        <w:t>促进性别平等总部由整个内阁组成，由首相作为其主席主持，内阁官房长官、性别平等省大臣为副主席。总部于</w:t>
      </w:r>
      <w:r>
        <w:t>1996</w:t>
      </w:r>
      <w:r>
        <w:rPr>
          <w:rFonts w:hint="eastAsia"/>
        </w:rPr>
        <w:t>年</w:t>
      </w:r>
      <w:r>
        <w:t>12</w:t>
      </w:r>
      <w:r>
        <w:rPr>
          <w:rFonts w:hint="eastAsia"/>
        </w:rPr>
        <w:t>月制定了新的全国行动计划、即“</w:t>
      </w:r>
      <w:r>
        <w:t>2000</w:t>
      </w:r>
      <w:r>
        <w:rPr>
          <w:rFonts w:hint="eastAsia"/>
        </w:rPr>
        <w:t>年性别平等计划”，并正促进全面系统执行实</w:t>
      </w:r>
      <w:r>
        <w:rPr>
          <w:rFonts w:hint="eastAsia"/>
        </w:rPr>
        <w:t>现性别平等社会的政策措施</w:t>
      </w:r>
      <w:r>
        <w:t>(</w:t>
      </w:r>
      <w:r>
        <w:rPr>
          <w:rFonts w:hint="eastAsia"/>
        </w:rPr>
        <w:t>在这样的社会中，男女机会平等，作为公平伙伴自愿参加各领域活动并应能享受政治、经济、社会和文化福利，同时平等承担责任</w:t>
      </w:r>
      <w:r>
        <w:t>)</w:t>
      </w:r>
      <w:r>
        <w:rPr>
          <w:rFonts w:hint="eastAsia"/>
        </w:rPr>
        <w:t>。</w:t>
      </w:r>
    </w:p>
    <w:p w:rsidR="00000000" w:rsidRDefault="0031739B">
      <w:pPr>
        <w:spacing w:after="320"/>
        <w:textAlignment w:val="center"/>
      </w:pPr>
      <w:r>
        <w:tab/>
        <w:t>22.  1997</w:t>
      </w:r>
      <w:r>
        <w:rPr>
          <w:rFonts w:hint="eastAsia"/>
        </w:rPr>
        <w:t>年</w:t>
      </w:r>
      <w:r>
        <w:t>4</w:t>
      </w:r>
      <w:r>
        <w:rPr>
          <w:rFonts w:hint="eastAsia"/>
        </w:rPr>
        <w:t>月，以法律为基础成立了作为常设机构的性别平等理事会。它正在为创立一个性别平等的社会及其他有关基本措施拟定基本法律，并深入研究与针对妇女的暴力有关的问题。</w:t>
      </w:r>
    </w:p>
    <w:p w:rsidR="00000000" w:rsidRDefault="0031739B">
      <w:pPr>
        <w:pStyle w:val="Heading3"/>
      </w:pPr>
      <w:r>
        <w:rPr>
          <w:u w:val="none"/>
        </w:rPr>
        <w:t xml:space="preserve">I.  </w:t>
      </w:r>
      <w:r>
        <w:rPr>
          <w:rFonts w:hint="eastAsia"/>
          <w:u w:val="none"/>
        </w:rPr>
        <w:t>《</w:t>
      </w:r>
      <w:r>
        <w:rPr>
          <w:rFonts w:hint="eastAsia"/>
        </w:rPr>
        <w:t>消除一切形式种族歧视国际公约</w:t>
      </w:r>
      <w:r>
        <w:rPr>
          <w:rFonts w:hint="eastAsia"/>
          <w:u w:val="none"/>
        </w:rPr>
        <w:t>》</w:t>
      </w:r>
    </w:p>
    <w:p w:rsidR="00000000" w:rsidRDefault="0031739B">
      <w:r>
        <w:tab/>
        <w:t>23.  1995</w:t>
      </w:r>
      <w:r>
        <w:rPr>
          <w:rFonts w:hint="eastAsia"/>
        </w:rPr>
        <w:t>年</w:t>
      </w:r>
      <w:r>
        <w:t>12</w:t>
      </w:r>
      <w:r>
        <w:rPr>
          <w:rFonts w:hint="eastAsia"/>
        </w:rPr>
        <w:t>月</w:t>
      </w:r>
      <w:r>
        <w:t>15</w:t>
      </w:r>
      <w:r>
        <w:rPr>
          <w:rFonts w:hint="eastAsia"/>
        </w:rPr>
        <w:t>日，日本加入《消除一切形式种族歧视国际公约》。根据该公约的宗旨，日本正尽力消除一切形式的歧视。</w:t>
      </w:r>
    </w:p>
    <w:p w:rsidR="00000000" w:rsidRDefault="0031739B">
      <w:pPr>
        <w:pStyle w:val="Heading2"/>
      </w:pPr>
      <w:r>
        <w:br w:type="page"/>
      </w:r>
      <w:r>
        <w:rPr>
          <w:rFonts w:hint="eastAsia"/>
        </w:rPr>
        <w:t>二、关于《盟约》</w:t>
      </w:r>
      <w:r>
        <w:rPr>
          <w:rFonts w:hint="eastAsia"/>
        </w:rPr>
        <w:t>各条款的报告</w:t>
      </w:r>
    </w:p>
    <w:p w:rsidR="00000000" w:rsidRDefault="0031739B">
      <w:pPr>
        <w:pStyle w:val="Heading3"/>
      </w:pPr>
      <w:r>
        <w:rPr>
          <w:u w:val="none"/>
        </w:rPr>
        <w:t xml:space="preserve">A.  </w:t>
      </w:r>
      <w:r>
        <w:rPr>
          <w:rFonts w:hint="eastAsia"/>
        </w:rPr>
        <w:t>第</w:t>
      </w:r>
      <w:r>
        <w:t xml:space="preserve"> 6 </w:t>
      </w:r>
      <w:r>
        <w:rPr>
          <w:rFonts w:hint="eastAsia"/>
        </w:rPr>
        <w:t>条</w:t>
      </w:r>
    </w:p>
    <w:p w:rsidR="00000000" w:rsidRDefault="0031739B">
      <w:pPr>
        <w:pStyle w:val="Heading3"/>
      </w:pPr>
      <w:r>
        <w:rPr>
          <w:u w:val="none"/>
        </w:rPr>
        <w:t xml:space="preserve">1.  </w:t>
      </w:r>
      <w:r>
        <w:rPr>
          <w:rFonts w:hint="eastAsia"/>
        </w:rPr>
        <w:t>与就业和失业有关的基本数据</w:t>
      </w:r>
    </w:p>
    <w:p w:rsidR="00000000" w:rsidRDefault="0031739B">
      <w:pPr>
        <w:spacing w:after="320"/>
        <w:textAlignment w:val="center"/>
      </w:pPr>
      <w:r>
        <w:tab/>
        <w:t xml:space="preserve">24.  </w:t>
      </w:r>
      <w:r>
        <w:rPr>
          <w:rFonts w:hint="eastAsia"/>
        </w:rPr>
        <w:t>表</w:t>
      </w:r>
      <w:r>
        <w:t>2</w:t>
      </w:r>
      <w:r>
        <w:rPr>
          <w:rFonts w:hint="eastAsia"/>
        </w:rPr>
        <w:t>显示了在日本按年龄组分列的工作机会与工作申请比率的变化</w:t>
      </w:r>
      <w:r>
        <w:t>(</w:t>
      </w:r>
      <w:r>
        <w:rPr>
          <w:rFonts w:hint="eastAsia"/>
        </w:rPr>
        <w:t>积极工作机会</w:t>
      </w:r>
      <w:r>
        <w:t>/</w:t>
      </w:r>
      <w:r>
        <w:rPr>
          <w:rFonts w:hint="eastAsia"/>
        </w:rPr>
        <w:t>积极申请</w:t>
      </w:r>
      <w:r>
        <w:t>)</w:t>
      </w:r>
      <w:r>
        <w:rPr>
          <w:rFonts w:hint="eastAsia"/>
        </w:rPr>
        <w:t>。表</w:t>
      </w:r>
      <w:r>
        <w:t>3</w:t>
      </w:r>
      <w:r>
        <w:rPr>
          <w:rFonts w:hint="eastAsia"/>
        </w:rPr>
        <w:t>显示了按性别和年龄组分列的失业率变化</w:t>
      </w:r>
      <w:r>
        <w:t>(</w:t>
      </w:r>
      <w:r>
        <w:rPr>
          <w:rFonts w:hint="eastAsia"/>
        </w:rPr>
        <w:t>失业</w:t>
      </w:r>
      <w:r>
        <w:t>/</w:t>
      </w:r>
      <w:r>
        <w:rPr>
          <w:rFonts w:hint="eastAsia"/>
        </w:rPr>
        <w:t>劳动力</w:t>
      </w:r>
      <w:r>
        <w:t>)</w:t>
      </w:r>
      <w:r>
        <w:rPr>
          <w:rFonts w:hint="eastAsia"/>
        </w:rPr>
        <w:t>。根据这些表格，工作机会与工作申请的比率在</w:t>
      </w:r>
      <w:r>
        <w:t>1997</w:t>
      </w:r>
      <w:r>
        <w:rPr>
          <w:rFonts w:hint="eastAsia"/>
        </w:rPr>
        <w:t>年不到</w:t>
      </w:r>
      <w:r>
        <w:t>1</w:t>
      </w:r>
      <w:r>
        <w:rPr>
          <w:rFonts w:hint="eastAsia"/>
        </w:rPr>
        <w:t>；具体而言，各年龄组之间有巨大差距，高年龄阶层比率低。整个失业率为</w:t>
      </w:r>
      <w:r>
        <w:t>3.4%</w:t>
      </w:r>
      <w:r>
        <w:rPr>
          <w:rFonts w:hint="eastAsia"/>
        </w:rPr>
        <w:t>，就业形势严峻。从按性别和年龄组分列的失业率看来，年龄为</w:t>
      </w:r>
      <w:r>
        <w:t>15-19</w:t>
      </w:r>
      <w:r>
        <w:rPr>
          <w:rFonts w:hint="eastAsia"/>
        </w:rPr>
        <w:t>岁</w:t>
      </w:r>
      <w:r>
        <w:t>(</w:t>
      </w:r>
      <w:r>
        <w:rPr>
          <w:rFonts w:hint="eastAsia"/>
        </w:rPr>
        <w:t>低年龄阶层</w:t>
      </w:r>
      <w:r>
        <w:t>)</w:t>
      </w:r>
      <w:r>
        <w:rPr>
          <w:rFonts w:hint="eastAsia"/>
        </w:rPr>
        <w:t>和</w:t>
      </w:r>
      <w:r>
        <w:t>60-64</w:t>
      </w:r>
      <w:r>
        <w:rPr>
          <w:rFonts w:hint="eastAsia"/>
        </w:rPr>
        <w:t>岁</w:t>
      </w:r>
      <w:r>
        <w:t>(</w:t>
      </w:r>
      <w:r>
        <w:rPr>
          <w:rFonts w:hint="eastAsia"/>
        </w:rPr>
        <w:t>高年龄阶层</w:t>
      </w:r>
      <w:r>
        <w:t>)</w:t>
      </w:r>
      <w:r>
        <w:rPr>
          <w:rFonts w:hint="eastAsia"/>
        </w:rPr>
        <w:t>的男女，失业率较高。</w:t>
      </w:r>
    </w:p>
    <w:p w:rsidR="00000000" w:rsidRDefault="0031739B">
      <w:pPr>
        <w:pStyle w:val="Heading3"/>
      </w:pPr>
      <w:r>
        <w:rPr>
          <w:rFonts w:hint="eastAsia"/>
          <w:u w:val="none"/>
        </w:rPr>
        <w:t>表</w:t>
      </w:r>
      <w:r>
        <w:rPr>
          <w:u w:val="none"/>
        </w:rPr>
        <w:t xml:space="preserve"> 2.  </w:t>
      </w:r>
      <w:r>
        <w:rPr>
          <w:rFonts w:hint="eastAsia"/>
        </w:rPr>
        <w:t>有效工作机会</w:t>
      </w:r>
      <w:r>
        <w:rPr>
          <w:rFonts w:hint="eastAsia"/>
        </w:rPr>
        <w:t>与有效工作申请的比率变化</w:t>
      </w:r>
    </w:p>
    <w:tbl>
      <w:tblPr>
        <w:tblW w:w="0" w:type="auto"/>
        <w:jc w:val="center"/>
        <w:tblLayout w:type="fixed"/>
        <w:tblCellMar>
          <w:left w:w="96" w:type="dxa"/>
          <w:right w:w="96" w:type="dxa"/>
        </w:tblCellMar>
        <w:tblLook w:val="0000" w:firstRow="0" w:lastRow="0" w:firstColumn="0" w:lastColumn="0" w:noHBand="0" w:noVBand="0"/>
      </w:tblPr>
      <w:tblGrid>
        <w:gridCol w:w="2419"/>
        <w:gridCol w:w="2065"/>
        <w:gridCol w:w="2062"/>
        <w:gridCol w:w="2081"/>
      </w:tblGrid>
      <w:tr w:rsidR="00000000">
        <w:tblPrEx>
          <w:tblCellMar>
            <w:top w:w="0" w:type="dxa"/>
            <w:bottom w:w="0" w:type="dxa"/>
          </w:tblCellMar>
        </w:tblPrEx>
        <w:trPr>
          <w:cantSplit/>
          <w:jc w:val="center"/>
        </w:trPr>
        <w:tc>
          <w:tcPr>
            <w:tcW w:w="2419" w:type="dxa"/>
            <w:tcBorders>
              <w:top w:val="single" w:sz="6" w:space="0" w:color="auto"/>
              <w:left w:val="single" w:sz="6" w:space="0" w:color="auto"/>
            </w:tcBorders>
          </w:tcPr>
          <w:p w:rsidR="00000000" w:rsidRDefault="0031739B">
            <w:pPr>
              <w:spacing w:before="80" w:line="288" w:lineRule="auto"/>
              <w:jc w:val="center"/>
              <w:rPr>
                <w:spacing w:val="0"/>
                <w:sz w:val="21"/>
              </w:rPr>
            </w:pPr>
            <w:r>
              <w:rPr>
                <w:rFonts w:hint="eastAsia"/>
                <w:spacing w:val="0"/>
                <w:sz w:val="21"/>
              </w:rPr>
              <w:t>年</w:t>
            </w:r>
            <w:r>
              <w:rPr>
                <w:spacing w:val="0"/>
                <w:sz w:val="21"/>
              </w:rPr>
              <w:t xml:space="preserve"> </w:t>
            </w:r>
            <w:r>
              <w:rPr>
                <w:rFonts w:hint="eastAsia"/>
                <w:spacing w:val="0"/>
                <w:sz w:val="21"/>
              </w:rPr>
              <w:t>龄</w:t>
            </w:r>
            <w:r>
              <w:rPr>
                <w:spacing w:val="0"/>
                <w:sz w:val="21"/>
              </w:rPr>
              <w:t xml:space="preserve"> </w:t>
            </w:r>
            <w:r>
              <w:rPr>
                <w:rFonts w:hint="eastAsia"/>
                <w:spacing w:val="0"/>
                <w:sz w:val="21"/>
              </w:rPr>
              <w:t>组</w:t>
            </w:r>
          </w:p>
        </w:tc>
        <w:tc>
          <w:tcPr>
            <w:tcW w:w="2065" w:type="dxa"/>
            <w:tcBorders>
              <w:top w:val="single" w:sz="6" w:space="0" w:color="auto"/>
              <w:left w:val="single" w:sz="6" w:space="0" w:color="auto"/>
            </w:tcBorders>
          </w:tcPr>
          <w:p w:rsidR="00000000" w:rsidRDefault="0031739B">
            <w:pPr>
              <w:spacing w:before="80" w:line="288" w:lineRule="auto"/>
              <w:jc w:val="center"/>
              <w:rPr>
                <w:spacing w:val="0"/>
                <w:sz w:val="21"/>
              </w:rPr>
            </w:pPr>
            <w:r>
              <w:rPr>
                <w:spacing w:val="0"/>
                <w:sz w:val="21"/>
              </w:rPr>
              <w:t>1987</w:t>
            </w:r>
          </w:p>
        </w:tc>
        <w:tc>
          <w:tcPr>
            <w:tcW w:w="2062" w:type="dxa"/>
            <w:tcBorders>
              <w:top w:val="single" w:sz="6" w:space="0" w:color="auto"/>
            </w:tcBorders>
          </w:tcPr>
          <w:p w:rsidR="00000000" w:rsidRDefault="0031739B">
            <w:pPr>
              <w:spacing w:before="80" w:line="288" w:lineRule="auto"/>
              <w:jc w:val="center"/>
              <w:rPr>
                <w:spacing w:val="0"/>
                <w:sz w:val="21"/>
              </w:rPr>
            </w:pPr>
            <w:r>
              <w:rPr>
                <w:spacing w:val="0"/>
                <w:sz w:val="21"/>
              </w:rPr>
              <w:t>1992</w:t>
            </w:r>
          </w:p>
        </w:tc>
        <w:tc>
          <w:tcPr>
            <w:tcW w:w="2081" w:type="dxa"/>
            <w:tcBorders>
              <w:top w:val="single" w:sz="6" w:space="0" w:color="auto"/>
              <w:left w:val="nil"/>
              <w:right w:val="single" w:sz="6" w:space="0" w:color="auto"/>
            </w:tcBorders>
          </w:tcPr>
          <w:p w:rsidR="00000000" w:rsidRDefault="0031739B">
            <w:pPr>
              <w:spacing w:before="80" w:line="288" w:lineRule="auto"/>
              <w:jc w:val="center"/>
              <w:rPr>
                <w:spacing w:val="0"/>
                <w:sz w:val="21"/>
              </w:rPr>
            </w:pPr>
            <w:r>
              <w:rPr>
                <w:spacing w:val="0"/>
                <w:sz w:val="21"/>
              </w:rPr>
              <w:t>1997</w:t>
            </w:r>
          </w:p>
        </w:tc>
      </w:tr>
      <w:tr w:rsidR="00000000">
        <w:tblPrEx>
          <w:tblCellMar>
            <w:top w:w="0" w:type="dxa"/>
            <w:bottom w:w="0" w:type="dxa"/>
          </w:tblCellMar>
        </w:tblPrEx>
        <w:trPr>
          <w:cantSplit/>
          <w:jc w:val="center"/>
        </w:trPr>
        <w:tc>
          <w:tcPr>
            <w:tcW w:w="2419" w:type="dxa"/>
            <w:tcBorders>
              <w:top w:val="single" w:sz="6" w:space="0" w:color="auto"/>
              <w:left w:val="single" w:sz="6" w:space="0" w:color="auto"/>
            </w:tcBorders>
          </w:tcPr>
          <w:p w:rsidR="00000000" w:rsidRDefault="0031739B">
            <w:pPr>
              <w:spacing w:before="60" w:line="288" w:lineRule="auto"/>
              <w:jc w:val="center"/>
              <w:rPr>
                <w:spacing w:val="0"/>
                <w:sz w:val="21"/>
              </w:rPr>
            </w:pPr>
            <w:r>
              <w:rPr>
                <w:rFonts w:hint="eastAsia"/>
                <w:spacing w:val="0"/>
                <w:sz w:val="21"/>
              </w:rPr>
              <w:t>总</w:t>
            </w:r>
            <w:r>
              <w:rPr>
                <w:spacing w:val="0"/>
                <w:sz w:val="21"/>
              </w:rPr>
              <w:t xml:space="preserve">  </w:t>
            </w:r>
            <w:r>
              <w:rPr>
                <w:rFonts w:hint="eastAsia"/>
                <w:spacing w:val="0"/>
                <w:sz w:val="21"/>
              </w:rPr>
              <w:t>计</w:t>
            </w:r>
          </w:p>
        </w:tc>
        <w:tc>
          <w:tcPr>
            <w:tcW w:w="2065" w:type="dxa"/>
            <w:tcBorders>
              <w:top w:val="single" w:sz="6" w:space="0" w:color="auto"/>
              <w:left w:val="single" w:sz="6" w:space="0" w:color="auto"/>
            </w:tcBorders>
          </w:tcPr>
          <w:p w:rsidR="00000000" w:rsidRDefault="0031739B">
            <w:pPr>
              <w:spacing w:before="60" w:line="288" w:lineRule="auto"/>
              <w:jc w:val="center"/>
              <w:rPr>
                <w:spacing w:val="0"/>
                <w:sz w:val="21"/>
              </w:rPr>
            </w:pPr>
            <w:r>
              <w:rPr>
                <w:spacing w:val="0"/>
                <w:sz w:val="21"/>
              </w:rPr>
              <w:t>0.80</w:t>
            </w:r>
          </w:p>
        </w:tc>
        <w:tc>
          <w:tcPr>
            <w:tcW w:w="2062" w:type="dxa"/>
            <w:tcBorders>
              <w:top w:val="single" w:sz="6" w:space="0" w:color="auto"/>
            </w:tcBorders>
          </w:tcPr>
          <w:p w:rsidR="00000000" w:rsidRDefault="0031739B">
            <w:pPr>
              <w:spacing w:before="60" w:line="288" w:lineRule="auto"/>
              <w:jc w:val="center"/>
              <w:rPr>
                <w:spacing w:val="0"/>
                <w:sz w:val="21"/>
              </w:rPr>
            </w:pPr>
            <w:r>
              <w:rPr>
                <w:spacing w:val="0"/>
                <w:sz w:val="21"/>
              </w:rPr>
              <w:t>1.02</w:t>
            </w:r>
          </w:p>
        </w:tc>
        <w:tc>
          <w:tcPr>
            <w:tcW w:w="2081" w:type="dxa"/>
            <w:tcBorders>
              <w:top w:val="single" w:sz="6" w:space="0" w:color="auto"/>
              <w:left w:val="nil"/>
              <w:right w:val="single" w:sz="6" w:space="0" w:color="auto"/>
            </w:tcBorders>
          </w:tcPr>
          <w:p w:rsidR="00000000" w:rsidRDefault="0031739B">
            <w:pPr>
              <w:spacing w:before="60" w:line="288" w:lineRule="auto"/>
              <w:jc w:val="center"/>
              <w:rPr>
                <w:spacing w:val="0"/>
                <w:sz w:val="21"/>
              </w:rPr>
            </w:pPr>
            <w:r>
              <w:rPr>
                <w:spacing w:val="0"/>
                <w:sz w:val="21"/>
              </w:rPr>
              <w:t>0.71</w:t>
            </w:r>
          </w:p>
        </w:tc>
      </w:tr>
      <w:tr w:rsidR="00000000">
        <w:tblPrEx>
          <w:tblCellMar>
            <w:top w:w="0" w:type="dxa"/>
            <w:bottom w:w="0" w:type="dxa"/>
          </w:tblCellMar>
        </w:tblPrEx>
        <w:trPr>
          <w:cantSplit/>
          <w:jc w:val="center"/>
        </w:trPr>
        <w:tc>
          <w:tcPr>
            <w:tcW w:w="2419" w:type="dxa"/>
            <w:tcBorders>
              <w:left w:val="single" w:sz="6" w:space="0" w:color="auto"/>
            </w:tcBorders>
          </w:tcPr>
          <w:p w:rsidR="00000000" w:rsidRDefault="0031739B">
            <w:pPr>
              <w:spacing w:line="288" w:lineRule="auto"/>
              <w:jc w:val="center"/>
              <w:rPr>
                <w:spacing w:val="0"/>
                <w:sz w:val="21"/>
              </w:rPr>
            </w:pPr>
            <w:r>
              <w:rPr>
                <w:spacing w:val="0"/>
                <w:sz w:val="21"/>
              </w:rPr>
              <w:t>15­19</w:t>
            </w:r>
          </w:p>
        </w:tc>
        <w:tc>
          <w:tcPr>
            <w:tcW w:w="2065" w:type="dxa"/>
            <w:tcBorders>
              <w:left w:val="single" w:sz="6" w:space="0" w:color="auto"/>
            </w:tcBorders>
          </w:tcPr>
          <w:p w:rsidR="00000000" w:rsidRDefault="0031739B">
            <w:pPr>
              <w:spacing w:line="288" w:lineRule="auto"/>
              <w:jc w:val="center"/>
              <w:rPr>
                <w:spacing w:val="0"/>
                <w:sz w:val="21"/>
              </w:rPr>
            </w:pPr>
            <w:r>
              <w:rPr>
                <w:spacing w:val="0"/>
                <w:sz w:val="21"/>
              </w:rPr>
              <w:t>1.85</w:t>
            </w:r>
          </w:p>
        </w:tc>
        <w:tc>
          <w:tcPr>
            <w:tcW w:w="2062" w:type="dxa"/>
          </w:tcPr>
          <w:p w:rsidR="00000000" w:rsidRDefault="0031739B">
            <w:pPr>
              <w:spacing w:line="288" w:lineRule="auto"/>
              <w:jc w:val="center"/>
              <w:rPr>
                <w:spacing w:val="0"/>
                <w:sz w:val="21"/>
              </w:rPr>
            </w:pPr>
            <w:r>
              <w:rPr>
                <w:spacing w:val="0"/>
                <w:sz w:val="21"/>
              </w:rPr>
              <w:t>3.18</w:t>
            </w:r>
          </w:p>
        </w:tc>
        <w:tc>
          <w:tcPr>
            <w:tcW w:w="2081" w:type="dxa"/>
            <w:tcBorders>
              <w:left w:val="nil"/>
              <w:right w:val="single" w:sz="6" w:space="0" w:color="auto"/>
            </w:tcBorders>
          </w:tcPr>
          <w:p w:rsidR="00000000" w:rsidRDefault="0031739B">
            <w:pPr>
              <w:spacing w:line="288" w:lineRule="auto"/>
              <w:jc w:val="center"/>
              <w:rPr>
                <w:spacing w:val="0"/>
                <w:sz w:val="21"/>
              </w:rPr>
            </w:pPr>
            <w:r>
              <w:rPr>
                <w:spacing w:val="0"/>
                <w:sz w:val="21"/>
              </w:rPr>
              <w:t>2.64</w:t>
            </w:r>
          </w:p>
        </w:tc>
      </w:tr>
      <w:tr w:rsidR="00000000">
        <w:tblPrEx>
          <w:tblCellMar>
            <w:top w:w="0" w:type="dxa"/>
            <w:bottom w:w="0" w:type="dxa"/>
          </w:tblCellMar>
        </w:tblPrEx>
        <w:trPr>
          <w:cantSplit/>
          <w:jc w:val="center"/>
        </w:trPr>
        <w:tc>
          <w:tcPr>
            <w:tcW w:w="2419" w:type="dxa"/>
            <w:tcBorders>
              <w:left w:val="single" w:sz="6" w:space="0" w:color="auto"/>
            </w:tcBorders>
          </w:tcPr>
          <w:p w:rsidR="00000000" w:rsidRDefault="0031739B">
            <w:pPr>
              <w:spacing w:line="288" w:lineRule="auto"/>
              <w:jc w:val="center"/>
              <w:rPr>
                <w:spacing w:val="0"/>
                <w:sz w:val="21"/>
              </w:rPr>
            </w:pPr>
            <w:r>
              <w:rPr>
                <w:spacing w:val="0"/>
                <w:sz w:val="21"/>
              </w:rPr>
              <w:t>20­24</w:t>
            </w:r>
          </w:p>
        </w:tc>
        <w:tc>
          <w:tcPr>
            <w:tcW w:w="2065" w:type="dxa"/>
            <w:tcBorders>
              <w:left w:val="single" w:sz="6" w:space="0" w:color="auto"/>
            </w:tcBorders>
          </w:tcPr>
          <w:p w:rsidR="00000000" w:rsidRDefault="0031739B">
            <w:pPr>
              <w:spacing w:line="288" w:lineRule="auto"/>
              <w:jc w:val="center"/>
              <w:rPr>
                <w:spacing w:val="0"/>
                <w:sz w:val="21"/>
              </w:rPr>
            </w:pPr>
            <w:r>
              <w:rPr>
                <w:spacing w:val="0"/>
                <w:sz w:val="21"/>
              </w:rPr>
              <w:t>0.90</w:t>
            </w:r>
          </w:p>
        </w:tc>
        <w:tc>
          <w:tcPr>
            <w:tcW w:w="2062" w:type="dxa"/>
          </w:tcPr>
          <w:p w:rsidR="00000000" w:rsidRDefault="0031739B">
            <w:pPr>
              <w:spacing w:line="288" w:lineRule="auto"/>
              <w:jc w:val="center"/>
              <w:rPr>
                <w:spacing w:val="0"/>
                <w:sz w:val="21"/>
              </w:rPr>
            </w:pPr>
            <w:r>
              <w:rPr>
                <w:spacing w:val="0"/>
                <w:sz w:val="21"/>
              </w:rPr>
              <w:t>1.00</w:t>
            </w:r>
          </w:p>
        </w:tc>
        <w:tc>
          <w:tcPr>
            <w:tcW w:w="2081" w:type="dxa"/>
            <w:tcBorders>
              <w:left w:val="nil"/>
              <w:right w:val="single" w:sz="6" w:space="0" w:color="auto"/>
            </w:tcBorders>
          </w:tcPr>
          <w:p w:rsidR="00000000" w:rsidRDefault="0031739B">
            <w:pPr>
              <w:spacing w:line="288" w:lineRule="auto"/>
              <w:jc w:val="center"/>
              <w:rPr>
                <w:spacing w:val="0"/>
                <w:sz w:val="21"/>
              </w:rPr>
            </w:pPr>
            <w:r>
              <w:rPr>
                <w:spacing w:val="0"/>
                <w:sz w:val="21"/>
              </w:rPr>
              <w:t>0.84</w:t>
            </w:r>
          </w:p>
        </w:tc>
      </w:tr>
      <w:tr w:rsidR="00000000">
        <w:tblPrEx>
          <w:tblCellMar>
            <w:top w:w="0" w:type="dxa"/>
            <w:bottom w:w="0" w:type="dxa"/>
          </w:tblCellMar>
        </w:tblPrEx>
        <w:trPr>
          <w:cantSplit/>
          <w:jc w:val="center"/>
        </w:trPr>
        <w:tc>
          <w:tcPr>
            <w:tcW w:w="2419" w:type="dxa"/>
            <w:tcBorders>
              <w:left w:val="single" w:sz="6" w:space="0" w:color="auto"/>
            </w:tcBorders>
          </w:tcPr>
          <w:p w:rsidR="00000000" w:rsidRDefault="0031739B">
            <w:pPr>
              <w:spacing w:line="288" w:lineRule="auto"/>
              <w:jc w:val="center"/>
              <w:rPr>
                <w:spacing w:val="0"/>
                <w:sz w:val="21"/>
              </w:rPr>
            </w:pPr>
            <w:r>
              <w:rPr>
                <w:spacing w:val="0"/>
                <w:sz w:val="21"/>
              </w:rPr>
              <w:t>25­29</w:t>
            </w:r>
          </w:p>
        </w:tc>
        <w:tc>
          <w:tcPr>
            <w:tcW w:w="2065" w:type="dxa"/>
            <w:tcBorders>
              <w:left w:val="single" w:sz="6" w:space="0" w:color="auto"/>
            </w:tcBorders>
          </w:tcPr>
          <w:p w:rsidR="00000000" w:rsidRDefault="0031739B">
            <w:pPr>
              <w:spacing w:line="288" w:lineRule="auto"/>
              <w:jc w:val="center"/>
              <w:rPr>
                <w:spacing w:val="0"/>
                <w:sz w:val="21"/>
              </w:rPr>
            </w:pPr>
            <w:r>
              <w:rPr>
                <w:spacing w:val="0"/>
                <w:sz w:val="21"/>
              </w:rPr>
              <w:t>1.07</w:t>
            </w:r>
          </w:p>
        </w:tc>
        <w:tc>
          <w:tcPr>
            <w:tcW w:w="2062" w:type="dxa"/>
          </w:tcPr>
          <w:p w:rsidR="00000000" w:rsidRDefault="0031739B">
            <w:pPr>
              <w:spacing w:line="288" w:lineRule="auto"/>
              <w:jc w:val="center"/>
              <w:rPr>
                <w:spacing w:val="0"/>
                <w:sz w:val="21"/>
              </w:rPr>
            </w:pPr>
            <w:r>
              <w:rPr>
                <w:spacing w:val="0"/>
                <w:sz w:val="21"/>
              </w:rPr>
              <w:t>1.03</w:t>
            </w:r>
          </w:p>
        </w:tc>
        <w:tc>
          <w:tcPr>
            <w:tcW w:w="2081" w:type="dxa"/>
            <w:tcBorders>
              <w:left w:val="nil"/>
              <w:right w:val="single" w:sz="6" w:space="0" w:color="auto"/>
            </w:tcBorders>
          </w:tcPr>
          <w:p w:rsidR="00000000" w:rsidRDefault="0031739B">
            <w:pPr>
              <w:spacing w:line="288" w:lineRule="auto"/>
              <w:jc w:val="center"/>
              <w:rPr>
                <w:spacing w:val="0"/>
                <w:sz w:val="21"/>
              </w:rPr>
            </w:pPr>
            <w:r>
              <w:rPr>
                <w:spacing w:val="0"/>
                <w:sz w:val="21"/>
              </w:rPr>
              <w:t>0.80</w:t>
            </w:r>
          </w:p>
        </w:tc>
      </w:tr>
      <w:tr w:rsidR="00000000">
        <w:tblPrEx>
          <w:tblCellMar>
            <w:top w:w="0" w:type="dxa"/>
            <w:bottom w:w="0" w:type="dxa"/>
          </w:tblCellMar>
        </w:tblPrEx>
        <w:trPr>
          <w:cantSplit/>
          <w:jc w:val="center"/>
        </w:trPr>
        <w:tc>
          <w:tcPr>
            <w:tcW w:w="2419" w:type="dxa"/>
            <w:tcBorders>
              <w:left w:val="single" w:sz="6" w:space="0" w:color="auto"/>
            </w:tcBorders>
          </w:tcPr>
          <w:p w:rsidR="00000000" w:rsidRDefault="0031739B">
            <w:pPr>
              <w:spacing w:line="288" w:lineRule="auto"/>
              <w:jc w:val="center"/>
              <w:rPr>
                <w:spacing w:val="0"/>
                <w:sz w:val="21"/>
              </w:rPr>
            </w:pPr>
            <w:r>
              <w:rPr>
                <w:spacing w:val="0"/>
                <w:sz w:val="21"/>
              </w:rPr>
              <w:t>30­34</w:t>
            </w:r>
          </w:p>
        </w:tc>
        <w:tc>
          <w:tcPr>
            <w:tcW w:w="2065" w:type="dxa"/>
            <w:tcBorders>
              <w:left w:val="single" w:sz="6" w:space="0" w:color="auto"/>
            </w:tcBorders>
          </w:tcPr>
          <w:p w:rsidR="00000000" w:rsidRDefault="0031739B">
            <w:pPr>
              <w:spacing w:line="288" w:lineRule="auto"/>
              <w:jc w:val="center"/>
              <w:rPr>
                <w:spacing w:val="0"/>
                <w:sz w:val="21"/>
              </w:rPr>
            </w:pPr>
            <w:r>
              <w:rPr>
                <w:spacing w:val="0"/>
                <w:sz w:val="21"/>
              </w:rPr>
              <w:t>1.50</w:t>
            </w:r>
          </w:p>
        </w:tc>
        <w:tc>
          <w:tcPr>
            <w:tcW w:w="2062" w:type="dxa"/>
          </w:tcPr>
          <w:p w:rsidR="00000000" w:rsidRDefault="0031739B">
            <w:pPr>
              <w:spacing w:line="288" w:lineRule="auto"/>
              <w:jc w:val="center"/>
              <w:rPr>
                <w:spacing w:val="0"/>
                <w:sz w:val="21"/>
              </w:rPr>
            </w:pPr>
            <w:r>
              <w:rPr>
                <w:spacing w:val="0"/>
                <w:sz w:val="21"/>
              </w:rPr>
              <w:t>1.69</w:t>
            </w:r>
          </w:p>
        </w:tc>
        <w:tc>
          <w:tcPr>
            <w:tcW w:w="2081" w:type="dxa"/>
            <w:tcBorders>
              <w:left w:val="nil"/>
              <w:right w:val="single" w:sz="6" w:space="0" w:color="auto"/>
            </w:tcBorders>
          </w:tcPr>
          <w:p w:rsidR="00000000" w:rsidRDefault="0031739B">
            <w:pPr>
              <w:spacing w:line="288" w:lineRule="auto"/>
              <w:jc w:val="center"/>
              <w:rPr>
                <w:spacing w:val="0"/>
                <w:sz w:val="21"/>
              </w:rPr>
            </w:pPr>
            <w:r>
              <w:rPr>
                <w:spacing w:val="0"/>
                <w:sz w:val="21"/>
              </w:rPr>
              <w:t>1.22</w:t>
            </w:r>
          </w:p>
        </w:tc>
      </w:tr>
      <w:tr w:rsidR="00000000">
        <w:tblPrEx>
          <w:tblCellMar>
            <w:top w:w="0" w:type="dxa"/>
            <w:bottom w:w="0" w:type="dxa"/>
          </w:tblCellMar>
        </w:tblPrEx>
        <w:trPr>
          <w:cantSplit/>
          <w:jc w:val="center"/>
        </w:trPr>
        <w:tc>
          <w:tcPr>
            <w:tcW w:w="2419" w:type="dxa"/>
            <w:tcBorders>
              <w:left w:val="single" w:sz="6" w:space="0" w:color="auto"/>
            </w:tcBorders>
          </w:tcPr>
          <w:p w:rsidR="00000000" w:rsidRDefault="0031739B">
            <w:pPr>
              <w:spacing w:line="288" w:lineRule="auto"/>
              <w:jc w:val="center"/>
              <w:rPr>
                <w:spacing w:val="0"/>
                <w:sz w:val="21"/>
              </w:rPr>
            </w:pPr>
            <w:r>
              <w:rPr>
                <w:spacing w:val="0"/>
                <w:sz w:val="21"/>
              </w:rPr>
              <w:t>35­39</w:t>
            </w:r>
          </w:p>
        </w:tc>
        <w:tc>
          <w:tcPr>
            <w:tcW w:w="2065" w:type="dxa"/>
            <w:tcBorders>
              <w:left w:val="single" w:sz="6" w:space="0" w:color="auto"/>
            </w:tcBorders>
          </w:tcPr>
          <w:p w:rsidR="00000000" w:rsidRDefault="0031739B">
            <w:pPr>
              <w:spacing w:line="288" w:lineRule="auto"/>
              <w:jc w:val="center"/>
              <w:rPr>
                <w:spacing w:val="0"/>
                <w:sz w:val="21"/>
              </w:rPr>
            </w:pPr>
            <w:r>
              <w:rPr>
                <w:spacing w:val="0"/>
                <w:sz w:val="21"/>
              </w:rPr>
              <w:t>1.14</w:t>
            </w:r>
          </w:p>
        </w:tc>
        <w:tc>
          <w:tcPr>
            <w:tcW w:w="2062" w:type="dxa"/>
          </w:tcPr>
          <w:p w:rsidR="00000000" w:rsidRDefault="0031739B">
            <w:pPr>
              <w:spacing w:line="288" w:lineRule="auto"/>
              <w:jc w:val="center"/>
              <w:rPr>
                <w:spacing w:val="0"/>
                <w:sz w:val="21"/>
              </w:rPr>
            </w:pPr>
            <w:r>
              <w:rPr>
                <w:spacing w:val="0"/>
                <w:sz w:val="21"/>
              </w:rPr>
              <w:t>1.92</w:t>
            </w:r>
          </w:p>
        </w:tc>
        <w:tc>
          <w:tcPr>
            <w:tcW w:w="2081" w:type="dxa"/>
            <w:tcBorders>
              <w:left w:val="nil"/>
              <w:right w:val="single" w:sz="6" w:space="0" w:color="auto"/>
            </w:tcBorders>
          </w:tcPr>
          <w:p w:rsidR="00000000" w:rsidRDefault="0031739B">
            <w:pPr>
              <w:spacing w:line="288" w:lineRule="auto"/>
              <w:jc w:val="center"/>
              <w:rPr>
                <w:spacing w:val="0"/>
                <w:sz w:val="21"/>
              </w:rPr>
            </w:pPr>
            <w:r>
              <w:rPr>
                <w:spacing w:val="0"/>
                <w:sz w:val="21"/>
              </w:rPr>
              <w:t>1.47</w:t>
            </w:r>
          </w:p>
        </w:tc>
      </w:tr>
      <w:tr w:rsidR="00000000">
        <w:tblPrEx>
          <w:tblCellMar>
            <w:top w:w="0" w:type="dxa"/>
            <w:bottom w:w="0" w:type="dxa"/>
          </w:tblCellMar>
        </w:tblPrEx>
        <w:trPr>
          <w:cantSplit/>
          <w:jc w:val="center"/>
        </w:trPr>
        <w:tc>
          <w:tcPr>
            <w:tcW w:w="2419" w:type="dxa"/>
            <w:tcBorders>
              <w:left w:val="single" w:sz="6" w:space="0" w:color="auto"/>
            </w:tcBorders>
          </w:tcPr>
          <w:p w:rsidR="00000000" w:rsidRDefault="0031739B">
            <w:pPr>
              <w:spacing w:line="288" w:lineRule="auto"/>
              <w:jc w:val="center"/>
              <w:rPr>
                <w:spacing w:val="0"/>
                <w:sz w:val="21"/>
              </w:rPr>
            </w:pPr>
            <w:r>
              <w:rPr>
                <w:spacing w:val="0"/>
                <w:sz w:val="21"/>
              </w:rPr>
              <w:t>40­44</w:t>
            </w:r>
          </w:p>
        </w:tc>
        <w:tc>
          <w:tcPr>
            <w:tcW w:w="2065" w:type="dxa"/>
            <w:tcBorders>
              <w:left w:val="single" w:sz="6" w:space="0" w:color="auto"/>
            </w:tcBorders>
          </w:tcPr>
          <w:p w:rsidR="00000000" w:rsidRDefault="0031739B">
            <w:pPr>
              <w:spacing w:line="288" w:lineRule="auto"/>
              <w:jc w:val="center"/>
              <w:rPr>
                <w:spacing w:val="0"/>
                <w:sz w:val="21"/>
              </w:rPr>
            </w:pPr>
            <w:r>
              <w:rPr>
                <w:spacing w:val="0"/>
                <w:sz w:val="21"/>
              </w:rPr>
              <w:t>1.15</w:t>
            </w:r>
          </w:p>
        </w:tc>
        <w:tc>
          <w:tcPr>
            <w:tcW w:w="2062" w:type="dxa"/>
          </w:tcPr>
          <w:p w:rsidR="00000000" w:rsidRDefault="0031739B">
            <w:pPr>
              <w:spacing w:line="288" w:lineRule="auto"/>
              <w:jc w:val="center"/>
              <w:rPr>
                <w:spacing w:val="0"/>
                <w:sz w:val="21"/>
              </w:rPr>
            </w:pPr>
            <w:r>
              <w:rPr>
                <w:spacing w:val="0"/>
                <w:sz w:val="21"/>
              </w:rPr>
              <w:t>1.33</w:t>
            </w:r>
          </w:p>
        </w:tc>
        <w:tc>
          <w:tcPr>
            <w:tcW w:w="2081" w:type="dxa"/>
            <w:tcBorders>
              <w:left w:val="nil"/>
              <w:right w:val="single" w:sz="6" w:space="0" w:color="auto"/>
            </w:tcBorders>
          </w:tcPr>
          <w:p w:rsidR="00000000" w:rsidRDefault="0031739B">
            <w:pPr>
              <w:spacing w:line="288" w:lineRule="auto"/>
              <w:jc w:val="center"/>
              <w:rPr>
                <w:spacing w:val="0"/>
                <w:sz w:val="21"/>
              </w:rPr>
            </w:pPr>
            <w:r>
              <w:rPr>
                <w:spacing w:val="0"/>
                <w:sz w:val="21"/>
              </w:rPr>
              <w:t>1.23</w:t>
            </w:r>
          </w:p>
        </w:tc>
      </w:tr>
      <w:tr w:rsidR="00000000">
        <w:tblPrEx>
          <w:tblCellMar>
            <w:top w:w="0" w:type="dxa"/>
            <w:bottom w:w="0" w:type="dxa"/>
          </w:tblCellMar>
        </w:tblPrEx>
        <w:trPr>
          <w:cantSplit/>
          <w:jc w:val="center"/>
        </w:trPr>
        <w:tc>
          <w:tcPr>
            <w:tcW w:w="2419" w:type="dxa"/>
            <w:tcBorders>
              <w:left w:val="single" w:sz="6" w:space="0" w:color="auto"/>
            </w:tcBorders>
          </w:tcPr>
          <w:p w:rsidR="00000000" w:rsidRDefault="0031739B">
            <w:pPr>
              <w:spacing w:line="288" w:lineRule="auto"/>
              <w:jc w:val="center"/>
              <w:rPr>
                <w:spacing w:val="0"/>
                <w:sz w:val="21"/>
              </w:rPr>
            </w:pPr>
            <w:r>
              <w:rPr>
                <w:spacing w:val="0"/>
                <w:sz w:val="21"/>
              </w:rPr>
              <w:t>45­49</w:t>
            </w:r>
          </w:p>
        </w:tc>
        <w:tc>
          <w:tcPr>
            <w:tcW w:w="2065" w:type="dxa"/>
            <w:tcBorders>
              <w:left w:val="single" w:sz="6" w:space="0" w:color="auto"/>
            </w:tcBorders>
          </w:tcPr>
          <w:p w:rsidR="00000000" w:rsidRDefault="0031739B">
            <w:pPr>
              <w:spacing w:line="288" w:lineRule="auto"/>
              <w:jc w:val="center"/>
              <w:rPr>
                <w:spacing w:val="0"/>
                <w:sz w:val="21"/>
              </w:rPr>
            </w:pPr>
            <w:r>
              <w:rPr>
                <w:spacing w:val="0"/>
                <w:sz w:val="21"/>
              </w:rPr>
              <w:t>0.73</w:t>
            </w:r>
          </w:p>
        </w:tc>
        <w:tc>
          <w:tcPr>
            <w:tcW w:w="2062" w:type="dxa"/>
          </w:tcPr>
          <w:p w:rsidR="00000000" w:rsidRDefault="0031739B">
            <w:pPr>
              <w:spacing w:line="288" w:lineRule="auto"/>
              <w:jc w:val="center"/>
              <w:rPr>
                <w:spacing w:val="0"/>
                <w:sz w:val="21"/>
              </w:rPr>
            </w:pPr>
            <w:r>
              <w:rPr>
                <w:spacing w:val="0"/>
                <w:sz w:val="21"/>
              </w:rPr>
              <w:t>1.22</w:t>
            </w:r>
          </w:p>
        </w:tc>
        <w:tc>
          <w:tcPr>
            <w:tcW w:w="2081" w:type="dxa"/>
            <w:tcBorders>
              <w:left w:val="nil"/>
              <w:right w:val="single" w:sz="6" w:space="0" w:color="auto"/>
            </w:tcBorders>
          </w:tcPr>
          <w:p w:rsidR="00000000" w:rsidRDefault="0031739B">
            <w:pPr>
              <w:spacing w:line="288" w:lineRule="auto"/>
              <w:jc w:val="center"/>
              <w:rPr>
                <w:spacing w:val="0"/>
                <w:sz w:val="21"/>
              </w:rPr>
            </w:pPr>
            <w:r>
              <w:rPr>
                <w:spacing w:val="0"/>
                <w:sz w:val="21"/>
              </w:rPr>
              <w:t>0.63</w:t>
            </w:r>
          </w:p>
        </w:tc>
      </w:tr>
      <w:tr w:rsidR="00000000">
        <w:tblPrEx>
          <w:tblCellMar>
            <w:top w:w="0" w:type="dxa"/>
            <w:bottom w:w="0" w:type="dxa"/>
          </w:tblCellMar>
        </w:tblPrEx>
        <w:trPr>
          <w:cantSplit/>
          <w:jc w:val="center"/>
        </w:trPr>
        <w:tc>
          <w:tcPr>
            <w:tcW w:w="2419" w:type="dxa"/>
            <w:tcBorders>
              <w:left w:val="single" w:sz="6" w:space="0" w:color="auto"/>
            </w:tcBorders>
          </w:tcPr>
          <w:p w:rsidR="00000000" w:rsidRDefault="0031739B">
            <w:pPr>
              <w:spacing w:line="288" w:lineRule="auto"/>
              <w:jc w:val="center"/>
              <w:rPr>
                <w:spacing w:val="0"/>
                <w:sz w:val="21"/>
              </w:rPr>
            </w:pPr>
            <w:r>
              <w:rPr>
                <w:spacing w:val="0"/>
                <w:sz w:val="21"/>
              </w:rPr>
              <w:t>50­54</w:t>
            </w:r>
          </w:p>
        </w:tc>
        <w:tc>
          <w:tcPr>
            <w:tcW w:w="2065" w:type="dxa"/>
            <w:tcBorders>
              <w:left w:val="single" w:sz="6" w:space="0" w:color="auto"/>
            </w:tcBorders>
          </w:tcPr>
          <w:p w:rsidR="00000000" w:rsidRDefault="0031739B">
            <w:pPr>
              <w:spacing w:line="288" w:lineRule="auto"/>
              <w:jc w:val="center"/>
              <w:rPr>
                <w:spacing w:val="0"/>
                <w:sz w:val="21"/>
              </w:rPr>
            </w:pPr>
            <w:r>
              <w:rPr>
                <w:spacing w:val="0"/>
                <w:sz w:val="21"/>
              </w:rPr>
              <w:t>0.44</w:t>
            </w:r>
          </w:p>
        </w:tc>
        <w:tc>
          <w:tcPr>
            <w:tcW w:w="2062" w:type="dxa"/>
          </w:tcPr>
          <w:p w:rsidR="00000000" w:rsidRDefault="0031739B">
            <w:pPr>
              <w:spacing w:line="288" w:lineRule="auto"/>
              <w:jc w:val="center"/>
              <w:rPr>
                <w:spacing w:val="0"/>
                <w:sz w:val="21"/>
              </w:rPr>
            </w:pPr>
            <w:r>
              <w:rPr>
                <w:spacing w:val="0"/>
                <w:sz w:val="21"/>
              </w:rPr>
              <w:t>0.90</w:t>
            </w:r>
          </w:p>
        </w:tc>
        <w:tc>
          <w:tcPr>
            <w:tcW w:w="2081" w:type="dxa"/>
            <w:tcBorders>
              <w:left w:val="nil"/>
              <w:right w:val="single" w:sz="6" w:space="0" w:color="auto"/>
            </w:tcBorders>
          </w:tcPr>
          <w:p w:rsidR="00000000" w:rsidRDefault="0031739B">
            <w:pPr>
              <w:spacing w:line="288" w:lineRule="auto"/>
              <w:jc w:val="center"/>
              <w:rPr>
                <w:spacing w:val="0"/>
                <w:sz w:val="21"/>
              </w:rPr>
            </w:pPr>
            <w:r>
              <w:rPr>
                <w:spacing w:val="0"/>
                <w:sz w:val="21"/>
              </w:rPr>
              <w:t>0.52</w:t>
            </w:r>
          </w:p>
        </w:tc>
      </w:tr>
      <w:tr w:rsidR="00000000">
        <w:tblPrEx>
          <w:tblCellMar>
            <w:top w:w="0" w:type="dxa"/>
            <w:bottom w:w="0" w:type="dxa"/>
          </w:tblCellMar>
        </w:tblPrEx>
        <w:trPr>
          <w:cantSplit/>
          <w:jc w:val="center"/>
        </w:trPr>
        <w:tc>
          <w:tcPr>
            <w:tcW w:w="2419" w:type="dxa"/>
            <w:tcBorders>
              <w:left w:val="single" w:sz="6" w:space="0" w:color="auto"/>
            </w:tcBorders>
          </w:tcPr>
          <w:p w:rsidR="00000000" w:rsidRDefault="0031739B">
            <w:pPr>
              <w:spacing w:line="288" w:lineRule="auto"/>
              <w:jc w:val="center"/>
              <w:rPr>
                <w:spacing w:val="0"/>
                <w:sz w:val="21"/>
              </w:rPr>
            </w:pPr>
            <w:r>
              <w:rPr>
                <w:spacing w:val="0"/>
                <w:sz w:val="21"/>
              </w:rPr>
              <w:t>55­59</w:t>
            </w:r>
          </w:p>
        </w:tc>
        <w:tc>
          <w:tcPr>
            <w:tcW w:w="2065" w:type="dxa"/>
            <w:tcBorders>
              <w:left w:val="single" w:sz="6" w:space="0" w:color="auto"/>
            </w:tcBorders>
          </w:tcPr>
          <w:p w:rsidR="00000000" w:rsidRDefault="0031739B">
            <w:pPr>
              <w:spacing w:line="288" w:lineRule="auto"/>
              <w:jc w:val="center"/>
              <w:rPr>
                <w:spacing w:val="0"/>
                <w:sz w:val="21"/>
              </w:rPr>
            </w:pPr>
            <w:r>
              <w:rPr>
                <w:spacing w:val="0"/>
                <w:sz w:val="21"/>
              </w:rPr>
              <w:t>0.18</w:t>
            </w:r>
          </w:p>
        </w:tc>
        <w:tc>
          <w:tcPr>
            <w:tcW w:w="2062" w:type="dxa"/>
          </w:tcPr>
          <w:p w:rsidR="00000000" w:rsidRDefault="0031739B">
            <w:pPr>
              <w:spacing w:line="288" w:lineRule="auto"/>
              <w:jc w:val="center"/>
              <w:rPr>
                <w:spacing w:val="0"/>
                <w:sz w:val="21"/>
              </w:rPr>
            </w:pPr>
            <w:r>
              <w:rPr>
                <w:spacing w:val="0"/>
                <w:sz w:val="21"/>
              </w:rPr>
              <w:t>0.41</w:t>
            </w:r>
          </w:p>
        </w:tc>
        <w:tc>
          <w:tcPr>
            <w:tcW w:w="2081" w:type="dxa"/>
            <w:tcBorders>
              <w:left w:val="nil"/>
              <w:right w:val="single" w:sz="6" w:space="0" w:color="auto"/>
            </w:tcBorders>
          </w:tcPr>
          <w:p w:rsidR="00000000" w:rsidRDefault="0031739B">
            <w:pPr>
              <w:spacing w:line="288" w:lineRule="auto"/>
              <w:jc w:val="center"/>
              <w:rPr>
                <w:spacing w:val="0"/>
                <w:sz w:val="21"/>
              </w:rPr>
            </w:pPr>
            <w:r>
              <w:rPr>
                <w:spacing w:val="0"/>
                <w:sz w:val="21"/>
              </w:rPr>
              <w:t>0.26</w:t>
            </w:r>
          </w:p>
        </w:tc>
      </w:tr>
      <w:tr w:rsidR="00000000">
        <w:tblPrEx>
          <w:tblCellMar>
            <w:top w:w="0" w:type="dxa"/>
            <w:bottom w:w="0" w:type="dxa"/>
          </w:tblCellMar>
        </w:tblPrEx>
        <w:trPr>
          <w:cantSplit/>
          <w:jc w:val="center"/>
        </w:trPr>
        <w:tc>
          <w:tcPr>
            <w:tcW w:w="2419" w:type="dxa"/>
            <w:tcBorders>
              <w:left w:val="single" w:sz="6" w:space="0" w:color="auto"/>
            </w:tcBorders>
          </w:tcPr>
          <w:p w:rsidR="00000000" w:rsidRDefault="0031739B">
            <w:pPr>
              <w:spacing w:line="288" w:lineRule="auto"/>
              <w:jc w:val="center"/>
              <w:rPr>
                <w:spacing w:val="0"/>
                <w:sz w:val="21"/>
              </w:rPr>
            </w:pPr>
            <w:r>
              <w:rPr>
                <w:spacing w:val="0"/>
                <w:sz w:val="21"/>
              </w:rPr>
              <w:t>60</w:t>
            </w:r>
            <w:r>
              <w:rPr>
                <w:spacing w:val="0"/>
                <w:sz w:val="21"/>
              </w:rPr>
              <w:t>­64</w:t>
            </w:r>
          </w:p>
        </w:tc>
        <w:tc>
          <w:tcPr>
            <w:tcW w:w="2065" w:type="dxa"/>
            <w:tcBorders>
              <w:left w:val="single" w:sz="6" w:space="0" w:color="auto"/>
            </w:tcBorders>
          </w:tcPr>
          <w:p w:rsidR="00000000" w:rsidRDefault="0031739B">
            <w:pPr>
              <w:spacing w:line="288" w:lineRule="auto"/>
              <w:jc w:val="center"/>
              <w:rPr>
                <w:spacing w:val="0"/>
                <w:sz w:val="21"/>
              </w:rPr>
            </w:pPr>
            <w:r>
              <w:rPr>
                <w:spacing w:val="0"/>
                <w:sz w:val="21"/>
              </w:rPr>
              <w:t>0.10</w:t>
            </w:r>
          </w:p>
        </w:tc>
        <w:tc>
          <w:tcPr>
            <w:tcW w:w="2062" w:type="dxa"/>
          </w:tcPr>
          <w:p w:rsidR="00000000" w:rsidRDefault="0031739B">
            <w:pPr>
              <w:spacing w:line="288" w:lineRule="auto"/>
              <w:jc w:val="center"/>
              <w:rPr>
                <w:spacing w:val="0"/>
                <w:sz w:val="21"/>
              </w:rPr>
            </w:pPr>
            <w:r>
              <w:rPr>
                <w:spacing w:val="0"/>
                <w:sz w:val="21"/>
              </w:rPr>
              <w:t>0.16</w:t>
            </w:r>
          </w:p>
        </w:tc>
        <w:tc>
          <w:tcPr>
            <w:tcW w:w="2081" w:type="dxa"/>
            <w:tcBorders>
              <w:left w:val="nil"/>
              <w:right w:val="single" w:sz="6" w:space="0" w:color="auto"/>
            </w:tcBorders>
          </w:tcPr>
          <w:p w:rsidR="00000000" w:rsidRDefault="0031739B">
            <w:pPr>
              <w:spacing w:line="288" w:lineRule="auto"/>
              <w:jc w:val="center"/>
              <w:rPr>
                <w:spacing w:val="0"/>
                <w:sz w:val="21"/>
              </w:rPr>
            </w:pPr>
            <w:r>
              <w:rPr>
                <w:spacing w:val="0"/>
                <w:sz w:val="21"/>
              </w:rPr>
              <w:t>0.07</w:t>
            </w:r>
          </w:p>
        </w:tc>
      </w:tr>
      <w:tr w:rsidR="00000000">
        <w:tblPrEx>
          <w:tblCellMar>
            <w:top w:w="0" w:type="dxa"/>
            <w:bottom w:w="0" w:type="dxa"/>
          </w:tblCellMar>
        </w:tblPrEx>
        <w:trPr>
          <w:cantSplit/>
          <w:jc w:val="center"/>
        </w:trPr>
        <w:tc>
          <w:tcPr>
            <w:tcW w:w="2419" w:type="dxa"/>
            <w:tcBorders>
              <w:left w:val="single" w:sz="6" w:space="0" w:color="auto"/>
              <w:bottom w:val="single" w:sz="6" w:space="0" w:color="auto"/>
            </w:tcBorders>
          </w:tcPr>
          <w:p w:rsidR="00000000" w:rsidRDefault="0031739B">
            <w:pPr>
              <w:spacing w:line="288" w:lineRule="auto"/>
              <w:jc w:val="center"/>
              <w:rPr>
                <w:spacing w:val="0"/>
                <w:sz w:val="21"/>
              </w:rPr>
            </w:pPr>
            <w:r>
              <w:rPr>
                <w:spacing w:val="0"/>
                <w:sz w:val="21"/>
              </w:rPr>
              <w:t>65</w:t>
            </w:r>
            <w:r>
              <w:rPr>
                <w:rFonts w:hint="eastAsia"/>
                <w:spacing w:val="0"/>
                <w:sz w:val="21"/>
              </w:rPr>
              <w:t>岁或</w:t>
            </w:r>
            <w:r>
              <w:rPr>
                <w:spacing w:val="0"/>
                <w:sz w:val="21"/>
              </w:rPr>
              <w:t>65</w:t>
            </w:r>
            <w:r>
              <w:rPr>
                <w:rFonts w:hint="eastAsia"/>
                <w:spacing w:val="0"/>
                <w:sz w:val="21"/>
              </w:rPr>
              <w:t>岁以上</w:t>
            </w:r>
          </w:p>
        </w:tc>
        <w:tc>
          <w:tcPr>
            <w:tcW w:w="2065" w:type="dxa"/>
            <w:tcBorders>
              <w:left w:val="single" w:sz="6" w:space="0" w:color="auto"/>
              <w:bottom w:val="single" w:sz="6" w:space="0" w:color="auto"/>
            </w:tcBorders>
          </w:tcPr>
          <w:p w:rsidR="00000000" w:rsidRDefault="0031739B">
            <w:pPr>
              <w:spacing w:line="288" w:lineRule="auto"/>
              <w:jc w:val="center"/>
              <w:rPr>
                <w:spacing w:val="0"/>
                <w:sz w:val="21"/>
              </w:rPr>
            </w:pPr>
            <w:r>
              <w:rPr>
                <w:spacing w:val="0"/>
                <w:sz w:val="21"/>
              </w:rPr>
              <w:t>0.22</w:t>
            </w:r>
          </w:p>
        </w:tc>
        <w:tc>
          <w:tcPr>
            <w:tcW w:w="2062" w:type="dxa"/>
            <w:tcBorders>
              <w:bottom w:val="single" w:sz="6" w:space="0" w:color="auto"/>
            </w:tcBorders>
          </w:tcPr>
          <w:p w:rsidR="00000000" w:rsidRDefault="0031739B">
            <w:pPr>
              <w:spacing w:line="288" w:lineRule="auto"/>
              <w:jc w:val="center"/>
              <w:rPr>
                <w:spacing w:val="0"/>
                <w:sz w:val="21"/>
              </w:rPr>
            </w:pPr>
            <w:r>
              <w:rPr>
                <w:spacing w:val="0"/>
                <w:sz w:val="21"/>
              </w:rPr>
              <w:t>0.40</w:t>
            </w:r>
          </w:p>
        </w:tc>
        <w:tc>
          <w:tcPr>
            <w:tcW w:w="2081" w:type="dxa"/>
            <w:tcBorders>
              <w:left w:val="nil"/>
              <w:bottom w:val="single" w:sz="6" w:space="0" w:color="auto"/>
              <w:right w:val="single" w:sz="6" w:space="0" w:color="auto"/>
            </w:tcBorders>
          </w:tcPr>
          <w:p w:rsidR="00000000" w:rsidRDefault="0031739B">
            <w:pPr>
              <w:spacing w:line="288" w:lineRule="auto"/>
              <w:jc w:val="center"/>
              <w:rPr>
                <w:spacing w:val="0"/>
                <w:sz w:val="21"/>
              </w:rPr>
            </w:pPr>
            <w:r>
              <w:rPr>
                <w:spacing w:val="0"/>
                <w:sz w:val="21"/>
              </w:rPr>
              <w:t>0.26</w:t>
            </w:r>
          </w:p>
        </w:tc>
      </w:tr>
    </w:tbl>
    <w:p w:rsidR="00000000" w:rsidRDefault="0031739B">
      <w:pPr>
        <w:pStyle w:val="EndnoteText"/>
        <w:spacing w:before="240"/>
      </w:pPr>
      <w:r>
        <w:rPr>
          <w:rFonts w:hint="eastAsia"/>
          <w:u w:val="single"/>
        </w:rPr>
        <w:t>说明</w:t>
      </w:r>
      <w:r>
        <w:rPr>
          <w:u w:val="single"/>
        </w:rPr>
        <w:t>1</w:t>
      </w:r>
      <w:r>
        <w:rPr>
          <w:rFonts w:hint="eastAsia"/>
        </w:rPr>
        <w:t>：依据劳工省的“就业保障统计”。</w:t>
      </w:r>
    </w:p>
    <w:p w:rsidR="00000000" w:rsidRDefault="0031739B">
      <w:pPr>
        <w:pStyle w:val="EndnoteText"/>
      </w:pPr>
      <w:r>
        <w:rPr>
          <w:rFonts w:hint="eastAsia"/>
          <w:u w:val="single"/>
        </w:rPr>
        <w:t>说明</w:t>
      </w:r>
      <w:r>
        <w:rPr>
          <w:u w:val="single"/>
        </w:rPr>
        <w:t>2</w:t>
      </w:r>
      <w:r>
        <w:rPr>
          <w:rFonts w:hint="eastAsia"/>
        </w:rPr>
        <w:t>：数字截止期为每年的</w:t>
      </w:r>
      <w:r>
        <w:t>10</w:t>
      </w:r>
      <w:r>
        <w:rPr>
          <w:rFonts w:hint="eastAsia"/>
        </w:rPr>
        <w:t>月。</w:t>
      </w:r>
    </w:p>
    <w:p w:rsidR="00000000" w:rsidRDefault="0031739B">
      <w:pPr>
        <w:pStyle w:val="EndnoteText"/>
      </w:pPr>
      <w:r>
        <w:rPr>
          <w:rFonts w:hint="eastAsia"/>
          <w:u w:val="single"/>
        </w:rPr>
        <w:t>说明</w:t>
      </w:r>
      <w:r>
        <w:rPr>
          <w:u w:val="single"/>
        </w:rPr>
        <w:t>3</w:t>
      </w:r>
      <w:r>
        <w:rPr>
          <w:rFonts w:hint="eastAsia"/>
        </w:rPr>
        <w:t>：有效工作机会与有效工作申请的比率</w:t>
      </w:r>
      <w:r>
        <w:t>=</w:t>
      </w:r>
      <w:r>
        <w:rPr>
          <w:rFonts w:hint="eastAsia"/>
        </w:rPr>
        <w:t>有效求职人数</w:t>
      </w:r>
      <w:r>
        <w:t>/</w:t>
      </w:r>
      <w:r>
        <w:rPr>
          <w:rFonts w:hint="eastAsia"/>
        </w:rPr>
        <w:t>有效工作申请。</w:t>
      </w:r>
    </w:p>
    <w:p w:rsidR="00000000" w:rsidRDefault="0031739B">
      <w:pPr>
        <w:pStyle w:val="EndnoteText"/>
      </w:pPr>
      <w:r>
        <w:rPr>
          <w:rFonts w:hint="eastAsia"/>
          <w:u w:val="single"/>
        </w:rPr>
        <w:t>说明</w:t>
      </w:r>
      <w:r>
        <w:rPr>
          <w:u w:val="single"/>
        </w:rPr>
        <w:t>4</w:t>
      </w:r>
      <w:r>
        <w:rPr>
          <w:rFonts w:hint="eastAsia"/>
        </w:rPr>
        <w:t>：这些数据是有关正常劳动力的数据</w:t>
      </w:r>
      <w:r>
        <w:t>(</w:t>
      </w:r>
      <w:r>
        <w:rPr>
          <w:rFonts w:hint="eastAsia"/>
        </w:rPr>
        <w:t>包括工作部分时间的劳动力，但不包括临时和季节性工人</w:t>
      </w:r>
      <w:r>
        <w:t>)</w:t>
      </w:r>
      <w:r>
        <w:rPr>
          <w:rFonts w:hint="eastAsia"/>
        </w:rPr>
        <w:t>。</w:t>
      </w:r>
    </w:p>
    <w:p w:rsidR="00000000" w:rsidRDefault="0031739B">
      <w:pPr>
        <w:pStyle w:val="Heading3"/>
      </w:pPr>
      <w:r>
        <w:br w:type="page"/>
      </w:r>
      <w:r>
        <w:rPr>
          <w:rFonts w:hint="eastAsia"/>
          <w:u w:val="none"/>
        </w:rPr>
        <w:t>表</w:t>
      </w:r>
      <w:r>
        <w:rPr>
          <w:u w:val="none"/>
        </w:rPr>
        <w:t xml:space="preserve"> 3.  </w:t>
      </w:r>
      <w:r>
        <w:rPr>
          <w:rFonts w:hint="eastAsia"/>
        </w:rPr>
        <w:t>按性别和年龄分列的全失业率的变化</w:t>
      </w:r>
    </w:p>
    <w:tbl>
      <w:tblPr>
        <w:tblW w:w="0" w:type="auto"/>
        <w:tblInd w:w="2" w:type="dxa"/>
        <w:tblLayout w:type="fixed"/>
        <w:tblCellMar>
          <w:left w:w="96" w:type="dxa"/>
          <w:right w:w="96" w:type="dxa"/>
        </w:tblCellMar>
        <w:tblLook w:val="0000" w:firstRow="0" w:lastRow="0" w:firstColumn="0" w:lastColumn="0" w:noHBand="0" w:noVBand="0"/>
      </w:tblPr>
      <w:tblGrid>
        <w:gridCol w:w="2290"/>
        <w:gridCol w:w="741"/>
        <w:gridCol w:w="741"/>
        <w:gridCol w:w="741"/>
        <w:gridCol w:w="802"/>
        <w:gridCol w:w="856"/>
        <w:gridCol w:w="741"/>
        <w:gridCol w:w="856"/>
        <w:gridCol w:w="856"/>
        <w:gridCol w:w="802"/>
      </w:tblGrid>
      <w:tr w:rsidR="00000000">
        <w:tblPrEx>
          <w:tblCellMar>
            <w:top w:w="0" w:type="dxa"/>
            <w:bottom w:w="0" w:type="dxa"/>
          </w:tblCellMar>
        </w:tblPrEx>
        <w:trPr>
          <w:cantSplit/>
        </w:trPr>
        <w:tc>
          <w:tcPr>
            <w:tcW w:w="2290" w:type="dxa"/>
            <w:tcBorders>
              <w:top w:val="single" w:sz="6" w:space="0" w:color="auto"/>
              <w:left w:val="single" w:sz="6" w:space="0" w:color="auto"/>
            </w:tcBorders>
          </w:tcPr>
          <w:p w:rsidR="00000000" w:rsidRDefault="0031739B">
            <w:pPr>
              <w:spacing w:before="120" w:line="288" w:lineRule="auto"/>
              <w:jc w:val="center"/>
              <w:rPr>
                <w:rFonts w:hAnsi="Courier"/>
                <w:sz w:val="21"/>
              </w:rPr>
            </w:pPr>
            <w:r>
              <w:rPr>
                <w:rFonts w:hAnsi="Courier" w:hint="eastAsia"/>
                <w:sz w:val="21"/>
              </w:rPr>
              <w:t>年</w:t>
            </w:r>
            <w:r>
              <w:rPr>
                <w:rFonts w:hAnsi="Courier"/>
                <w:sz w:val="21"/>
              </w:rPr>
              <w:t xml:space="preserve"> </w:t>
            </w:r>
            <w:r>
              <w:rPr>
                <w:rFonts w:hAnsi="Courier" w:hint="eastAsia"/>
                <w:sz w:val="21"/>
              </w:rPr>
              <w:t>龄</w:t>
            </w:r>
            <w:r>
              <w:rPr>
                <w:rFonts w:hAnsi="Courier"/>
                <w:sz w:val="21"/>
              </w:rPr>
              <w:t xml:space="preserve"> </w:t>
            </w:r>
            <w:r>
              <w:rPr>
                <w:rFonts w:hAnsi="Courier" w:hint="eastAsia"/>
                <w:sz w:val="21"/>
              </w:rPr>
              <w:t>组</w:t>
            </w:r>
          </w:p>
        </w:tc>
        <w:tc>
          <w:tcPr>
            <w:tcW w:w="2223" w:type="dxa"/>
            <w:gridSpan w:val="3"/>
            <w:tcBorders>
              <w:top w:val="single" w:sz="6" w:space="0" w:color="auto"/>
              <w:left w:val="single" w:sz="6" w:space="0" w:color="auto"/>
            </w:tcBorders>
          </w:tcPr>
          <w:p w:rsidR="00000000" w:rsidRDefault="0031739B">
            <w:pPr>
              <w:spacing w:before="80" w:line="288" w:lineRule="auto"/>
              <w:jc w:val="center"/>
              <w:rPr>
                <w:rFonts w:hAnsi="Courier"/>
                <w:sz w:val="21"/>
              </w:rPr>
            </w:pPr>
            <w:r>
              <w:rPr>
                <w:rFonts w:hAnsi="Courier" w:hint="eastAsia"/>
                <w:sz w:val="21"/>
              </w:rPr>
              <w:t>总</w:t>
            </w:r>
            <w:r>
              <w:rPr>
                <w:rFonts w:hAnsi="Courier"/>
                <w:sz w:val="21"/>
              </w:rPr>
              <w:t xml:space="preserve">  </w:t>
            </w:r>
            <w:r>
              <w:rPr>
                <w:rFonts w:hAnsi="Courier" w:hint="eastAsia"/>
                <w:sz w:val="21"/>
              </w:rPr>
              <w:t>计</w:t>
            </w:r>
          </w:p>
        </w:tc>
        <w:tc>
          <w:tcPr>
            <w:tcW w:w="2399" w:type="dxa"/>
            <w:gridSpan w:val="3"/>
            <w:tcBorders>
              <w:top w:val="single" w:sz="6" w:space="0" w:color="auto"/>
              <w:left w:val="single" w:sz="6" w:space="0" w:color="auto"/>
            </w:tcBorders>
          </w:tcPr>
          <w:p w:rsidR="00000000" w:rsidRDefault="0031739B">
            <w:pPr>
              <w:spacing w:before="80" w:line="288" w:lineRule="auto"/>
              <w:jc w:val="center"/>
              <w:rPr>
                <w:rFonts w:hAnsi="Courier"/>
                <w:sz w:val="21"/>
              </w:rPr>
            </w:pPr>
            <w:r>
              <w:rPr>
                <w:rFonts w:hAnsi="Courier" w:hint="eastAsia"/>
                <w:sz w:val="21"/>
              </w:rPr>
              <w:t>男</w:t>
            </w:r>
            <w:r>
              <w:rPr>
                <w:rFonts w:hAnsi="Courier"/>
                <w:sz w:val="21"/>
              </w:rPr>
              <w:t xml:space="preserve">  </w:t>
            </w:r>
            <w:r>
              <w:rPr>
                <w:rFonts w:hAnsi="Courier" w:hint="eastAsia"/>
                <w:sz w:val="21"/>
              </w:rPr>
              <w:t>性</w:t>
            </w:r>
          </w:p>
        </w:tc>
        <w:tc>
          <w:tcPr>
            <w:tcW w:w="2514" w:type="dxa"/>
            <w:gridSpan w:val="3"/>
            <w:tcBorders>
              <w:top w:val="single" w:sz="6" w:space="0" w:color="auto"/>
              <w:left w:val="single" w:sz="6" w:space="0" w:color="auto"/>
              <w:right w:val="single" w:sz="6" w:space="0" w:color="auto"/>
            </w:tcBorders>
          </w:tcPr>
          <w:p w:rsidR="00000000" w:rsidRDefault="0031739B">
            <w:pPr>
              <w:spacing w:before="80" w:line="288" w:lineRule="auto"/>
              <w:jc w:val="center"/>
              <w:rPr>
                <w:rFonts w:hAnsi="Courier"/>
                <w:sz w:val="21"/>
              </w:rPr>
            </w:pPr>
            <w:r>
              <w:rPr>
                <w:rFonts w:hAnsi="Courier" w:hint="eastAsia"/>
                <w:sz w:val="21"/>
              </w:rPr>
              <w:t>女</w:t>
            </w:r>
            <w:r>
              <w:rPr>
                <w:rFonts w:hAnsi="Courier"/>
                <w:sz w:val="21"/>
              </w:rPr>
              <w:t xml:space="preserve">  </w:t>
            </w:r>
            <w:r>
              <w:rPr>
                <w:rFonts w:hAnsi="Courier" w:hint="eastAsia"/>
                <w:sz w:val="21"/>
              </w:rPr>
              <w:t>性</w:t>
            </w:r>
          </w:p>
        </w:tc>
      </w:tr>
      <w:tr w:rsidR="00000000">
        <w:tblPrEx>
          <w:tblCellMar>
            <w:top w:w="0" w:type="dxa"/>
            <w:bottom w:w="0" w:type="dxa"/>
          </w:tblCellMar>
        </w:tblPrEx>
        <w:trPr>
          <w:cantSplit/>
        </w:trPr>
        <w:tc>
          <w:tcPr>
            <w:tcW w:w="2290" w:type="dxa"/>
            <w:tcBorders>
              <w:left w:val="single" w:sz="6" w:space="0" w:color="auto"/>
            </w:tcBorders>
          </w:tcPr>
          <w:p w:rsidR="00000000" w:rsidRDefault="0031739B">
            <w:pPr>
              <w:spacing w:before="60" w:line="288" w:lineRule="auto"/>
              <w:rPr>
                <w:rFonts w:hAnsi="Courier"/>
                <w:sz w:val="21"/>
              </w:rPr>
            </w:pPr>
          </w:p>
        </w:tc>
        <w:tc>
          <w:tcPr>
            <w:tcW w:w="741" w:type="dxa"/>
            <w:tcBorders>
              <w:top w:val="single" w:sz="6" w:space="0" w:color="auto"/>
              <w:left w:val="single" w:sz="6" w:space="0" w:color="auto"/>
            </w:tcBorders>
          </w:tcPr>
          <w:p w:rsidR="00000000" w:rsidRDefault="0031739B">
            <w:pPr>
              <w:spacing w:before="60" w:line="288" w:lineRule="auto"/>
              <w:rPr>
                <w:rFonts w:hAnsi="Courier"/>
                <w:sz w:val="21"/>
              </w:rPr>
            </w:pPr>
            <w:r>
              <w:rPr>
                <w:rFonts w:hAnsi="Courier"/>
                <w:sz w:val="21"/>
              </w:rPr>
              <w:t>1987</w:t>
            </w:r>
          </w:p>
        </w:tc>
        <w:tc>
          <w:tcPr>
            <w:tcW w:w="741" w:type="dxa"/>
            <w:tcBorders>
              <w:top w:val="single" w:sz="6" w:space="0" w:color="auto"/>
            </w:tcBorders>
          </w:tcPr>
          <w:p w:rsidR="00000000" w:rsidRDefault="0031739B">
            <w:pPr>
              <w:spacing w:before="60" w:line="288" w:lineRule="auto"/>
              <w:rPr>
                <w:rFonts w:hAnsi="Courier"/>
                <w:sz w:val="21"/>
              </w:rPr>
            </w:pPr>
            <w:r>
              <w:rPr>
                <w:rFonts w:hAnsi="Courier"/>
                <w:sz w:val="21"/>
              </w:rPr>
              <w:t>1992</w:t>
            </w:r>
          </w:p>
        </w:tc>
        <w:tc>
          <w:tcPr>
            <w:tcW w:w="741" w:type="dxa"/>
            <w:tcBorders>
              <w:top w:val="single" w:sz="6" w:space="0" w:color="auto"/>
            </w:tcBorders>
          </w:tcPr>
          <w:p w:rsidR="00000000" w:rsidRDefault="0031739B">
            <w:pPr>
              <w:spacing w:before="60" w:line="288" w:lineRule="auto"/>
              <w:rPr>
                <w:rFonts w:hAnsi="Courier"/>
                <w:sz w:val="21"/>
              </w:rPr>
            </w:pPr>
            <w:r>
              <w:rPr>
                <w:rFonts w:hAnsi="Courier"/>
                <w:sz w:val="21"/>
              </w:rPr>
              <w:t>1997</w:t>
            </w:r>
          </w:p>
        </w:tc>
        <w:tc>
          <w:tcPr>
            <w:tcW w:w="802" w:type="dxa"/>
            <w:tcBorders>
              <w:top w:val="single" w:sz="6" w:space="0" w:color="auto"/>
              <w:left w:val="single" w:sz="6" w:space="0" w:color="auto"/>
            </w:tcBorders>
          </w:tcPr>
          <w:p w:rsidR="00000000" w:rsidRDefault="0031739B">
            <w:pPr>
              <w:spacing w:before="60" w:line="288" w:lineRule="auto"/>
              <w:rPr>
                <w:rFonts w:hAnsi="Courier"/>
                <w:sz w:val="21"/>
              </w:rPr>
            </w:pPr>
            <w:r>
              <w:rPr>
                <w:rFonts w:hAnsi="Courier"/>
                <w:sz w:val="21"/>
              </w:rPr>
              <w:t>1987</w:t>
            </w:r>
          </w:p>
        </w:tc>
        <w:tc>
          <w:tcPr>
            <w:tcW w:w="856" w:type="dxa"/>
            <w:tcBorders>
              <w:top w:val="single" w:sz="6" w:space="0" w:color="auto"/>
            </w:tcBorders>
          </w:tcPr>
          <w:p w:rsidR="00000000" w:rsidRDefault="0031739B">
            <w:pPr>
              <w:spacing w:before="60" w:line="288" w:lineRule="auto"/>
              <w:rPr>
                <w:rFonts w:hAnsi="Courier"/>
                <w:sz w:val="21"/>
              </w:rPr>
            </w:pPr>
            <w:r>
              <w:rPr>
                <w:rFonts w:hAnsi="Courier"/>
                <w:sz w:val="21"/>
              </w:rPr>
              <w:t>1992</w:t>
            </w:r>
          </w:p>
        </w:tc>
        <w:tc>
          <w:tcPr>
            <w:tcW w:w="741" w:type="dxa"/>
            <w:tcBorders>
              <w:top w:val="single" w:sz="6" w:space="0" w:color="auto"/>
            </w:tcBorders>
          </w:tcPr>
          <w:p w:rsidR="00000000" w:rsidRDefault="0031739B">
            <w:pPr>
              <w:spacing w:before="60" w:line="288" w:lineRule="auto"/>
              <w:rPr>
                <w:rFonts w:hAnsi="Courier"/>
                <w:sz w:val="21"/>
              </w:rPr>
            </w:pPr>
            <w:r>
              <w:rPr>
                <w:rFonts w:hAnsi="Courier"/>
                <w:sz w:val="21"/>
              </w:rPr>
              <w:t>1997</w:t>
            </w:r>
          </w:p>
        </w:tc>
        <w:tc>
          <w:tcPr>
            <w:tcW w:w="856" w:type="dxa"/>
            <w:tcBorders>
              <w:top w:val="single" w:sz="6" w:space="0" w:color="auto"/>
              <w:left w:val="single" w:sz="6" w:space="0" w:color="auto"/>
            </w:tcBorders>
          </w:tcPr>
          <w:p w:rsidR="00000000" w:rsidRDefault="0031739B">
            <w:pPr>
              <w:spacing w:before="60" w:line="288" w:lineRule="auto"/>
              <w:rPr>
                <w:rFonts w:hAnsi="Courier"/>
                <w:sz w:val="21"/>
              </w:rPr>
            </w:pPr>
            <w:r>
              <w:rPr>
                <w:rFonts w:hAnsi="Courier"/>
                <w:sz w:val="21"/>
              </w:rPr>
              <w:t>1987</w:t>
            </w:r>
          </w:p>
        </w:tc>
        <w:tc>
          <w:tcPr>
            <w:tcW w:w="856" w:type="dxa"/>
            <w:tcBorders>
              <w:top w:val="single" w:sz="6" w:space="0" w:color="auto"/>
            </w:tcBorders>
          </w:tcPr>
          <w:p w:rsidR="00000000" w:rsidRDefault="0031739B">
            <w:pPr>
              <w:spacing w:before="60" w:line="288" w:lineRule="auto"/>
              <w:rPr>
                <w:rFonts w:hAnsi="Courier"/>
                <w:sz w:val="21"/>
              </w:rPr>
            </w:pPr>
            <w:r>
              <w:rPr>
                <w:rFonts w:hAnsi="Courier"/>
                <w:sz w:val="21"/>
              </w:rPr>
              <w:t>1992</w:t>
            </w:r>
          </w:p>
        </w:tc>
        <w:tc>
          <w:tcPr>
            <w:tcW w:w="802" w:type="dxa"/>
            <w:tcBorders>
              <w:top w:val="single" w:sz="6" w:space="0" w:color="auto"/>
              <w:right w:val="single" w:sz="6" w:space="0" w:color="auto"/>
            </w:tcBorders>
          </w:tcPr>
          <w:p w:rsidR="00000000" w:rsidRDefault="0031739B">
            <w:pPr>
              <w:spacing w:before="60" w:line="288" w:lineRule="auto"/>
              <w:rPr>
                <w:rFonts w:hAnsi="Courier"/>
                <w:sz w:val="21"/>
              </w:rPr>
            </w:pPr>
            <w:r>
              <w:rPr>
                <w:rFonts w:hAnsi="Courier"/>
                <w:sz w:val="21"/>
              </w:rPr>
              <w:t>1</w:t>
            </w:r>
            <w:r>
              <w:rPr>
                <w:rFonts w:hAnsi="Courier"/>
                <w:sz w:val="21"/>
              </w:rPr>
              <w:t>997</w:t>
            </w:r>
          </w:p>
        </w:tc>
      </w:tr>
      <w:tr w:rsidR="00000000">
        <w:tblPrEx>
          <w:tblCellMar>
            <w:top w:w="0" w:type="dxa"/>
            <w:bottom w:w="0" w:type="dxa"/>
          </w:tblCellMar>
        </w:tblPrEx>
        <w:trPr>
          <w:cantSplit/>
        </w:trPr>
        <w:tc>
          <w:tcPr>
            <w:tcW w:w="2290" w:type="dxa"/>
            <w:tcBorders>
              <w:top w:val="single" w:sz="6" w:space="0" w:color="auto"/>
              <w:left w:val="single" w:sz="6" w:space="0" w:color="auto"/>
            </w:tcBorders>
          </w:tcPr>
          <w:p w:rsidR="00000000" w:rsidRDefault="0031739B">
            <w:pPr>
              <w:spacing w:before="60" w:line="288" w:lineRule="auto"/>
              <w:jc w:val="center"/>
              <w:rPr>
                <w:rFonts w:hAnsi="Courier"/>
                <w:spacing w:val="0"/>
                <w:sz w:val="21"/>
              </w:rPr>
            </w:pPr>
            <w:r>
              <w:rPr>
                <w:rFonts w:hAnsi="Courier" w:hint="eastAsia"/>
                <w:sz w:val="21"/>
              </w:rPr>
              <w:t>总</w:t>
            </w:r>
            <w:r>
              <w:rPr>
                <w:rFonts w:hAnsi="Courier"/>
                <w:sz w:val="21"/>
              </w:rPr>
              <w:t xml:space="preserve">  </w:t>
            </w:r>
            <w:r>
              <w:rPr>
                <w:rFonts w:hAnsi="Courier" w:hint="eastAsia"/>
                <w:sz w:val="21"/>
              </w:rPr>
              <w:t>计</w:t>
            </w:r>
          </w:p>
        </w:tc>
        <w:tc>
          <w:tcPr>
            <w:tcW w:w="741" w:type="dxa"/>
            <w:tcBorders>
              <w:top w:val="single" w:sz="6" w:space="0" w:color="auto"/>
              <w:left w:val="single" w:sz="6" w:space="0" w:color="auto"/>
            </w:tcBorders>
          </w:tcPr>
          <w:p w:rsidR="00000000" w:rsidRDefault="0031739B">
            <w:pPr>
              <w:spacing w:before="60" w:line="288" w:lineRule="auto"/>
              <w:jc w:val="center"/>
              <w:rPr>
                <w:rFonts w:hAnsi="Courier"/>
                <w:spacing w:val="0"/>
                <w:sz w:val="21"/>
              </w:rPr>
            </w:pPr>
            <w:r>
              <w:rPr>
                <w:rFonts w:hAnsi="Courier"/>
                <w:spacing w:val="0"/>
                <w:sz w:val="21"/>
              </w:rPr>
              <w:t>2.8</w:t>
            </w:r>
          </w:p>
        </w:tc>
        <w:tc>
          <w:tcPr>
            <w:tcW w:w="741" w:type="dxa"/>
            <w:tcBorders>
              <w:top w:val="single" w:sz="6" w:space="0" w:color="auto"/>
            </w:tcBorders>
          </w:tcPr>
          <w:p w:rsidR="00000000" w:rsidRDefault="0031739B">
            <w:pPr>
              <w:spacing w:before="60" w:line="288" w:lineRule="auto"/>
              <w:jc w:val="center"/>
              <w:rPr>
                <w:rFonts w:hAnsi="Courier"/>
                <w:spacing w:val="0"/>
                <w:sz w:val="21"/>
              </w:rPr>
            </w:pPr>
            <w:r>
              <w:rPr>
                <w:rFonts w:hAnsi="Courier"/>
                <w:spacing w:val="0"/>
                <w:sz w:val="21"/>
              </w:rPr>
              <w:t>2.2</w:t>
            </w:r>
          </w:p>
        </w:tc>
        <w:tc>
          <w:tcPr>
            <w:tcW w:w="741" w:type="dxa"/>
            <w:tcBorders>
              <w:top w:val="single" w:sz="6" w:space="0" w:color="auto"/>
            </w:tcBorders>
          </w:tcPr>
          <w:p w:rsidR="00000000" w:rsidRDefault="0031739B">
            <w:pPr>
              <w:spacing w:before="60" w:line="288" w:lineRule="auto"/>
              <w:jc w:val="center"/>
              <w:rPr>
                <w:rFonts w:hAnsi="Courier"/>
                <w:spacing w:val="0"/>
                <w:sz w:val="21"/>
              </w:rPr>
            </w:pPr>
            <w:r>
              <w:rPr>
                <w:rFonts w:hAnsi="Courier"/>
                <w:spacing w:val="0"/>
                <w:sz w:val="21"/>
              </w:rPr>
              <w:t>3.4</w:t>
            </w:r>
          </w:p>
        </w:tc>
        <w:tc>
          <w:tcPr>
            <w:tcW w:w="802" w:type="dxa"/>
            <w:tcBorders>
              <w:top w:val="single" w:sz="6" w:space="0" w:color="auto"/>
              <w:left w:val="single" w:sz="6" w:space="0" w:color="auto"/>
            </w:tcBorders>
          </w:tcPr>
          <w:p w:rsidR="00000000" w:rsidRDefault="0031739B">
            <w:pPr>
              <w:spacing w:before="60" w:line="288" w:lineRule="auto"/>
              <w:jc w:val="center"/>
              <w:rPr>
                <w:rFonts w:hAnsi="Courier"/>
                <w:spacing w:val="0"/>
                <w:sz w:val="21"/>
              </w:rPr>
            </w:pPr>
            <w:r>
              <w:rPr>
                <w:rFonts w:hAnsi="Courier"/>
                <w:spacing w:val="0"/>
                <w:sz w:val="21"/>
              </w:rPr>
              <w:t>2.8</w:t>
            </w:r>
          </w:p>
        </w:tc>
        <w:tc>
          <w:tcPr>
            <w:tcW w:w="856" w:type="dxa"/>
            <w:tcBorders>
              <w:top w:val="single" w:sz="6" w:space="0" w:color="auto"/>
            </w:tcBorders>
          </w:tcPr>
          <w:p w:rsidR="00000000" w:rsidRDefault="0031739B">
            <w:pPr>
              <w:spacing w:before="60" w:line="288" w:lineRule="auto"/>
              <w:jc w:val="center"/>
              <w:rPr>
                <w:rFonts w:hAnsi="Courier"/>
                <w:spacing w:val="0"/>
                <w:sz w:val="21"/>
              </w:rPr>
            </w:pPr>
            <w:r>
              <w:rPr>
                <w:rFonts w:hAnsi="Courier"/>
                <w:spacing w:val="0"/>
                <w:sz w:val="21"/>
              </w:rPr>
              <w:t>2.1</w:t>
            </w:r>
          </w:p>
        </w:tc>
        <w:tc>
          <w:tcPr>
            <w:tcW w:w="741" w:type="dxa"/>
            <w:tcBorders>
              <w:top w:val="single" w:sz="6" w:space="0" w:color="auto"/>
            </w:tcBorders>
          </w:tcPr>
          <w:p w:rsidR="00000000" w:rsidRDefault="0031739B">
            <w:pPr>
              <w:tabs>
                <w:tab w:val="clear" w:pos="510"/>
                <w:tab w:val="clear" w:pos="1021"/>
                <w:tab w:val="clear" w:pos="1531"/>
                <w:tab w:val="clear" w:pos="2041"/>
              </w:tabs>
              <w:spacing w:before="60" w:line="288" w:lineRule="auto"/>
              <w:ind w:right="170"/>
              <w:jc w:val="right"/>
              <w:rPr>
                <w:rFonts w:hAnsi="Courier"/>
                <w:spacing w:val="0"/>
                <w:sz w:val="21"/>
              </w:rPr>
            </w:pPr>
            <w:r>
              <w:rPr>
                <w:rFonts w:hAnsi="Courier"/>
                <w:spacing w:val="0"/>
                <w:sz w:val="21"/>
              </w:rPr>
              <w:t>3.4</w:t>
            </w:r>
          </w:p>
        </w:tc>
        <w:tc>
          <w:tcPr>
            <w:tcW w:w="856" w:type="dxa"/>
            <w:tcBorders>
              <w:top w:val="single" w:sz="6" w:space="0" w:color="auto"/>
              <w:left w:val="single" w:sz="6" w:space="0" w:color="auto"/>
            </w:tcBorders>
          </w:tcPr>
          <w:p w:rsidR="00000000" w:rsidRDefault="0031739B">
            <w:pPr>
              <w:spacing w:before="60" w:line="288" w:lineRule="auto"/>
              <w:jc w:val="center"/>
              <w:rPr>
                <w:rFonts w:hAnsi="Courier"/>
                <w:spacing w:val="0"/>
                <w:sz w:val="21"/>
              </w:rPr>
            </w:pPr>
            <w:r>
              <w:rPr>
                <w:rFonts w:hAnsi="Courier"/>
                <w:spacing w:val="0"/>
                <w:sz w:val="21"/>
              </w:rPr>
              <w:t>2.8</w:t>
            </w:r>
          </w:p>
        </w:tc>
        <w:tc>
          <w:tcPr>
            <w:tcW w:w="856" w:type="dxa"/>
            <w:tcBorders>
              <w:top w:val="single" w:sz="6" w:space="0" w:color="auto"/>
            </w:tcBorders>
          </w:tcPr>
          <w:p w:rsidR="00000000" w:rsidRDefault="0031739B">
            <w:pPr>
              <w:spacing w:before="60" w:line="288" w:lineRule="auto"/>
              <w:jc w:val="center"/>
              <w:rPr>
                <w:rFonts w:hAnsi="Courier"/>
                <w:spacing w:val="0"/>
                <w:sz w:val="21"/>
              </w:rPr>
            </w:pPr>
            <w:r>
              <w:rPr>
                <w:rFonts w:hAnsi="Courier"/>
                <w:spacing w:val="0"/>
                <w:sz w:val="21"/>
              </w:rPr>
              <w:t>2.2</w:t>
            </w:r>
          </w:p>
        </w:tc>
        <w:tc>
          <w:tcPr>
            <w:tcW w:w="802" w:type="dxa"/>
            <w:tcBorders>
              <w:top w:val="single" w:sz="6" w:space="0" w:color="auto"/>
              <w:right w:val="single" w:sz="6" w:space="0" w:color="auto"/>
            </w:tcBorders>
          </w:tcPr>
          <w:p w:rsidR="00000000" w:rsidRDefault="0031739B">
            <w:pPr>
              <w:spacing w:before="60" w:line="288" w:lineRule="auto"/>
              <w:jc w:val="center"/>
              <w:rPr>
                <w:rFonts w:hAnsi="Courier"/>
                <w:spacing w:val="0"/>
                <w:sz w:val="21"/>
              </w:rPr>
            </w:pPr>
            <w:r>
              <w:rPr>
                <w:rFonts w:hAnsi="Courier"/>
                <w:spacing w:val="0"/>
                <w:sz w:val="21"/>
              </w:rPr>
              <w:t>3.4</w:t>
            </w:r>
          </w:p>
        </w:tc>
      </w:tr>
      <w:tr w:rsidR="00000000">
        <w:tblPrEx>
          <w:tblCellMar>
            <w:top w:w="0" w:type="dxa"/>
            <w:bottom w:w="0" w:type="dxa"/>
          </w:tblCellMar>
        </w:tblPrEx>
        <w:trPr>
          <w:cantSplit/>
        </w:trPr>
        <w:tc>
          <w:tcPr>
            <w:tcW w:w="2290" w:type="dxa"/>
            <w:tcBorders>
              <w:left w:val="single" w:sz="6" w:space="0" w:color="auto"/>
            </w:tcBorders>
          </w:tcPr>
          <w:p w:rsidR="00000000" w:rsidRDefault="0031739B">
            <w:pPr>
              <w:spacing w:line="288" w:lineRule="auto"/>
              <w:jc w:val="center"/>
              <w:rPr>
                <w:rFonts w:hAnsi="Courier"/>
                <w:spacing w:val="0"/>
                <w:sz w:val="21"/>
              </w:rPr>
            </w:pPr>
            <w:r>
              <w:rPr>
                <w:rFonts w:hAnsi="Courier"/>
                <w:spacing w:val="0"/>
                <w:sz w:val="21"/>
              </w:rPr>
              <w:t>15</w:t>
            </w:r>
            <w:r>
              <w:rPr>
                <w:rFonts w:hAnsi="Courier"/>
                <w:spacing w:val="0"/>
                <w:sz w:val="21"/>
              </w:rPr>
              <w:t>­</w:t>
            </w:r>
            <w:r>
              <w:rPr>
                <w:rFonts w:hAnsi="Courier"/>
                <w:spacing w:val="0"/>
                <w:sz w:val="21"/>
              </w:rPr>
              <w:t>19</w:t>
            </w:r>
          </w:p>
        </w:tc>
        <w:tc>
          <w:tcPr>
            <w:tcW w:w="741" w:type="dxa"/>
            <w:tcBorders>
              <w:left w:val="single" w:sz="6" w:space="0" w:color="auto"/>
            </w:tcBorders>
          </w:tcPr>
          <w:p w:rsidR="00000000" w:rsidRDefault="0031739B">
            <w:pPr>
              <w:spacing w:line="288" w:lineRule="auto"/>
              <w:jc w:val="center"/>
              <w:rPr>
                <w:rFonts w:hAnsi="Courier"/>
                <w:spacing w:val="0"/>
                <w:sz w:val="21"/>
              </w:rPr>
            </w:pPr>
            <w:r>
              <w:rPr>
                <w:rFonts w:hAnsi="Courier"/>
                <w:spacing w:val="0"/>
                <w:sz w:val="21"/>
              </w:rPr>
              <w:t>7.9</w:t>
            </w:r>
          </w:p>
        </w:tc>
        <w:tc>
          <w:tcPr>
            <w:tcW w:w="741" w:type="dxa"/>
          </w:tcPr>
          <w:p w:rsidR="00000000" w:rsidRDefault="0031739B">
            <w:pPr>
              <w:spacing w:line="288" w:lineRule="auto"/>
              <w:jc w:val="center"/>
              <w:rPr>
                <w:rFonts w:hAnsi="Courier"/>
                <w:spacing w:val="0"/>
                <w:sz w:val="21"/>
              </w:rPr>
            </w:pPr>
            <w:r>
              <w:rPr>
                <w:rFonts w:hAnsi="Courier"/>
                <w:spacing w:val="0"/>
                <w:sz w:val="21"/>
              </w:rPr>
              <w:t>6.7</w:t>
            </w:r>
          </w:p>
        </w:tc>
        <w:tc>
          <w:tcPr>
            <w:tcW w:w="741" w:type="dxa"/>
          </w:tcPr>
          <w:p w:rsidR="00000000" w:rsidRDefault="0031739B">
            <w:pPr>
              <w:spacing w:line="288" w:lineRule="auto"/>
              <w:jc w:val="center"/>
              <w:rPr>
                <w:rFonts w:hAnsi="Courier"/>
                <w:spacing w:val="0"/>
                <w:sz w:val="21"/>
              </w:rPr>
            </w:pPr>
            <w:r>
              <w:rPr>
                <w:rFonts w:hAnsi="Courier"/>
                <w:spacing w:val="0"/>
                <w:sz w:val="21"/>
              </w:rPr>
              <w:t>9.0</w:t>
            </w:r>
          </w:p>
        </w:tc>
        <w:tc>
          <w:tcPr>
            <w:tcW w:w="802" w:type="dxa"/>
            <w:tcBorders>
              <w:left w:val="single" w:sz="6" w:space="0" w:color="auto"/>
            </w:tcBorders>
          </w:tcPr>
          <w:p w:rsidR="00000000" w:rsidRDefault="0031739B">
            <w:pPr>
              <w:spacing w:line="288" w:lineRule="auto"/>
              <w:jc w:val="center"/>
              <w:rPr>
                <w:rFonts w:hAnsi="Courier"/>
                <w:spacing w:val="0"/>
                <w:sz w:val="21"/>
              </w:rPr>
            </w:pPr>
            <w:r>
              <w:rPr>
                <w:rFonts w:hAnsi="Courier"/>
                <w:spacing w:val="0"/>
                <w:sz w:val="21"/>
              </w:rPr>
              <w:t>9.3</w:t>
            </w:r>
          </w:p>
        </w:tc>
        <w:tc>
          <w:tcPr>
            <w:tcW w:w="856" w:type="dxa"/>
          </w:tcPr>
          <w:p w:rsidR="00000000" w:rsidRDefault="0031739B">
            <w:pPr>
              <w:spacing w:line="288" w:lineRule="auto"/>
              <w:jc w:val="center"/>
              <w:rPr>
                <w:rFonts w:hAnsi="Courier"/>
                <w:spacing w:val="0"/>
                <w:sz w:val="21"/>
              </w:rPr>
            </w:pPr>
            <w:r>
              <w:rPr>
                <w:rFonts w:hAnsi="Courier"/>
                <w:spacing w:val="0"/>
                <w:sz w:val="21"/>
              </w:rPr>
              <w:t>7.3</w:t>
            </w:r>
          </w:p>
        </w:tc>
        <w:tc>
          <w:tcPr>
            <w:tcW w:w="741" w:type="dxa"/>
          </w:tcPr>
          <w:p w:rsidR="00000000" w:rsidRDefault="0031739B">
            <w:pPr>
              <w:tabs>
                <w:tab w:val="clear" w:pos="510"/>
                <w:tab w:val="clear" w:pos="1021"/>
                <w:tab w:val="clear" w:pos="1531"/>
                <w:tab w:val="clear" w:pos="2041"/>
              </w:tabs>
              <w:spacing w:line="288" w:lineRule="auto"/>
              <w:ind w:right="170"/>
              <w:jc w:val="right"/>
              <w:rPr>
                <w:rFonts w:hAnsi="Courier"/>
                <w:spacing w:val="0"/>
                <w:sz w:val="21"/>
              </w:rPr>
            </w:pPr>
            <w:r>
              <w:rPr>
                <w:rFonts w:hAnsi="Courier"/>
                <w:spacing w:val="0"/>
                <w:sz w:val="21"/>
              </w:rPr>
              <w:t>10.3</w:t>
            </w:r>
          </w:p>
        </w:tc>
        <w:tc>
          <w:tcPr>
            <w:tcW w:w="856" w:type="dxa"/>
            <w:tcBorders>
              <w:left w:val="single" w:sz="6" w:space="0" w:color="auto"/>
            </w:tcBorders>
          </w:tcPr>
          <w:p w:rsidR="00000000" w:rsidRDefault="0031739B">
            <w:pPr>
              <w:spacing w:line="288" w:lineRule="auto"/>
              <w:jc w:val="center"/>
              <w:rPr>
                <w:rFonts w:hAnsi="Courier"/>
                <w:spacing w:val="0"/>
                <w:sz w:val="21"/>
              </w:rPr>
            </w:pPr>
            <w:r>
              <w:rPr>
                <w:rFonts w:hAnsi="Courier"/>
                <w:spacing w:val="0"/>
                <w:sz w:val="21"/>
              </w:rPr>
              <w:t>7.7</w:t>
            </w:r>
          </w:p>
        </w:tc>
        <w:tc>
          <w:tcPr>
            <w:tcW w:w="856" w:type="dxa"/>
          </w:tcPr>
          <w:p w:rsidR="00000000" w:rsidRDefault="0031739B">
            <w:pPr>
              <w:spacing w:line="288" w:lineRule="auto"/>
              <w:jc w:val="center"/>
              <w:rPr>
                <w:rFonts w:hAnsi="Courier"/>
                <w:spacing w:val="0"/>
                <w:sz w:val="21"/>
              </w:rPr>
            </w:pPr>
            <w:r>
              <w:rPr>
                <w:rFonts w:hAnsi="Courier"/>
                <w:spacing w:val="0"/>
                <w:sz w:val="21"/>
              </w:rPr>
              <w:t>6.0</w:t>
            </w:r>
          </w:p>
        </w:tc>
        <w:tc>
          <w:tcPr>
            <w:tcW w:w="802" w:type="dxa"/>
            <w:tcBorders>
              <w:right w:val="single" w:sz="6" w:space="0" w:color="auto"/>
            </w:tcBorders>
          </w:tcPr>
          <w:p w:rsidR="00000000" w:rsidRDefault="0031739B">
            <w:pPr>
              <w:spacing w:line="288" w:lineRule="auto"/>
              <w:jc w:val="center"/>
              <w:rPr>
                <w:rFonts w:hAnsi="Courier"/>
                <w:spacing w:val="0"/>
                <w:sz w:val="21"/>
              </w:rPr>
            </w:pPr>
            <w:r>
              <w:rPr>
                <w:rFonts w:hAnsi="Courier"/>
                <w:spacing w:val="0"/>
                <w:sz w:val="21"/>
              </w:rPr>
              <w:t>7.6</w:t>
            </w:r>
          </w:p>
        </w:tc>
      </w:tr>
      <w:tr w:rsidR="00000000">
        <w:tblPrEx>
          <w:tblCellMar>
            <w:top w:w="0" w:type="dxa"/>
            <w:bottom w:w="0" w:type="dxa"/>
          </w:tblCellMar>
        </w:tblPrEx>
        <w:trPr>
          <w:cantSplit/>
        </w:trPr>
        <w:tc>
          <w:tcPr>
            <w:tcW w:w="2290" w:type="dxa"/>
            <w:tcBorders>
              <w:left w:val="single" w:sz="6" w:space="0" w:color="auto"/>
            </w:tcBorders>
          </w:tcPr>
          <w:p w:rsidR="00000000" w:rsidRDefault="0031739B">
            <w:pPr>
              <w:spacing w:line="288" w:lineRule="auto"/>
              <w:jc w:val="center"/>
              <w:rPr>
                <w:rFonts w:hAnsi="Courier"/>
                <w:spacing w:val="0"/>
                <w:sz w:val="21"/>
              </w:rPr>
            </w:pPr>
            <w:r>
              <w:rPr>
                <w:rFonts w:hAnsi="Courier"/>
                <w:spacing w:val="0"/>
                <w:sz w:val="21"/>
              </w:rPr>
              <w:t>20</w:t>
            </w:r>
            <w:r>
              <w:rPr>
                <w:rFonts w:hAnsi="Courier"/>
                <w:spacing w:val="0"/>
                <w:sz w:val="21"/>
              </w:rPr>
              <w:t>­</w:t>
            </w:r>
            <w:r>
              <w:rPr>
                <w:rFonts w:hAnsi="Courier"/>
                <w:spacing w:val="0"/>
                <w:sz w:val="21"/>
              </w:rPr>
              <w:t>24</w:t>
            </w:r>
          </w:p>
        </w:tc>
        <w:tc>
          <w:tcPr>
            <w:tcW w:w="741" w:type="dxa"/>
            <w:tcBorders>
              <w:left w:val="single" w:sz="6" w:space="0" w:color="auto"/>
            </w:tcBorders>
          </w:tcPr>
          <w:p w:rsidR="00000000" w:rsidRDefault="0031739B">
            <w:pPr>
              <w:spacing w:line="288" w:lineRule="auto"/>
              <w:jc w:val="center"/>
              <w:rPr>
                <w:rFonts w:hAnsi="Courier"/>
                <w:spacing w:val="0"/>
                <w:sz w:val="21"/>
              </w:rPr>
            </w:pPr>
            <w:r>
              <w:rPr>
                <w:rFonts w:hAnsi="Courier"/>
                <w:spacing w:val="0"/>
                <w:sz w:val="21"/>
              </w:rPr>
              <w:t>4.5</w:t>
            </w:r>
          </w:p>
        </w:tc>
        <w:tc>
          <w:tcPr>
            <w:tcW w:w="741" w:type="dxa"/>
          </w:tcPr>
          <w:p w:rsidR="00000000" w:rsidRDefault="0031739B">
            <w:pPr>
              <w:spacing w:line="288" w:lineRule="auto"/>
              <w:jc w:val="center"/>
              <w:rPr>
                <w:rFonts w:hAnsi="Courier"/>
                <w:spacing w:val="0"/>
                <w:sz w:val="21"/>
              </w:rPr>
            </w:pPr>
            <w:r>
              <w:rPr>
                <w:rFonts w:hAnsi="Courier"/>
                <w:spacing w:val="0"/>
                <w:sz w:val="21"/>
              </w:rPr>
              <w:t>3.9</w:t>
            </w:r>
          </w:p>
        </w:tc>
        <w:tc>
          <w:tcPr>
            <w:tcW w:w="741" w:type="dxa"/>
          </w:tcPr>
          <w:p w:rsidR="00000000" w:rsidRDefault="0031739B">
            <w:pPr>
              <w:spacing w:line="288" w:lineRule="auto"/>
              <w:jc w:val="center"/>
              <w:rPr>
                <w:rFonts w:hAnsi="Courier"/>
                <w:spacing w:val="0"/>
                <w:sz w:val="21"/>
              </w:rPr>
            </w:pPr>
            <w:r>
              <w:rPr>
                <w:rFonts w:hAnsi="Courier"/>
                <w:spacing w:val="0"/>
                <w:sz w:val="21"/>
              </w:rPr>
              <w:t>6.2</w:t>
            </w:r>
          </w:p>
        </w:tc>
        <w:tc>
          <w:tcPr>
            <w:tcW w:w="802" w:type="dxa"/>
            <w:tcBorders>
              <w:left w:val="single" w:sz="6" w:space="0" w:color="auto"/>
            </w:tcBorders>
          </w:tcPr>
          <w:p w:rsidR="00000000" w:rsidRDefault="0031739B">
            <w:pPr>
              <w:spacing w:line="288" w:lineRule="auto"/>
              <w:jc w:val="center"/>
              <w:rPr>
                <w:rFonts w:hAnsi="Courier"/>
                <w:spacing w:val="0"/>
                <w:sz w:val="21"/>
              </w:rPr>
            </w:pPr>
            <w:r>
              <w:rPr>
                <w:rFonts w:hAnsi="Courier"/>
                <w:spacing w:val="0"/>
                <w:sz w:val="21"/>
              </w:rPr>
              <w:t>4.3</w:t>
            </w:r>
          </w:p>
        </w:tc>
        <w:tc>
          <w:tcPr>
            <w:tcW w:w="856" w:type="dxa"/>
          </w:tcPr>
          <w:p w:rsidR="00000000" w:rsidRDefault="0031739B">
            <w:pPr>
              <w:spacing w:line="288" w:lineRule="auto"/>
              <w:jc w:val="center"/>
              <w:rPr>
                <w:rFonts w:hAnsi="Courier"/>
                <w:spacing w:val="0"/>
                <w:sz w:val="21"/>
              </w:rPr>
            </w:pPr>
            <w:r>
              <w:rPr>
                <w:rFonts w:hAnsi="Courier"/>
                <w:spacing w:val="0"/>
                <w:sz w:val="21"/>
              </w:rPr>
              <w:t>3.9</w:t>
            </w:r>
          </w:p>
        </w:tc>
        <w:tc>
          <w:tcPr>
            <w:tcW w:w="741" w:type="dxa"/>
          </w:tcPr>
          <w:p w:rsidR="00000000" w:rsidRDefault="0031739B">
            <w:pPr>
              <w:tabs>
                <w:tab w:val="clear" w:pos="510"/>
                <w:tab w:val="clear" w:pos="1021"/>
                <w:tab w:val="clear" w:pos="1531"/>
                <w:tab w:val="clear" w:pos="2041"/>
              </w:tabs>
              <w:spacing w:line="288" w:lineRule="auto"/>
              <w:ind w:right="170"/>
              <w:jc w:val="right"/>
              <w:rPr>
                <w:rFonts w:hAnsi="Courier"/>
                <w:spacing w:val="0"/>
                <w:sz w:val="21"/>
              </w:rPr>
            </w:pPr>
            <w:r>
              <w:rPr>
                <w:rFonts w:hAnsi="Courier"/>
                <w:spacing w:val="0"/>
                <w:sz w:val="21"/>
              </w:rPr>
              <w:t>6.2</w:t>
            </w:r>
          </w:p>
        </w:tc>
        <w:tc>
          <w:tcPr>
            <w:tcW w:w="856" w:type="dxa"/>
            <w:tcBorders>
              <w:left w:val="single" w:sz="6" w:space="0" w:color="auto"/>
            </w:tcBorders>
          </w:tcPr>
          <w:p w:rsidR="00000000" w:rsidRDefault="0031739B">
            <w:pPr>
              <w:spacing w:line="288" w:lineRule="auto"/>
              <w:jc w:val="center"/>
              <w:rPr>
                <w:rFonts w:hAnsi="Courier"/>
                <w:spacing w:val="0"/>
                <w:sz w:val="21"/>
              </w:rPr>
            </w:pPr>
            <w:r>
              <w:rPr>
                <w:rFonts w:hAnsi="Courier"/>
                <w:spacing w:val="0"/>
                <w:sz w:val="21"/>
              </w:rPr>
              <w:t>4.3</w:t>
            </w:r>
          </w:p>
        </w:tc>
        <w:tc>
          <w:tcPr>
            <w:tcW w:w="856" w:type="dxa"/>
          </w:tcPr>
          <w:p w:rsidR="00000000" w:rsidRDefault="0031739B">
            <w:pPr>
              <w:spacing w:line="288" w:lineRule="auto"/>
              <w:jc w:val="center"/>
              <w:rPr>
                <w:rFonts w:hAnsi="Courier"/>
                <w:spacing w:val="0"/>
                <w:sz w:val="21"/>
              </w:rPr>
            </w:pPr>
            <w:r>
              <w:rPr>
                <w:rFonts w:hAnsi="Courier"/>
                <w:spacing w:val="0"/>
                <w:sz w:val="21"/>
              </w:rPr>
              <w:t>3.7</w:t>
            </w:r>
          </w:p>
        </w:tc>
        <w:tc>
          <w:tcPr>
            <w:tcW w:w="802" w:type="dxa"/>
            <w:tcBorders>
              <w:right w:val="single" w:sz="6" w:space="0" w:color="auto"/>
            </w:tcBorders>
          </w:tcPr>
          <w:p w:rsidR="00000000" w:rsidRDefault="0031739B">
            <w:pPr>
              <w:spacing w:line="288" w:lineRule="auto"/>
              <w:jc w:val="center"/>
              <w:rPr>
                <w:rFonts w:hAnsi="Courier"/>
                <w:spacing w:val="0"/>
                <w:sz w:val="21"/>
              </w:rPr>
            </w:pPr>
            <w:r>
              <w:rPr>
                <w:rFonts w:hAnsi="Courier"/>
                <w:spacing w:val="0"/>
                <w:sz w:val="21"/>
              </w:rPr>
              <w:t>6.1</w:t>
            </w:r>
          </w:p>
        </w:tc>
      </w:tr>
      <w:tr w:rsidR="00000000">
        <w:tblPrEx>
          <w:tblCellMar>
            <w:top w:w="0" w:type="dxa"/>
            <w:bottom w:w="0" w:type="dxa"/>
          </w:tblCellMar>
        </w:tblPrEx>
        <w:trPr>
          <w:cantSplit/>
        </w:trPr>
        <w:tc>
          <w:tcPr>
            <w:tcW w:w="2290" w:type="dxa"/>
            <w:tcBorders>
              <w:left w:val="single" w:sz="6" w:space="0" w:color="auto"/>
            </w:tcBorders>
          </w:tcPr>
          <w:p w:rsidR="00000000" w:rsidRDefault="0031739B">
            <w:pPr>
              <w:spacing w:line="288" w:lineRule="auto"/>
              <w:jc w:val="center"/>
              <w:rPr>
                <w:rFonts w:hAnsi="Courier"/>
                <w:spacing w:val="0"/>
                <w:sz w:val="21"/>
              </w:rPr>
            </w:pPr>
            <w:r>
              <w:rPr>
                <w:rFonts w:hAnsi="Courier"/>
                <w:spacing w:val="0"/>
                <w:sz w:val="21"/>
              </w:rPr>
              <w:t>25</w:t>
            </w:r>
            <w:r>
              <w:rPr>
                <w:rFonts w:hAnsi="Courier"/>
                <w:spacing w:val="0"/>
                <w:sz w:val="21"/>
              </w:rPr>
              <w:t>­</w:t>
            </w:r>
            <w:r>
              <w:rPr>
                <w:rFonts w:hAnsi="Courier"/>
                <w:spacing w:val="0"/>
                <w:sz w:val="21"/>
              </w:rPr>
              <w:t>29</w:t>
            </w:r>
          </w:p>
        </w:tc>
        <w:tc>
          <w:tcPr>
            <w:tcW w:w="741" w:type="dxa"/>
            <w:tcBorders>
              <w:left w:val="single" w:sz="6" w:space="0" w:color="auto"/>
            </w:tcBorders>
          </w:tcPr>
          <w:p w:rsidR="00000000" w:rsidRDefault="0031739B">
            <w:pPr>
              <w:spacing w:line="288" w:lineRule="auto"/>
              <w:jc w:val="center"/>
              <w:rPr>
                <w:rFonts w:hAnsi="Courier"/>
                <w:spacing w:val="0"/>
                <w:sz w:val="21"/>
              </w:rPr>
            </w:pPr>
            <w:r>
              <w:rPr>
                <w:rFonts w:hAnsi="Courier"/>
                <w:spacing w:val="0"/>
                <w:sz w:val="21"/>
              </w:rPr>
              <w:t>3.4</w:t>
            </w:r>
          </w:p>
        </w:tc>
        <w:tc>
          <w:tcPr>
            <w:tcW w:w="741" w:type="dxa"/>
          </w:tcPr>
          <w:p w:rsidR="00000000" w:rsidRDefault="0031739B">
            <w:pPr>
              <w:spacing w:line="288" w:lineRule="auto"/>
              <w:jc w:val="center"/>
              <w:rPr>
                <w:rFonts w:hAnsi="Courier"/>
                <w:spacing w:val="0"/>
                <w:sz w:val="21"/>
              </w:rPr>
            </w:pPr>
            <w:r>
              <w:rPr>
                <w:rFonts w:hAnsi="Courier"/>
                <w:spacing w:val="0"/>
                <w:sz w:val="21"/>
              </w:rPr>
              <w:t>2.9</w:t>
            </w:r>
          </w:p>
        </w:tc>
        <w:tc>
          <w:tcPr>
            <w:tcW w:w="741" w:type="dxa"/>
          </w:tcPr>
          <w:p w:rsidR="00000000" w:rsidRDefault="0031739B">
            <w:pPr>
              <w:spacing w:line="288" w:lineRule="auto"/>
              <w:jc w:val="center"/>
              <w:rPr>
                <w:rFonts w:hAnsi="Courier"/>
                <w:spacing w:val="0"/>
                <w:sz w:val="21"/>
              </w:rPr>
            </w:pPr>
            <w:r>
              <w:rPr>
                <w:rFonts w:hAnsi="Courier"/>
                <w:spacing w:val="0"/>
                <w:sz w:val="21"/>
              </w:rPr>
              <w:t>4.9</w:t>
            </w:r>
          </w:p>
        </w:tc>
        <w:tc>
          <w:tcPr>
            <w:tcW w:w="802" w:type="dxa"/>
            <w:tcBorders>
              <w:left w:val="single" w:sz="6" w:space="0" w:color="auto"/>
            </w:tcBorders>
          </w:tcPr>
          <w:p w:rsidR="00000000" w:rsidRDefault="0031739B">
            <w:pPr>
              <w:spacing w:line="288" w:lineRule="auto"/>
              <w:jc w:val="center"/>
              <w:rPr>
                <w:rFonts w:hAnsi="Courier"/>
                <w:spacing w:val="0"/>
                <w:sz w:val="21"/>
              </w:rPr>
            </w:pPr>
            <w:r>
              <w:rPr>
                <w:rFonts w:hAnsi="Courier"/>
                <w:spacing w:val="0"/>
                <w:sz w:val="21"/>
              </w:rPr>
              <w:t>2.6</w:t>
            </w:r>
          </w:p>
        </w:tc>
        <w:tc>
          <w:tcPr>
            <w:tcW w:w="856" w:type="dxa"/>
          </w:tcPr>
          <w:p w:rsidR="00000000" w:rsidRDefault="0031739B">
            <w:pPr>
              <w:spacing w:line="288" w:lineRule="auto"/>
              <w:jc w:val="center"/>
              <w:rPr>
                <w:rFonts w:hAnsi="Courier"/>
                <w:spacing w:val="0"/>
                <w:sz w:val="21"/>
              </w:rPr>
            </w:pPr>
            <w:r>
              <w:rPr>
                <w:rFonts w:hAnsi="Courier"/>
                <w:spacing w:val="0"/>
                <w:sz w:val="21"/>
              </w:rPr>
              <w:t>2.3</w:t>
            </w:r>
          </w:p>
        </w:tc>
        <w:tc>
          <w:tcPr>
            <w:tcW w:w="741" w:type="dxa"/>
          </w:tcPr>
          <w:p w:rsidR="00000000" w:rsidRDefault="0031739B">
            <w:pPr>
              <w:tabs>
                <w:tab w:val="clear" w:pos="510"/>
                <w:tab w:val="clear" w:pos="1021"/>
                <w:tab w:val="clear" w:pos="1531"/>
                <w:tab w:val="clear" w:pos="2041"/>
              </w:tabs>
              <w:spacing w:line="288" w:lineRule="auto"/>
              <w:ind w:right="170"/>
              <w:jc w:val="right"/>
              <w:rPr>
                <w:rFonts w:hAnsi="Courier"/>
                <w:spacing w:val="0"/>
                <w:sz w:val="21"/>
              </w:rPr>
            </w:pPr>
            <w:r>
              <w:rPr>
                <w:rFonts w:hAnsi="Courier"/>
                <w:spacing w:val="0"/>
                <w:sz w:val="21"/>
              </w:rPr>
              <w:t>3.9</w:t>
            </w:r>
          </w:p>
        </w:tc>
        <w:tc>
          <w:tcPr>
            <w:tcW w:w="856" w:type="dxa"/>
            <w:tcBorders>
              <w:left w:val="single" w:sz="6" w:space="0" w:color="auto"/>
            </w:tcBorders>
          </w:tcPr>
          <w:p w:rsidR="00000000" w:rsidRDefault="0031739B">
            <w:pPr>
              <w:spacing w:line="288" w:lineRule="auto"/>
              <w:jc w:val="center"/>
              <w:rPr>
                <w:rFonts w:hAnsi="Courier"/>
                <w:spacing w:val="0"/>
                <w:sz w:val="21"/>
              </w:rPr>
            </w:pPr>
            <w:r>
              <w:rPr>
                <w:rFonts w:hAnsi="Courier"/>
                <w:spacing w:val="0"/>
                <w:sz w:val="21"/>
              </w:rPr>
              <w:t>4.6</w:t>
            </w:r>
          </w:p>
        </w:tc>
        <w:tc>
          <w:tcPr>
            <w:tcW w:w="856" w:type="dxa"/>
          </w:tcPr>
          <w:p w:rsidR="00000000" w:rsidRDefault="0031739B">
            <w:pPr>
              <w:spacing w:line="288" w:lineRule="auto"/>
              <w:jc w:val="center"/>
              <w:rPr>
                <w:rFonts w:hAnsi="Courier"/>
                <w:spacing w:val="0"/>
                <w:sz w:val="21"/>
              </w:rPr>
            </w:pPr>
            <w:r>
              <w:rPr>
                <w:rFonts w:hAnsi="Courier"/>
                <w:spacing w:val="0"/>
                <w:sz w:val="21"/>
              </w:rPr>
              <w:t>3.5</w:t>
            </w:r>
          </w:p>
        </w:tc>
        <w:tc>
          <w:tcPr>
            <w:tcW w:w="802" w:type="dxa"/>
            <w:tcBorders>
              <w:right w:val="single" w:sz="6" w:space="0" w:color="auto"/>
            </w:tcBorders>
          </w:tcPr>
          <w:p w:rsidR="00000000" w:rsidRDefault="0031739B">
            <w:pPr>
              <w:spacing w:line="288" w:lineRule="auto"/>
              <w:jc w:val="center"/>
              <w:rPr>
                <w:rFonts w:hAnsi="Courier"/>
                <w:spacing w:val="0"/>
                <w:sz w:val="21"/>
              </w:rPr>
            </w:pPr>
            <w:r>
              <w:rPr>
                <w:rFonts w:hAnsi="Courier"/>
                <w:spacing w:val="0"/>
                <w:sz w:val="21"/>
              </w:rPr>
              <w:t>6.3</w:t>
            </w:r>
          </w:p>
        </w:tc>
      </w:tr>
      <w:tr w:rsidR="00000000">
        <w:tblPrEx>
          <w:tblCellMar>
            <w:top w:w="0" w:type="dxa"/>
            <w:bottom w:w="0" w:type="dxa"/>
          </w:tblCellMar>
        </w:tblPrEx>
        <w:trPr>
          <w:cantSplit/>
        </w:trPr>
        <w:tc>
          <w:tcPr>
            <w:tcW w:w="2290" w:type="dxa"/>
            <w:tcBorders>
              <w:left w:val="single" w:sz="6" w:space="0" w:color="auto"/>
            </w:tcBorders>
          </w:tcPr>
          <w:p w:rsidR="00000000" w:rsidRDefault="0031739B">
            <w:pPr>
              <w:spacing w:line="288" w:lineRule="auto"/>
              <w:jc w:val="center"/>
              <w:rPr>
                <w:rFonts w:hAnsi="Courier"/>
                <w:spacing w:val="0"/>
                <w:sz w:val="21"/>
              </w:rPr>
            </w:pPr>
            <w:r>
              <w:rPr>
                <w:rFonts w:hAnsi="Courier"/>
                <w:spacing w:val="0"/>
                <w:sz w:val="21"/>
              </w:rPr>
              <w:t>30</w:t>
            </w:r>
            <w:r>
              <w:rPr>
                <w:rFonts w:hAnsi="Courier"/>
                <w:spacing w:val="0"/>
                <w:sz w:val="21"/>
              </w:rPr>
              <w:t>­</w:t>
            </w:r>
            <w:r>
              <w:rPr>
                <w:rFonts w:hAnsi="Courier"/>
                <w:spacing w:val="0"/>
                <w:sz w:val="21"/>
              </w:rPr>
              <w:t>34</w:t>
            </w:r>
          </w:p>
        </w:tc>
        <w:tc>
          <w:tcPr>
            <w:tcW w:w="741" w:type="dxa"/>
            <w:tcBorders>
              <w:left w:val="single" w:sz="6" w:space="0" w:color="auto"/>
            </w:tcBorders>
          </w:tcPr>
          <w:p w:rsidR="00000000" w:rsidRDefault="0031739B">
            <w:pPr>
              <w:spacing w:line="288" w:lineRule="auto"/>
              <w:jc w:val="center"/>
              <w:rPr>
                <w:rFonts w:hAnsi="Courier"/>
                <w:spacing w:val="0"/>
                <w:sz w:val="21"/>
              </w:rPr>
            </w:pPr>
            <w:r>
              <w:rPr>
                <w:rFonts w:hAnsi="Courier"/>
                <w:spacing w:val="0"/>
                <w:sz w:val="21"/>
              </w:rPr>
              <w:t>2.4</w:t>
            </w:r>
          </w:p>
        </w:tc>
        <w:tc>
          <w:tcPr>
            <w:tcW w:w="741" w:type="dxa"/>
          </w:tcPr>
          <w:p w:rsidR="00000000" w:rsidRDefault="0031739B">
            <w:pPr>
              <w:spacing w:line="288" w:lineRule="auto"/>
              <w:jc w:val="center"/>
              <w:rPr>
                <w:rFonts w:hAnsi="Courier"/>
                <w:spacing w:val="0"/>
                <w:sz w:val="21"/>
              </w:rPr>
            </w:pPr>
            <w:r>
              <w:rPr>
                <w:rFonts w:hAnsi="Courier"/>
                <w:spacing w:val="0"/>
                <w:sz w:val="21"/>
              </w:rPr>
              <w:t>2.0</w:t>
            </w:r>
          </w:p>
        </w:tc>
        <w:tc>
          <w:tcPr>
            <w:tcW w:w="741" w:type="dxa"/>
          </w:tcPr>
          <w:p w:rsidR="00000000" w:rsidRDefault="0031739B">
            <w:pPr>
              <w:spacing w:line="288" w:lineRule="auto"/>
              <w:jc w:val="center"/>
              <w:rPr>
                <w:rFonts w:hAnsi="Courier"/>
                <w:spacing w:val="0"/>
                <w:sz w:val="21"/>
              </w:rPr>
            </w:pPr>
            <w:r>
              <w:rPr>
                <w:rFonts w:hAnsi="Courier"/>
                <w:spacing w:val="0"/>
                <w:sz w:val="21"/>
              </w:rPr>
              <w:t>3.3</w:t>
            </w:r>
          </w:p>
        </w:tc>
        <w:tc>
          <w:tcPr>
            <w:tcW w:w="802" w:type="dxa"/>
            <w:tcBorders>
              <w:left w:val="single" w:sz="6" w:space="0" w:color="auto"/>
            </w:tcBorders>
          </w:tcPr>
          <w:p w:rsidR="00000000" w:rsidRDefault="0031739B">
            <w:pPr>
              <w:spacing w:line="288" w:lineRule="auto"/>
              <w:jc w:val="center"/>
              <w:rPr>
                <w:rFonts w:hAnsi="Courier"/>
                <w:spacing w:val="0"/>
                <w:sz w:val="21"/>
              </w:rPr>
            </w:pPr>
            <w:r>
              <w:rPr>
                <w:rFonts w:hAnsi="Courier"/>
                <w:spacing w:val="0"/>
                <w:sz w:val="21"/>
              </w:rPr>
              <w:t>2.2</w:t>
            </w:r>
          </w:p>
        </w:tc>
        <w:tc>
          <w:tcPr>
            <w:tcW w:w="856" w:type="dxa"/>
          </w:tcPr>
          <w:p w:rsidR="00000000" w:rsidRDefault="0031739B">
            <w:pPr>
              <w:spacing w:line="288" w:lineRule="auto"/>
              <w:jc w:val="center"/>
              <w:rPr>
                <w:rFonts w:hAnsi="Courier"/>
                <w:spacing w:val="0"/>
                <w:sz w:val="21"/>
              </w:rPr>
            </w:pPr>
            <w:r>
              <w:rPr>
                <w:rFonts w:hAnsi="Courier"/>
                <w:spacing w:val="0"/>
                <w:sz w:val="21"/>
              </w:rPr>
              <w:t>1.6</w:t>
            </w:r>
          </w:p>
        </w:tc>
        <w:tc>
          <w:tcPr>
            <w:tcW w:w="741" w:type="dxa"/>
          </w:tcPr>
          <w:p w:rsidR="00000000" w:rsidRDefault="0031739B">
            <w:pPr>
              <w:tabs>
                <w:tab w:val="clear" w:pos="510"/>
                <w:tab w:val="clear" w:pos="1021"/>
                <w:tab w:val="clear" w:pos="1531"/>
                <w:tab w:val="clear" w:pos="2041"/>
              </w:tabs>
              <w:spacing w:line="288" w:lineRule="auto"/>
              <w:ind w:right="170"/>
              <w:jc w:val="right"/>
              <w:rPr>
                <w:rFonts w:hAnsi="Courier"/>
                <w:spacing w:val="0"/>
                <w:sz w:val="21"/>
              </w:rPr>
            </w:pPr>
            <w:r>
              <w:rPr>
                <w:rFonts w:hAnsi="Courier"/>
                <w:spacing w:val="0"/>
                <w:sz w:val="21"/>
              </w:rPr>
              <w:t>2.7</w:t>
            </w:r>
          </w:p>
        </w:tc>
        <w:tc>
          <w:tcPr>
            <w:tcW w:w="856" w:type="dxa"/>
            <w:tcBorders>
              <w:left w:val="single" w:sz="6" w:space="0" w:color="auto"/>
            </w:tcBorders>
          </w:tcPr>
          <w:p w:rsidR="00000000" w:rsidRDefault="0031739B">
            <w:pPr>
              <w:spacing w:line="288" w:lineRule="auto"/>
              <w:jc w:val="center"/>
              <w:rPr>
                <w:rFonts w:hAnsi="Courier"/>
                <w:spacing w:val="0"/>
                <w:sz w:val="21"/>
              </w:rPr>
            </w:pPr>
            <w:r>
              <w:rPr>
                <w:rFonts w:hAnsi="Courier"/>
                <w:spacing w:val="0"/>
                <w:sz w:val="21"/>
              </w:rPr>
              <w:t>2.9</w:t>
            </w:r>
          </w:p>
        </w:tc>
        <w:tc>
          <w:tcPr>
            <w:tcW w:w="856" w:type="dxa"/>
          </w:tcPr>
          <w:p w:rsidR="00000000" w:rsidRDefault="0031739B">
            <w:pPr>
              <w:spacing w:line="288" w:lineRule="auto"/>
              <w:jc w:val="center"/>
              <w:rPr>
                <w:rFonts w:hAnsi="Courier"/>
                <w:spacing w:val="0"/>
                <w:sz w:val="21"/>
              </w:rPr>
            </w:pPr>
            <w:r>
              <w:rPr>
                <w:rFonts w:hAnsi="Courier"/>
                <w:spacing w:val="0"/>
                <w:sz w:val="21"/>
              </w:rPr>
              <w:t>3.0</w:t>
            </w:r>
          </w:p>
        </w:tc>
        <w:tc>
          <w:tcPr>
            <w:tcW w:w="802" w:type="dxa"/>
            <w:tcBorders>
              <w:right w:val="single" w:sz="6" w:space="0" w:color="auto"/>
            </w:tcBorders>
          </w:tcPr>
          <w:p w:rsidR="00000000" w:rsidRDefault="0031739B">
            <w:pPr>
              <w:spacing w:line="288" w:lineRule="auto"/>
              <w:jc w:val="center"/>
              <w:rPr>
                <w:rFonts w:hAnsi="Courier"/>
                <w:spacing w:val="0"/>
                <w:sz w:val="21"/>
              </w:rPr>
            </w:pPr>
            <w:r>
              <w:rPr>
                <w:rFonts w:hAnsi="Courier"/>
                <w:spacing w:val="0"/>
                <w:sz w:val="21"/>
              </w:rPr>
              <w:t>4.4</w:t>
            </w:r>
          </w:p>
        </w:tc>
      </w:tr>
      <w:tr w:rsidR="00000000">
        <w:tblPrEx>
          <w:tblCellMar>
            <w:top w:w="0" w:type="dxa"/>
            <w:bottom w:w="0" w:type="dxa"/>
          </w:tblCellMar>
        </w:tblPrEx>
        <w:trPr>
          <w:cantSplit/>
        </w:trPr>
        <w:tc>
          <w:tcPr>
            <w:tcW w:w="2290" w:type="dxa"/>
            <w:tcBorders>
              <w:left w:val="single" w:sz="6" w:space="0" w:color="auto"/>
            </w:tcBorders>
          </w:tcPr>
          <w:p w:rsidR="00000000" w:rsidRDefault="0031739B">
            <w:pPr>
              <w:spacing w:line="288" w:lineRule="auto"/>
              <w:jc w:val="center"/>
              <w:rPr>
                <w:rFonts w:hAnsi="Courier"/>
                <w:spacing w:val="0"/>
                <w:sz w:val="21"/>
              </w:rPr>
            </w:pPr>
            <w:r>
              <w:rPr>
                <w:rFonts w:hAnsi="Courier"/>
                <w:spacing w:val="0"/>
                <w:sz w:val="21"/>
              </w:rPr>
              <w:t>35</w:t>
            </w:r>
            <w:r>
              <w:rPr>
                <w:rFonts w:hAnsi="Courier"/>
                <w:spacing w:val="0"/>
                <w:sz w:val="21"/>
              </w:rPr>
              <w:t>­</w:t>
            </w:r>
            <w:r>
              <w:rPr>
                <w:rFonts w:hAnsi="Courier"/>
                <w:spacing w:val="0"/>
                <w:sz w:val="21"/>
              </w:rPr>
              <w:t>39</w:t>
            </w:r>
          </w:p>
        </w:tc>
        <w:tc>
          <w:tcPr>
            <w:tcW w:w="741" w:type="dxa"/>
            <w:tcBorders>
              <w:left w:val="single" w:sz="6" w:space="0" w:color="auto"/>
            </w:tcBorders>
          </w:tcPr>
          <w:p w:rsidR="00000000" w:rsidRDefault="0031739B">
            <w:pPr>
              <w:spacing w:line="288" w:lineRule="auto"/>
              <w:jc w:val="center"/>
              <w:rPr>
                <w:rFonts w:hAnsi="Courier"/>
                <w:spacing w:val="0"/>
                <w:sz w:val="21"/>
              </w:rPr>
            </w:pPr>
            <w:r>
              <w:rPr>
                <w:rFonts w:hAnsi="Courier"/>
                <w:spacing w:val="0"/>
                <w:sz w:val="21"/>
              </w:rPr>
              <w:t>2.2</w:t>
            </w:r>
          </w:p>
        </w:tc>
        <w:tc>
          <w:tcPr>
            <w:tcW w:w="741" w:type="dxa"/>
          </w:tcPr>
          <w:p w:rsidR="00000000" w:rsidRDefault="0031739B">
            <w:pPr>
              <w:spacing w:line="288" w:lineRule="auto"/>
              <w:jc w:val="center"/>
              <w:rPr>
                <w:rFonts w:hAnsi="Courier"/>
                <w:spacing w:val="0"/>
                <w:sz w:val="21"/>
              </w:rPr>
            </w:pPr>
            <w:r>
              <w:rPr>
                <w:rFonts w:hAnsi="Courier"/>
                <w:spacing w:val="0"/>
                <w:sz w:val="21"/>
              </w:rPr>
              <w:t>1.6</w:t>
            </w:r>
          </w:p>
        </w:tc>
        <w:tc>
          <w:tcPr>
            <w:tcW w:w="741" w:type="dxa"/>
          </w:tcPr>
          <w:p w:rsidR="00000000" w:rsidRDefault="0031739B">
            <w:pPr>
              <w:spacing w:line="288" w:lineRule="auto"/>
              <w:jc w:val="center"/>
              <w:rPr>
                <w:rFonts w:hAnsi="Courier"/>
                <w:spacing w:val="0"/>
                <w:sz w:val="21"/>
              </w:rPr>
            </w:pPr>
            <w:r>
              <w:rPr>
                <w:rFonts w:hAnsi="Courier"/>
                <w:spacing w:val="0"/>
                <w:sz w:val="21"/>
              </w:rPr>
              <w:t>2.6</w:t>
            </w:r>
          </w:p>
        </w:tc>
        <w:tc>
          <w:tcPr>
            <w:tcW w:w="802" w:type="dxa"/>
            <w:tcBorders>
              <w:left w:val="single" w:sz="6" w:space="0" w:color="auto"/>
            </w:tcBorders>
          </w:tcPr>
          <w:p w:rsidR="00000000" w:rsidRDefault="0031739B">
            <w:pPr>
              <w:spacing w:line="288" w:lineRule="auto"/>
              <w:jc w:val="center"/>
              <w:rPr>
                <w:rFonts w:hAnsi="Courier"/>
                <w:spacing w:val="0"/>
                <w:sz w:val="21"/>
              </w:rPr>
            </w:pPr>
            <w:r>
              <w:rPr>
                <w:rFonts w:hAnsi="Courier"/>
                <w:spacing w:val="0"/>
                <w:sz w:val="21"/>
              </w:rPr>
              <w:t>2.0</w:t>
            </w:r>
          </w:p>
        </w:tc>
        <w:tc>
          <w:tcPr>
            <w:tcW w:w="856" w:type="dxa"/>
          </w:tcPr>
          <w:p w:rsidR="00000000" w:rsidRDefault="0031739B">
            <w:pPr>
              <w:spacing w:line="288" w:lineRule="auto"/>
              <w:jc w:val="center"/>
              <w:rPr>
                <w:rFonts w:hAnsi="Courier"/>
                <w:spacing w:val="0"/>
                <w:sz w:val="21"/>
              </w:rPr>
            </w:pPr>
            <w:r>
              <w:rPr>
                <w:rFonts w:hAnsi="Courier"/>
                <w:spacing w:val="0"/>
                <w:sz w:val="21"/>
              </w:rPr>
              <w:t>1.5</w:t>
            </w:r>
          </w:p>
        </w:tc>
        <w:tc>
          <w:tcPr>
            <w:tcW w:w="741" w:type="dxa"/>
          </w:tcPr>
          <w:p w:rsidR="00000000" w:rsidRDefault="0031739B">
            <w:pPr>
              <w:tabs>
                <w:tab w:val="clear" w:pos="510"/>
                <w:tab w:val="clear" w:pos="1021"/>
                <w:tab w:val="clear" w:pos="1531"/>
                <w:tab w:val="clear" w:pos="2041"/>
              </w:tabs>
              <w:spacing w:line="288" w:lineRule="auto"/>
              <w:ind w:right="170"/>
              <w:jc w:val="right"/>
              <w:rPr>
                <w:rFonts w:hAnsi="Courier"/>
                <w:spacing w:val="0"/>
                <w:sz w:val="21"/>
              </w:rPr>
            </w:pPr>
            <w:r>
              <w:rPr>
                <w:rFonts w:hAnsi="Courier"/>
                <w:spacing w:val="0"/>
                <w:sz w:val="21"/>
              </w:rPr>
              <w:t>2.1</w:t>
            </w:r>
          </w:p>
        </w:tc>
        <w:tc>
          <w:tcPr>
            <w:tcW w:w="856" w:type="dxa"/>
            <w:tcBorders>
              <w:left w:val="single" w:sz="6" w:space="0" w:color="auto"/>
            </w:tcBorders>
          </w:tcPr>
          <w:p w:rsidR="00000000" w:rsidRDefault="0031739B">
            <w:pPr>
              <w:spacing w:line="288" w:lineRule="auto"/>
              <w:jc w:val="center"/>
              <w:rPr>
                <w:rFonts w:hAnsi="Courier"/>
                <w:spacing w:val="0"/>
                <w:sz w:val="21"/>
              </w:rPr>
            </w:pPr>
            <w:r>
              <w:rPr>
                <w:rFonts w:hAnsi="Courier"/>
                <w:spacing w:val="0"/>
                <w:sz w:val="21"/>
              </w:rPr>
              <w:t>2.4</w:t>
            </w:r>
          </w:p>
        </w:tc>
        <w:tc>
          <w:tcPr>
            <w:tcW w:w="856" w:type="dxa"/>
          </w:tcPr>
          <w:p w:rsidR="00000000" w:rsidRDefault="0031739B">
            <w:pPr>
              <w:spacing w:line="288" w:lineRule="auto"/>
              <w:jc w:val="center"/>
              <w:rPr>
                <w:rFonts w:hAnsi="Courier"/>
                <w:spacing w:val="0"/>
                <w:sz w:val="21"/>
              </w:rPr>
            </w:pPr>
            <w:r>
              <w:rPr>
                <w:rFonts w:hAnsi="Courier"/>
                <w:spacing w:val="0"/>
                <w:sz w:val="21"/>
              </w:rPr>
              <w:t>1.</w:t>
            </w:r>
            <w:r>
              <w:rPr>
                <w:rFonts w:hAnsi="Courier"/>
                <w:spacing w:val="0"/>
                <w:sz w:val="21"/>
              </w:rPr>
              <w:t>9</w:t>
            </w:r>
          </w:p>
        </w:tc>
        <w:tc>
          <w:tcPr>
            <w:tcW w:w="802" w:type="dxa"/>
            <w:tcBorders>
              <w:right w:val="single" w:sz="6" w:space="0" w:color="auto"/>
            </w:tcBorders>
          </w:tcPr>
          <w:p w:rsidR="00000000" w:rsidRDefault="0031739B">
            <w:pPr>
              <w:spacing w:line="288" w:lineRule="auto"/>
              <w:jc w:val="center"/>
              <w:rPr>
                <w:rFonts w:hAnsi="Courier"/>
                <w:spacing w:val="0"/>
                <w:sz w:val="21"/>
              </w:rPr>
            </w:pPr>
            <w:r>
              <w:rPr>
                <w:rFonts w:hAnsi="Courier"/>
                <w:spacing w:val="0"/>
                <w:sz w:val="21"/>
              </w:rPr>
              <w:t>2.9</w:t>
            </w:r>
          </w:p>
        </w:tc>
      </w:tr>
      <w:tr w:rsidR="00000000">
        <w:tblPrEx>
          <w:tblCellMar>
            <w:top w:w="0" w:type="dxa"/>
            <w:bottom w:w="0" w:type="dxa"/>
          </w:tblCellMar>
        </w:tblPrEx>
        <w:trPr>
          <w:cantSplit/>
        </w:trPr>
        <w:tc>
          <w:tcPr>
            <w:tcW w:w="2290" w:type="dxa"/>
            <w:tcBorders>
              <w:left w:val="single" w:sz="6" w:space="0" w:color="auto"/>
            </w:tcBorders>
          </w:tcPr>
          <w:p w:rsidR="00000000" w:rsidRDefault="0031739B">
            <w:pPr>
              <w:spacing w:line="288" w:lineRule="auto"/>
              <w:jc w:val="center"/>
              <w:rPr>
                <w:rFonts w:hAnsi="Courier"/>
                <w:spacing w:val="0"/>
                <w:sz w:val="21"/>
              </w:rPr>
            </w:pPr>
            <w:r>
              <w:rPr>
                <w:rFonts w:hAnsi="Courier"/>
                <w:spacing w:val="0"/>
                <w:sz w:val="21"/>
              </w:rPr>
              <w:t>40</w:t>
            </w:r>
            <w:r>
              <w:rPr>
                <w:rFonts w:hAnsi="Courier"/>
                <w:spacing w:val="0"/>
                <w:sz w:val="21"/>
              </w:rPr>
              <w:t>­</w:t>
            </w:r>
            <w:r>
              <w:rPr>
                <w:rFonts w:hAnsi="Courier"/>
                <w:spacing w:val="0"/>
                <w:sz w:val="21"/>
              </w:rPr>
              <w:t>44</w:t>
            </w:r>
          </w:p>
        </w:tc>
        <w:tc>
          <w:tcPr>
            <w:tcW w:w="741" w:type="dxa"/>
            <w:tcBorders>
              <w:left w:val="single" w:sz="6" w:space="0" w:color="auto"/>
            </w:tcBorders>
          </w:tcPr>
          <w:p w:rsidR="00000000" w:rsidRDefault="0031739B">
            <w:pPr>
              <w:spacing w:line="288" w:lineRule="auto"/>
              <w:jc w:val="center"/>
              <w:rPr>
                <w:rFonts w:hAnsi="Courier"/>
                <w:spacing w:val="0"/>
                <w:sz w:val="21"/>
              </w:rPr>
            </w:pPr>
            <w:r>
              <w:rPr>
                <w:rFonts w:hAnsi="Courier"/>
                <w:spacing w:val="0"/>
                <w:sz w:val="21"/>
              </w:rPr>
              <w:t>1.9</w:t>
            </w:r>
          </w:p>
        </w:tc>
        <w:tc>
          <w:tcPr>
            <w:tcW w:w="741" w:type="dxa"/>
          </w:tcPr>
          <w:p w:rsidR="00000000" w:rsidRDefault="0031739B">
            <w:pPr>
              <w:spacing w:line="288" w:lineRule="auto"/>
              <w:jc w:val="center"/>
              <w:rPr>
                <w:rFonts w:hAnsi="Courier"/>
                <w:spacing w:val="0"/>
                <w:sz w:val="21"/>
              </w:rPr>
            </w:pPr>
            <w:r>
              <w:rPr>
                <w:rFonts w:hAnsi="Courier"/>
                <w:spacing w:val="0"/>
                <w:sz w:val="21"/>
              </w:rPr>
              <w:t>1.4</w:t>
            </w:r>
          </w:p>
        </w:tc>
        <w:tc>
          <w:tcPr>
            <w:tcW w:w="741" w:type="dxa"/>
          </w:tcPr>
          <w:p w:rsidR="00000000" w:rsidRDefault="0031739B">
            <w:pPr>
              <w:spacing w:line="288" w:lineRule="auto"/>
              <w:jc w:val="center"/>
              <w:rPr>
                <w:rFonts w:hAnsi="Courier"/>
                <w:spacing w:val="0"/>
                <w:sz w:val="21"/>
              </w:rPr>
            </w:pPr>
            <w:r>
              <w:rPr>
                <w:rFonts w:hAnsi="Courier"/>
                <w:spacing w:val="0"/>
                <w:sz w:val="21"/>
              </w:rPr>
              <w:t>2.1</w:t>
            </w:r>
          </w:p>
        </w:tc>
        <w:tc>
          <w:tcPr>
            <w:tcW w:w="802" w:type="dxa"/>
            <w:tcBorders>
              <w:left w:val="single" w:sz="6" w:space="0" w:color="auto"/>
            </w:tcBorders>
          </w:tcPr>
          <w:p w:rsidR="00000000" w:rsidRDefault="0031739B">
            <w:pPr>
              <w:spacing w:line="288" w:lineRule="auto"/>
              <w:jc w:val="center"/>
              <w:rPr>
                <w:rFonts w:hAnsi="Courier"/>
                <w:spacing w:val="0"/>
                <w:sz w:val="21"/>
              </w:rPr>
            </w:pPr>
            <w:r>
              <w:rPr>
                <w:rFonts w:hAnsi="Courier"/>
                <w:spacing w:val="0"/>
                <w:sz w:val="21"/>
              </w:rPr>
              <w:t>1.8</w:t>
            </w:r>
          </w:p>
        </w:tc>
        <w:tc>
          <w:tcPr>
            <w:tcW w:w="856" w:type="dxa"/>
          </w:tcPr>
          <w:p w:rsidR="00000000" w:rsidRDefault="0031739B">
            <w:pPr>
              <w:spacing w:line="288" w:lineRule="auto"/>
              <w:jc w:val="center"/>
              <w:rPr>
                <w:rFonts w:hAnsi="Courier"/>
                <w:spacing w:val="0"/>
                <w:sz w:val="21"/>
              </w:rPr>
            </w:pPr>
            <w:r>
              <w:rPr>
                <w:rFonts w:hAnsi="Courier"/>
                <w:spacing w:val="0"/>
                <w:sz w:val="21"/>
              </w:rPr>
              <w:t>1.1</w:t>
            </w:r>
          </w:p>
        </w:tc>
        <w:tc>
          <w:tcPr>
            <w:tcW w:w="741" w:type="dxa"/>
          </w:tcPr>
          <w:p w:rsidR="00000000" w:rsidRDefault="0031739B">
            <w:pPr>
              <w:tabs>
                <w:tab w:val="clear" w:pos="510"/>
                <w:tab w:val="clear" w:pos="1021"/>
                <w:tab w:val="clear" w:pos="1531"/>
                <w:tab w:val="clear" w:pos="2041"/>
              </w:tabs>
              <w:spacing w:line="288" w:lineRule="auto"/>
              <w:ind w:right="170"/>
              <w:jc w:val="right"/>
              <w:rPr>
                <w:rFonts w:hAnsi="Courier"/>
                <w:spacing w:val="0"/>
                <w:sz w:val="21"/>
              </w:rPr>
            </w:pPr>
            <w:r>
              <w:rPr>
                <w:rFonts w:hAnsi="Courier"/>
                <w:spacing w:val="0"/>
                <w:sz w:val="21"/>
              </w:rPr>
              <w:t>2.2</w:t>
            </w:r>
          </w:p>
        </w:tc>
        <w:tc>
          <w:tcPr>
            <w:tcW w:w="856" w:type="dxa"/>
            <w:tcBorders>
              <w:left w:val="single" w:sz="6" w:space="0" w:color="auto"/>
            </w:tcBorders>
          </w:tcPr>
          <w:p w:rsidR="00000000" w:rsidRDefault="0031739B">
            <w:pPr>
              <w:spacing w:line="288" w:lineRule="auto"/>
              <w:jc w:val="center"/>
              <w:rPr>
                <w:rFonts w:hAnsi="Courier"/>
                <w:spacing w:val="0"/>
                <w:sz w:val="21"/>
              </w:rPr>
            </w:pPr>
            <w:r>
              <w:rPr>
                <w:rFonts w:hAnsi="Courier"/>
                <w:spacing w:val="0"/>
                <w:sz w:val="21"/>
              </w:rPr>
              <w:t>2.3</w:t>
            </w:r>
          </w:p>
        </w:tc>
        <w:tc>
          <w:tcPr>
            <w:tcW w:w="856" w:type="dxa"/>
          </w:tcPr>
          <w:p w:rsidR="00000000" w:rsidRDefault="0031739B">
            <w:pPr>
              <w:spacing w:line="288" w:lineRule="auto"/>
              <w:jc w:val="center"/>
              <w:rPr>
                <w:rFonts w:hAnsi="Courier"/>
                <w:spacing w:val="0"/>
                <w:sz w:val="21"/>
              </w:rPr>
            </w:pPr>
            <w:r>
              <w:rPr>
                <w:rFonts w:hAnsi="Courier"/>
                <w:spacing w:val="0"/>
                <w:sz w:val="21"/>
              </w:rPr>
              <w:t>1.8</w:t>
            </w:r>
          </w:p>
        </w:tc>
        <w:tc>
          <w:tcPr>
            <w:tcW w:w="802" w:type="dxa"/>
            <w:tcBorders>
              <w:right w:val="single" w:sz="6" w:space="0" w:color="auto"/>
            </w:tcBorders>
          </w:tcPr>
          <w:p w:rsidR="00000000" w:rsidRDefault="0031739B">
            <w:pPr>
              <w:spacing w:line="288" w:lineRule="auto"/>
              <w:jc w:val="center"/>
              <w:rPr>
                <w:rFonts w:hAnsi="Courier"/>
                <w:spacing w:val="0"/>
                <w:sz w:val="21"/>
              </w:rPr>
            </w:pPr>
            <w:r>
              <w:rPr>
                <w:rFonts w:hAnsi="Courier"/>
                <w:spacing w:val="0"/>
                <w:sz w:val="21"/>
              </w:rPr>
              <w:t>2.1</w:t>
            </w:r>
          </w:p>
        </w:tc>
      </w:tr>
      <w:tr w:rsidR="00000000">
        <w:tblPrEx>
          <w:tblCellMar>
            <w:top w:w="0" w:type="dxa"/>
            <w:bottom w:w="0" w:type="dxa"/>
          </w:tblCellMar>
        </w:tblPrEx>
        <w:trPr>
          <w:cantSplit/>
        </w:trPr>
        <w:tc>
          <w:tcPr>
            <w:tcW w:w="2290" w:type="dxa"/>
            <w:tcBorders>
              <w:left w:val="single" w:sz="6" w:space="0" w:color="auto"/>
            </w:tcBorders>
          </w:tcPr>
          <w:p w:rsidR="00000000" w:rsidRDefault="0031739B">
            <w:pPr>
              <w:spacing w:line="288" w:lineRule="auto"/>
              <w:jc w:val="center"/>
              <w:rPr>
                <w:rFonts w:hAnsi="Courier"/>
                <w:spacing w:val="0"/>
                <w:sz w:val="21"/>
              </w:rPr>
            </w:pPr>
            <w:r>
              <w:rPr>
                <w:rFonts w:hAnsi="Courier"/>
                <w:spacing w:val="0"/>
                <w:sz w:val="21"/>
              </w:rPr>
              <w:t>45</w:t>
            </w:r>
            <w:r>
              <w:rPr>
                <w:rFonts w:hAnsi="Courier"/>
                <w:spacing w:val="0"/>
                <w:sz w:val="21"/>
              </w:rPr>
              <w:t>­</w:t>
            </w:r>
            <w:r>
              <w:rPr>
                <w:rFonts w:hAnsi="Courier"/>
                <w:spacing w:val="0"/>
                <w:sz w:val="21"/>
              </w:rPr>
              <w:t>49</w:t>
            </w:r>
          </w:p>
        </w:tc>
        <w:tc>
          <w:tcPr>
            <w:tcW w:w="741" w:type="dxa"/>
            <w:tcBorders>
              <w:left w:val="single" w:sz="6" w:space="0" w:color="auto"/>
            </w:tcBorders>
          </w:tcPr>
          <w:p w:rsidR="00000000" w:rsidRDefault="0031739B">
            <w:pPr>
              <w:spacing w:line="288" w:lineRule="auto"/>
              <w:jc w:val="center"/>
              <w:rPr>
                <w:rFonts w:hAnsi="Courier"/>
                <w:spacing w:val="0"/>
                <w:sz w:val="21"/>
              </w:rPr>
            </w:pPr>
            <w:r>
              <w:rPr>
                <w:rFonts w:hAnsi="Courier"/>
                <w:spacing w:val="0"/>
                <w:sz w:val="21"/>
              </w:rPr>
              <w:t>1.8</w:t>
            </w:r>
          </w:p>
        </w:tc>
        <w:tc>
          <w:tcPr>
            <w:tcW w:w="741" w:type="dxa"/>
          </w:tcPr>
          <w:p w:rsidR="00000000" w:rsidRDefault="0031739B">
            <w:pPr>
              <w:spacing w:line="288" w:lineRule="auto"/>
              <w:jc w:val="center"/>
              <w:rPr>
                <w:rFonts w:hAnsi="Courier"/>
                <w:spacing w:val="0"/>
                <w:sz w:val="21"/>
              </w:rPr>
            </w:pPr>
            <w:r>
              <w:rPr>
                <w:rFonts w:hAnsi="Courier"/>
                <w:spacing w:val="0"/>
                <w:sz w:val="21"/>
              </w:rPr>
              <w:t>1.3</w:t>
            </w:r>
          </w:p>
        </w:tc>
        <w:tc>
          <w:tcPr>
            <w:tcW w:w="741" w:type="dxa"/>
          </w:tcPr>
          <w:p w:rsidR="00000000" w:rsidRDefault="0031739B">
            <w:pPr>
              <w:spacing w:line="288" w:lineRule="auto"/>
              <w:jc w:val="center"/>
              <w:rPr>
                <w:rFonts w:hAnsi="Courier"/>
                <w:spacing w:val="0"/>
                <w:sz w:val="21"/>
              </w:rPr>
            </w:pPr>
            <w:r>
              <w:rPr>
                <w:rFonts w:hAnsi="Courier"/>
                <w:spacing w:val="0"/>
                <w:sz w:val="21"/>
              </w:rPr>
              <w:t>2.0</w:t>
            </w:r>
          </w:p>
        </w:tc>
        <w:tc>
          <w:tcPr>
            <w:tcW w:w="802" w:type="dxa"/>
            <w:tcBorders>
              <w:left w:val="single" w:sz="6" w:space="0" w:color="auto"/>
            </w:tcBorders>
          </w:tcPr>
          <w:p w:rsidR="00000000" w:rsidRDefault="0031739B">
            <w:pPr>
              <w:spacing w:line="288" w:lineRule="auto"/>
              <w:jc w:val="center"/>
              <w:rPr>
                <w:rFonts w:hAnsi="Courier"/>
                <w:spacing w:val="0"/>
                <w:sz w:val="21"/>
              </w:rPr>
            </w:pPr>
            <w:r>
              <w:rPr>
                <w:rFonts w:hAnsi="Courier"/>
                <w:spacing w:val="0"/>
                <w:sz w:val="21"/>
              </w:rPr>
              <w:t>1.7</w:t>
            </w:r>
          </w:p>
        </w:tc>
        <w:tc>
          <w:tcPr>
            <w:tcW w:w="856" w:type="dxa"/>
          </w:tcPr>
          <w:p w:rsidR="00000000" w:rsidRDefault="0031739B">
            <w:pPr>
              <w:spacing w:line="288" w:lineRule="auto"/>
              <w:jc w:val="center"/>
              <w:rPr>
                <w:rFonts w:hAnsi="Courier"/>
                <w:spacing w:val="0"/>
                <w:sz w:val="21"/>
              </w:rPr>
            </w:pPr>
            <w:r>
              <w:rPr>
                <w:rFonts w:hAnsi="Courier"/>
                <w:spacing w:val="0"/>
                <w:sz w:val="21"/>
              </w:rPr>
              <w:t>1.2</w:t>
            </w:r>
          </w:p>
        </w:tc>
        <w:tc>
          <w:tcPr>
            <w:tcW w:w="741" w:type="dxa"/>
          </w:tcPr>
          <w:p w:rsidR="00000000" w:rsidRDefault="0031739B">
            <w:pPr>
              <w:tabs>
                <w:tab w:val="clear" w:pos="510"/>
                <w:tab w:val="clear" w:pos="1021"/>
                <w:tab w:val="clear" w:pos="1531"/>
                <w:tab w:val="clear" w:pos="2041"/>
              </w:tabs>
              <w:spacing w:line="288" w:lineRule="auto"/>
              <w:ind w:right="170"/>
              <w:jc w:val="right"/>
              <w:rPr>
                <w:rFonts w:hAnsi="Courier"/>
                <w:spacing w:val="0"/>
                <w:sz w:val="21"/>
              </w:rPr>
            </w:pPr>
            <w:r>
              <w:rPr>
                <w:rFonts w:hAnsi="Courier"/>
                <w:spacing w:val="0"/>
                <w:sz w:val="21"/>
              </w:rPr>
              <w:t>2.1</w:t>
            </w:r>
          </w:p>
        </w:tc>
        <w:tc>
          <w:tcPr>
            <w:tcW w:w="856" w:type="dxa"/>
            <w:tcBorders>
              <w:left w:val="single" w:sz="6" w:space="0" w:color="auto"/>
            </w:tcBorders>
          </w:tcPr>
          <w:p w:rsidR="00000000" w:rsidRDefault="0031739B">
            <w:pPr>
              <w:spacing w:line="288" w:lineRule="auto"/>
              <w:jc w:val="center"/>
              <w:rPr>
                <w:rFonts w:hAnsi="Courier"/>
                <w:spacing w:val="0"/>
                <w:sz w:val="21"/>
              </w:rPr>
            </w:pPr>
            <w:r>
              <w:rPr>
                <w:rFonts w:hAnsi="Courier"/>
                <w:spacing w:val="0"/>
                <w:sz w:val="21"/>
              </w:rPr>
              <w:t>2.0</w:t>
            </w:r>
          </w:p>
        </w:tc>
        <w:tc>
          <w:tcPr>
            <w:tcW w:w="856" w:type="dxa"/>
          </w:tcPr>
          <w:p w:rsidR="00000000" w:rsidRDefault="0031739B">
            <w:pPr>
              <w:spacing w:line="288" w:lineRule="auto"/>
              <w:jc w:val="center"/>
              <w:rPr>
                <w:rFonts w:hAnsi="Courier"/>
                <w:spacing w:val="0"/>
                <w:sz w:val="21"/>
              </w:rPr>
            </w:pPr>
            <w:r>
              <w:rPr>
                <w:rFonts w:hAnsi="Courier"/>
                <w:spacing w:val="0"/>
                <w:sz w:val="21"/>
              </w:rPr>
              <w:t>1.6</w:t>
            </w:r>
          </w:p>
        </w:tc>
        <w:tc>
          <w:tcPr>
            <w:tcW w:w="802" w:type="dxa"/>
            <w:tcBorders>
              <w:right w:val="single" w:sz="6" w:space="0" w:color="auto"/>
            </w:tcBorders>
          </w:tcPr>
          <w:p w:rsidR="00000000" w:rsidRDefault="0031739B">
            <w:pPr>
              <w:spacing w:line="288" w:lineRule="auto"/>
              <w:jc w:val="center"/>
              <w:rPr>
                <w:rFonts w:hAnsi="Courier"/>
                <w:spacing w:val="0"/>
                <w:sz w:val="21"/>
              </w:rPr>
            </w:pPr>
            <w:r>
              <w:rPr>
                <w:rFonts w:hAnsi="Courier"/>
                <w:spacing w:val="0"/>
                <w:sz w:val="21"/>
              </w:rPr>
              <w:t>2.0</w:t>
            </w:r>
          </w:p>
        </w:tc>
      </w:tr>
      <w:tr w:rsidR="00000000">
        <w:tblPrEx>
          <w:tblCellMar>
            <w:top w:w="0" w:type="dxa"/>
            <w:bottom w:w="0" w:type="dxa"/>
          </w:tblCellMar>
        </w:tblPrEx>
        <w:trPr>
          <w:cantSplit/>
        </w:trPr>
        <w:tc>
          <w:tcPr>
            <w:tcW w:w="2290" w:type="dxa"/>
            <w:tcBorders>
              <w:left w:val="single" w:sz="6" w:space="0" w:color="auto"/>
            </w:tcBorders>
          </w:tcPr>
          <w:p w:rsidR="00000000" w:rsidRDefault="0031739B">
            <w:pPr>
              <w:spacing w:line="288" w:lineRule="auto"/>
              <w:jc w:val="center"/>
              <w:rPr>
                <w:rFonts w:hAnsi="Courier"/>
                <w:spacing w:val="0"/>
                <w:sz w:val="21"/>
              </w:rPr>
            </w:pPr>
            <w:r>
              <w:rPr>
                <w:rFonts w:hAnsi="Courier"/>
                <w:spacing w:val="0"/>
                <w:sz w:val="21"/>
              </w:rPr>
              <w:t>50</w:t>
            </w:r>
            <w:r>
              <w:rPr>
                <w:rFonts w:hAnsi="Courier"/>
                <w:spacing w:val="0"/>
                <w:sz w:val="21"/>
              </w:rPr>
              <w:t>­</w:t>
            </w:r>
            <w:r>
              <w:rPr>
                <w:rFonts w:hAnsi="Courier"/>
                <w:spacing w:val="0"/>
                <w:sz w:val="21"/>
              </w:rPr>
              <w:t>54</w:t>
            </w:r>
          </w:p>
        </w:tc>
        <w:tc>
          <w:tcPr>
            <w:tcW w:w="741" w:type="dxa"/>
            <w:tcBorders>
              <w:left w:val="single" w:sz="6" w:space="0" w:color="auto"/>
            </w:tcBorders>
          </w:tcPr>
          <w:p w:rsidR="00000000" w:rsidRDefault="0031739B">
            <w:pPr>
              <w:spacing w:line="288" w:lineRule="auto"/>
              <w:jc w:val="center"/>
              <w:rPr>
                <w:rFonts w:hAnsi="Courier"/>
                <w:spacing w:val="0"/>
                <w:sz w:val="21"/>
              </w:rPr>
            </w:pPr>
            <w:r>
              <w:rPr>
                <w:rFonts w:hAnsi="Courier"/>
                <w:spacing w:val="0"/>
                <w:sz w:val="21"/>
              </w:rPr>
              <w:t>2.0</w:t>
            </w:r>
          </w:p>
        </w:tc>
        <w:tc>
          <w:tcPr>
            <w:tcW w:w="741" w:type="dxa"/>
          </w:tcPr>
          <w:p w:rsidR="00000000" w:rsidRDefault="0031739B">
            <w:pPr>
              <w:spacing w:line="288" w:lineRule="auto"/>
              <w:jc w:val="center"/>
              <w:rPr>
                <w:rFonts w:hAnsi="Courier"/>
                <w:spacing w:val="0"/>
                <w:sz w:val="21"/>
              </w:rPr>
            </w:pPr>
            <w:r>
              <w:rPr>
                <w:rFonts w:hAnsi="Courier"/>
                <w:spacing w:val="0"/>
                <w:sz w:val="21"/>
              </w:rPr>
              <w:t>1.2</w:t>
            </w:r>
          </w:p>
        </w:tc>
        <w:tc>
          <w:tcPr>
            <w:tcW w:w="741" w:type="dxa"/>
          </w:tcPr>
          <w:p w:rsidR="00000000" w:rsidRDefault="0031739B">
            <w:pPr>
              <w:spacing w:line="288" w:lineRule="auto"/>
              <w:jc w:val="center"/>
              <w:rPr>
                <w:rFonts w:hAnsi="Courier"/>
                <w:spacing w:val="0"/>
                <w:sz w:val="21"/>
              </w:rPr>
            </w:pPr>
            <w:r>
              <w:rPr>
                <w:rFonts w:hAnsi="Courier"/>
                <w:spacing w:val="0"/>
                <w:sz w:val="21"/>
              </w:rPr>
              <w:t>2.1</w:t>
            </w:r>
          </w:p>
        </w:tc>
        <w:tc>
          <w:tcPr>
            <w:tcW w:w="802" w:type="dxa"/>
            <w:tcBorders>
              <w:left w:val="single" w:sz="6" w:space="0" w:color="auto"/>
            </w:tcBorders>
          </w:tcPr>
          <w:p w:rsidR="00000000" w:rsidRDefault="0031739B">
            <w:pPr>
              <w:spacing w:line="288" w:lineRule="auto"/>
              <w:jc w:val="center"/>
              <w:rPr>
                <w:rFonts w:hAnsi="Courier"/>
                <w:spacing w:val="0"/>
                <w:sz w:val="21"/>
              </w:rPr>
            </w:pPr>
            <w:r>
              <w:rPr>
                <w:rFonts w:hAnsi="Courier"/>
                <w:spacing w:val="0"/>
                <w:sz w:val="21"/>
              </w:rPr>
              <w:t>2.3</w:t>
            </w:r>
          </w:p>
        </w:tc>
        <w:tc>
          <w:tcPr>
            <w:tcW w:w="856" w:type="dxa"/>
          </w:tcPr>
          <w:p w:rsidR="00000000" w:rsidRDefault="0031739B">
            <w:pPr>
              <w:spacing w:line="288" w:lineRule="auto"/>
              <w:jc w:val="center"/>
              <w:rPr>
                <w:rFonts w:hAnsi="Courier"/>
                <w:spacing w:val="0"/>
                <w:sz w:val="21"/>
              </w:rPr>
            </w:pPr>
            <w:r>
              <w:rPr>
                <w:rFonts w:hAnsi="Courier"/>
                <w:spacing w:val="0"/>
                <w:sz w:val="21"/>
              </w:rPr>
              <w:t>1.2</w:t>
            </w:r>
          </w:p>
        </w:tc>
        <w:tc>
          <w:tcPr>
            <w:tcW w:w="741" w:type="dxa"/>
          </w:tcPr>
          <w:p w:rsidR="00000000" w:rsidRDefault="0031739B">
            <w:pPr>
              <w:tabs>
                <w:tab w:val="clear" w:pos="510"/>
                <w:tab w:val="clear" w:pos="1021"/>
                <w:tab w:val="clear" w:pos="1531"/>
                <w:tab w:val="clear" w:pos="2041"/>
              </w:tabs>
              <w:spacing w:line="288" w:lineRule="auto"/>
              <w:ind w:right="170"/>
              <w:jc w:val="right"/>
              <w:rPr>
                <w:rFonts w:hAnsi="Courier"/>
                <w:spacing w:val="0"/>
                <w:sz w:val="21"/>
              </w:rPr>
            </w:pPr>
            <w:r>
              <w:rPr>
                <w:rFonts w:hAnsi="Courier"/>
                <w:spacing w:val="0"/>
                <w:sz w:val="21"/>
              </w:rPr>
              <w:t>2.1</w:t>
            </w:r>
          </w:p>
        </w:tc>
        <w:tc>
          <w:tcPr>
            <w:tcW w:w="856" w:type="dxa"/>
            <w:tcBorders>
              <w:left w:val="single" w:sz="6" w:space="0" w:color="auto"/>
            </w:tcBorders>
          </w:tcPr>
          <w:p w:rsidR="00000000" w:rsidRDefault="0031739B">
            <w:pPr>
              <w:spacing w:line="288" w:lineRule="auto"/>
              <w:jc w:val="center"/>
              <w:rPr>
                <w:rFonts w:hAnsi="Courier"/>
                <w:spacing w:val="0"/>
                <w:sz w:val="21"/>
              </w:rPr>
            </w:pPr>
            <w:r>
              <w:rPr>
                <w:rFonts w:hAnsi="Courier"/>
                <w:spacing w:val="0"/>
                <w:sz w:val="21"/>
              </w:rPr>
              <w:t>2.0</w:t>
            </w:r>
          </w:p>
        </w:tc>
        <w:tc>
          <w:tcPr>
            <w:tcW w:w="856" w:type="dxa"/>
          </w:tcPr>
          <w:p w:rsidR="00000000" w:rsidRDefault="0031739B">
            <w:pPr>
              <w:spacing w:line="288" w:lineRule="auto"/>
              <w:jc w:val="center"/>
              <w:rPr>
                <w:rFonts w:hAnsi="Courier"/>
                <w:spacing w:val="0"/>
                <w:sz w:val="21"/>
              </w:rPr>
            </w:pPr>
            <w:r>
              <w:rPr>
                <w:rFonts w:hAnsi="Courier"/>
                <w:spacing w:val="0"/>
                <w:sz w:val="21"/>
              </w:rPr>
              <w:t>1.4</w:t>
            </w:r>
          </w:p>
        </w:tc>
        <w:tc>
          <w:tcPr>
            <w:tcW w:w="802" w:type="dxa"/>
            <w:tcBorders>
              <w:right w:val="single" w:sz="6" w:space="0" w:color="auto"/>
            </w:tcBorders>
          </w:tcPr>
          <w:p w:rsidR="00000000" w:rsidRDefault="0031739B">
            <w:pPr>
              <w:spacing w:line="288" w:lineRule="auto"/>
              <w:jc w:val="center"/>
              <w:rPr>
                <w:rFonts w:hAnsi="Courier"/>
                <w:spacing w:val="0"/>
                <w:sz w:val="21"/>
              </w:rPr>
            </w:pPr>
            <w:r>
              <w:rPr>
                <w:rFonts w:hAnsi="Courier"/>
                <w:spacing w:val="0"/>
                <w:sz w:val="21"/>
              </w:rPr>
              <w:t>2.0</w:t>
            </w:r>
          </w:p>
        </w:tc>
      </w:tr>
      <w:tr w:rsidR="00000000">
        <w:tblPrEx>
          <w:tblCellMar>
            <w:top w:w="0" w:type="dxa"/>
            <w:bottom w:w="0" w:type="dxa"/>
          </w:tblCellMar>
        </w:tblPrEx>
        <w:trPr>
          <w:cantSplit/>
        </w:trPr>
        <w:tc>
          <w:tcPr>
            <w:tcW w:w="2290" w:type="dxa"/>
            <w:tcBorders>
              <w:left w:val="single" w:sz="6" w:space="0" w:color="auto"/>
            </w:tcBorders>
          </w:tcPr>
          <w:p w:rsidR="00000000" w:rsidRDefault="0031739B">
            <w:pPr>
              <w:spacing w:line="288" w:lineRule="auto"/>
              <w:jc w:val="center"/>
              <w:rPr>
                <w:rFonts w:hAnsi="Courier"/>
                <w:spacing w:val="0"/>
                <w:sz w:val="21"/>
              </w:rPr>
            </w:pPr>
            <w:r>
              <w:rPr>
                <w:rFonts w:hAnsi="Courier"/>
                <w:spacing w:val="0"/>
                <w:sz w:val="21"/>
              </w:rPr>
              <w:t>55</w:t>
            </w:r>
            <w:r>
              <w:rPr>
                <w:rFonts w:hAnsi="Courier"/>
                <w:spacing w:val="0"/>
                <w:sz w:val="21"/>
              </w:rPr>
              <w:t>­</w:t>
            </w:r>
            <w:r>
              <w:rPr>
                <w:rFonts w:hAnsi="Courier"/>
                <w:spacing w:val="0"/>
                <w:sz w:val="21"/>
              </w:rPr>
              <w:t>59</w:t>
            </w:r>
          </w:p>
        </w:tc>
        <w:tc>
          <w:tcPr>
            <w:tcW w:w="741" w:type="dxa"/>
            <w:tcBorders>
              <w:left w:val="single" w:sz="6" w:space="0" w:color="auto"/>
            </w:tcBorders>
          </w:tcPr>
          <w:p w:rsidR="00000000" w:rsidRDefault="0031739B">
            <w:pPr>
              <w:spacing w:line="288" w:lineRule="auto"/>
              <w:jc w:val="center"/>
              <w:rPr>
                <w:rFonts w:hAnsi="Courier"/>
                <w:spacing w:val="0"/>
                <w:sz w:val="21"/>
              </w:rPr>
            </w:pPr>
            <w:r>
              <w:rPr>
                <w:rFonts w:hAnsi="Courier"/>
                <w:spacing w:val="0"/>
                <w:sz w:val="21"/>
              </w:rPr>
              <w:t>3.3</w:t>
            </w:r>
          </w:p>
        </w:tc>
        <w:tc>
          <w:tcPr>
            <w:tcW w:w="741" w:type="dxa"/>
          </w:tcPr>
          <w:p w:rsidR="00000000" w:rsidRDefault="0031739B">
            <w:pPr>
              <w:spacing w:line="288" w:lineRule="auto"/>
              <w:jc w:val="center"/>
              <w:rPr>
                <w:rFonts w:hAnsi="Courier"/>
                <w:spacing w:val="0"/>
                <w:sz w:val="21"/>
              </w:rPr>
            </w:pPr>
            <w:r>
              <w:rPr>
                <w:rFonts w:hAnsi="Courier"/>
                <w:spacing w:val="0"/>
                <w:sz w:val="21"/>
              </w:rPr>
              <w:t>1.7</w:t>
            </w:r>
          </w:p>
        </w:tc>
        <w:tc>
          <w:tcPr>
            <w:tcW w:w="741" w:type="dxa"/>
          </w:tcPr>
          <w:p w:rsidR="00000000" w:rsidRDefault="0031739B">
            <w:pPr>
              <w:spacing w:line="288" w:lineRule="auto"/>
              <w:jc w:val="center"/>
              <w:rPr>
                <w:rFonts w:hAnsi="Courier"/>
                <w:spacing w:val="0"/>
                <w:sz w:val="21"/>
              </w:rPr>
            </w:pPr>
            <w:r>
              <w:rPr>
                <w:rFonts w:hAnsi="Courier"/>
                <w:spacing w:val="0"/>
                <w:sz w:val="21"/>
              </w:rPr>
              <w:t>2.5</w:t>
            </w:r>
          </w:p>
        </w:tc>
        <w:tc>
          <w:tcPr>
            <w:tcW w:w="802" w:type="dxa"/>
            <w:tcBorders>
              <w:left w:val="single" w:sz="6" w:space="0" w:color="auto"/>
            </w:tcBorders>
          </w:tcPr>
          <w:p w:rsidR="00000000" w:rsidRDefault="0031739B">
            <w:pPr>
              <w:spacing w:line="288" w:lineRule="auto"/>
              <w:jc w:val="center"/>
              <w:rPr>
                <w:rFonts w:hAnsi="Courier"/>
                <w:spacing w:val="0"/>
                <w:sz w:val="21"/>
              </w:rPr>
            </w:pPr>
            <w:r>
              <w:rPr>
                <w:rFonts w:hAnsi="Courier"/>
                <w:spacing w:val="0"/>
                <w:sz w:val="21"/>
              </w:rPr>
              <w:t>4.0</w:t>
            </w:r>
          </w:p>
        </w:tc>
        <w:tc>
          <w:tcPr>
            <w:tcW w:w="856" w:type="dxa"/>
          </w:tcPr>
          <w:p w:rsidR="00000000" w:rsidRDefault="0031739B">
            <w:pPr>
              <w:spacing w:line="288" w:lineRule="auto"/>
              <w:jc w:val="center"/>
              <w:rPr>
                <w:rFonts w:hAnsi="Courier"/>
                <w:spacing w:val="0"/>
                <w:sz w:val="21"/>
              </w:rPr>
            </w:pPr>
            <w:r>
              <w:rPr>
                <w:rFonts w:hAnsi="Courier"/>
                <w:spacing w:val="0"/>
                <w:sz w:val="21"/>
              </w:rPr>
              <w:t>1.9</w:t>
            </w:r>
          </w:p>
        </w:tc>
        <w:tc>
          <w:tcPr>
            <w:tcW w:w="741" w:type="dxa"/>
          </w:tcPr>
          <w:p w:rsidR="00000000" w:rsidRDefault="0031739B">
            <w:pPr>
              <w:tabs>
                <w:tab w:val="clear" w:pos="510"/>
                <w:tab w:val="clear" w:pos="1021"/>
                <w:tab w:val="clear" w:pos="1531"/>
                <w:tab w:val="clear" w:pos="2041"/>
              </w:tabs>
              <w:spacing w:line="288" w:lineRule="auto"/>
              <w:ind w:right="170"/>
              <w:jc w:val="right"/>
              <w:rPr>
                <w:rFonts w:hAnsi="Courier"/>
                <w:spacing w:val="0"/>
                <w:sz w:val="21"/>
              </w:rPr>
            </w:pPr>
            <w:r>
              <w:rPr>
                <w:rFonts w:hAnsi="Courier"/>
                <w:spacing w:val="0"/>
                <w:sz w:val="21"/>
              </w:rPr>
              <w:t>2.6</w:t>
            </w:r>
          </w:p>
        </w:tc>
        <w:tc>
          <w:tcPr>
            <w:tcW w:w="856" w:type="dxa"/>
            <w:tcBorders>
              <w:left w:val="single" w:sz="6" w:space="0" w:color="auto"/>
            </w:tcBorders>
          </w:tcPr>
          <w:p w:rsidR="00000000" w:rsidRDefault="0031739B">
            <w:pPr>
              <w:spacing w:line="288" w:lineRule="auto"/>
              <w:jc w:val="center"/>
              <w:rPr>
                <w:rFonts w:hAnsi="Courier"/>
                <w:spacing w:val="0"/>
                <w:sz w:val="21"/>
              </w:rPr>
            </w:pPr>
            <w:r>
              <w:rPr>
                <w:rFonts w:hAnsi="Courier"/>
                <w:spacing w:val="0"/>
                <w:sz w:val="21"/>
              </w:rPr>
              <w:t>2.1</w:t>
            </w:r>
          </w:p>
        </w:tc>
        <w:tc>
          <w:tcPr>
            <w:tcW w:w="856" w:type="dxa"/>
          </w:tcPr>
          <w:p w:rsidR="00000000" w:rsidRDefault="0031739B">
            <w:pPr>
              <w:spacing w:line="288" w:lineRule="auto"/>
              <w:jc w:val="center"/>
              <w:rPr>
                <w:rFonts w:hAnsi="Courier"/>
                <w:spacing w:val="0"/>
                <w:sz w:val="21"/>
              </w:rPr>
            </w:pPr>
            <w:r>
              <w:rPr>
                <w:rFonts w:hAnsi="Courier"/>
                <w:spacing w:val="0"/>
                <w:sz w:val="21"/>
              </w:rPr>
              <w:t>1.3</w:t>
            </w:r>
          </w:p>
        </w:tc>
        <w:tc>
          <w:tcPr>
            <w:tcW w:w="802" w:type="dxa"/>
            <w:tcBorders>
              <w:right w:val="single" w:sz="6" w:space="0" w:color="auto"/>
            </w:tcBorders>
          </w:tcPr>
          <w:p w:rsidR="00000000" w:rsidRDefault="0031739B">
            <w:pPr>
              <w:spacing w:line="288" w:lineRule="auto"/>
              <w:jc w:val="center"/>
              <w:rPr>
                <w:rFonts w:hAnsi="Courier"/>
                <w:spacing w:val="0"/>
                <w:sz w:val="21"/>
              </w:rPr>
            </w:pPr>
            <w:r>
              <w:rPr>
                <w:rFonts w:hAnsi="Courier"/>
                <w:spacing w:val="0"/>
                <w:sz w:val="21"/>
              </w:rPr>
              <w:t>2.0</w:t>
            </w:r>
          </w:p>
        </w:tc>
      </w:tr>
      <w:tr w:rsidR="00000000">
        <w:tblPrEx>
          <w:tblCellMar>
            <w:top w:w="0" w:type="dxa"/>
            <w:bottom w:w="0" w:type="dxa"/>
          </w:tblCellMar>
        </w:tblPrEx>
        <w:trPr>
          <w:cantSplit/>
        </w:trPr>
        <w:tc>
          <w:tcPr>
            <w:tcW w:w="2290" w:type="dxa"/>
            <w:tcBorders>
              <w:left w:val="single" w:sz="6" w:space="0" w:color="auto"/>
            </w:tcBorders>
          </w:tcPr>
          <w:p w:rsidR="00000000" w:rsidRDefault="0031739B">
            <w:pPr>
              <w:spacing w:line="288" w:lineRule="auto"/>
              <w:jc w:val="center"/>
              <w:rPr>
                <w:rFonts w:hAnsi="Courier"/>
                <w:spacing w:val="0"/>
                <w:sz w:val="21"/>
              </w:rPr>
            </w:pPr>
            <w:r>
              <w:rPr>
                <w:rFonts w:hAnsi="Courier"/>
                <w:spacing w:val="0"/>
                <w:sz w:val="21"/>
              </w:rPr>
              <w:t>60</w:t>
            </w:r>
            <w:r>
              <w:rPr>
                <w:rFonts w:hAnsi="Courier"/>
                <w:spacing w:val="0"/>
                <w:sz w:val="21"/>
              </w:rPr>
              <w:t>­</w:t>
            </w:r>
            <w:r>
              <w:rPr>
                <w:rFonts w:hAnsi="Courier"/>
                <w:spacing w:val="0"/>
                <w:sz w:val="21"/>
              </w:rPr>
              <w:t>64</w:t>
            </w:r>
          </w:p>
        </w:tc>
        <w:tc>
          <w:tcPr>
            <w:tcW w:w="741" w:type="dxa"/>
            <w:tcBorders>
              <w:left w:val="single" w:sz="6" w:space="0" w:color="auto"/>
            </w:tcBorders>
          </w:tcPr>
          <w:p w:rsidR="00000000" w:rsidRDefault="0031739B">
            <w:pPr>
              <w:spacing w:line="288" w:lineRule="auto"/>
              <w:jc w:val="center"/>
              <w:rPr>
                <w:rFonts w:hAnsi="Courier"/>
                <w:spacing w:val="0"/>
                <w:sz w:val="21"/>
              </w:rPr>
            </w:pPr>
            <w:r>
              <w:rPr>
                <w:rFonts w:hAnsi="Courier"/>
                <w:spacing w:val="0"/>
                <w:sz w:val="21"/>
              </w:rPr>
              <w:t>5.3</w:t>
            </w:r>
          </w:p>
        </w:tc>
        <w:tc>
          <w:tcPr>
            <w:tcW w:w="741" w:type="dxa"/>
          </w:tcPr>
          <w:p w:rsidR="00000000" w:rsidRDefault="0031739B">
            <w:pPr>
              <w:spacing w:line="288" w:lineRule="auto"/>
              <w:jc w:val="center"/>
              <w:rPr>
                <w:rFonts w:hAnsi="Courier"/>
                <w:spacing w:val="0"/>
                <w:sz w:val="21"/>
              </w:rPr>
            </w:pPr>
            <w:r>
              <w:rPr>
                <w:rFonts w:hAnsi="Courier"/>
                <w:spacing w:val="0"/>
                <w:sz w:val="21"/>
              </w:rPr>
              <w:t>3.7</w:t>
            </w:r>
          </w:p>
        </w:tc>
        <w:tc>
          <w:tcPr>
            <w:tcW w:w="741" w:type="dxa"/>
          </w:tcPr>
          <w:p w:rsidR="00000000" w:rsidRDefault="0031739B">
            <w:pPr>
              <w:spacing w:line="288" w:lineRule="auto"/>
              <w:jc w:val="center"/>
              <w:rPr>
                <w:rFonts w:hAnsi="Courier"/>
                <w:spacing w:val="0"/>
                <w:sz w:val="21"/>
              </w:rPr>
            </w:pPr>
            <w:r>
              <w:rPr>
                <w:rFonts w:hAnsi="Courier"/>
                <w:spacing w:val="0"/>
                <w:sz w:val="21"/>
              </w:rPr>
              <w:t>6.2</w:t>
            </w:r>
          </w:p>
        </w:tc>
        <w:tc>
          <w:tcPr>
            <w:tcW w:w="802" w:type="dxa"/>
            <w:tcBorders>
              <w:left w:val="single" w:sz="6" w:space="0" w:color="auto"/>
            </w:tcBorders>
          </w:tcPr>
          <w:p w:rsidR="00000000" w:rsidRDefault="0031739B">
            <w:pPr>
              <w:spacing w:line="288" w:lineRule="auto"/>
              <w:jc w:val="center"/>
              <w:rPr>
                <w:rFonts w:hAnsi="Courier"/>
                <w:spacing w:val="0"/>
                <w:sz w:val="21"/>
              </w:rPr>
            </w:pPr>
            <w:r>
              <w:rPr>
                <w:rFonts w:hAnsi="Courier"/>
                <w:spacing w:val="0"/>
                <w:sz w:val="21"/>
              </w:rPr>
              <w:t>7.6</w:t>
            </w:r>
          </w:p>
        </w:tc>
        <w:tc>
          <w:tcPr>
            <w:tcW w:w="856" w:type="dxa"/>
          </w:tcPr>
          <w:p w:rsidR="00000000" w:rsidRDefault="0031739B">
            <w:pPr>
              <w:spacing w:line="288" w:lineRule="auto"/>
              <w:jc w:val="center"/>
              <w:rPr>
                <w:rFonts w:hAnsi="Courier"/>
                <w:spacing w:val="0"/>
                <w:sz w:val="21"/>
              </w:rPr>
            </w:pPr>
            <w:r>
              <w:rPr>
                <w:rFonts w:hAnsi="Courier"/>
                <w:spacing w:val="0"/>
                <w:sz w:val="21"/>
              </w:rPr>
              <w:t>5.1</w:t>
            </w:r>
          </w:p>
        </w:tc>
        <w:tc>
          <w:tcPr>
            <w:tcW w:w="741" w:type="dxa"/>
          </w:tcPr>
          <w:p w:rsidR="00000000" w:rsidRDefault="0031739B">
            <w:pPr>
              <w:tabs>
                <w:tab w:val="clear" w:pos="510"/>
                <w:tab w:val="clear" w:pos="1021"/>
                <w:tab w:val="clear" w:pos="1531"/>
                <w:tab w:val="clear" w:pos="2041"/>
              </w:tabs>
              <w:spacing w:line="288" w:lineRule="auto"/>
              <w:ind w:right="170"/>
              <w:jc w:val="right"/>
              <w:rPr>
                <w:rFonts w:hAnsi="Courier"/>
                <w:spacing w:val="0"/>
                <w:sz w:val="21"/>
              </w:rPr>
            </w:pPr>
            <w:r>
              <w:rPr>
                <w:rFonts w:hAnsi="Courier"/>
                <w:spacing w:val="0"/>
                <w:sz w:val="21"/>
              </w:rPr>
              <w:t>8.3</w:t>
            </w:r>
          </w:p>
        </w:tc>
        <w:tc>
          <w:tcPr>
            <w:tcW w:w="856" w:type="dxa"/>
            <w:tcBorders>
              <w:left w:val="single" w:sz="6" w:space="0" w:color="auto"/>
            </w:tcBorders>
          </w:tcPr>
          <w:p w:rsidR="00000000" w:rsidRDefault="0031739B">
            <w:pPr>
              <w:spacing w:line="288" w:lineRule="auto"/>
              <w:jc w:val="center"/>
              <w:rPr>
                <w:rFonts w:hAnsi="Courier"/>
                <w:spacing w:val="0"/>
                <w:sz w:val="21"/>
              </w:rPr>
            </w:pPr>
            <w:r>
              <w:rPr>
                <w:rFonts w:hAnsi="Courier"/>
                <w:spacing w:val="0"/>
                <w:sz w:val="21"/>
              </w:rPr>
              <w:t>2.4</w:t>
            </w:r>
          </w:p>
        </w:tc>
        <w:tc>
          <w:tcPr>
            <w:tcW w:w="856" w:type="dxa"/>
          </w:tcPr>
          <w:p w:rsidR="00000000" w:rsidRDefault="0031739B">
            <w:pPr>
              <w:spacing w:line="288" w:lineRule="auto"/>
              <w:jc w:val="center"/>
              <w:rPr>
                <w:rFonts w:hAnsi="Courier"/>
                <w:spacing w:val="0"/>
                <w:sz w:val="21"/>
              </w:rPr>
            </w:pPr>
            <w:r>
              <w:rPr>
                <w:rFonts w:hAnsi="Courier"/>
                <w:spacing w:val="0"/>
                <w:sz w:val="21"/>
              </w:rPr>
              <w:t>1.4</w:t>
            </w:r>
          </w:p>
        </w:tc>
        <w:tc>
          <w:tcPr>
            <w:tcW w:w="802" w:type="dxa"/>
            <w:tcBorders>
              <w:right w:val="single" w:sz="6" w:space="0" w:color="auto"/>
            </w:tcBorders>
          </w:tcPr>
          <w:p w:rsidR="00000000" w:rsidRDefault="0031739B">
            <w:pPr>
              <w:spacing w:line="288" w:lineRule="auto"/>
              <w:jc w:val="center"/>
              <w:rPr>
                <w:rFonts w:hAnsi="Courier"/>
                <w:spacing w:val="0"/>
                <w:sz w:val="21"/>
              </w:rPr>
            </w:pPr>
            <w:r>
              <w:rPr>
                <w:rFonts w:hAnsi="Courier"/>
                <w:spacing w:val="0"/>
                <w:sz w:val="21"/>
              </w:rPr>
              <w:t>2.5</w:t>
            </w:r>
          </w:p>
        </w:tc>
      </w:tr>
      <w:tr w:rsidR="00000000">
        <w:tblPrEx>
          <w:tblCellMar>
            <w:top w:w="0" w:type="dxa"/>
            <w:bottom w:w="0" w:type="dxa"/>
          </w:tblCellMar>
        </w:tblPrEx>
        <w:trPr>
          <w:cantSplit/>
        </w:trPr>
        <w:tc>
          <w:tcPr>
            <w:tcW w:w="2290" w:type="dxa"/>
            <w:tcBorders>
              <w:left w:val="single" w:sz="6" w:space="0" w:color="auto"/>
              <w:bottom w:val="single" w:sz="6" w:space="0" w:color="auto"/>
            </w:tcBorders>
          </w:tcPr>
          <w:p w:rsidR="00000000" w:rsidRDefault="0031739B">
            <w:pPr>
              <w:spacing w:line="288" w:lineRule="auto"/>
              <w:jc w:val="center"/>
              <w:rPr>
                <w:rFonts w:hAnsi="Courier"/>
                <w:spacing w:val="0"/>
                <w:sz w:val="21"/>
              </w:rPr>
            </w:pPr>
            <w:r>
              <w:rPr>
                <w:rFonts w:hAnsi="Courier"/>
                <w:spacing w:val="0"/>
                <w:sz w:val="21"/>
              </w:rPr>
              <w:t>65</w:t>
            </w:r>
            <w:r>
              <w:rPr>
                <w:rFonts w:hAnsi="Courier" w:hint="eastAsia"/>
                <w:spacing w:val="0"/>
                <w:sz w:val="21"/>
              </w:rPr>
              <w:t>岁和</w:t>
            </w:r>
            <w:r>
              <w:rPr>
                <w:rFonts w:hAnsi="Courier"/>
                <w:spacing w:val="0"/>
                <w:sz w:val="21"/>
              </w:rPr>
              <w:t>65</w:t>
            </w:r>
            <w:r>
              <w:rPr>
                <w:rFonts w:hAnsi="Courier" w:hint="eastAsia"/>
                <w:spacing w:val="0"/>
                <w:sz w:val="21"/>
              </w:rPr>
              <w:t>岁以上</w:t>
            </w:r>
          </w:p>
        </w:tc>
        <w:tc>
          <w:tcPr>
            <w:tcW w:w="741" w:type="dxa"/>
            <w:tcBorders>
              <w:left w:val="single" w:sz="6" w:space="0" w:color="auto"/>
              <w:bottom w:val="single" w:sz="6" w:space="0" w:color="auto"/>
            </w:tcBorders>
          </w:tcPr>
          <w:p w:rsidR="00000000" w:rsidRDefault="0031739B">
            <w:pPr>
              <w:spacing w:line="288" w:lineRule="auto"/>
              <w:jc w:val="center"/>
              <w:rPr>
                <w:rFonts w:hAnsi="Courier"/>
                <w:spacing w:val="0"/>
                <w:sz w:val="21"/>
              </w:rPr>
            </w:pPr>
            <w:r>
              <w:rPr>
                <w:rFonts w:hAnsi="Courier"/>
                <w:spacing w:val="0"/>
                <w:sz w:val="21"/>
              </w:rPr>
              <w:t>1.3</w:t>
            </w:r>
          </w:p>
        </w:tc>
        <w:tc>
          <w:tcPr>
            <w:tcW w:w="741" w:type="dxa"/>
            <w:tcBorders>
              <w:bottom w:val="single" w:sz="6" w:space="0" w:color="auto"/>
            </w:tcBorders>
          </w:tcPr>
          <w:p w:rsidR="00000000" w:rsidRDefault="0031739B">
            <w:pPr>
              <w:spacing w:line="288" w:lineRule="auto"/>
              <w:jc w:val="center"/>
              <w:rPr>
                <w:rFonts w:hAnsi="Courier"/>
                <w:spacing w:val="0"/>
                <w:sz w:val="21"/>
              </w:rPr>
            </w:pPr>
            <w:r>
              <w:rPr>
                <w:rFonts w:hAnsi="Courier"/>
                <w:spacing w:val="0"/>
                <w:sz w:val="21"/>
              </w:rPr>
              <w:t>1.0</w:t>
            </w:r>
          </w:p>
        </w:tc>
        <w:tc>
          <w:tcPr>
            <w:tcW w:w="741" w:type="dxa"/>
            <w:tcBorders>
              <w:bottom w:val="single" w:sz="6" w:space="0" w:color="auto"/>
            </w:tcBorders>
          </w:tcPr>
          <w:p w:rsidR="00000000" w:rsidRDefault="0031739B">
            <w:pPr>
              <w:spacing w:line="288" w:lineRule="auto"/>
              <w:jc w:val="center"/>
              <w:rPr>
                <w:rFonts w:hAnsi="Courier"/>
                <w:spacing w:val="0"/>
                <w:sz w:val="21"/>
              </w:rPr>
            </w:pPr>
            <w:r>
              <w:rPr>
                <w:rFonts w:hAnsi="Courier"/>
                <w:spacing w:val="0"/>
                <w:sz w:val="21"/>
              </w:rPr>
              <w:t>1.5</w:t>
            </w:r>
          </w:p>
        </w:tc>
        <w:tc>
          <w:tcPr>
            <w:tcW w:w="802" w:type="dxa"/>
            <w:tcBorders>
              <w:left w:val="single" w:sz="6" w:space="0" w:color="auto"/>
              <w:bottom w:val="single" w:sz="6" w:space="0" w:color="auto"/>
            </w:tcBorders>
          </w:tcPr>
          <w:p w:rsidR="00000000" w:rsidRDefault="0031739B">
            <w:pPr>
              <w:spacing w:line="288" w:lineRule="auto"/>
              <w:jc w:val="center"/>
              <w:rPr>
                <w:rFonts w:hAnsi="Courier"/>
                <w:spacing w:val="0"/>
                <w:sz w:val="21"/>
              </w:rPr>
            </w:pPr>
            <w:r>
              <w:rPr>
                <w:rFonts w:hAnsi="Courier"/>
                <w:spacing w:val="0"/>
                <w:sz w:val="21"/>
              </w:rPr>
              <w:t>1.6</w:t>
            </w:r>
          </w:p>
        </w:tc>
        <w:tc>
          <w:tcPr>
            <w:tcW w:w="856" w:type="dxa"/>
            <w:tcBorders>
              <w:bottom w:val="single" w:sz="6" w:space="0" w:color="auto"/>
            </w:tcBorders>
          </w:tcPr>
          <w:p w:rsidR="00000000" w:rsidRDefault="0031739B">
            <w:pPr>
              <w:spacing w:line="288" w:lineRule="auto"/>
              <w:jc w:val="center"/>
              <w:rPr>
                <w:rFonts w:hAnsi="Courier"/>
                <w:spacing w:val="0"/>
                <w:sz w:val="21"/>
              </w:rPr>
            </w:pPr>
            <w:r>
              <w:rPr>
                <w:rFonts w:hAnsi="Courier"/>
                <w:spacing w:val="0"/>
                <w:sz w:val="21"/>
              </w:rPr>
              <w:t>1.6</w:t>
            </w:r>
          </w:p>
        </w:tc>
        <w:tc>
          <w:tcPr>
            <w:tcW w:w="741" w:type="dxa"/>
            <w:tcBorders>
              <w:bottom w:val="single" w:sz="6" w:space="0" w:color="auto"/>
            </w:tcBorders>
          </w:tcPr>
          <w:p w:rsidR="00000000" w:rsidRDefault="0031739B">
            <w:pPr>
              <w:tabs>
                <w:tab w:val="clear" w:pos="510"/>
                <w:tab w:val="clear" w:pos="1021"/>
                <w:tab w:val="clear" w:pos="1531"/>
                <w:tab w:val="clear" w:pos="2041"/>
              </w:tabs>
              <w:spacing w:line="288" w:lineRule="auto"/>
              <w:ind w:right="170"/>
              <w:jc w:val="right"/>
              <w:rPr>
                <w:rFonts w:hAnsi="Courier"/>
                <w:spacing w:val="0"/>
                <w:sz w:val="21"/>
              </w:rPr>
            </w:pPr>
            <w:r>
              <w:rPr>
                <w:rFonts w:hAnsi="Courier"/>
                <w:spacing w:val="0"/>
                <w:sz w:val="21"/>
              </w:rPr>
              <w:t>2.0</w:t>
            </w:r>
          </w:p>
        </w:tc>
        <w:tc>
          <w:tcPr>
            <w:tcW w:w="856" w:type="dxa"/>
            <w:tcBorders>
              <w:left w:val="single" w:sz="6" w:space="0" w:color="auto"/>
              <w:bottom w:val="single" w:sz="6" w:space="0" w:color="auto"/>
            </w:tcBorders>
          </w:tcPr>
          <w:p w:rsidR="00000000" w:rsidRDefault="0031739B">
            <w:pPr>
              <w:spacing w:line="288" w:lineRule="auto"/>
              <w:jc w:val="center"/>
              <w:rPr>
                <w:rFonts w:hAnsi="Courier"/>
                <w:spacing w:val="0"/>
                <w:sz w:val="21"/>
              </w:rPr>
            </w:pPr>
            <w:r>
              <w:rPr>
                <w:rFonts w:hAnsi="Courier"/>
                <w:spacing w:val="0"/>
                <w:sz w:val="21"/>
              </w:rPr>
              <w:t>0.8</w:t>
            </w:r>
          </w:p>
        </w:tc>
        <w:tc>
          <w:tcPr>
            <w:tcW w:w="856" w:type="dxa"/>
            <w:tcBorders>
              <w:bottom w:val="single" w:sz="6" w:space="0" w:color="auto"/>
            </w:tcBorders>
          </w:tcPr>
          <w:p w:rsidR="00000000" w:rsidRDefault="0031739B">
            <w:pPr>
              <w:spacing w:line="288" w:lineRule="auto"/>
              <w:jc w:val="center"/>
              <w:rPr>
                <w:rFonts w:hAnsi="Courier"/>
                <w:spacing w:val="0"/>
                <w:sz w:val="21"/>
              </w:rPr>
            </w:pPr>
            <w:r>
              <w:rPr>
                <w:rFonts w:hAnsi="Courier"/>
                <w:spacing w:val="0"/>
                <w:sz w:val="21"/>
              </w:rPr>
              <w:t>0.6</w:t>
            </w:r>
          </w:p>
        </w:tc>
        <w:tc>
          <w:tcPr>
            <w:tcW w:w="802" w:type="dxa"/>
            <w:tcBorders>
              <w:bottom w:val="single" w:sz="6" w:space="0" w:color="auto"/>
              <w:right w:val="single" w:sz="6" w:space="0" w:color="auto"/>
            </w:tcBorders>
          </w:tcPr>
          <w:p w:rsidR="00000000" w:rsidRDefault="0031739B">
            <w:pPr>
              <w:spacing w:line="288" w:lineRule="auto"/>
              <w:jc w:val="center"/>
              <w:rPr>
                <w:rFonts w:hAnsi="Courier"/>
                <w:spacing w:val="0"/>
                <w:sz w:val="21"/>
              </w:rPr>
            </w:pPr>
            <w:r>
              <w:rPr>
                <w:rFonts w:hAnsi="Courier"/>
                <w:spacing w:val="0"/>
                <w:sz w:val="21"/>
              </w:rPr>
              <w:t>0.6</w:t>
            </w:r>
          </w:p>
        </w:tc>
      </w:tr>
    </w:tbl>
    <w:p w:rsidR="00000000" w:rsidRDefault="0031739B">
      <w:pPr>
        <w:pStyle w:val="EndnoteText"/>
        <w:spacing w:before="240"/>
        <w:ind w:hanging="958"/>
      </w:pPr>
      <w:r>
        <w:rPr>
          <w:rFonts w:hint="eastAsia"/>
          <w:u w:val="single"/>
        </w:rPr>
        <w:t>说明</w:t>
      </w:r>
      <w:r>
        <w:rPr>
          <w:u w:val="single"/>
        </w:rPr>
        <w:t>1</w:t>
      </w:r>
      <w:r>
        <w:rPr>
          <w:rFonts w:hint="eastAsia"/>
        </w:rPr>
        <w:t>：依据管理和协调厅统计局的“劳动力调查”。</w:t>
      </w:r>
    </w:p>
    <w:p w:rsidR="00000000" w:rsidRDefault="0031739B">
      <w:pPr>
        <w:pStyle w:val="EndnoteText"/>
        <w:spacing w:after="320"/>
        <w:textAlignment w:val="center"/>
      </w:pPr>
      <w:r>
        <w:rPr>
          <w:rFonts w:hint="eastAsia"/>
          <w:u w:val="single"/>
        </w:rPr>
        <w:t>说明</w:t>
      </w:r>
      <w:r>
        <w:rPr>
          <w:u w:val="single"/>
        </w:rPr>
        <w:t>2</w:t>
      </w:r>
      <w:r>
        <w:rPr>
          <w:rFonts w:hint="eastAsia"/>
        </w:rPr>
        <w:t>：失业率</w:t>
      </w:r>
      <w:r>
        <w:t xml:space="preserve"> = </w:t>
      </w:r>
      <w:r>
        <w:rPr>
          <w:rFonts w:hint="eastAsia"/>
        </w:rPr>
        <w:t>全失业人数</w:t>
      </w:r>
      <w:r>
        <w:t>/</w:t>
      </w:r>
      <w:r>
        <w:rPr>
          <w:rFonts w:hint="eastAsia"/>
        </w:rPr>
        <w:t>劳动力</w:t>
      </w:r>
      <w:r>
        <w:t>(%)</w:t>
      </w:r>
      <w:r>
        <w:rPr>
          <w:rFonts w:hint="eastAsia"/>
        </w:rPr>
        <w:t>。</w:t>
      </w:r>
    </w:p>
    <w:p w:rsidR="00000000" w:rsidRDefault="0031739B">
      <w:r>
        <w:tab/>
        <w:t xml:space="preserve">25.  </w:t>
      </w:r>
      <w:r>
        <w:rPr>
          <w:rFonts w:hint="eastAsia"/>
        </w:rPr>
        <w:t>表</w:t>
      </w:r>
      <w:r>
        <w:t>4</w:t>
      </w:r>
      <w:r>
        <w:rPr>
          <w:rFonts w:hint="eastAsia"/>
        </w:rPr>
        <w:t>显示了按地区分列的工作机会与工作申请比率和失业率的变化。根据该表，在城市地区如关东南部</w:t>
      </w:r>
      <w:r>
        <w:t>(</w:t>
      </w:r>
      <w:r>
        <w:rPr>
          <w:rFonts w:hint="eastAsia"/>
        </w:rPr>
        <w:t>东京地区</w:t>
      </w:r>
      <w:r>
        <w:t>)</w:t>
      </w:r>
      <w:r>
        <w:rPr>
          <w:rFonts w:hint="eastAsia"/>
        </w:rPr>
        <w:t>和近畿</w:t>
      </w:r>
      <w:r>
        <w:t>(</w:t>
      </w:r>
      <w:r>
        <w:rPr>
          <w:rFonts w:hint="eastAsia"/>
        </w:rPr>
        <w:t>大阪地区</w:t>
      </w:r>
      <w:r>
        <w:t>)</w:t>
      </w:r>
      <w:r>
        <w:rPr>
          <w:rFonts w:hint="eastAsia"/>
        </w:rPr>
        <w:t>以及北海道</w:t>
      </w:r>
      <w:r>
        <w:t>(</w:t>
      </w:r>
      <w:r>
        <w:rPr>
          <w:rFonts w:hint="eastAsia"/>
        </w:rPr>
        <w:t>日本北部</w:t>
      </w:r>
      <w:r>
        <w:t>)</w:t>
      </w:r>
      <w:r>
        <w:rPr>
          <w:rFonts w:hint="eastAsia"/>
        </w:rPr>
        <w:t>和九州</w:t>
      </w:r>
      <w:r>
        <w:t>(</w:t>
      </w:r>
      <w:r>
        <w:rPr>
          <w:rFonts w:hint="eastAsia"/>
        </w:rPr>
        <w:t>日本南部</w:t>
      </w:r>
      <w:r>
        <w:t>)</w:t>
      </w:r>
      <w:r>
        <w:rPr>
          <w:rFonts w:hint="eastAsia"/>
        </w:rPr>
        <w:t>，失业率高、工作机会与工作申请比率低。</w:t>
      </w:r>
    </w:p>
    <w:p w:rsidR="00000000" w:rsidRDefault="0031739B">
      <w:pPr>
        <w:tabs>
          <w:tab w:val="left" w:pos="-1440"/>
          <w:tab w:val="left" w:pos="-720"/>
          <w:tab w:val="left" w:pos="1"/>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160"/>
        <w:ind w:firstLine="120"/>
        <w:jc w:val="center"/>
        <w:textAlignment w:val="center"/>
        <w:rPr>
          <w:u w:val="single"/>
        </w:rPr>
      </w:pPr>
      <w:r>
        <w:br w:type="page"/>
      </w:r>
      <w:r>
        <w:rPr>
          <w:rFonts w:hint="eastAsia"/>
        </w:rPr>
        <w:t>表</w:t>
      </w:r>
      <w:r>
        <w:t xml:space="preserve"> 4.  </w:t>
      </w:r>
      <w:r>
        <w:rPr>
          <w:rFonts w:hint="eastAsia"/>
          <w:u w:val="single"/>
        </w:rPr>
        <w:t>按地区分列的有效工作机会与有效工作</w:t>
      </w:r>
      <w:r>
        <w:rPr>
          <w:u w:val="single"/>
        </w:rPr>
        <w:br/>
      </w:r>
      <w:r>
        <w:rPr>
          <w:rFonts w:hint="eastAsia"/>
          <w:u w:val="single"/>
        </w:rPr>
        <w:t>申请的比率和全失业率的变化</w:t>
      </w:r>
    </w:p>
    <w:tbl>
      <w:tblPr>
        <w:tblW w:w="0" w:type="auto"/>
        <w:tblInd w:w="2" w:type="dxa"/>
        <w:tblLayout w:type="fixed"/>
        <w:tblCellMar>
          <w:left w:w="96" w:type="dxa"/>
          <w:right w:w="96" w:type="dxa"/>
        </w:tblCellMar>
        <w:tblLook w:val="0000" w:firstRow="0" w:lastRow="0" w:firstColumn="0" w:lastColumn="0" w:noHBand="0" w:noVBand="0"/>
      </w:tblPr>
      <w:tblGrid>
        <w:gridCol w:w="1980"/>
        <w:gridCol w:w="1188"/>
        <w:gridCol w:w="1188"/>
        <w:gridCol w:w="1242"/>
        <w:gridCol w:w="1188"/>
        <w:gridCol w:w="1302"/>
        <w:gridCol w:w="1266"/>
      </w:tblGrid>
      <w:tr w:rsidR="00000000">
        <w:tblPrEx>
          <w:tblCellMar>
            <w:top w:w="0" w:type="dxa"/>
            <w:bottom w:w="0" w:type="dxa"/>
          </w:tblCellMar>
        </w:tblPrEx>
        <w:trPr>
          <w:cantSplit/>
        </w:trPr>
        <w:tc>
          <w:tcPr>
            <w:tcW w:w="1980" w:type="dxa"/>
            <w:tcBorders>
              <w:top w:val="single" w:sz="6" w:space="0" w:color="auto"/>
              <w:left w:val="single" w:sz="6" w:space="0" w:color="auto"/>
            </w:tcBorders>
          </w:tcPr>
          <w:p w:rsidR="00000000" w:rsidRDefault="0031739B">
            <w:pPr>
              <w:spacing w:before="120" w:line="288" w:lineRule="auto"/>
              <w:jc w:val="center"/>
              <w:rPr>
                <w:spacing w:val="0"/>
                <w:sz w:val="21"/>
              </w:rPr>
            </w:pPr>
            <w:r>
              <w:rPr>
                <w:rFonts w:hint="eastAsia"/>
                <w:spacing w:val="0"/>
                <w:sz w:val="21"/>
              </w:rPr>
              <w:t>地</w:t>
            </w:r>
            <w:r>
              <w:rPr>
                <w:spacing w:val="0"/>
                <w:sz w:val="21"/>
              </w:rPr>
              <w:t xml:space="preserve">  </w:t>
            </w:r>
            <w:r>
              <w:rPr>
                <w:rFonts w:hint="eastAsia"/>
                <w:spacing w:val="0"/>
                <w:sz w:val="21"/>
              </w:rPr>
              <w:t>区</w:t>
            </w:r>
          </w:p>
        </w:tc>
        <w:tc>
          <w:tcPr>
            <w:tcW w:w="3618" w:type="dxa"/>
            <w:gridSpan w:val="3"/>
            <w:tcBorders>
              <w:top w:val="single" w:sz="6" w:space="0" w:color="auto"/>
              <w:left w:val="single" w:sz="6" w:space="0" w:color="auto"/>
            </w:tcBorders>
          </w:tcPr>
          <w:p w:rsidR="00000000" w:rsidRDefault="0031739B">
            <w:pPr>
              <w:spacing w:before="80" w:line="288" w:lineRule="auto"/>
              <w:jc w:val="center"/>
              <w:rPr>
                <w:spacing w:val="0"/>
                <w:sz w:val="21"/>
              </w:rPr>
            </w:pPr>
            <w:r>
              <w:rPr>
                <w:rFonts w:hint="eastAsia"/>
                <w:spacing w:val="0"/>
                <w:sz w:val="21"/>
              </w:rPr>
              <w:t>有效劳力需求与有效供应比率</w:t>
            </w:r>
          </w:p>
        </w:tc>
        <w:tc>
          <w:tcPr>
            <w:tcW w:w="3756" w:type="dxa"/>
            <w:gridSpan w:val="3"/>
            <w:tcBorders>
              <w:top w:val="single" w:sz="6" w:space="0" w:color="auto"/>
              <w:left w:val="single" w:sz="6" w:space="0" w:color="auto"/>
            </w:tcBorders>
          </w:tcPr>
          <w:p w:rsidR="00000000" w:rsidRDefault="0031739B">
            <w:pPr>
              <w:spacing w:before="80" w:line="288" w:lineRule="auto"/>
              <w:jc w:val="center"/>
              <w:rPr>
                <w:spacing w:val="0"/>
                <w:sz w:val="21"/>
              </w:rPr>
            </w:pPr>
            <w:r>
              <w:rPr>
                <w:rFonts w:hint="eastAsia"/>
                <w:spacing w:val="0"/>
                <w:sz w:val="21"/>
              </w:rPr>
              <w:t>全失业率</w:t>
            </w:r>
            <w:r>
              <w:rPr>
                <w:spacing w:val="0"/>
                <w:sz w:val="21"/>
              </w:rPr>
              <w:t>(%)</w:t>
            </w:r>
          </w:p>
        </w:tc>
      </w:tr>
      <w:tr w:rsidR="00000000">
        <w:tblPrEx>
          <w:tblCellMar>
            <w:top w:w="0" w:type="dxa"/>
            <w:bottom w:w="0" w:type="dxa"/>
          </w:tblCellMar>
        </w:tblPrEx>
        <w:trPr>
          <w:cantSplit/>
        </w:trPr>
        <w:tc>
          <w:tcPr>
            <w:tcW w:w="1980" w:type="dxa"/>
            <w:tcBorders>
              <w:left w:val="single" w:sz="6" w:space="0" w:color="auto"/>
            </w:tcBorders>
          </w:tcPr>
          <w:p w:rsidR="00000000" w:rsidRDefault="0031739B">
            <w:pPr>
              <w:rPr>
                <w:spacing w:val="0"/>
                <w:sz w:val="21"/>
              </w:rPr>
            </w:pPr>
          </w:p>
        </w:tc>
        <w:tc>
          <w:tcPr>
            <w:tcW w:w="1188" w:type="dxa"/>
            <w:tcBorders>
              <w:top w:val="single" w:sz="6" w:space="0" w:color="auto"/>
              <w:left w:val="single" w:sz="6" w:space="0" w:color="auto"/>
            </w:tcBorders>
          </w:tcPr>
          <w:p w:rsidR="00000000" w:rsidRDefault="0031739B">
            <w:pPr>
              <w:jc w:val="center"/>
              <w:rPr>
                <w:spacing w:val="0"/>
                <w:sz w:val="21"/>
              </w:rPr>
            </w:pPr>
            <w:r>
              <w:rPr>
                <w:spacing w:val="0"/>
                <w:sz w:val="21"/>
              </w:rPr>
              <w:t>1987</w:t>
            </w:r>
          </w:p>
        </w:tc>
        <w:tc>
          <w:tcPr>
            <w:tcW w:w="1188" w:type="dxa"/>
            <w:tcBorders>
              <w:top w:val="single" w:sz="6" w:space="0" w:color="auto"/>
            </w:tcBorders>
          </w:tcPr>
          <w:p w:rsidR="00000000" w:rsidRDefault="0031739B">
            <w:pPr>
              <w:jc w:val="center"/>
              <w:rPr>
                <w:spacing w:val="0"/>
                <w:sz w:val="21"/>
              </w:rPr>
            </w:pPr>
            <w:r>
              <w:rPr>
                <w:spacing w:val="0"/>
                <w:sz w:val="21"/>
              </w:rPr>
              <w:t>1992</w:t>
            </w:r>
          </w:p>
        </w:tc>
        <w:tc>
          <w:tcPr>
            <w:tcW w:w="1242" w:type="dxa"/>
            <w:tcBorders>
              <w:top w:val="single" w:sz="6" w:space="0" w:color="auto"/>
            </w:tcBorders>
          </w:tcPr>
          <w:p w:rsidR="00000000" w:rsidRDefault="0031739B">
            <w:pPr>
              <w:jc w:val="center"/>
              <w:rPr>
                <w:spacing w:val="0"/>
                <w:sz w:val="21"/>
              </w:rPr>
            </w:pPr>
            <w:r>
              <w:rPr>
                <w:spacing w:val="0"/>
                <w:sz w:val="21"/>
              </w:rPr>
              <w:t>1997</w:t>
            </w:r>
          </w:p>
        </w:tc>
        <w:tc>
          <w:tcPr>
            <w:tcW w:w="1188" w:type="dxa"/>
            <w:tcBorders>
              <w:top w:val="single" w:sz="6" w:space="0" w:color="auto"/>
              <w:left w:val="single" w:sz="6" w:space="0" w:color="auto"/>
            </w:tcBorders>
          </w:tcPr>
          <w:p w:rsidR="00000000" w:rsidRDefault="0031739B">
            <w:pPr>
              <w:jc w:val="center"/>
              <w:rPr>
                <w:spacing w:val="0"/>
                <w:sz w:val="21"/>
              </w:rPr>
            </w:pPr>
            <w:r>
              <w:rPr>
                <w:spacing w:val="0"/>
                <w:sz w:val="21"/>
              </w:rPr>
              <w:t>1985</w:t>
            </w:r>
          </w:p>
        </w:tc>
        <w:tc>
          <w:tcPr>
            <w:tcW w:w="1302" w:type="dxa"/>
            <w:tcBorders>
              <w:top w:val="single" w:sz="6" w:space="0" w:color="auto"/>
            </w:tcBorders>
          </w:tcPr>
          <w:p w:rsidR="00000000" w:rsidRDefault="0031739B">
            <w:pPr>
              <w:jc w:val="center"/>
              <w:rPr>
                <w:spacing w:val="0"/>
                <w:sz w:val="21"/>
              </w:rPr>
            </w:pPr>
            <w:r>
              <w:rPr>
                <w:spacing w:val="0"/>
                <w:sz w:val="21"/>
              </w:rPr>
              <w:t>1990</w:t>
            </w:r>
          </w:p>
        </w:tc>
        <w:tc>
          <w:tcPr>
            <w:tcW w:w="1266" w:type="dxa"/>
            <w:tcBorders>
              <w:top w:val="single" w:sz="6" w:space="0" w:color="auto"/>
              <w:right w:val="single" w:sz="6" w:space="0" w:color="auto"/>
            </w:tcBorders>
          </w:tcPr>
          <w:p w:rsidR="00000000" w:rsidRDefault="0031739B">
            <w:pPr>
              <w:jc w:val="center"/>
              <w:rPr>
                <w:spacing w:val="0"/>
                <w:sz w:val="21"/>
              </w:rPr>
            </w:pPr>
            <w:r>
              <w:rPr>
                <w:spacing w:val="0"/>
                <w:sz w:val="21"/>
              </w:rPr>
              <w:t>1997</w:t>
            </w:r>
          </w:p>
        </w:tc>
      </w:tr>
      <w:tr w:rsidR="00000000">
        <w:tblPrEx>
          <w:tblCellMar>
            <w:top w:w="0" w:type="dxa"/>
            <w:bottom w:w="0" w:type="dxa"/>
          </w:tblCellMar>
        </w:tblPrEx>
        <w:trPr>
          <w:cantSplit/>
        </w:trPr>
        <w:tc>
          <w:tcPr>
            <w:tcW w:w="1980" w:type="dxa"/>
            <w:tcBorders>
              <w:top w:val="single" w:sz="6" w:space="0" w:color="auto"/>
              <w:left w:val="single" w:sz="6" w:space="0" w:color="auto"/>
            </w:tcBorders>
          </w:tcPr>
          <w:p w:rsidR="00000000" w:rsidRDefault="0031739B">
            <w:pPr>
              <w:spacing w:before="60"/>
              <w:jc w:val="center"/>
              <w:rPr>
                <w:spacing w:val="0"/>
                <w:sz w:val="21"/>
              </w:rPr>
            </w:pPr>
            <w:r>
              <w:rPr>
                <w:rFonts w:hint="eastAsia"/>
                <w:spacing w:val="0"/>
                <w:sz w:val="21"/>
              </w:rPr>
              <w:t>总</w:t>
            </w:r>
            <w:r>
              <w:rPr>
                <w:spacing w:val="0"/>
                <w:sz w:val="21"/>
              </w:rPr>
              <w:t xml:space="preserve">  </w:t>
            </w:r>
            <w:r>
              <w:rPr>
                <w:rFonts w:hint="eastAsia"/>
                <w:spacing w:val="0"/>
                <w:sz w:val="21"/>
              </w:rPr>
              <w:t>计</w:t>
            </w:r>
          </w:p>
        </w:tc>
        <w:tc>
          <w:tcPr>
            <w:tcW w:w="1188" w:type="dxa"/>
            <w:tcBorders>
              <w:top w:val="single" w:sz="6" w:space="0" w:color="auto"/>
              <w:left w:val="single" w:sz="6" w:space="0" w:color="auto"/>
            </w:tcBorders>
          </w:tcPr>
          <w:p w:rsidR="00000000" w:rsidRDefault="0031739B">
            <w:pPr>
              <w:spacing w:before="60"/>
              <w:jc w:val="center"/>
              <w:rPr>
                <w:spacing w:val="0"/>
                <w:sz w:val="21"/>
              </w:rPr>
            </w:pPr>
            <w:r>
              <w:rPr>
                <w:spacing w:val="0"/>
                <w:sz w:val="21"/>
              </w:rPr>
              <w:t>0.70</w:t>
            </w:r>
          </w:p>
        </w:tc>
        <w:tc>
          <w:tcPr>
            <w:tcW w:w="1188" w:type="dxa"/>
            <w:tcBorders>
              <w:top w:val="single" w:sz="6" w:space="0" w:color="auto"/>
            </w:tcBorders>
          </w:tcPr>
          <w:p w:rsidR="00000000" w:rsidRDefault="0031739B">
            <w:pPr>
              <w:spacing w:before="60"/>
              <w:jc w:val="center"/>
              <w:rPr>
                <w:spacing w:val="0"/>
                <w:sz w:val="21"/>
              </w:rPr>
            </w:pPr>
            <w:r>
              <w:rPr>
                <w:spacing w:val="0"/>
                <w:sz w:val="21"/>
              </w:rPr>
              <w:t>1.08</w:t>
            </w:r>
          </w:p>
        </w:tc>
        <w:tc>
          <w:tcPr>
            <w:tcW w:w="1242" w:type="dxa"/>
            <w:tcBorders>
              <w:top w:val="single" w:sz="6" w:space="0" w:color="auto"/>
            </w:tcBorders>
          </w:tcPr>
          <w:p w:rsidR="00000000" w:rsidRDefault="0031739B">
            <w:pPr>
              <w:spacing w:before="60"/>
              <w:jc w:val="center"/>
              <w:rPr>
                <w:spacing w:val="0"/>
                <w:sz w:val="21"/>
              </w:rPr>
            </w:pPr>
            <w:r>
              <w:rPr>
                <w:spacing w:val="0"/>
                <w:sz w:val="21"/>
              </w:rPr>
              <w:t>0.72</w:t>
            </w:r>
          </w:p>
        </w:tc>
        <w:tc>
          <w:tcPr>
            <w:tcW w:w="1188" w:type="dxa"/>
            <w:tcBorders>
              <w:top w:val="single" w:sz="6" w:space="0" w:color="auto"/>
              <w:left w:val="single" w:sz="6" w:space="0" w:color="auto"/>
            </w:tcBorders>
          </w:tcPr>
          <w:p w:rsidR="00000000" w:rsidRDefault="0031739B">
            <w:pPr>
              <w:spacing w:before="60"/>
              <w:jc w:val="center"/>
              <w:rPr>
                <w:spacing w:val="0"/>
                <w:sz w:val="21"/>
              </w:rPr>
            </w:pPr>
            <w:r>
              <w:rPr>
                <w:spacing w:val="0"/>
                <w:sz w:val="21"/>
              </w:rPr>
              <w:t>2.8</w:t>
            </w:r>
          </w:p>
        </w:tc>
        <w:tc>
          <w:tcPr>
            <w:tcW w:w="1302" w:type="dxa"/>
            <w:tcBorders>
              <w:top w:val="single" w:sz="6" w:space="0" w:color="auto"/>
            </w:tcBorders>
          </w:tcPr>
          <w:p w:rsidR="00000000" w:rsidRDefault="0031739B">
            <w:pPr>
              <w:spacing w:before="60"/>
              <w:jc w:val="center"/>
              <w:rPr>
                <w:spacing w:val="0"/>
                <w:sz w:val="21"/>
              </w:rPr>
            </w:pPr>
            <w:r>
              <w:rPr>
                <w:spacing w:val="0"/>
                <w:sz w:val="21"/>
              </w:rPr>
              <w:t>2.2</w:t>
            </w:r>
          </w:p>
        </w:tc>
        <w:tc>
          <w:tcPr>
            <w:tcW w:w="1266" w:type="dxa"/>
            <w:tcBorders>
              <w:top w:val="single" w:sz="6" w:space="0" w:color="auto"/>
              <w:right w:val="single" w:sz="6" w:space="0" w:color="auto"/>
            </w:tcBorders>
          </w:tcPr>
          <w:p w:rsidR="00000000" w:rsidRDefault="0031739B">
            <w:pPr>
              <w:spacing w:before="60"/>
              <w:jc w:val="center"/>
              <w:rPr>
                <w:spacing w:val="0"/>
                <w:sz w:val="21"/>
              </w:rPr>
            </w:pPr>
            <w:r>
              <w:rPr>
                <w:spacing w:val="0"/>
                <w:sz w:val="21"/>
              </w:rPr>
              <w:t>3.4</w:t>
            </w:r>
          </w:p>
        </w:tc>
      </w:tr>
      <w:tr w:rsidR="00000000">
        <w:tblPrEx>
          <w:tblCellMar>
            <w:top w:w="0" w:type="dxa"/>
            <w:bottom w:w="0" w:type="dxa"/>
          </w:tblCellMar>
        </w:tblPrEx>
        <w:trPr>
          <w:cantSplit/>
        </w:trPr>
        <w:tc>
          <w:tcPr>
            <w:tcW w:w="1980" w:type="dxa"/>
            <w:tcBorders>
              <w:left w:val="single" w:sz="6" w:space="0" w:color="auto"/>
            </w:tcBorders>
          </w:tcPr>
          <w:p w:rsidR="00000000" w:rsidRDefault="0031739B">
            <w:pPr>
              <w:rPr>
                <w:spacing w:val="0"/>
                <w:sz w:val="21"/>
              </w:rPr>
            </w:pPr>
            <w:r>
              <w:rPr>
                <w:spacing w:val="0"/>
                <w:sz w:val="21"/>
              </w:rPr>
              <w:t>Hokkaido</w:t>
            </w:r>
          </w:p>
        </w:tc>
        <w:tc>
          <w:tcPr>
            <w:tcW w:w="1188" w:type="dxa"/>
            <w:tcBorders>
              <w:left w:val="single" w:sz="6" w:space="0" w:color="auto"/>
            </w:tcBorders>
          </w:tcPr>
          <w:p w:rsidR="00000000" w:rsidRDefault="0031739B">
            <w:pPr>
              <w:jc w:val="center"/>
              <w:rPr>
                <w:spacing w:val="0"/>
                <w:sz w:val="21"/>
              </w:rPr>
            </w:pPr>
            <w:r>
              <w:rPr>
                <w:spacing w:val="0"/>
                <w:sz w:val="21"/>
              </w:rPr>
              <w:t>0.44</w:t>
            </w:r>
          </w:p>
        </w:tc>
        <w:tc>
          <w:tcPr>
            <w:tcW w:w="1188" w:type="dxa"/>
          </w:tcPr>
          <w:p w:rsidR="00000000" w:rsidRDefault="0031739B">
            <w:pPr>
              <w:jc w:val="center"/>
              <w:rPr>
                <w:spacing w:val="0"/>
                <w:sz w:val="21"/>
              </w:rPr>
            </w:pPr>
            <w:r>
              <w:rPr>
                <w:spacing w:val="0"/>
                <w:sz w:val="21"/>
              </w:rPr>
              <w:t>0.66</w:t>
            </w:r>
          </w:p>
        </w:tc>
        <w:tc>
          <w:tcPr>
            <w:tcW w:w="1242" w:type="dxa"/>
          </w:tcPr>
          <w:p w:rsidR="00000000" w:rsidRDefault="0031739B">
            <w:pPr>
              <w:jc w:val="center"/>
              <w:rPr>
                <w:spacing w:val="0"/>
                <w:sz w:val="21"/>
              </w:rPr>
            </w:pPr>
            <w:r>
              <w:rPr>
                <w:spacing w:val="0"/>
                <w:sz w:val="21"/>
              </w:rPr>
              <w:t>0.54</w:t>
            </w:r>
          </w:p>
        </w:tc>
        <w:tc>
          <w:tcPr>
            <w:tcW w:w="1188" w:type="dxa"/>
            <w:tcBorders>
              <w:left w:val="single" w:sz="6" w:space="0" w:color="auto"/>
            </w:tcBorders>
          </w:tcPr>
          <w:p w:rsidR="00000000" w:rsidRDefault="0031739B">
            <w:pPr>
              <w:jc w:val="center"/>
              <w:rPr>
                <w:spacing w:val="0"/>
                <w:sz w:val="21"/>
              </w:rPr>
            </w:pPr>
            <w:r>
              <w:rPr>
                <w:spacing w:val="0"/>
                <w:sz w:val="21"/>
              </w:rPr>
              <w:t>4.2</w:t>
            </w:r>
          </w:p>
        </w:tc>
        <w:tc>
          <w:tcPr>
            <w:tcW w:w="1302" w:type="dxa"/>
          </w:tcPr>
          <w:p w:rsidR="00000000" w:rsidRDefault="0031739B">
            <w:pPr>
              <w:jc w:val="center"/>
              <w:rPr>
                <w:spacing w:val="0"/>
                <w:sz w:val="21"/>
              </w:rPr>
            </w:pPr>
            <w:r>
              <w:rPr>
                <w:spacing w:val="0"/>
                <w:sz w:val="21"/>
              </w:rPr>
              <w:t>2.9</w:t>
            </w:r>
          </w:p>
        </w:tc>
        <w:tc>
          <w:tcPr>
            <w:tcW w:w="1266" w:type="dxa"/>
            <w:tcBorders>
              <w:right w:val="single" w:sz="6" w:space="0" w:color="auto"/>
            </w:tcBorders>
          </w:tcPr>
          <w:p w:rsidR="00000000" w:rsidRDefault="0031739B">
            <w:pPr>
              <w:jc w:val="center"/>
              <w:rPr>
                <w:spacing w:val="0"/>
                <w:sz w:val="21"/>
              </w:rPr>
            </w:pPr>
            <w:r>
              <w:rPr>
                <w:spacing w:val="0"/>
                <w:sz w:val="21"/>
              </w:rPr>
              <w:t>3.8</w:t>
            </w:r>
          </w:p>
        </w:tc>
      </w:tr>
      <w:tr w:rsidR="00000000">
        <w:tblPrEx>
          <w:tblCellMar>
            <w:top w:w="0" w:type="dxa"/>
            <w:bottom w:w="0" w:type="dxa"/>
          </w:tblCellMar>
        </w:tblPrEx>
        <w:trPr>
          <w:cantSplit/>
        </w:trPr>
        <w:tc>
          <w:tcPr>
            <w:tcW w:w="1980" w:type="dxa"/>
            <w:tcBorders>
              <w:left w:val="single" w:sz="6" w:space="0" w:color="auto"/>
            </w:tcBorders>
          </w:tcPr>
          <w:p w:rsidR="00000000" w:rsidRDefault="0031739B">
            <w:pPr>
              <w:rPr>
                <w:spacing w:val="0"/>
                <w:sz w:val="21"/>
              </w:rPr>
            </w:pPr>
            <w:r>
              <w:rPr>
                <w:spacing w:val="0"/>
                <w:sz w:val="21"/>
              </w:rPr>
              <w:t>Tohoku</w:t>
            </w:r>
          </w:p>
        </w:tc>
        <w:tc>
          <w:tcPr>
            <w:tcW w:w="1188" w:type="dxa"/>
            <w:tcBorders>
              <w:left w:val="single" w:sz="6" w:space="0" w:color="auto"/>
            </w:tcBorders>
          </w:tcPr>
          <w:p w:rsidR="00000000" w:rsidRDefault="0031739B">
            <w:pPr>
              <w:jc w:val="center"/>
              <w:rPr>
                <w:spacing w:val="0"/>
                <w:sz w:val="21"/>
              </w:rPr>
            </w:pPr>
            <w:r>
              <w:rPr>
                <w:spacing w:val="0"/>
                <w:sz w:val="21"/>
              </w:rPr>
              <w:t>0.56</w:t>
            </w:r>
          </w:p>
        </w:tc>
        <w:tc>
          <w:tcPr>
            <w:tcW w:w="1188" w:type="dxa"/>
          </w:tcPr>
          <w:p w:rsidR="00000000" w:rsidRDefault="0031739B">
            <w:pPr>
              <w:jc w:val="center"/>
              <w:rPr>
                <w:spacing w:val="0"/>
                <w:sz w:val="21"/>
              </w:rPr>
            </w:pPr>
            <w:r>
              <w:rPr>
                <w:spacing w:val="0"/>
                <w:sz w:val="21"/>
              </w:rPr>
              <w:t>1.02</w:t>
            </w:r>
          </w:p>
        </w:tc>
        <w:tc>
          <w:tcPr>
            <w:tcW w:w="1242" w:type="dxa"/>
          </w:tcPr>
          <w:p w:rsidR="00000000" w:rsidRDefault="0031739B">
            <w:pPr>
              <w:jc w:val="center"/>
              <w:rPr>
                <w:spacing w:val="0"/>
                <w:sz w:val="21"/>
              </w:rPr>
            </w:pPr>
            <w:r>
              <w:rPr>
                <w:spacing w:val="0"/>
                <w:sz w:val="21"/>
              </w:rPr>
              <w:t>0.80</w:t>
            </w:r>
          </w:p>
        </w:tc>
        <w:tc>
          <w:tcPr>
            <w:tcW w:w="1188" w:type="dxa"/>
            <w:tcBorders>
              <w:left w:val="single" w:sz="6" w:space="0" w:color="auto"/>
            </w:tcBorders>
          </w:tcPr>
          <w:p w:rsidR="00000000" w:rsidRDefault="0031739B">
            <w:pPr>
              <w:jc w:val="center"/>
              <w:rPr>
                <w:spacing w:val="0"/>
                <w:sz w:val="21"/>
              </w:rPr>
            </w:pPr>
            <w:r>
              <w:rPr>
                <w:spacing w:val="0"/>
                <w:sz w:val="21"/>
              </w:rPr>
              <w:t>2.9</w:t>
            </w:r>
          </w:p>
        </w:tc>
        <w:tc>
          <w:tcPr>
            <w:tcW w:w="1302" w:type="dxa"/>
          </w:tcPr>
          <w:p w:rsidR="00000000" w:rsidRDefault="0031739B">
            <w:pPr>
              <w:jc w:val="center"/>
              <w:rPr>
                <w:spacing w:val="0"/>
                <w:sz w:val="21"/>
              </w:rPr>
            </w:pPr>
            <w:r>
              <w:rPr>
                <w:spacing w:val="0"/>
                <w:sz w:val="21"/>
              </w:rPr>
              <w:t>1.9</w:t>
            </w:r>
          </w:p>
        </w:tc>
        <w:tc>
          <w:tcPr>
            <w:tcW w:w="1266" w:type="dxa"/>
            <w:tcBorders>
              <w:right w:val="single" w:sz="6" w:space="0" w:color="auto"/>
            </w:tcBorders>
          </w:tcPr>
          <w:p w:rsidR="00000000" w:rsidRDefault="0031739B">
            <w:pPr>
              <w:jc w:val="center"/>
              <w:rPr>
                <w:spacing w:val="0"/>
                <w:sz w:val="21"/>
              </w:rPr>
            </w:pPr>
            <w:r>
              <w:rPr>
                <w:spacing w:val="0"/>
                <w:sz w:val="21"/>
              </w:rPr>
              <w:t>2.9</w:t>
            </w:r>
          </w:p>
        </w:tc>
      </w:tr>
      <w:tr w:rsidR="00000000">
        <w:tblPrEx>
          <w:tblCellMar>
            <w:top w:w="0" w:type="dxa"/>
            <w:bottom w:w="0" w:type="dxa"/>
          </w:tblCellMar>
        </w:tblPrEx>
        <w:trPr>
          <w:cantSplit/>
        </w:trPr>
        <w:tc>
          <w:tcPr>
            <w:tcW w:w="1980" w:type="dxa"/>
            <w:tcBorders>
              <w:left w:val="single" w:sz="6" w:space="0" w:color="auto"/>
            </w:tcBorders>
          </w:tcPr>
          <w:p w:rsidR="00000000" w:rsidRDefault="0031739B">
            <w:pPr>
              <w:rPr>
                <w:spacing w:val="0"/>
                <w:sz w:val="21"/>
              </w:rPr>
            </w:pPr>
            <w:r>
              <w:rPr>
                <w:spacing w:val="0"/>
                <w:sz w:val="21"/>
              </w:rPr>
              <w:t>South Kanto</w:t>
            </w:r>
          </w:p>
        </w:tc>
        <w:tc>
          <w:tcPr>
            <w:tcW w:w="1188" w:type="dxa"/>
            <w:tcBorders>
              <w:left w:val="single" w:sz="6" w:space="0" w:color="auto"/>
            </w:tcBorders>
          </w:tcPr>
          <w:p w:rsidR="00000000" w:rsidRDefault="0031739B">
            <w:pPr>
              <w:jc w:val="center"/>
              <w:rPr>
                <w:spacing w:val="0"/>
                <w:sz w:val="21"/>
              </w:rPr>
            </w:pPr>
            <w:r>
              <w:rPr>
                <w:spacing w:val="0"/>
                <w:sz w:val="21"/>
              </w:rPr>
              <w:t>0.84</w:t>
            </w:r>
          </w:p>
        </w:tc>
        <w:tc>
          <w:tcPr>
            <w:tcW w:w="1188" w:type="dxa"/>
          </w:tcPr>
          <w:p w:rsidR="00000000" w:rsidRDefault="0031739B">
            <w:pPr>
              <w:jc w:val="center"/>
              <w:rPr>
                <w:spacing w:val="0"/>
                <w:sz w:val="21"/>
              </w:rPr>
            </w:pPr>
            <w:r>
              <w:rPr>
                <w:spacing w:val="0"/>
                <w:sz w:val="21"/>
              </w:rPr>
              <w:t>0.96</w:t>
            </w:r>
          </w:p>
        </w:tc>
        <w:tc>
          <w:tcPr>
            <w:tcW w:w="1242" w:type="dxa"/>
          </w:tcPr>
          <w:p w:rsidR="00000000" w:rsidRDefault="0031739B">
            <w:pPr>
              <w:jc w:val="center"/>
              <w:rPr>
                <w:spacing w:val="0"/>
                <w:sz w:val="21"/>
              </w:rPr>
            </w:pPr>
            <w:r>
              <w:rPr>
                <w:spacing w:val="0"/>
                <w:sz w:val="21"/>
              </w:rPr>
              <w:t>0.58</w:t>
            </w:r>
          </w:p>
        </w:tc>
        <w:tc>
          <w:tcPr>
            <w:tcW w:w="1188" w:type="dxa"/>
            <w:tcBorders>
              <w:left w:val="single" w:sz="6" w:space="0" w:color="auto"/>
            </w:tcBorders>
          </w:tcPr>
          <w:p w:rsidR="00000000" w:rsidRDefault="0031739B">
            <w:pPr>
              <w:jc w:val="center"/>
              <w:rPr>
                <w:spacing w:val="0"/>
                <w:sz w:val="21"/>
              </w:rPr>
            </w:pPr>
            <w:r>
              <w:rPr>
                <w:spacing w:val="0"/>
                <w:sz w:val="21"/>
              </w:rPr>
              <w:t>2.7</w:t>
            </w:r>
          </w:p>
        </w:tc>
        <w:tc>
          <w:tcPr>
            <w:tcW w:w="1302" w:type="dxa"/>
          </w:tcPr>
          <w:p w:rsidR="00000000" w:rsidRDefault="0031739B">
            <w:pPr>
              <w:jc w:val="center"/>
              <w:rPr>
                <w:spacing w:val="0"/>
                <w:sz w:val="21"/>
              </w:rPr>
            </w:pPr>
            <w:r>
              <w:rPr>
                <w:spacing w:val="0"/>
                <w:sz w:val="21"/>
              </w:rPr>
              <w:t>2.4</w:t>
            </w:r>
          </w:p>
        </w:tc>
        <w:tc>
          <w:tcPr>
            <w:tcW w:w="1266" w:type="dxa"/>
            <w:tcBorders>
              <w:right w:val="single" w:sz="6" w:space="0" w:color="auto"/>
            </w:tcBorders>
          </w:tcPr>
          <w:p w:rsidR="00000000" w:rsidRDefault="0031739B">
            <w:pPr>
              <w:jc w:val="center"/>
              <w:rPr>
                <w:spacing w:val="0"/>
                <w:sz w:val="21"/>
              </w:rPr>
            </w:pPr>
            <w:r>
              <w:rPr>
                <w:spacing w:val="0"/>
                <w:sz w:val="21"/>
              </w:rPr>
              <w:t>3.8</w:t>
            </w:r>
          </w:p>
        </w:tc>
      </w:tr>
      <w:tr w:rsidR="00000000">
        <w:tblPrEx>
          <w:tblCellMar>
            <w:top w:w="0" w:type="dxa"/>
            <w:bottom w:w="0" w:type="dxa"/>
          </w:tblCellMar>
        </w:tblPrEx>
        <w:trPr>
          <w:cantSplit/>
        </w:trPr>
        <w:tc>
          <w:tcPr>
            <w:tcW w:w="1980" w:type="dxa"/>
            <w:tcBorders>
              <w:left w:val="single" w:sz="6" w:space="0" w:color="auto"/>
            </w:tcBorders>
          </w:tcPr>
          <w:p w:rsidR="00000000" w:rsidRDefault="0031739B">
            <w:pPr>
              <w:rPr>
                <w:spacing w:val="0"/>
                <w:sz w:val="21"/>
              </w:rPr>
            </w:pPr>
            <w:r>
              <w:rPr>
                <w:spacing w:val="0"/>
                <w:sz w:val="21"/>
              </w:rPr>
              <w:t>North Kanto, Koshin</w:t>
            </w:r>
          </w:p>
        </w:tc>
        <w:tc>
          <w:tcPr>
            <w:tcW w:w="1188" w:type="dxa"/>
            <w:tcBorders>
              <w:left w:val="single" w:sz="6" w:space="0" w:color="auto"/>
            </w:tcBorders>
          </w:tcPr>
          <w:p w:rsidR="00000000" w:rsidRDefault="0031739B">
            <w:pPr>
              <w:jc w:val="center"/>
              <w:rPr>
                <w:spacing w:val="0"/>
                <w:sz w:val="21"/>
              </w:rPr>
            </w:pPr>
            <w:r>
              <w:rPr>
                <w:spacing w:val="0"/>
                <w:sz w:val="21"/>
              </w:rPr>
              <w:t>1.17</w:t>
            </w:r>
          </w:p>
        </w:tc>
        <w:tc>
          <w:tcPr>
            <w:tcW w:w="1188" w:type="dxa"/>
          </w:tcPr>
          <w:p w:rsidR="00000000" w:rsidRDefault="0031739B">
            <w:pPr>
              <w:jc w:val="center"/>
              <w:rPr>
                <w:spacing w:val="0"/>
                <w:sz w:val="21"/>
              </w:rPr>
            </w:pPr>
            <w:r>
              <w:rPr>
                <w:spacing w:val="0"/>
                <w:sz w:val="21"/>
              </w:rPr>
              <w:t>1.74</w:t>
            </w:r>
          </w:p>
        </w:tc>
        <w:tc>
          <w:tcPr>
            <w:tcW w:w="1242" w:type="dxa"/>
          </w:tcPr>
          <w:p w:rsidR="00000000" w:rsidRDefault="0031739B">
            <w:pPr>
              <w:jc w:val="center"/>
              <w:rPr>
                <w:spacing w:val="0"/>
                <w:sz w:val="21"/>
              </w:rPr>
            </w:pPr>
            <w:r>
              <w:rPr>
                <w:spacing w:val="0"/>
                <w:sz w:val="21"/>
              </w:rPr>
              <w:t>1.02</w:t>
            </w:r>
          </w:p>
        </w:tc>
        <w:tc>
          <w:tcPr>
            <w:tcW w:w="1188" w:type="dxa"/>
            <w:tcBorders>
              <w:left w:val="single" w:sz="6" w:space="0" w:color="auto"/>
            </w:tcBorders>
          </w:tcPr>
          <w:p w:rsidR="00000000" w:rsidRDefault="0031739B">
            <w:pPr>
              <w:jc w:val="center"/>
              <w:rPr>
                <w:spacing w:val="0"/>
                <w:sz w:val="21"/>
              </w:rPr>
            </w:pPr>
            <w:r>
              <w:rPr>
                <w:spacing w:val="0"/>
                <w:sz w:val="21"/>
              </w:rPr>
              <w:t>1.8</w:t>
            </w:r>
          </w:p>
        </w:tc>
        <w:tc>
          <w:tcPr>
            <w:tcW w:w="1302" w:type="dxa"/>
          </w:tcPr>
          <w:p w:rsidR="00000000" w:rsidRDefault="0031739B">
            <w:pPr>
              <w:jc w:val="center"/>
              <w:rPr>
                <w:spacing w:val="0"/>
                <w:sz w:val="21"/>
              </w:rPr>
            </w:pPr>
            <w:r>
              <w:rPr>
                <w:spacing w:val="0"/>
                <w:sz w:val="21"/>
              </w:rPr>
              <w:t>1.5</w:t>
            </w:r>
          </w:p>
        </w:tc>
        <w:tc>
          <w:tcPr>
            <w:tcW w:w="1266" w:type="dxa"/>
            <w:tcBorders>
              <w:right w:val="single" w:sz="6" w:space="0" w:color="auto"/>
            </w:tcBorders>
          </w:tcPr>
          <w:p w:rsidR="00000000" w:rsidRDefault="0031739B">
            <w:pPr>
              <w:jc w:val="center"/>
              <w:rPr>
                <w:spacing w:val="0"/>
                <w:sz w:val="21"/>
              </w:rPr>
            </w:pPr>
            <w:r>
              <w:rPr>
                <w:spacing w:val="0"/>
                <w:sz w:val="21"/>
              </w:rPr>
              <w:t>2.5</w:t>
            </w:r>
          </w:p>
        </w:tc>
      </w:tr>
      <w:tr w:rsidR="00000000">
        <w:tblPrEx>
          <w:tblCellMar>
            <w:top w:w="0" w:type="dxa"/>
            <w:bottom w:w="0" w:type="dxa"/>
          </w:tblCellMar>
        </w:tblPrEx>
        <w:trPr>
          <w:cantSplit/>
        </w:trPr>
        <w:tc>
          <w:tcPr>
            <w:tcW w:w="1980" w:type="dxa"/>
            <w:tcBorders>
              <w:left w:val="single" w:sz="6" w:space="0" w:color="auto"/>
            </w:tcBorders>
          </w:tcPr>
          <w:p w:rsidR="00000000" w:rsidRDefault="0031739B">
            <w:pPr>
              <w:rPr>
                <w:spacing w:val="0"/>
                <w:sz w:val="21"/>
              </w:rPr>
            </w:pPr>
            <w:r>
              <w:rPr>
                <w:spacing w:val="0"/>
                <w:sz w:val="21"/>
              </w:rPr>
              <w:t>Hokuriku</w:t>
            </w:r>
          </w:p>
        </w:tc>
        <w:tc>
          <w:tcPr>
            <w:tcW w:w="1188" w:type="dxa"/>
            <w:tcBorders>
              <w:left w:val="single" w:sz="6" w:space="0" w:color="auto"/>
            </w:tcBorders>
          </w:tcPr>
          <w:p w:rsidR="00000000" w:rsidRDefault="0031739B">
            <w:pPr>
              <w:jc w:val="center"/>
              <w:rPr>
                <w:spacing w:val="0"/>
                <w:sz w:val="21"/>
              </w:rPr>
            </w:pPr>
            <w:r>
              <w:rPr>
                <w:spacing w:val="0"/>
                <w:sz w:val="21"/>
              </w:rPr>
              <w:t>0.87</w:t>
            </w:r>
          </w:p>
        </w:tc>
        <w:tc>
          <w:tcPr>
            <w:tcW w:w="1188" w:type="dxa"/>
          </w:tcPr>
          <w:p w:rsidR="00000000" w:rsidRDefault="0031739B">
            <w:pPr>
              <w:jc w:val="center"/>
              <w:rPr>
                <w:spacing w:val="0"/>
                <w:sz w:val="21"/>
              </w:rPr>
            </w:pPr>
            <w:r>
              <w:rPr>
                <w:spacing w:val="0"/>
                <w:sz w:val="21"/>
              </w:rPr>
              <w:t>1.63</w:t>
            </w:r>
          </w:p>
        </w:tc>
        <w:tc>
          <w:tcPr>
            <w:tcW w:w="1242" w:type="dxa"/>
          </w:tcPr>
          <w:p w:rsidR="00000000" w:rsidRDefault="0031739B">
            <w:pPr>
              <w:jc w:val="center"/>
              <w:rPr>
                <w:spacing w:val="0"/>
                <w:sz w:val="21"/>
              </w:rPr>
            </w:pPr>
            <w:r>
              <w:rPr>
                <w:spacing w:val="0"/>
                <w:sz w:val="21"/>
              </w:rPr>
              <w:t>1.08</w:t>
            </w:r>
          </w:p>
        </w:tc>
        <w:tc>
          <w:tcPr>
            <w:tcW w:w="1188" w:type="dxa"/>
            <w:tcBorders>
              <w:left w:val="single" w:sz="6" w:space="0" w:color="auto"/>
            </w:tcBorders>
          </w:tcPr>
          <w:p w:rsidR="00000000" w:rsidRDefault="0031739B">
            <w:pPr>
              <w:jc w:val="center"/>
              <w:rPr>
                <w:spacing w:val="0"/>
                <w:sz w:val="21"/>
              </w:rPr>
            </w:pPr>
            <w:r>
              <w:rPr>
                <w:spacing w:val="0"/>
                <w:sz w:val="21"/>
              </w:rPr>
              <w:t>2.4</w:t>
            </w:r>
          </w:p>
        </w:tc>
        <w:tc>
          <w:tcPr>
            <w:tcW w:w="1302" w:type="dxa"/>
          </w:tcPr>
          <w:p w:rsidR="00000000" w:rsidRDefault="0031739B">
            <w:pPr>
              <w:jc w:val="center"/>
              <w:rPr>
                <w:spacing w:val="0"/>
                <w:sz w:val="21"/>
              </w:rPr>
            </w:pPr>
            <w:r>
              <w:rPr>
                <w:spacing w:val="0"/>
                <w:sz w:val="21"/>
              </w:rPr>
              <w:t>1.6</w:t>
            </w:r>
          </w:p>
        </w:tc>
        <w:tc>
          <w:tcPr>
            <w:tcW w:w="1266" w:type="dxa"/>
            <w:tcBorders>
              <w:right w:val="single" w:sz="6" w:space="0" w:color="auto"/>
            </w:tcBorders>
          </w:tcPr>
          <w:p w:rsidR="00000000" w:rsidRDefault="0031739B">
            <w:pPr>
              <w:jc w:val="center"/>
              <w:rPr>
                <w:spacing w:val="0"/>
                <w:sz w:val="21"/>
              </w:rPr>
            </w:pPr>
            <w:r>
              <w:rPr>
                <w:spacing w:val="0"/>
                <w:sz w:val="21"/>
              </w:rPr>
              <w:t>2.6</w:t>
            </w:r>
          </w:p>
        </w:tc>
      </w:tr>
      <w:tr w:rsidR="00000000">
        <w:tblPrEx>
          <w:tblCellMar>
            <w:top w:w="0" w:type="dxa"/>
            <w:bottom w:w="0" w:type="dxa"/>
          </w:tblCellMar>
        </w:tblPrEx>
        <w:trPr>
          <w:cantSplit/>
        </w:trPr>
        <w:tc>
          <w:tcPr>
            <w:tcW w:w="1980" w:type="dxa"/>
            <w:tcBorders>
              <w:left w:val="single" w:sz="6" w:space="0" w:color="auto"/>
            </w:tcBorders>
          </w:tcPr>
          <w:p w:rsidR="00000000" w:rsidRDefault="0031739B">
            <w:pPr>
              <w:rPr>
                <w:spacing w:val="0"/>
                <w:sz w:val="21"/>
              </w:rPr>
            </w:pPr>
            <w:r>
              <w:rPr>
                <w:spacing w:val="0"/>
                <w:sz w:val="21"/>
              </w:rPr>
              <w:t>Tokai</w:t>
            </w:r>
          </w:p>
        </w:tc>
        <w:tc>
          <w:tcPr>
            <w:tcW w:w="1188" w:type="dxa"/>
            <w:tcBorders>
              <w:left w:val="single" w:sz="6" w:space="0" w:color="auto"/>
            </w:tcBorders>
          </w:tcPr>
          <w:p w:rsidR="00000000" w:rsidRDefault="0031739B">
            <w:pPr>
              <w:jc w:val="center"/>
              <w:rPr>
                <w:spacing w:val="0"/>
                <w:sz w:val="21"/>
              </w:rPr>
            </w:pPr>
            <w:r>
              <w:rPr>
                <w:spacing w:val="0"/>
                <w:sz w:val="21"/>
              </w:rPr>
              <w:t>1.12</w:t>
            </w:r>
          </w:p>
        </w:tc>
        <w:tc>
          <w:tcPr>
            <w:tcW w:w="1188" w:type="dxa"/>
          </w:tcPr>
          <w:p w:rsidR="00000000" w:rsidRDefault="0031739B">
            <w:pPr>
              <w:jc w:val="center"/>
              <w:rPr>
                <w:spacing w:val="0"/>
                <w:sz w:val="21"/>
              </w:rPr>
            </w:pPr>
            <w:r>
              <w:rPr>
                <w:spacing w:val="0"/>
                <w:sz w:val="21"/>
              </w:rPr>
              <w:t>1.69</w:t>
            </w:r>
          </w:p>
        </w:tc>
        <w:tc>
          <w:tcPr>
            <w:tcW w:w="1242" w:type="dxa"/>
          </w:tcPr>
          <w:p w:rsidR="00000000" w:rsidRDefault="0031739B">
            <w:pPr>
              <w:jc w:val="center"/>
              <w:rPr>
                <w:spacing w:val="0"/>
                <w:sz w:val="21"/>
              </w:rPr>
            </w:pPr>
            <w:r>
              <w:rPr>
                <w:spacing w:val="0"/>
                <w:sz w:val="21"/>
              </w:rPr>
              <w:t>0.96</w:t>
            </w:r>
          </w:p>
        </w:tc>
        <w:tc>
          <w:tcPr>
            <w:tcW w:w="1188" w:type="dxa"/>
            <w:tcBorders>
              <w:left w:val="single" w:sz="6" w:space="0" w:color="auto"/>
            </w:tcBorders>
          </w:tcPr>
          <w:p w:rsidR="00000000" w:rsidRDefault="0031739B">
            <w:pPr>
              <w:jc w:val="center"/>
              <w:rPr>
                <w:spacing w:val="0"/>
                <w:sz w:val="21"/>
              </w:rPr>
            </w:pPr>
            <w:r>
              <w:rPr>
                <w:spacing w:val="0"/>
                <w:sz w:val="21"/>
              </w:rPr>
              <w:t>2.0</w:t>
            </w:r>
          </w:p>
        </w:tc>
        <w:tc>
          <w:tcPr>
            <w:tcW w:w="1302" w:type="dxa"/>
          </w:tcPr>
          <w:p w:rsidR="00000000" w:rsidRDefault="0031739B">
            <w:pPr>
              <w:jc w:val="center"/>
              <w:rPr>
                <w:spacing w:val="0"/>
                <w:sz w:val="21"/>
              </w:rPr>
            </w:pPr>
            <w:r>
              <w:rPr>
                <w:spacing w:val="0"/>
                <w:sz w:val="21"/>
              </w:rPr>
              <w:t>1.6</w:t>
            </w:r>
          </w:p>
        </w:tc>
        <w:tc>
          <w:tcPr>
            <w:tcW w:w="1266" w:type="dxa"/>
            <w:tcBorders>
              <w:right w:val="single" w:sz="6" w:space="0" w:color="auto"/>
            </w:tcBorders>
          </w:tcPr>
          <w:p w:rsidR="00000000" w:rsidRDefault="0031739B">
            <w:pPr>
              <w:jc w:val="center"/>
              <w:rPr>
                <w:spacing w:val="0"/>
                <w:sz w:val="21"/>
              </w:rPr>
            </w:pPr>
            <w:r>
              <w:rPr>
                <w:spacing w:val="0"/>
                <w:sz w:val="21"/>
              </w:rPr>
              <w:t>2.7</w:t>
            </w:r>
          </w:p>
        </w:tc>
      </w:tr>
      <w:tr w:rsidR="00000000">
        <w:tblPrEx>
          <w:tblCellMar>
            <w:top w:w="0" w:type="dxa"/>
            <w:bottom w:w="0" w:type="dxa"/>
          </w:tblCellMar>
        </w:tblPrEx>
        <w:trPr>
          <w:cantSplit/>
        </w:trPr>
        <w:tc>
          <w:tcPr>
            <w:tcW w:w="1980" w:type="dxa"/>
            <w:tcBorders>
              <w:left w:val="single" w:sz="6" w:space="0" w:color="auto"/>
            </w:tcBorders>
          </w:tcPr>
          <w:p w:rsidR="00000000" w:rsidRDefault="0031739B">
            <w:pPr>
              <w:rPr>
                <w:spacing w:val="0"/>
                <w:sz w:val="21"/>
              </w:rPr>
            </w:pPr>
            <w:r>
              <w:rPr>
                <w:spacing w:val="0"/>
                <w:sz w:val="21"/>
              </w:rPr>
              <w:t>Kinki</w:t>
            </w:r>
          </w:p>
        </w:tc>
        <w:tc>
          <w:tcPr>
            <w:tcW w:w="1188" w:type="dxa"/>
            <w:tcBorders>
              <w:left w:val="single" w:sz="6" w:space="0" w:color="auto"/>
            </w:tcBorders>
          </w:tcPr>
          <w:p w:rsidR="00000000" w:rsidRDefault="0031739B">
            <w:pPr>
              <w:jc w:val="center"/>
              <w:rPr>
                <w:spacing w:val="0"/>
                <w:sz w:val="21"/>
              </w:rPr>
            </w:pPr>
            <w:r>
              <w:rPr>
                <w:spacing w:val="0"/>
                <w:sz w:val="21"/>
              </w:rPr>
              <w:t>0.55</w:t>
            </w:r>
          </w:p>
        </w:tc>
        <w:tc>
          <w:tcPr>
            <w:tcW w:w="1188" w:type="dxa"/>
          </w:tcPr>
          <w:p w:rsidR="00000000" w:rsidRDefault="0031739B">
            <w:pPr>
              <w:jc w:val="center"/>
              <w:rPr>
                <w:spacing w:val="0"/>
                <w:sz w:val="21"/>
              </w:rPr>
            </w:pPr>
            <w:r>
              <w:rPr>
                <w:spacing w:val="0"/>
                <w:sz w:val="21"/>
              </w:rPr>
              <w:t>0.85</w:t>
            </w:r>
          </w:p>
        </w:tc>
        <w:tc>
          <w:tcPr>
            <w:tcW w:w="1242" w:type="dxa"/>
          </w:tcPr>
          <w:p w:rsidR="00000000" w:rsidRDefault="0031739B">
            <w:pPr>
              <w:jc w:val="center"/>
              <w:rPr>
                <w:spacing w:val="0"/>
                <w:sz w:val="21"/>
              </w:rPr>
            </w:pPr>
            <w:r>
              <w:rPr>
                <w:spacing w:val="0"/>
                <w:sz w:val="21"/>
              </w:rPr>
              <w:t>0.60</w:t>
            </w:r>
          </w:p>
        </w:tc>
        <w:tc>
          <w:tcPr>
            <w:tcW w:w="1188" w:type="dxa"/>
            <w:tcBorders>
              <w:left w:val="single" w:sz="6" w:space="0" w:color="auto"/>
            </w:tcBorders>
          </w:tcPr>
          <w:p w:rsidR="00000000" w:rsidRDefault="0031739B">
            <w:pPr>
              <w:jc w:val="center"/>
              <w:rPr>
                <w:spacing w:val="0"/>
                <w:sz w:val="21"/>
              </w:rPr>
            </w:pPr>
            <w:r>
              <w:rPr>
                <w:spacing w:val="0"/>
                <w:sz w:val="21"/>
              </w:rPr>
              <w:t>3.3</w:t>
            </w:r>
          </w:p>
        </w:tc>
        <w:tc>
          <w:tcPr>
            <w:tcW w:w="1302" w:type="dxa"/>
          </w:tcPr>
          <w:p w:rsidR="00000000" w:rsidRDefault="0031739B">
            <w:pPr>
              <w:jc w:val="center"/>
              <w:rPr>
                <w:spacing w:val="0"/>
                <w:sz w:val="21"/>
              </w:rPr>
            </w:pPr>
            <w:r>
              <w:rPr>
                <w:spacing w:val="0"/>
                <w:sz w:val="21"/>
              </w:rPr>
              <w:t>2.5</w:t>
            </w:r>
          </w:p>
        </w:tc>
        <w:tc>
          <w:tcPr>
            <w:tcW w:w="1266" w:type="dxa"/>
            <w:tcBorders>
              <w:right w:val="single" w:sz="6" w:space="0" w:color="auto"/>
            </w:tcBorders>
          </w:tcPr>
          <w:p w:rsidR="00000000" w:rsidRDefault="0031739B">
            <w:pPr>
              <w:jc w:val="center"/>
              <w:rPr>
                <w:spacing w:val="0"/>
                <w:sz w:val="21"/>
              </w:rPr>
            </w:pPr>
            <w:r>
              <w:rPr>
                <w:spacing w:val="0"/>
                <w:sz w:val="21"/>
              </w:rPr>
              <w:t>4.0</w:t>
            </w:r>
          </w:p>
        </w:tc>
      </w:tr>
      <w:tr w:rsidR="00000000">
        <w:tblPrEx>
          <w:tblCellMar>
            <w:top w:w="0" w:type="dxa"/>
            <w:bottom w:w="0" w:type="dxa"/>
          </w:tblCellMar>
        </w:tblPrEx>
        <w:trPr>
          <w:cantSplit/>
        </w:trPr>
        <w:tc>
          <w:tcPr>
            <w:tcW w:w="1980" w:type="dxa"/>
            <w:tcBorders>
              <w:left w:val="single" w:sz="6" w:space="0" w:color="auto"/>
            </w:tcBorders>
          </w:tcPr>
          <w:p w:rsidR="00000000" w:rsidRDefault="0031739B">
            <w:pPr>
              <w:rPr>
                <w:spacing w:val="0"/>
                <w:sz w:val="21"/>
              </w:rPr>
            </w:pPr>
            <w:r>
              <w:rPr>
                <w:spacing w:val="0"/>
                <w:sz w:val="21"/>
              </w:rPr>
              <w:t>Chugoku</w:t>
            </w:r>
          </w:p>
        </w:tc>
        <w:tc>
          <w:tcPr>
            <w:tcW w:w="1188" w:type="dxa"/>
            <w:tcBorders>
              <w:left w:val="single" w:sz="6" w:space="0" w:color="auto"/>
            </w:tcBorders>
          </w:tcPr>
          <w:p w:rsidR="00000000" w:rsidRDefault="0031739B">
            <w:pPr>
              <w:jc w:val="center"/>
              <w:rPr>
                <w:spacing w:val="0"/>
                <w:sz w:val="21"/>
              </w:rPr>
            </w:pPr>
            <w:r>
              <w:rPr>
                <w:spacing w:val="0"/>
                <w:sz w:val="21"/>
              </w:rPr>
              <w:t>0.73</w:t>
            </w:r>
          </w:p>
        </w:tc>
        <w:tc>
          <w:tcPr>
            <w:tcW w:w="1188" w:type="dxa"/>
          </w:tcPr>
          <w:p w:rsidR="00000000" w:rsidRDefault="0031739B">
            <w:pPr>
              <w:jc w:val="center"/>
              <w:rPr>
                <w:spacing w:val="0"/>
                <w:sz w:val="21"/>
              </w:rPr>
            </w:pPr>
            <w:r>
              <w:rPr>
                <w:spacing w:val="0"/>
                <w:sz w:val="21"/>
              </w:rPr>
              <w:t>1.52</w:t>
            </w:r>
          </w:p>
        </w:tc>
        <w:tc>
          <w:tcPr>
            <w:tcW w:w="1242" w:type="dxa"/>
          </w:tcPr>
          <w:p w:rsidR="00000000" w:rsidRDefault="0031739B">
            <w:pPr>
              <w:jc w:val="center"/>
              <w:rPr>
                <w:spacing w:val="0"/>
                <w:sz w:val="21"/>
              </w:rPr>
            </w:pPr>
            <w:r>
              <w:rPr>
                <w:spacing w:val="0"/>
                <w:sz w:val="21"/>
              </w:rPr>
              <w:t>1.02</w:t>
            </w:r>
          </w:p>
        </w:tc>
        <w:tc>
          <w:tcPr>
            <w:tcW w:w="1188" w:type="dxa"/>
            <w:tcBorders>
              <w:left w:val="single" w:sz="6" w:space="0" w:color="auto"/>
            </w:tcBorders>
          </w:tcPr>
          <w:p w:rsidR="00000000" w:rsidRDefault="0031739B">
            <w:pPr>
              <w:jc w:val="center"/>
              <w:rPr>
                <w:spacing w:val="0"/>
                <w:sz w:val="21"/>
              </w:rPr>
            </w:pPr>
            <w:r>
              <w:rPr>
                <w:spacing w:val="0"/>
                <w:sz w:val="21"/>
              </w:rPr>
              <w:t>2.8</w:t>
            </w:r>
          </w:p>
        </w:tc>
        <w:tc>
          <w:tcPr>
            <w:tcW w:w="1302" w:type="dxa"/>
          </w:tcPr>
          <w:p w:rsidR="00000000" w:rsidRDefault="0031739B">
            <w:pPr>
              <w:jc w:val="center"/>
              <w:rPr>
                <w:spacing w:val="0"/>
                <w:sz w:val="21"/>
              </w:rPr>
            </w:pPr>
            <w:r>
              <w:rPr>
                <w:spacing w:val="0"/>
                <w:sz w:val="21"/>
              </w:rPr>
              <w:t>1.7</w:t>
            </w:r>
          </w:p>
        </w:tc>
        <w:tc>
          <w:tcPr>
            <w:tcW w:w="1266" w:type="dxa"/>
            <w:tcBorders>
              <w:right w:val="single" w:sz="6" w:space="0" w:color="auto"/>
            </w:tcBorders>
          </w:tcPr>
          <w:p w:rsidR="00000000" w:rsidRDefault="0031739B">
            <w:pPr>
              <w:jc w:val="center"/>
              <w:rPr>
                <w:spacing w:val="0"/>
                <w:sz w:val="21"/>
              </w:rPr>
            </w:pPr>
            <w:r>
              <w:rPr>
                <w:spacing w:val="0"/>
                <w:sz w:val="21"/>
              </w:rPr>
              <w:t>2.7</w:t>
            </w:r>
          </w:p>
        </w:tc>
      </w:tr>
      <w:tr w:rsidR="00000000">
        <w:tblPrEx>
          <w:tblCellMar>
            <w:top w:w="0" w:type="dxa"/>
            <w:bottom w:w="0" w:type="dxa"/>
          </w:tblCellMar>
        </w:tblPrEx>
        <w:trPr>
          <w:cantSplit/>
        </w:trPr>
        <w:tc>
          <w:tcPr>
            <w:tcW w:w="1980" w:type="dxa"/>
            <w:tcBorders>
              <w:left w:val="single" w:sz="6" w:space="0" w:color="auto"/>
            </w:tcBorders>
          </w:tcPr>
          <w:p w:rsidR="00000000" w:rsidRDefault="0031739B">
            <w:pPr>
              <w:rPr>
                <w:spacing w:val="0"/>
                <w:sz w:val="21"/>
              </w:rPr>
            </w:pPr>
            <w:r>
              <w:rPr>
                <w:spacing w:val="0"/>
                <w:sz w:val="21"/>
              </w:rPr>
              <w:t>Shikoku</w:t>
            </w:r>
          </w:p>
        </w:tc>
        <w:tc>
          <w:tcPr>
            <w:tcW w:w="1188" w:type="dxa"/>
            <w:tcBorders>
              <w:left w:val="single" w:sz="6" w:space="0" w:color="auto"/>
            </w:tcBorders>
          </w:tcPr>
          <w:p w:rsidR="00000000" w:rsidRDefault="0031739B">
            <w:pPr>
              <w:jc w:val="center"/>
              <w:rPr>
                <w:spacing w:val="0"/>
                <w:sz w:val="21"/>
              </w:rPr>
            </w:pPr>
            <w:r>
              <w:rPr>
                <w:spacing w:val="0"/>
                <w:sz w:val="21"/>
              </w:rPr>
              <w:t>0.69</w:t>
            </w:r>
          </w:p>
        </w:tc>
        <w:tc>
          <w:tcPr>
            <w:tcW w:w="1188" w:type="dxa"/>
          </w:tcPr>
          <w:p w:rsidR="00000000" w:rsidRDefault="0031739B">
            <w:pPr>
              <w:jc w:val="center"/>
              <w:rPr>
                <w:spacing w:val="0"/>
                <w:sz w:val="21"/>
              </w:rPr>
            </w:pPr>
            <w:r>
              <w:rPr>
                <w:spacing w:val="0"/>
                <w:sz w:val="21"/>
              </w:rPr>
              <w:t>1.20</w:t>
            </w:r>
          </w:p>
        </w:tc>
        <w:tc>
          <w:tcPr>
            <w:tcW w:w="1242" w:type="dxa"/>
          </w:tcPr>
          <w:p w:rsidR="00000000" w:rsidRDefault="0031739B">
            <w:pPr>
              <w:jc w:val="center"/>
              <w:rPr>
                <w:spacing w:val="0"/>
                <w:sz w:val="21"/>
              </w:rPr>
            </w:pPr>
            <w:r>
              <w:rPr>
                <w:spacing w:val="0"/>
                <w:sz w:val="21"/>
              </w:rPr>
              <w:t>0.88</w:t>
            </w:r>
          </w:p>
        </w:tc>
        <w:tc>
          <w:tcPr>
            <w:tcW w:w="1188" w:type="dxa"/>
            <w:tcBorders>
              <w:left w:val="single" w:sz="6" w:space="0" w:color="auto"/>
            </w:tcBorders>
          </w:tcPr>
          <w:p w:rsidR="00000000" w:rsidRDefault="0031739B">
            <w:pPr>
              <w:jc w:val="center"/>
              <w:rPr>
                <w:spacing w:val="0"/>
                <w:sz w:val="21"/>
              </w:rPr>
            </w:pPr>
            <w:r>
              <w:rPr>
                <w:spacing w:val="0"/>
                <w:sz w:val="21"/>
              </w:rPr>
              <w:t>3.3</w:t>
            </w:r>
          </w:p>
        </w:tc>
        <w:tc>
          <w:tcPr>
            <w:tcW w:w="1302" w:type="dxa"/>
          </w:tcPr>
          <w:p w:rsidR="00000000" w:rsidRDefault="0031739B">
            <w:pPr>
              <w:jc w:val="center"/>
              <w:rPr>
                <w:spacing w:val="0"/>
                <w:sz w:val="21"/>
              </w:rPr>
            </w:pPr>
            <w:r>
              <w:rPr>
                <w:spacing w:val="0"/>
                <w:sz w:val="21"/>
              </w:rPr>
              <w:t>2.3</w:t>
            </w:r>
          </w:p>
        </w:tc>
        <w:tc>
          <w:tcPr>
            <w:tcW w:w="1266" w:type="dxa"/>
            <w:tcBorders>
              <w:right w:val="single" w:sz="6" w:space="0" w:color="auto"/>
            </w:tcBorders>
          </w:tcPr>
          <w:p w:rsidR="00000000" w:rsidRDefault="0031739B">
            <w:pPr>
              <w:jc w:val="center"/>
              <w:rPr>
                <w:spacing w:val="0"/>
                <w:sz w:val="21"/>
              </w:rPr>
            </w:pPr>
            <w:r>
              <w:rPr>
                <w:spacing w:val="0"/>
                <w:sz w:val="21"/>
              </w:rPr>
              <w:t>3.2</w:t>
            </w:r>
          </w:p>
        </w:tc>
      </w:tr>
      <w:tr w:rsidR="00000000">
        <w:tblPrEx>
          <w:tblCellMar>
            <w:top w:w="0" w:type="dxa"/>
            <w:bottom w:w="0" w:type="dxa"/>
          </w:tblCellMar>
        </w:tblPrEx>
        <w:trPr>
          <w:cantSplit/>
        </w:trPr>
        <w:tc>
          <w:tcPr>
            <w:tcW w:w="1980" w:type="dxa"/>
            <w:tcBorders>
              <w:left w:val="single" w:sz="6" w:space="0" w:color="auto"/>
              <w:bottom w:val="single" w:sz="6" w:space="0" w:color="auto"/>
            </w:tcBorders>
          </w:tcPr>
          <w:p w:rsidR="00000000" w:rsidRDefault="0031739B">
            <w:pPr>
              <w:rPr>
                <w:spacing w:val="0"/>
                <w:sz w:val="21"/>
              </w:rPr>
            </w:pPr>
            <w:r>
              <w:rPr>
                <w:spacing w:val="0"/>
                <w:sz w:val="21"/>
              </w:rPr>
              <w:t>Kyushu</w:t>
            </w:r>
          </w:p>
        </w:tc>
        <w:tc>
          <w:tcPr>
            <w:tcW w:w="1188" w:type="dxa"/>
            <w:tcBorders>
              <w:left w:val="single" w:sz="6" w:space="0" w:color="auto"/>
              <w:bottom w:val="single" w:sz="6" w:space="0" w:color="auto"/>
            </w:tcBorders>
          </w:tcPr>
          <w:p w:rsidR="00000000" w:rsidRDefault="0031739B">
            <w:pPr>
              <w:jc w:val="center"/>
              <w:rPr>
                <w:spacing w:val="0"/>
                <w:sz w:val="21"/>
              </w:rPr>
            </w:pPr>
            <w:r>
              <w:rPr>
                <w:spacing w:val="0"/>
                <w:sz w:val="21"/>
              </w:rPr>
              <w:t>0.40</w:t>
            </w:r>
          </w:p>
        </w:tc>
        <w:tc>
          <w:tcPr>
            <w:tcW w:w="1188" w:type="dxa"/>
            <w:tcBorders>
              <w:bottom w:val="single" w:sz="6" w:space="0" w:color="auto"/>
            </w:tcBorders>
          </w:tcPr>
          <w:p w:rsidR="00000000" w:rsidRDefault="0031739B">
            <w:pPr>
              <w:jc w:val="center"/>
              <w:rPr>
                <w:spacing w:val="0"/>
                <w:sz w:val="21"/>
              </w:rPr>
            </w:pPr>
            <w:r>
              <w:rPr>
                <w:spacing w:val="0"/>
                <w:sz w:val="21"/>
              </w:rPr>
              <w:t>0.82</w:t>
            </w:r>
          </w:p>
        </w:tc>
        <w:tc>
          <w:tcPr>
            <w:tcW w:w="1242" w:type="dxa"/>
            <w:tcBorders>
              <w:bottom w:val="single" w:sz="6" w:space="0" w:color="auto"/>
            </w:tcBorders>
          </w:tcPr>
          <w:p w:rsidR="00000000" w:rsidRDefault="0031739B">
            <w:pPr>
              <w:jc w:val="center"/>
              <w:rPr>
                <w:spacing w:val="0"/>
                <w:sz w:val="21"/>
              </w:rPr>
            </w:pPr>
            <w:r>
              <w:rPr>
                <w:spacing w:val="0"/>
                <w:sz w:val="21"/>
              </w:rPr>
              <w:t>0.57</w:t>
            </w:r>
          </w:p>
        </w:tc>
        <w:tc>
          <w:tcPr>
            <w:tcW w:w="1188" w:type="dxa"/>
            <w:tcBorders>
              <w:left w:val="single" w:sz="6" w:space="0" w:color="auto"/>
              <w:bottom w:val="single" w:sz="6" w:space="0" w:color="auto"/>
            </w:tcBorders>
          </w:tcPr>
          <w:p w:rsidR="00000000" w:rsidRDefault="0031739B">
            <w:pPr>
              <w:jc w:val="center"/>
              <w:rPr>
                <w:spacing w:val="0"/>
                <w:sz w:val="21"/>
              </w:rPr>
            </w:pPr>
            <w:r>
              <w:rPr>
                <w:spacing w:val="0"/>
                <w:sz w:val="21"/>
              </w:rPr>
              <w:t>4.0</w:t>
            </w:r>
          </w:p>
        </w:tc>
        <w:tc>
          <w:tcPr>
            <w:tcW w:w="1302" w:type="dxa"/>
            <w:tcBorders>
              <w:bottom w:val="single" w:sz="6" w:space="0" w:color="auto"/>
            </w:tcBorders>
          </w:tcPr>
          <w:p w:rsidR="00000000" w:rsidRDefault="0031739B">
            <w:pPr>
              <w:jc w:val="center"/>
              <w:rPr>
                <w:spacing w:val="0"/>
                <w:sz w:val="21"/>
              </w:rPr>
            </w:pPr>
            <w:r>
              <w:rPr>
                <w:spacing w:val="0"/>
                <w:sz w:val="21"/>
              </w:rPr>
              <w:t>2.5</w:t>
            </w:r>
          </w:p>
        </w:tc>
        <w:tc>
          <w:tcPr>
            <w:tcW w:w="1266" w:type="dxa"/>
            <w:tcBorders>
              <w:bottom w:val="single" w:sz="6" w:space="0" w:color="auto"/>
              <w:right w:val="single" w:sz="6" w:space="0" w:color="auto"/>
            </w:tcBorders>
          </w:tcPr>
          <w:p w:rsidR="00000000" w:rsidRDefault="0031739B">
            <w:pPr>
              <w:jc w:val="center"/>
              <w:rPr>
                <w:spacing w:val="0"/>
                <w:sz w:val="21"/>
              </w:rPr>
            </w:pPr>
            <w:r>
              <w:rPr>
                <w:spacing w:val="0"/>
                <w:sz w:val="21"/>
              </w:rPr>
              <w:t>3.8</w:t>
            </w:r>
          </w:p>
        </w:tc>
      </w:tr>
    </w:tbl>
    <w:p w:rsidR="00000000" w:rsidRDefault="0031739B">
      <w:pPr>
        <w:pStyle w:val="EndnoteText"/>
        <w:spacing w:before="240"/>
        <w:ind w:hanging="958"/>
      </w:pPr>
      <w:r>
        <w:rPr>
          <w:rFonts w:hint="eastAsia"/>
          <w:u w:val="single"/>
        </w:rPr>
        <w:t>说明</w:t>
      </w:r>
      <w:r>
        <w:rPr>
          <w:u w:val="single"/>
        </w:rPr>
        <w:t>1</w:t>
      </w:r>
      <w:r>
        <w:rPr>
          <w:rFonts w:hint="eastAsia"/>
        </w:rPr>
        <w:t>：依据劳工省的“就业保障统计”及管理和协调厅统计局“劳动力调查”。</w:t>
      </w:r>
    </w:p>
    <w:p w:rsidR="00000000" w:rsidRDefault="0031739B">
      <w:pPr>
        <w:pStyle w:val="EndnoteText"/>
      </w:pPr>
      <w:r>
        <w:rPr>
          <w:rFonts w:hint="eastAsia"/>
          <w:u w:val="single"/>
        </w:rPr>
        <w:t>说明</w:t>
      </w:r>
      <w:r>
        <w:rPr>
          <w:u w:val="single"/>
        </w:rPr>
        <w:t>2</w:t>
      </w:r>
      <w:r>
        <w:rPr>
          <w:rFonts w:hint="eastAsia"/>
        </w:rPr>
        <w:t>：</w:t>
      </w:r>
      <w:r>
        <w:t>Hokkaido ­ Hokkaido prefecture.</w:t>
      </w:r>
    </w:p>
    <w:p w:rsidR="00000000" w:rsidRDefault="0031739B">
      <w:pPr>
        <w:tabs>
          <w:tab w:val="clear" w:pos="1021"/>
          <w:tab w:val="left" w:pos="-1227"/>
          <w:tab w:val="left" w:pos="-720"/>
          <w:tab w:val="left" w:pos="1"/>
          <w:tab w:val="left" w:pos="48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s>
        <w:spacing w:line="288" w:lineRule="auto"/>
        <w:ind w:left="1440"/>
        <w:jc w:val="left"/>
        <w:rPr>
          <w:sz w:val="21"/>
        </w:rPr>
      </w:pPr>
      <w:r>
        <w:rPr>
          <w:sz w:val="21"/>
        </w:rPr>
        <w:t>Tohoku ­ Aomori, Iwate,</w:t>
      </w:r>
      <w:r>
        <w:rPr>
          <w:sz w:val="21"/>
        </w:rPr>
        <w:t xml:space="preserve"> Miyagi, Akita, Yamagata and Fukushima prefectures.</w:t>
      </w:r>
    </w:p>
    <w:p w:rsidR="00000000" w:rsidRDefault="0031739B">
      <w:pPr>
        <w:tabs>
          <w:tab w:val="clear" w:pos="1021"/>
          <w:tab w:val="left" w:pos="-1227"/>
          <w:tab w:val="left" w:pos="-720"/>
          <w:tab w:val="left" w:pos="1"/>
          <w:tab w:val="left" w:pos="48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s>
        <w:spacing w:line="288" w:lineRule="auto"/>
        <w:ind w:left="1440"/>
        <w:jc w:val="left"/>
        <w:rPr>
          <w:sz w:val="21"/>
        </w:rPr>
      </w:pPr>
      <w:r>
        <w:rPr>
          <w:sz w:val="21"/>
        </w:rPr>
        <w:t>South Kanto ­ Saitama, Chiba, Tokyo and Kanagawa prefectures.</w:t>
      </w:r>
    </w:p>
    <w:p w:rsidR="00000000" w:rsidRDefault="0031739B">
      <w:pPr>
        <w:tabs>
          <w:tab w:val="clear" w:pos="1021"/>
          <w:tab w:val="left" w:pos="-1227"/>
          <w:tab w:val="left" w:pos="-720"/>
          <w:tab w:val="left" w:pos="1"/>
          <w:tab w:val="left" w:pos="48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s>
        <w:spacing w:line="288" w:lineRule="auto"/>
        <w:ind w:left="1440"/>
        <w:jc w:val="left"/>
        <w:rPr>
          <w:sz w:val="21"/>
        </w:rPr>
      </w:pPr>
      <w:r>
        <w:rPr>
          <w:sz w:val="21"/>
        </w:rPr>
        <w:t>North Kanto, Koshin ­ Ibaraki, Tochigi, Gunma, Yamanashi and Nagano prefectures.</w:t>
      </w:r>
    </w:p>
    <w:p w:rsidR="00000000" w:rsidRDefault="0031739B">
      <w:pPr>
        <w:tabs>
          <w:tab w:val="clear" w:pos="1021"/>
          <w:tab w:val="left" w:pos="-1227"/>
          <w:tab w:val="left" w:pos="-720"/>
          <w:tab w:val="left" w:pos="1"/>
          <w:tab w:val="left" w:pos="48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s>
        <w:spacing w:line="288" w:lineRule="auto"/>
        <w:ind w:left="1440"/>
        <w:jc w:val="left"/>
        <w:rPr>
          <w:sz w:val="21"/>
        </w:rPr>
      </w:pPr>
      <w:r>
        <w:rPr>
          <w:sz w:val="21"/>
        </w:rPr>
        <w:t>Hokuriku ­ Nigata, Toyama, Ishikawa and Fukui prefectures.</w:t>
      </w:r>
    </w:p>
    <w:p w:rsidR="00000000" w:rsidRDefault="0031739B">
      <w:pPr>
        <w:tabs>
          <w:tab w:val="clear" w:pos="1021"/>
          <w:tab w:val="left" w:pos="-1227"/>
          <w:tab w:val="left" w:pos="-720"/>
          <w:tab w:val="left" w:pos="1"/>
          <w:tab w:val="left" w:pos="48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s>
        <w:spacing w:line="288" w:lineRule="auto"/>
        <w:ind w:left="1440"/>
        <w:jc w:val="left"/>
        <w:rPr>
          <w:sz w:val="21"/>
        </w:rPr>
      </w:pPr>
      <w:r>
        <w:rPr>
          <w:sz w:val="21"/>
        </w:rPr>
        <w:t>To</w:t>
      </w:r>
      <w:r>
        <w:rPr>
          <w:sz w:val="21"/>
        </w:rPr>
        <w:t>kai ­ Gifu, Shizuoka, Aichi and Mie prefectures.</w:t>
      </w:r>
    </w:p>
    <w:p w:rsidR="00000000" w:rsidRDefault="0031739B">
      <w:pPr>
        <w:tabs>
          <w:tab w:val="clear" w:pos="1021"/>
          <w:tab w:val="left" w:pos="-1227"/>
          <w:tab w:val="left" w:pos="-720"/>
          <w:tab w:val="left" w:pos="1"/>
          <w:tab w:val="left" w:pos="48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s>
        <w:spacing w:line="288" w:lineRule="auto"/>
        <w:ind w:left="1440"/>
        <w:jc w:val="left"/>
        <w:rPr>
          <w:sz w:val="21"/>
        </w:rPr>
      </w:pPr>
      <w:r>
        <w:rPr>
          <w:sz w:val="21"/>
        </w:rPr>
        <w:t>Kinki ­ Shiga, Kyoto, Osaka, Hyogo, Nara and Wakayama prefectures.</w:t>
      </w:r>
    </w:p>
    <w:p w:rsidR="00000000" w:rsidRDefault="0031739B">
      <w:pPr>
        <w:tabs>
          <w:tab w:val="clear" w:pos="1021"/>
          <w:tab w:val="left" w:pos="-1227"/>
          <w:tab w:val="left" w:pos="-720"/>
          <w:tab w:val="left" w:pos="1"/>
          <w:tab w:val="left" w:pos="48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s>
        <w:spacing w:line="288" w:lineRule="auto"/>
        <w:ind w:left="1440"/>
        <w:jc w:val="left"/>
        <w:rPr>
          <w:sz w:val="21"/>
        </w:rPr>
      </w:pPr>
      <w:r>
        <w:rPr>
          <w:sz w:val="21"/>
        </w:rPr>
        <w:t>Chugoku ­ Tottori, Shimane, Okayama, Hiroshima and Yamaguchi prefectures.</w:t>
      </w:r>
    </w:p>
    <w:p w:rsidR="00000000" w:rsidRDefault="0031739B">
      <w:pPr>
        <w:tabs>
          <w:tab w:val="clear" w:pos="1021"/>
          <w:tab w:val="left" w:pos="-1227"/>
          <w:tab w:val="left" w:pos="-720"/>
          <w:tab w:val="left" w:pos="1"/>
          <w:tab w:val="left" w:pos="48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s>
        <w:spacing w:line="288" w:lineRule="auto"/>
        <w:ind w:left="1440"/>
        <w:jc w:val="left"/>
        <w:rPr>
          <w:sz w:val="21"/>
        </w:rPr>
      </w:pPr>
      <w:r>
        <w:rPr>
          <w:sz w:val="21"/>
        </w:rPr>
        <w:t>Shikoku ­ Tokushima, Kagawa, Ehime and Kochi prefectures.</w:t>
      </w:r>
    </w:p>
    <w:p w:rsidR="00000000" w:rsidRDefault="0031739B">
      <w:pPr>
        <w:tabs>
          <w:tab w:val="clear" w:pos="1021"/>
          <w:tab w:val="left" w:pos="-1227"/>
          <w:tab w:val="left" w:pos="-720"/>
          <w:tab w:val="left" w:pos="1"/>
          <w:tab w:val="left" w:pos="48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s>
        <w:spacing w:after="320" w:line="288" w:lineRule="auto"/>
        <w:ind w:left="1440"/>
        <w:jc w:val="left"/>
        <w:textAlignment w:val="center"/>
        <w:rPr>
          <w:sz w:val="21"/>
        </w:rPr>
      </w:pPr>
      <w:r>
        <w:rPr>
          <w:sz w:val="21"/>
        </w:rPr>
        <w:t>Kyushu ­</w:t>
      </w:r>
      <w:r>
        <w:rPr>
          <w:sz w:val="21"/>
        </w:rPr>
        <w:t xml:space="preserve"> Fukuoka, Saga, Nagasaki, Kumamoto, Oita, Miyazaki, Kagoshima and Okinawa prefectures.</w:t>
      </w:r>
    </w:p>
    <w:p w:rsidR="00000000" w:rsidRDefault="0031739B">
      <w:pPr>
        <w:spacing w:after="360"/>
        <w:textAlignment w:val="center"/>
      </w:pPr>
      <w:r>
        <w:tab/>
        <w:t xml:space="preserve">26.  </w:t>
      </w:r>
      <w:r>
        <w:rPr>
          <w:rFonts w:hint="eastAsia"/>
        </w:rPr>
        <w:t>关于残疾人，根据个人的能力和才能提供详细和相当的职业指导和职业安置尤其重要。为此在公共就业保障处设立了求职登记制度。表</w:t>
      </w:r>
      <w:r>
        <w:t>5</w:t>
      </w:r>
      <w:r>
        <w:rPr>
          <w:rFonts w:hint="eastAsia"/>
        </w:rPr>
        <w:t>显示了登记制度的变化。残疾人登记求职的人数正在增加，就业人数也相应增加。然而，积极申请人数的增长甚至更高，而就业机会的增加却不充足。</w:t>
      </w:r>
    </w:p>
    <w:p w:rsidR="00000000" w:rsidRDefault="0031739B"/>
    <w:p w:rsidR="00000000" w:rsidRDefault="0031739B">
      <w:pPr>
        <w:pStyle w:val="Heading3"/>
      </w:pPr>
      <w:r>
        <w:rPr>
          <w:rFonts w:hint="eastAsia"/>
          <w:u w:val="none"/>
        </w:rPr>
        <w:t>表</w:t>
      </w:r>
      <w:r>
        <w:rPr>
          <w:u w:val="none"/>
        </w:rPr>
        <w:t xml:space="preserve"> 5.  </w:t>
      </w:r>
      <w:r>
        <w:rPr>
          <w:rFonts w:hint="eastAsia"/>
        </w:rPr>
        <w:t>在公共就业保障处登记的残疾人的就业条件</w:t>
      </w:r>
    </w:p>
    <w:tbl>
      <w:tblPr>
        <w:tblW w:w="0" w:type="auto"/>
        <w:jc w:val="center"/>
        <w:tblLayout w:type="fixed"/>
        <w:tblCellMar>
          <w:left w:w="96" w:type="dxa"/>
          <w:right w:w="96" w:type="dxa"/>
        </w:tblCellMar>
        <w:tblLook w:val="0000" w:firstRow="0" w:lastRow="0" w:firstColumn="0" w:lastColumn="0" w:noHBand="0" w:noVBand="0"/>
      </w:tblPr>
      <w:tblGrid>
        <w:gridCol w:w="1926"/>
        <w:gridCol w:w="2094"/>
        <w:gridCol w:w="1866"/>
        <w:gridCol w:w="2208"/>
        <w:gridCol w:w="1212"/>
      </w:tblGrid>
      <w:tr w:rsidR="00000000">
        <w:tblPrEx>
          <w:tblCellMar>
            <w:top w:w="0" w:type="dxa"/>
            <w:bottom w:w="0" w:type="dxa"/>
          </w:tblCellMar>
        </w:tblPrEx>
        <w:trPr>
          <w:cantSplit/>
          <w:jc w:val="center"/>
        </w:trPr>
        <w:tc>
          <w:tcPr>
            <w:tcW w:w="1926" w:type="dxa"/>
            <w:tcBorders>
              <w:top w:val="single" w:sz="6" w:space="0" w:color="auto"/>
              <w:left w:val="single" w:sz="6" w:space="0" w:color="auto"/>
            </w:tcBorders>
          </w:tcPr>
          <w:p w:rsidR="00000000" w:rsidRDefault="0031739B">
            <w:pPr>
              <w:spacing w:before="80" w:after="40" w:line="240" w:lineRule="auto"/>
              <w:jc w:val="center"/>
              <w:rPr>
                <w:sz w:val="21"/>
              </w:rPr>
            </w:pPr>
            <w:r>
              <w:rPr>
                <w:rFonts w:hint="eastAsia"/>
                <w:sz w:val="21"/>
              </w:rPr>
              <w:t>年</w:t>
            </w:r>
            <w:r>
              <w:rPr>
                <w:sz w:val="21"/>
              </w:rPr>
              <w:t xml:space="preserve"> </w:t>
            </w:r>
            <w:r>
              <w:rPr>
                <w:rFonts w:hint="eastAsia"/>
                <w:sz w:val="21"/>
              </w:rPr>
              <w:t>份</w:t>
            </w:r>
            <w:r>
              <w:rPr>
                <w:sz w:val="21"/>
              </w:rPr>
              <w:br/>
            </w:r>
            <w:r>
              <w:rPr>
                <w:sz w:val="18"/>
              </w:rPr>
              <w:t>(</w:t>
            </w:r>
            <w:r>
              <w:rPr>
                <w:rFonts w:hint="eastAsia"/>
                <w:sz w:val="18"/>
              </w:rPr>
              <w:t>三月底</w:t>
            </w:r>
            <w:r>
              <w:rPr>
                <w:sz w:val="21"/>
              </w:rPr>
              <w:t>)</w:t>
            </w:r>
          </w:p>
        </w:tc>
        <w:tc>
          <w:tcPr>
            <w:tcW w:w="2094" w:type="dxa"/>
            <w:tcBorders>
              <w:top w:val="single" w:sz="6" w:space="0" w:color="auto"/>
              <w:left w:val="single" w:sz="6" w:space="0" w:color="auto"/>
            </w:tcBorders>
          </w:tcPr>
          <w:p w:rsidR="00000000" w:rsidRDefault="0031739B">
            <w:pPr>
              <w:spacing w:before="120" w:line="240" w:lineRule="auto"/>
              <w:jc w:val="center"/>
              <w:rPr>
                <w:sz w:val="21"/>
              </w:rPr>
            </w:pPr>
            <w:r>
              <w:rPr>
                <w:rFonts w:hint="eastAsia"/>
                <w:sz w:val="21"/>
              </w:rPr>
              <w:t>登记的总人数</w:t>
            </w:r>
          </w:p>
        </w:tc>
        <w:tc>
          <w:tcPr>
            <w:tcW w:w="1866" w:type="dxa"/>
            <w:tcBorders>
              <w:top w:val="single" w:sz="6" w:space="0" w:color="auto"/>
              <w:left w:val="single" w:sz="6" w:space="0" w:color="auto"/>
            </w:tcBorders>
          </w:tcPr>
          <w:p w:rsidR="00000000" w:rsidRDefault="0031739B">
            <w:pPr>
              <w:spacing w:before="120" w:line="240" w:lineRule="auto"/>
              <w:jc w:val="center"/>
              <w:rPr>
                <w:sz w:val="21"/>
              </w:rPr>
            </w:pPr>
            <w:r>
              <w:rPr>
                <w:rFonts w:hint="eastAsia"/>
                <w:sz w:val="21"/>
              </w:rPr>
              <w:t>有效求职人数</w:t>
            </w:r>
          </w:p>
        </w:tc>
        <w:tc>
          <w:tcPr>
            <w:tcW w:w="2208" w:type="dxa"/>
            <w:tcBorders>
              <w:top w:val="single" w:sz="6" w:space="0" w:color="auto"/>
              <w:left w:val="single" w:sz="6" w:space="0" w:color="auto"/>
            </w:tcBorders>
          </w:tcPr>
          <w:p w:rsidR="00000000" w:rsidRDefault="0031739B">
            <w:pPr>
              <w:spacing w:before="120" w:line="240" w:lineRule="auto"/>
              <w:jc w:val="center"/>
              <w:rPr>
                <w:sz w:val="21"/>
              </w:rPr>
            </w:pPr>
            <w:r>
              <w:rPr>
                <w:rFonts w:hint="eastAsia"/>
                <w:sz w:val="21"/>
              </w:rPr>
              <w:t>雇用人数</w:t>
            </w:r>
          </w:p>
        </w:tc>
        <w:tc>
          <w:tcPr>
            <w:tcW w:w="1212" w:type="dxa"/>
            <w:tcBorders>
              <w:top w:val="single" w:sz="6" w:space="0" w:color="auto"/>
              <w:left w:val="single" w:sz="6" w:space="0" w:color="auto"/>
              <w:right w:val="single" w:sz="6" w:space="0" w:color="auto"/>
            </w:tcBorders>
          </w:tcPr>
          <w:p w:rsidR="00000000" w:rsidRDefault="0031739B">
            <w:pPr>
              <w:spacing w:before="120" w:line="240" w:lineRule="auto"/>
              <w:jc w:val="center"/>
              <w:rPr>
                <w:sz w:val="21"/>
              </w:rPr>
            </w:pPr>
            <w:r>
              <w:rPr>
                <w:rFonts w:hint="eastAsia"/>
                <w:sz w:val="21"/>
              </w:rPr>
              <w:t>等待人数</w:t>
            </w:r>
          </w:p>
        </w:tc>
      </w:tr>
      <w:tr w:rsidR="00000000">
        <w:tblPrEx>
          <w:tblCellMar>
            <w:top w:w="0" w:type="dxa"/>
            <w:bottom w:w="0" w:type="dxa"/>
          </w:tblCellMar>
        </w:tblPrEx>
        <w:trPr>
          <w:cantSplit/>
          <w:jc w:val="center"/>
        </w:trPr>
        <w:tc>
          <w:tcPr>
            <w:tcW w:w="1926" w:type="dxa"/>
            <w:tcBorders>
              <w:top w:val="single" w:sz="6" w:space="0" w:color="auto"/>
              <w:left w:val="single" w:sz="6" w:space="0" w:color="auto"/>
            </w:tcBorders>
          </w:tcPr>
          <w:p w:rsidR="00000000" w:rsidRDefault="0031739B">
            <w:pPr>
              <w:spacing w:before="60"/>
              <w:jc w:val="center"/>
              <w:rPr>
                <w:sz w:val="21"/>
              </w:rPr>
            </w:pPr>
            <w:r>
              <w:rPr>
                <w:sz w:val="21"/>
              </w:rPr>
              <w:t>1986</w:t>
            </w:r>
          </w:p>
        </w:tc>
        <w:tc>
          <w:tcPr>
            <w:tcW w:w="2094" w:type="dxa"/>
            <w:tcBorders>
              <w:top w:val="single" w:sz="6" w:space="0" w:color="auto"/>
              <w:left w:val="single" w:sz="6" w:space="0" w:color="auto"/>
            </w:tcBorders>
          </w:tcPr>
          <w:p w:rsidR="00000000" w:rsidRDefault="0031739B">
            <w:pPr>
              <w:spacing w:before="60"/>
              <w:jc w:val="center"/>
              <w:rPr>
                <w:sz w:val="21"/>
              </w:rPr>
            </w:pPr>
            <w:r>
              <w:rPr>
                <w:sz w:val="21"/>
              </w:rPr>
              <w:t>342,179</w:t>
            </w:r>
          </w:p>
        </w:tc>
        <w:tc>
          <w:tcPr>
            <w:tcW w:w="1866" w:type="dxa"/>
            <w:tcBorders>
              <w:top w:val="single" w:sz="6" w:space="0" w:color="auto"/>
              <w:left w:val="single" w:sz="6" w:space="0" w:color="auto"/>
            </w:tcBorders>
          </w:tcPr>
          <w:p w:rsidR="00000000" w:rsidRDefault="0031739B">
            <w:pPr>
              <w:spacing w:before="60"/>
              <w:jc w:val="center"/>
              <w:rPr>
                <w:sz w:val="21"/>
              </w:rPr>
            </w:pPr>
            <w:r>
              <w:rPr>
                <w:sz w:val="21"/>
              </w:rPr>
              <w:t>47,824</w:t>
            </w:r>
          </w:p>
        </w:tc>
        <w:tc>
          <w:tcPr>
            <w:tcW w:w="2208" w:type="dxa"/>
            <w:tcBorders>
              <w:top w:val="single" w:sz="6" w:space="0" w:color="auto"/>
              <w:left w:val="single" w:sz="6" w:space="0" w:color="auto"/>
            </w:tcBorders>
          </w:tcPr>
          <w:p w:rsidR="00000000" w:rsidRDefault="0031739B">
            <w:pPr>
              <w:spacing w:before="60"/>
              <w:jc w:val="center"/>
              <w:rPr>
                <w:sz w:val="21"/>
              </w:rPr>
            </w:pPr>
            <w:r>
              <w:rPr>
                <w:sz w:val="21"/>
              </w:rPr>
              <w:t>277,570</w:t>
            </w:r>
          </w:p>
        </w:tc>
        <w:tc>
          <w:tcPr>
            <w:tcW w:w="1212" w:type="dxa"/>
            <w:tcBorders>
              <w:top w:val="single" w:sz="6" w:space="0" w:color="auto"/>
              <w:left w:val="single" w:sz="6" w:space="0" w:color="auto"/>
              <w:right w:val="single" w:sz="6" w:space="0" w:color="auto"/>
            </w:tcBorders>
          </w:tcPr>
          <w:p w:rsidR="00000000" w:rsidRDefault="0031739B">
            <w:pPr>
              <w:spacing w:before="60"/>
              <w:jc w:val="center"/>
              <w:rPr>
                <w:sz w:val="21"/>
              </w:rPr>
            </w:pPr>
            <w:r>
              <w:rPr>
                <w:sz w:val="21"/>
              </w:rPr>
              <w:t>16,785</w:t>
            </w:r>
          </w:p>
        </w:tc>
      </w:tr>
      <w:tr w:rsidR="00000000">
        <w:tblPrEx>
          <w:tblCellMar>
            <w:top w:w="0" w:type="dxa"/>
            <w:bottom w:w="0" w:type="dxa"/>
          </w:tblCellMar>
        </w:tblPrEx>
        <w:trPr>
          <w:cantSplit/>
          <w:jc w:val="center"/>
        </w:trPr>
        <w:tc>
          <w:tcPr>
            <w:tcW w:w="1926" w:type="dxa"/>
            <w:tcBorders>
              <w:left w:val="single" w:sz="6" w:space="0" w:color="auto"/>
            </w:tcBorders>
          </w:tcPr>
          <w:p w:rsidR="00000000" w:rsidRDefault="0031739B">
            <w:pPr>
              <w:jc w:val="center"/>
              <w:rPr>
                <w:sz w:val="21"/>
              </w:rPr>
            </w:pPr>
            <w:r>
              <w:rPr>
                <w:sz w:val="21"/>
              </w:rPr>
              <w:t>1991</w:t>
            </w:r>
          </w:p>
        </w:tc>
        <w:tc>
          <w:tcPr>
            <w:tcW w:w="2094" w:type="dxa"/>
            <w:tcBorders>
              <w:left w:val="single" w:sz="6" w:space="0" w:color="auto"/>
            </w:tcBorders>
          </w:tcPr>
          <w:p w:rsidR="00000000" w:rsidRDefault="0031739B">
            <w:pPr>
              <w:jc w:val="center"/>
              <w:rPr>
                <w:sz w:val="21"/>
              </w:rPr>
            </w:pPr>
            <w:r>
              <w:rPr>
                <w:sz w:val="21"/>
              </w:rPr>
              <w:t>341,876</w:t>
            </w:r>
          </w:p>
        </w:tc>
        <w:tc>
          <w:tcPr>
            <w:tcW w:w="1866" w:type="dxa"/>
            <w:tcBorders>
              <w:left w:val="single" w:sz="6" w:space="0" w:color="auto"/>
            </w:tcBorders>
          </w:tcPr>
          <w:p w:rsidR="00000000" w:rsidRDefault="0031739B">
            <w:pPr>
              <w:jc w:val="center"/>
              <w:rPr>
                <w:sz w:val="21"/>
              </w:rPr>
            </w:pPr>
            <w:r>
              <w:rPr>
                <w:sz w:val="21"/>
              </w:rPr>
              <w:t>54,276</w:t>
            </w:r>
          </w:p>
        </w:tc>
        <w:tc>
          <w:tcPr>
            <w:tcW w:w="2208" w:type="dxa"/>
            <w:tcBorders>
              <w:left w:val="single" w:sz="6" w:space="0" w:color="auto"/>
            </w:tcBorders>
          </w:tcPr>
          <w:p w:rsidR="00000000" w:rsidRDefault="0031739B">
            <w:pPr>
              <w:jc w:val="center"/>
              <w:rPr>
                <w:sz w:val="21"/>
              </w:rPr>
            </w:pPr>
            <w:r>
              <w:rPr>
                <w:sz w:val="21"/>
              </w:rPr>
              <w:t>272,101</w:t>
            </w:r>
          </w:p>
        </w:tc>
        <w:tc>
          <w:tcPr>
            <w:tcW w:w="1212" w:type="dxa"/>
            <w:tcBorders>
              <w:left w:val="single" w:sz="6" w:space="0" w:color="auto"/>
              <w:right w:val="single" w:sz="6" w:space="0" w:color="auto"/>
            </w:tcBorders>
          </w:tcPr>
          <w:p w:rsidR="00000000" w:rsidRDefault="0031739B">
            <w:pPr>
              <w:jc w:val="center"/>
              <w:rPr>
                <w:sz w:val="21"/>
              </w:rPr>
            </w:pPr>
            <w:r>
              <w:rPr>
                <w:sz w:val="21"/>
              </w:rPr>
              <w:t>15,499</w:t>
            </w:r>
          </w:p>
        </w:tc>
      </w:tr>
      <w:tr w:rsidR="00000000">
        <w:tblPrEx>
          <w:tblCellMar>
            <w:top w:w="0" w:type="dxa"/>
            <w:bottom w:w="0" w:type="dxa"/>
          </w:tblCellMar>
        </w:tblPrEx>
        <w:trPr>
          <w:cantSplit/>
          <w:jc w:val="center"/>
        </w:trPr>
        <w:tc>
          <w:tcPr>
            <w:tcW w:w="1926" w:type="dxa"/>
            <w:tcBorders>
              <w:left w:val="single" w:sz="6" w:space="0" w:color="auto"/>
            </w:tcBorders>
          </w:tcPr>
          <w:p w:rsidR="00000000" w:rsidRDefault="0031739B">
            <w:pPr>
              <w:jc w:val="center"/>
              <w:rPr>
                <w:sz w:val="21"/>
              </w:rPr>
            </w:pPr>
            <w:r>
              <w:rPr>
                <w:sz w:val="21"/>
              </w:rPr>
              <w:t>1996</w:t>
            </w:r>
          </w:p>
        </w:tc>
        <w:tc>
          <w:tcPr>
            <w:tcW w:w="2094" w:type="dxa"/>
            <w:tcBorders>
              <w:left w:val="single" w:sz="6" w:space="0" w:color="auto"/>
            </w:tcBorders>
          </w:tcPr>
          <w:p w:rsidR="00000000" w:rsidRDefault="0031739B">
            <w:pPr>
              <w:jc w:val="center"/>
              <w:rPr>
                <w:sz w:val="21"/>
              </w:rPr>
            </w:pPr>
            <w:r>
              <w:rPr>
                <w:sz w:val="21"/>
              </w:rPr>
              <w:t>414,735</w:t>
            </w:r>
          </w:p>
        </w:tc>
        <w:tc>
          <w:tcPr>
            <w:tcW w:w="1866" w:type="dxa"/>
            <w:tcBorders>
              <w:left w:val="single" w:sz="6" w:space="0" w:color="auto"/>
            </w:tcBorders>
          </w:tcPr>
          <w:p w:rsidR="00000000" w:rsidRDefault="0031739B">
            <w:pPr>
              <w:jc w:val="center"/>
              <w:rPr>
                <w:sz w:val="21"/>
              </w:rPr>
            </w:pPr>
            <w:r>
              <w:rPr>
                <w:sz w:val="21"/>
              </w:rPr>
              <w:t>88,030</w:t>
            </w:r>
          </w:p>
        </w:tc>
        <w:tc>
          <w:tcPr>
            <w:tcW w:w="2208" w:type="dxa"/>
            <w:tcBorders>
              <w:left w:val="single" w:sz="6" w:space="0" w:color="auto"/>
            </w:tcBorders>
          </w:tcPr>
          <w:p w:rsidR="00000000" w:rsidRDefault="0031739B">
            <w:pPr>
              <w:jc w:val="center"/>
              <w:rPr>
                <w:sz w:val="21"/>
              </w:rPr>
            </w:pPr>
            <w:r>
              <w:rPr>
                <w:sz w:val="21"/>
              </w:rPr>
              <w:t>305,239</w:t>
            </w:r>
          </w:p>
        </w:tc>
        <w:tc>
          <w:tcPr>
            <w:tcW w:w="1212" w:type="dxa"/>
            <w:tcBorders>
              <w:left w:val="single" w:sz="6" w:space="0" w:color="auto"/>
              <w:right w:val="single" w:sz="6" w:space="0" w:color="auto"/>
            </w:tcBorders>
          </w:tcPr>
          <w:p w:rsidR="00000000" w:rsidRDefault="0031739B">
            <w:pPr>
              <w:jc w:val="center"/>
              <w:rPr>
                <w:sz w:val="21"/>
              </w:rPr>
            </w:pPr>
            <w:r>
              <w:rPr>
                <w:sz w:val="21"/>
              </w:rPr>
              <w:t>21,466</w:t>
            </w:r>
          </w:p>
        </w:tc>
      </w:tr>
      <w:tr w:rsidR="00000000">
        <w:tblPrEx>
          <w:tblCellMar>
            <w:top w:w="0" w:type="dxa"/>
            <w:bottom w:w="0" w:type="dxa"/>
          </w:tblCellMar>
        </w:tblPrEx>
        <w:trPr>
          <w:cantSplit/>
          <w:jc w:val="center"/>
        </w:trPr>
        <w:tc>
          <w:tcPr>
            <w:tcW w:w="1926" w:type="dxa"/>
            <w:tcBorders>
              <w:left w:val="single" w:sz="6" w:space="0" w:color="auto"/>
              <w:bottom w:val="single" w:sz="6" w:space="0" w:color="auto"/>
            </w:tcBorders>
          </w:tcPr>
          <w:p w:rsidR="00000000" w:rsidRDefault="0031739B">
            <w:pPr>
              <w:jc w:val="center"/>
              <w:rPr>
                <w:sz w:val="21"/>
              </w:rPr>
            </w:pPr>
            <w:r>
              <w:rPr>
                <w:sz w:val="21"/>
              </w:rPr>
              <w:t>1997</w:t>
            </w:r>
          </w:p>
        </w:tc>
        <w:tc>
          <w:tcPr>
            <w:tcW w:w="2094" w:type="dxa"/>
            <w:tcBorders>
              <w:left w:val="single" w:sz="6" w:space="0" w:color="auto"/>
              <w:bottom w:val="single" w:sz="6" w:space="0" w:color="auto"/>
            </w:tcBorders>
          </w:tcPr>
          <w:p w:rsidR="00000000" w:rsidRDefault="0031739B">
            <w:pPr>
              <w:jc w:val="center"/>
              <w:rPr>
                <w:sz w:val="21"/>
              </w:rPr>
            </w:pPr>
            <w:r>
              <w:rPr>
                <w:sz w:val="21"/>
              </w:rPr>
              <w:t>426,109</w:t>
            </w:r>
          </w:p>
        </w:tc>
        <w:tc>
          <w:tcPr>
            <w:tcW w:w="1866" w:type="dxa"/>
            <w:tcBorders>
              <w:left w:val="single" w:sz="6" w:space="0" w:color="auto"/>
              <w:bottom w:val="single" w:sz="6" w:space="0" w:color="auto"/>
            </w:tcBorders>
          </w:tcPr>
          <w:p w:rsidR="00000000" w:rsidRDefault="0031739B">
            <w:pPr>
              <w:jc w:val="center"/>
              <w:rPr>
                <w:sz w:val="21"/>
              </w:rPr>
            </w:pPr>
            <w:r>
              <w:rPr>
                <w:sz w:val="21"/>
              </w:rPr>
              <w:t>95,515</w:t>
            </w:r>
          </w:p>
        </w:tc>
        <w:tc>
          <w:tcPr>
            <w:tcW w:w="2208" w:type="dxa"/>
            <w:tcBorders>
              <w:left w:val="single" w:sz="6" w:space="0" w:color="auto"/>
              <w:bottom w:val="single" w:sz="6" w:space="0" w:color="auto"/>
            </w:tcBorders>
          </w:tcPr>
          <w:p w:rsidR="00000000" w:rsidRDefault="0031739B">
            <w:pPr>
              <w:jc w:val="center"/>
              <w:rPr>
                <w:sz w:val="21"/>
              </w:rPr>
            </w:pPr>
            <w:r>
              <w:rPr>
                <w:sz w:val="21"/>
              </w:rPr>
              <w:t>307,643</w:t>
            </w:r>
          </w:p>
        </w:tc>
        <w:tc>
          <w:tcPr>
            <w:tcW w:w="1212" w:type="dxa"/>
            <w:tcBorders>
              <w:left w:val="single" w:sz="6" w:space="0" w:color="auto"/>
              <w:bottom w:val="single" w:sz="6" w:space="0" w:color="auto"/>
              <w:right w:val="single" w:sz="6" w:space="0" w:color="auto"/>
            </w:tcBorders>
          </w:tcPr>
          <w:p w:rsidR="00000000" w:rsidRDefault="0031739B">
            <w:pPr>
              <w:jc w:val="center"/>
              <w:rPr>
                <w:sz w:val="21"/>
              </w:rPr>
            </w:pPr>
            <w:r>
              <w:rPr>
                <w:sz w:val="21"/>
              </w:rPr>
              <w:t>22,951</w:t>
            </w:r>
          </w:p>
        </w:tc>
      </w:tr>
    </w:tbl>
    <w:p w:rsidR="00000000" w:rsidRDefault="0031739B">
      <w:pPr>
        <w:pStyle w:val="EndnoteText"/>
        <w:spacing w:before="240"/>
        <w:ind w:hanging="958"/>
      </w:pPr>
      <w:r>
        <w:rPr>
          <w:rFonts w:hint="eastAsia"/>
          <w:u w:val="single"/>
        </w:rPr>
        <w:t>说</w:t>
      </w:r>
      <w:r>
        <w:rPr>
          <w:u w:val="single"/>
        </w:rPr>
        <w:t xml:space="preserve">  </w:t>
      </w:r>
      <w:r>
        <w:rPr>
          <w:rFonts w:hint="eastAsia"/>
          <w:u w:val="single"/>
        </w:rPr>
        <w:t>明</w:t>
      </w:r>
      <w:r>
        <w:t>:</w:t>
      </w:r>
      <w:r>
        <w:rPr>
          <w:rFonts w:hint="eastAsia"/>
        </w:rPr>
        <w:t>“等待人数”指因疾病等原因而不符合就业资格的人。</w:t>
      </w:r>
    </w:p>
    <w:p w:rsidR="00000000" w:rsidRDefault="0031739B">
      <w:pPr>
        <w:pStyle w:val="Heading3"/>
        <w:spacing w:before="320" w:after="240"/>
        <w:textAlignment w:val="center"/>
      </w:pPr>
      <w:r>
        <w:rPr>
          <w:u w:val="none"/>
        </w:rPr>
        <w:t xml:space="preserve">2.  </w:t>
      </w:r>
      <w:r>
        <w:rPr>
          <w:rFonts w:hint="eastAsia"/>
        </w:rPr>
        <w:t>保证工作权的政策和措施</w:t>
      </w:r>
    </w:p>
    <w:p w:rsidR="00000000" w:rsidRDefault="0031739B">
      <w:pPr>
        <w:pStyle w:val="Heading4"/>
      </w:pPr>
      <w:r>
        <w:rPr>
          <w:u w:val="none"/>
        </w:rPr>
        <w:t>(a)</w:t>
      </w:r>
      <w:r>
        <w:rPr>
          <w:u w:val="none"/>
        </w:rPr>
        <w:tab/>
      </w:r>
      <w:r>
        <w:rPr>
          <w:rFonts w:hint="eastAsia"/>
        </w:rPr>
        <w:t>工作权保证</w:t>
      </w:r>
    </w:p>
    <w:p w:rsidR="00000000" w:rsidRDefault="0031739B">
      <w:pPr>
        <w:spacing w:after="320"/>
        <w:textAlignment w:val="center"/>
      </w:pPr>
      <w:r>
        <w:tab/>
        <w:t xml:space="preserve">27.  </w:t>
      </w:r>
      <w:r>
        <w:rPr>
          <w:rFonts w:hint="eastAsia"/>
        </w:rPr>
        <w:t>宪法第</w:t>
      </w:r>
      <w:r>
        <w:t>27</w:t>
      </w:r>
      <w:r>
        <w:rPr>
          <w:rFonts w:hint="eastAsia"/>
        </w:rPr>
        <w:t>条第</w:t>
      </w:r>
      <w:r>
        <w:t>1</w:t>
      </w:r>
      <w:r>
        <w:rPr>
          <w:rFonts w:hint="eastAsia"/>
        </w:rPr>
        <w:t>款规定：“所有的人应有工作权利和</w:t>
      </w:r>
      <w:r>
        <w:rPr>
          <w:rFonts w:hint="eastAsia"/>
        </w:rPr>
        <w:t>义务”。该款承认所有人的工作权。为了保证工作权，政府有义务采取各种措施，保证工人就业。工作权保证是有关就业保障管理工作的各种法律规章的主要问题</w:t>
      </w:r>
      <w:r>
        <w:t>(</w:t>
      </w:r>
      <w:r>
        <w:rPr>
          <w:rFonts w:hint="eastAsia"/>
        </w:rPr>
        <w:t>有关细节参见初步报告</w:t>
      </w:r>
      <w:r>
        <w:t>)</w:t>
      </w:r>
      <w:r>
        <w:rPr>
          <w:rFonts w:hint="eastAsia"/>
        </w:rPr>
        <w:t>。</w:t>
      </w:r>
    </w:p>
    <w:p w:rsidR="00000000" w:rsidRDefault="0031739B">
      <w:pPr>
        <w:pStyle w:val="Heading4"/>
      </w:pPr>
      <w:r>
        <w:rPr>
          <w:u w:val="none"/>
        </w:rPr>
        <w:t>(b)</w:t>
      </w:r>
      <w:r>
        <w:rPr>
          <w:u w:val="none"/>
        </w:rPr>
        <w:tab/>
      </w:r>
      <w:r>
        <w:rPr>
          <w:rFonts w:hint="eastAsia"/>
        </w:rPr>
        <w:t>自由选择就业</w:t>
      </w:r>
    </w:p>
    <w:p w:rsidR="00000000" w:rsidRDefault="0031739B">
      <w:pPr>
        <w:spacing w:after="320"/>
        <w:textAlignment w:val="center"/>
      </w:pPr>
      <w:r>
        <w:tab/>
        <w:t xml:space="preserve">28.  </w:t>
      </w:r>
      <w:r>
        <w:rPr>
          <w:rFonts w:hint="eastAsia"/>
        </w:rPr>
        <w:t>宪法第</w:t>
      </w:r>
      <w:r>
        <w:t>22</w:t>
      </w:r>
      <w:r>
        <w:rPr>
          <w:rFonts w:hint="eastAsia"/>
        </w:rPr>
        <w:t>条第</w:t>
      </w:r>
      <w:r>
        <w:t>1</w:t>
      </w:r>
      <w:r>
        <w:rPr>
          <w:rFonts w:hint="eastAsia"/>
        </w:rPr>
        <w:t>款规定：“人人应有选择职业的自由，只要它与公共福利无抵触”。为了保证这项权利，成立了公共就业保障署和其他就业保证机构，以执行诸如积极挖掘工作机会、向求职者提供信息和工作安排服务等任务。当全国政府推行就业机会</w:t>
      </w:r>
      <w:r>
        <w:t>(</w:t>
      </w:r>
      <w:r>
        <w:rPr>
          <w:rFonts w:hint="eastAsia"/>
        </w:rPr>
        <w:t>就业保障机构提供指导和安置服务</w:t>
      </w:r>
      <w:r>
        <w:t>)</w:t>
      </w:r>
      <w:r>
        <w:rPr>
          <w:rFonts w:hint="eastAsia"/>
        </w:rPr>
        <w:t>时，个人的意愿将得到尊重；不允许通过政府权力强迫撤换</w:t>
      </w:r>
      <w:r>
        <w:rPr>
          <w:rFonts w:hint="eastAsia"/>
        </w:rPr>
        <w:t>工人。</w:t>
      </w:r>
    </w:p>
    <w:p w:rsidR="00000000" w:rsidRDefault="0031739B">
      <w:pPr>
        <w:pStyle w:val="Heading4"/>
      </w:pPr>
      <w:r>
        <w:rPr>
          <w:u w:val="none"/>
        </w:rPr>
        <w:t>(c)</w:t>
      </w:r>
      <w:r>
        <w:rPr>
          <w:u w:val="none"/>
        </w:rPr>
        <w:tab/>
      </w:r>
      <w:r>
        <w:rPr>
          <w:rFonts w:hint="eastAsia"/>
        </w:rPr>
        <w:t>日本的就业措施</w:t>
      </w:r>
    </w:p>
    <w:p w:rsidR="00000000" w:rsidRDefault="0031739B">
      <w:r>
        <w:tab/>
        <w:t xml:space="preserve">29.  </w:t>
      </w:r>
      <w:r>
        <w:rPr>
          <w:rFonts w:hint="eastAsia"/>
        </w:rPr>
        <w:t>这样，工作权保证和择业自由是日本就业保障有关法律的基本政策，如就业保障法和就业保险法。基于这些概念和“实现充分就业”的目标</w:t>
      </w:r>
      <w:r>
        <w:t>(</w:t>
      </w:r>
      <w:r>
        <w:rPr>
          <w:rFonts w:hint="eastAsia"/>
        </w:rPr>
        <w:t>它是现代福利政府的基本政策</w:t>
      </w:r>
      <w:r>
        <w:t>)</w:t>
      </w:r>
      <w:r>
        <w:rPr>
          <w:rFonts w:hint="eastAsia"/>
        </w:rPr>
        <w:t>，执行了全面发展与就业有关的措施。</w:t>
      </w:r>
    </w:p>
    <w:p w:rsidR="00000000" w:rsidRDefault="0031739B">
      <w:r>
        <w:tab/>
        <w:t xml:space="preserve">30.  </w:t>
      </w:r>
      <w:r>
        <w:rPr>
          <w:rFonts w:hint="eastAsia"/>
        </w:rPr>
        <w:t>这意味着有关就业的各项法律和规章</w:t>
      </w:r>
      <w:r>
        <w:t>(</w:t>
      </w:r>
      <w:r>
        <w:rPr>
          <w:rFonts w:hint="eastAsia"/>
        </w:rPr>
        <w:t>就业措施法为其中主要的一项</w:t>
      </w:r>
      <w:r>
        <w:t>)</w:t>
      </w:r>
      <w:r>
        <w:rPr>
          <w:rFonts w:hint="eastAsia"/>
        </w:rPr>
        <w:t>和基于这些法律和规章的各项措施已形成一种制度，以实现包含宪法理想和争取充分就业的基本目标，尽管每一项法律和措施的目标和手段各不相同。</w:t>
      </w:r>
      <w:r>
        <w:t>(</w:t>
      </w:r>
      <w:r>
        <w:rPr>
          <w:rFonts w:hint="eastAsia"/>
        </w:rPr>
        <w:t>参见就业措施法第</w:t>
      </w:r>
      <w:r>
        <w:t>1</w:t>
      </w:r>
      <w:r>
        <w:rPr>
          <w:rFonts w:hint="eastAsia"/>
        </w:rPr>
        <w:t>条第</w:t>
      </w:r>
      <w:r>
        <w:t>1</w:t>
      </w:r>
      <w:r>
        <w:rPr>
          <w:rFonts w:hint="eastAsia"/>
        </w:rPr>
        <w:t>款。</w:t>
      </w:r>
      <w:r>
        <w:t>)</w:t>
      </w:r>
      <w:r>
        <w:rPr>
          <w:rFonts w:hint="eastAsia"/>
        </w:rPr>
        <w:t>这些措施可作如下归类：第一套措施以通过基于</w:t>
      </w:r>
      <w:r>
        <w:rPr>
          <w:rFonts w:hint="eastAsia"/>
        </w:rPr>
        <w:t>就业措施法的就业保障活动的手段防止失业为目标；第二套措施以提供生活保障为目标，弥补因失业带来的工资损失，其办法是借助诸如就业保险等手段；第三套措施以促进失业人员重返劳动大军为目标，办法是就业安置和职业培训等。</w:t>
      </w:r>
    </w:p>
    <w:p w:rsidR="00000000" w:rsidRDefault="0031739B">
      <w:pPr>
        <w:spacing w:after="320"/>
        <w:textAlignment w:val="center"/>
      </w:pPr>
      <w:r>
        <w:tab/>
        <w:t xml:space="preserve">31.  </w:t>
      </w:r>
      <w:r>
        <w:rPr>
          <w:rFonts w:hint="eastAsia"/>
        </w:rPr>
        <w:t>要实现和保持充分就业</w:t>
      </w:r>
      <w:r>
        <w:t>(</w:t>
      </w:r>
      <w:r>
        <w:rPr>
          <w:rFonts w:hint="eastAsia"/>
        </w:rPr>
        <w:t>这是就业政策的目标</w:t>
      </w:r>
      <w:r>
        <w:t>)</w:t>
      </w:r>
      <w:r>
        <w:rPr>
          <w:rFonts w:hint="eastAsia"/>
        </w:rPr>
        <w:t>，应该依据经济和就业条件，执行适当和大量就业措施；此外，还必须努力对付劳力供求结构的中、长期变化。从这些角度而言，日本自</w:t>
      </w:r>
      <w:r>
        <w:t>1967</w:t>
      </w:r>
      <w:r>
        <w:rPr>
          <w:rFonts w:hint="eastAsia"/>
        </w:rPr>
        <w:t>年以来通过了基本就业措施计划</w:t>
      </w:r>
      <w:r>
        <w:t>(1995</w:t>
      </w:r>
      <w:r>
        <w:rPr>
          <w:rFonts w:hint="eastAsia"/>
        </w:rPr>
        <w:t>年通过了第</w:t>
      </w:r>
      <w:r>
        <w:t>8</w:t>
      </w:r>
      <w:r>
        <w:rPr>
          <w:rFonts w:hint="eastAsia"/>
        </w:rPr>
        <w:t>次计划</w:t>
      </w:r>
      <w:r>
        <w:t>)</w:t>
      </w:r>
      <w:r>
        <w:rPr>
          <w:rFonts w:hint="eastAsia"/>
        </w:rPr>
        <w:t>，每年制订一项年度就业计划，作为全面系统执行必要措施的准则，以</w:t>
      </w:r>
      <w:r>
        <w:rPr>
          <w:rFonts w:hint="eastAsia"/>
        </w:rPr>
        <w:t>便准确处理直接的失业条件。实际就业措施根据这些计划付诸实施。</w:t>
      </w:r>
    </w:p>
    <w:p w:rsidR="00000000" w:rsidRDefault="0031739B">
      <w:pPr>
        <w:pStyle w:val="Heading3"/>
      </w:pPr>
      <w:r>
        <w:rPr>
          <w:u w:val="none"/>
        </w:rPr>
        <w:t xml:space="preserve">3.  </w:t>
      </w:r>
      <w:r>
        <w:rPr>
          <w:rFonts w:hint="eastAsia"/>
        </w:rPr>
        <w:t>提高劳动生产率的政策</w:t>
      </w:r>
    </w:p>
    <w:p w:rsidR="00000000" w:rsidRDefault="0031739B">
      <w:r>
        <w:tab/>
        <w:t xml:space="preserve">32.  </w:t>
      </w:r>
      <w:r>
        <w:rPr>
          <w:rFonts w:hint="eastAsia"/>
        </w:rPr>
        <w:t>尽管提高劳动生产率基本上是劳资双方自助努力的结果，但政府促进人力资源开发措施和节省劳力投资作为推动提高劳动生产率的政策。政府还鼓励减少工时，并为间接提高生产率提供机会。此外，改变工业结构</w:t>
      </w:r>
      <w:r>
        <w:t>(</w:t>
      </w:r>
      <w:r>
        <w:rPr>
          <w:rFonts w:hint="eastAsia"/>
        </w:rPr>
        <w:t>由工业就业结构转向高生产率部门</w:t>
      </w:r>
      <w:r>
        <w:t>)</w:t>
      </w:r>
      <w:r>
        <w:rPr>
          <w:rFonts w:hint="eastAsia"/>
        </w:rPr>
        <w:t>和促进研究与发展的措施也为提高劳动生产率作出了贡献。</w:t>
      </w:r>
    </w:p>
    <w:p w:rsidR="00000000" w:rsidRDefault="0031739B">
      <w:r>
        <w:tab/>
        <w:t xml:space="preserve">33.  </w:t>
      </w:r>
      <w:r>
        <w:rPr>
          <w:rFonts w:hint="eastAsia"/>
        </w:rPr>
        <w:t>为了提高劳动力质量，政府提供援助，促进私人公司的人力资源开发、通过执行诸如公共职业培训和行业技能考试等措施创立人力资源开发</w:t>
      </w:r>
      <w:r>
        <w:rPr>
          <w:rFonts w:hint="eastAsia"/>
        </w:rPr>
        <w:t>制度，和培训微电子和信息处理人员，以应付信息社会的技术变化和进步。</w:t>
      </w:r>
    </w:p>
    <w:p w:rsidR="00000000" w:rsidRDefault="0031739B">
      <w:r>
        <w:tab/>
        <w:t xml:space="preserve">34.  </w:t>
      </w:r>
      <w:r>
        <w:rPr>
          <w:rFonts w:hint="eastAsia"/>
        </w:rPr>
        <w:t>政府提供援助，促进节省劳力的投资，它有助于提高劳动生产率。为了促进对私人设备的投资，同时应付劳力短缺问题，政府针对为节省劳力而促进设施投资的企业经营者</w:t>
      </w:r>
      <w:r>
        <w:t>(</w:t>
      </w:r>
      <w:r>
        <w:rPr>
          <w:rFonts w:hint="eastAsia"/>
        </w:rPr>
        <w:t>主要是中小型公司</w:t>
      </w:r>
      <w:r>
        <w:t>)</w:t>
      </w:r>
      <w:r>
        <w:rPr>
          <w:rFonts w:hint="eastAsia"/>
        </w:rPr>
        <w:t>设立了贷款制度。</w:t>
      </w:r>
    </w:p>
    <w:p w:rsidR="00000000" w:rsidRDefault="0031739B">
      <w:pPr>
        <w:spacing w:after="320"/>
        <w:textAlignment w:val="center"/>
      </w:pPr>
      <w:r>
        <w:tab/>
        <w:t xml:space="preserve">35.  </w:t>
      </w:r>
      <w:r>
        <w:rPr>
          <w:rFonts w:hint="eastAsia"/>
        </w:rPr>
        <w:t>减少工时成为一项全民任务，整个民族应为此努力，以便人民能过更充实的生活。政府积极鼓励减少工时，例如强调充分利用带薪年假和减少加班工作时间，以建立一周</w:t>
      </w:r>
      <w:r>
        <w:t>40</w:t>
      </w:r>
      <w:r>
        <w:rPr>
          <w:rFonts w:hint="eastAsia"/>
        </w:rPr>
        <w:t>小时工作制为首要问题。</w:t>
      </w:r>
    </w:p>
    <w:p w:rsidR="00000000" w:rsidRDefault="0031739B">
      <w:pPr>
        <w:pStyle w:val="Heading3"/>
      </w:pPr>
      <w:r>
        <w:rPr>
          <w:u w:val="none"/>
        </w:rPr>
        <w:t xml:space="preserve">4.  </w:t>
      </w:r>
      <w:r>
        <w:rPr>
          <w:rFonts w:hint="eastAsia"/>
        </w:rPr>
        <w:t>职业培训方案</w:t>
      </w:r>
    </w:p>
    <w:p w:rsidR="00000000" w:rsidRDefault="0031739B">
      <w:r>
        <w:tab/>
        <w:t xml:space="preserve">36.  </w:t>
      </w:r>
      <w:r>
        <w:rPr>
          <w:rFonts w:hint="eastAsia"/>
        </w:rPr>
        <w:t>日本职业培训方案的基本</w:t>
      </w:r>
      <w:r>
        <w:rPr>
          <w:rFonts w:hint="eastAsia"/>
        </w:rPr>
        <w:t>框架是由人力资源开发促进法</w:t>
      </w:r>
      <w:r>
        <w:t>(</w:t>
      </w:r>
      <w:r>
        <w:rPr>
          <w:rFonts w:hint="eastAsia"/>
        </w:rPr>
        <w:t>该法是初步报告提到的职业培训法，并在</w:t>
      </w:r>
      <w:r>
        <w:t>1985</w:t>
      </w:r>
      <w:r>
        <w:rPr>
          <w:rFonts w:hint="eastAsia"/>
        </w:rPr>
        <w:t>年</w:t>
      </w:r>
      <w:r>
        <w:t>6</w:t>
      </w:r>
      <w:r>
        <w:rPr>
          <w:rFonts w:hint="eastAsia"/>
        </w:rPr>
        <w:t>月颁布修改部分职业培训法的法律时作了修订</w:t>
      </w:r>
      <w:r>
        <w:t>)</w:t>
      </w:r>
      <w:r>
        <w:rPr>
          <w:rFonts w:hint="eastAsia"/>
        </w:rPr>
        <w:t>和基本人力资源开发计划规定的，后者依据上述法律每</w:t>
      </w:r>
      <w:r>
        <w:t>5</w:t>
      </w:r>
      <w:r>
        <w:rPr>
          <w:rFonts w:hint="eastAsia"/>
        </w:rPr>
        <w:t>年制订一次。全国政府和各县都促进私人公司的教育培训并为在各自公司没有充分教育培训机会的工人设立了公众人力资源开发设施。</w:t>
      </w:r>
    </w:p>
    <w:p w:rsidR="00000000" w:rsidRDefault="0031739B">
      <w:r>
        <w:tab/>
        <w:t xml:space="preserve">37.  </w:t>
      </w:r>
      <w:r>
        <w:rPr>
          <w:rFonts w:hint="eastAsia"/>
        </w:rPr>
        <w:t>为了促进私人公司的教育培训，政府鼓励各公司指定人力资源开发推动者，制订内部人力资源开发计划并顺利执行这些计划。此外，政府采取措施，补贴执行这些计划内的教育培训引起的必要开支。</w:t>
      </w:r>
    </w:p>
    <w:p w:rsidR="00000000" w:rsidRDefault="0031739B">
      <w:pPr>
        <w:spacing w:after="320"/>
        <w:textAlignment w:val="center"/>
      </w:pPr>
      <w:r>
        <w:tab/>
        <w:t xml:space="preserve">38.  </w:t>
      </w:r>
      <w:r>
        <w:rPr>
          <w:rFonts w:hint="eastAsia"/>
        </w:rPr>
        <w:t>公共人力资源设施的职业培</w:t>
      </w:r>
      <w:r>
        <w:rPr>
          <w:rFonts w:hint="eastAsia"/>
        </w:rPr>
        <w:t>训根据知识和技术水平及培训期限，分为短期课程和普通课程的一般职业培训和短期专门课程和专门课程的高级技术职业培训。全国政府和各县根据按基本计划的基本人力资源开发计划和各县人力资源开发计划执行各种措施。政府还成立了由政府机构代表与每一培训设施劳资双方代表组成的业务理事会，努力便利这些设施的有效活动，提供符合工人和实业需要的培训。</w:t>
      </w:r>
    </w:p>
    <w:p w:rsidR="00000000" w:rsidRDefault="0031739B">
      <w:pPr>
        <w:pStyle w:val="Heading3"/>
      </w:pPr>
      <w:r>
        <w:rPr>
          <w:u w:val="none"/>
        </w:rPr>
        <w:t xml:space="preserve">5.  </w:t>
      </w:r>
      <w:r>
        <w:rPr>
          <w:rFonts w:hint="eastAsia"/>
        </w:rPr>
        <w:t>保证公平就业机会</w:t>
      </w:r>
    </w:p>
    <w:p w:rsidR="00000000" w:rsidRDefault="0031739B">
      <w:pPr>
        <w:spacing w:after="320"/>
        <w:textAlignment w:val="center"/>
      </w:pPr>
      <w:r>
        <w:tab/>
        <w:t xml:space="preserve">39.  </w:t>
      </w:r>
      <w:r>
        <w:rPr>
          <w:rFonts w:hint="eastAsia"/>
        </w:rPr>
        <w:t>就业保障法第</w:t>
      </w:r>
      <w:r>
        <w:t>3</w:t>
      </w:r>
      <w:r>
        <w:rPr>
          <w:rFonts w:hint="eastAsia"/>
        </w:rPr>
        <w:t>条规定在就业安置和职业指导等方面，任何人不得受到以种族、国籍、教义、性别、社会地位或家庭出身等原因的歧视。政府执行下列措施来保障平等</w:t>
      </w:r>
      <w:r>
        <w:rPr>
          <w:rFonts w:hint="eastAsia"/>
        </w:rPr>
        <w:t>就业机会。</w:t>
      </w:r>
    </w:p>
    <w:p w:rsidR="00000000" w:rsidRDefault="0031739B">
      <w:pPr>
        <w:pStyle w:val="Heading4"/>
      </w:pPr>
      <w:r>
        <w:rPr>
          <w:u w:val="none"/>
        </w:rPr>
        <w:t>(a)</w:t>
      </w:r>
      <w:r>
        <w:rPr>
          <w:u w:val="none"/>
        </w:rPr>
        <w:tab/>
      </w:r>
      <w:r>
        <w:rPr>
          <w:rFonts w:hint="eastAsia"/>
        </w:rPr>
        <w:t>女</w:t>
      </w:r>
      <w:r>
        <w:t xml:space="preserve">  </w:t>
      </w:r>
      <w:r>
        <w:rPr>
          <w:rFonts w:hint="eastAsia"/>
        </w:rPr>
        <w:t>工</w:t>
      </w:r>
    </w:p>
    <w:p w:rsidR="00000000" w:rsidRDefault="0031739B">
      <w:r>
        <w:tab/>
        <w:t xml:space="preserve">40.  </w:t>
      </w:r>
      <w:r>
        <w:rPr>
          <w:rFonts w:hint="eastAsia"/>
          <w:u w:val="single"/>
        </w:rPr>
        <w:t>修改公平就业机会法和劳动标准法等</w:t>
      </w:r>
      <w:r>
        <w:rPr>
          <w:rFonts w:hint="eastAsia"/>
        </w:rPr>
        <w:t>。为了促进公平就业机会和男女劳动条件，政府于</w:t>
      </w:r>
      <w:r>
        <w:t>1986</w:t>
      </w:r>
      <w:r>
        <w:rPr>
          <w:rFonts w:hint="eastAsia"/>
        </w:rPr>
        <w:t>年</w:t>
      </w:r>
      <w:r>
        <w:t>4</w:t>
      </w:r>
      <w:r>
        <w:rPr>
          <w:rFonts w:hint="eastAsia"/>
        </w:rPr>
        <w:t>月正式颁布了提高女工福利的法律，包括男女就业机会和待遇平等的保障</w:t>
      </w:r>
      <w:r>
        <w:t>(</w:t>
      </w:r>
      <w:r>
        <w:rPr>
          <w:rFonts w:hint="eastAsia"/>
        </w:rPr>
        <w:t>公平就业机会法</w:t>
      </w:r>
      <w:r>
        <w:t>)</w:t>
      </w:r>
      <w:r>
        <w:rPr>
          <w:rFonts w:hint="eastAsia"/>
        </w:rPr>
        <w:t>。此外，政府修改了劳动标准法和海员法中有关保护妇女的条例，减少了有关加班、假日上班、深夜工作和危险与有害工作等方面对妇女的限制。</w:t>
      </w:r>
    </w:p>
    <w:p w:rsidR="00000000" w:rsidRDefault="0031739B">
      <w:r>
        <w:tab/>
        <w:t xml:space="preserve">41.  </w:t>
      </w:r>
      <w:r>
        <w:rPr>
          <w:rFonts w:hint="eastAsia"/>
        </w:rPr>
        <w:t>为坚决保证就业中男女机会和待遇平等，政府于</w:t>
      </w:r>
      <w:r>
        <w:t>1997</w:t>
      </w:r>
      <w:r>
        <w:rPr>
          <w:rFonts w:hint="eastAsia"/>
        </w:rPr>
        <w:t>年修改了有关法律，包括公平就业机会法。将于</w:t>
      </w:r>
      <w:r>
        <w:t>1999</w:t>
      </w:r>
      <w:r>
        <w:rPr>
          <w:rFonts w:hint="eastAsia"/>
        </w:rPr>
        <w:t>年</w:t>
      </w:r>
      <w:r>
        <w:t>4</w:t>
      </w:r>
      <w:r>
        <w:rPr>
          <w:rFonts w:hint="eastAsia"/>
        </w:rPr>
        <w:t>月生效的经修订的公平就业机会法主要包含下列修改内容：</w:t>
      </w:r>
    </w:p>
    <w:p w:rsidR="00000000" w:rsidRDefault="0031739B" w:rsidP="0031739B">
      <w:pPr>
        <w:pStyle w:val="a0"/>
        <w:numPr>
          <w:ilvl w:val="0"/>
          <w:numId w:val="1"/>
        </w:numPr>
        <w:ind w:left="1531" w:hanging="510"/>
      </w:pPr>
      <w:r>
        <w:rPr>
          <w:rFonts w:hint="eastAsia"/>
        </w:rPr>
        <w:t>禁止在招聘、雇用、分派任务和晋升方面歧视妇女，而过去雇主仅有义务努力消除这种歧视。经修订的法律还取消了有关禁止职业培训歧视的领域限制；</w:t>
      </w:r>
    </w:p>
    <w:p w:rsidR="00000000" w:rsidRDefault="0031739B" w:rsidP="0031739B">
      <w:pPr>
        <w:pStyle w:val="a0"/>
        <w:numPr>
          <w:ilvl w:val="0"/>
          <w:numId w:val="1"/>
        </w:numPr>
        <w:ind w:left="1531" w:hanging="510"/>
      </w:pPr>
      <w:r>
        <w:rPr>
          <w:rFonts w:hint="eastAsia"/>
        </w:rPr>
        <w:t>考虑到有害影响曾固定妇女可工作的领域和将男女职业领域分开，经修订的法律现确认在具体职业部门仅招聘和委派妇女，这是“对妇女的歧视”，并在原则上予以禁止</w:t>
      </w:r>
      <w:r>
        <w:t>(</w:t>
      </w:r>
      <w:r>
        <w:rPr>
          <w:rFonts w:hint="eastAsia"/>
        </w:rPr>
        <w:t>这在过去是容许的</w:t>
      </w:r>
      <w:r>
        <w:t>)</w:t>
      </w:r>
      <w:r>
        <w:rPr>
          <w:rFonts w:hint="eastAsia"/>
        </w:rPr>
        <w:t>；</w:t>
      </w:r>
    </w:p>
    <w:p w:rsidR="00000000" w:rsidRDefault="0031739B" w:rsidP="0031739B">
      <w:pPr>
        <w:pStyle w:val="a0"/>
        <w:numPr>
          <w:ilvl w:val="0"/>
          <w:numId w:val="1"/>
        </w:numPr>
        <w:ind w:left="1531" w:hanging="510"/>
      </w:pPr>
      <w:r>
        <w:rPr>
          <w:rFonts w:hint="eastAsia"/>
        </w:rPr>
        <w:t>该法作出新规定，政府对采取或试图采取“积极行动”以消除男女工现有差距的雇主可给予指导意见和其他支持。</w:t>
      </w:r>
      <w:r>
        <w:t>(</w:t>
      </w:r>
      <w:r>
        <w:rPr>
          <w:rFonts w:hint="eastAsia"/>
        </w:rPr>
        <w:t>仅为妇女采取的措施作为基于该项规定的“积极行动”不被视为上文</w:t>
      </w:r>
      <w:r>
        <w:t>(b)</w:t>
      </w:r>
      <w:r>
        <w:rPr>
          <w:rFonts w:hint="eastAsia"/>
        </w:rPr>
        <w:t>段提到的“对妇女的歧视”</w:t>
      </w:r>
      <w:r>
        <w:t>)</w:t>
      </w:r>
      <w:r>
        <w:rPr>
          <w:rFonts w:hint="eastAsia"/>
        </w:rPr>
        <w:t>；</w:t>
      </w:r>
    </w:p>
    <w:p w:rsidR="00000000" w:rsidRDefault="0031739B" w:rsidP="0031739B">
      <w:pPr>
        <w:pStyle w:val="a0"/>
        <w:numPr>
          <w:ilvl w:val="0"/>
          <w:numId w:val="1"/>
        </w:numPr>
        <w:ind w:left="1531" w:hanging="510"/>
      </w:pPr>
      <w:r>
        <w:rPr>
          <w:rFonts w:hint="eastAsia"/>
        </w:rPr>
        <w:t>该法规</w:t>
      </w:r>
      <w:r>
        <w:rPr>
          <w:rFonts w:hint="eastAsia"/>
        </w:rPr>
        <w:t>定了一种制度，可正式揭露雇主未遵守纠正禁止歧视妇女条款的相关建议；</w:t>
      </w:r>
    </w:p>
    <w:p w:rsidR="00000000" w:rsidRDefault="0031739B" w:rsidP="0031739B">
      <w:pPr>
        <w:pStyle w:val="a0"/>
        <w:numPr>
          <w:ilvl w:val="0"/>
          <w:numId w:val="1"/>
        </w:numPr>
        <w:ind w:left="1531" w:hanging="510"/>
      </w:pPr>
      <w:r>
        <w:rPr>
          <w:rFonts w:hint="eastAsia"/>
        </w:rPr>
        <w:t>关于调停制度，该法规定应当事方之一的要求，可发起调解进程；</w:t>
      </w:r>
    </w:p>
    <w:p w:rsidR="00000000" w:rsidRDefault="0031739B" w:rsidP="0031739B">
      <w:pPr>
        <w:pStyle w:val="a0"/>
        <w:numPr>
          <w:ilvl w:val="0"/>
          <w:numId w:val="1"/>
        </w:numPr>
        <w:ind w:left="1531" w:hanging="510"/>
      </w:pPr>
      <w:r>
        <w:rPr>
          <w:rFonts w:hint="eastAsia"/>
        </w:rPr>
        <w:t>该法作出新规定：雇主在业管理方法中，必须考虑一切必要措施，防止工作场所的性骚扰；</w:t>
      </w:r>
    </w:p>
    <w:p w:rsidR="00000000" w:rsidRDefault="0031739B" w:rsidP="0031739B">
      <w:pPr>
        <w:pStyle w:val="a0"/>
        <w:numPr>
          <w:ilvl w:val="0"/>
          <w:numId w:val="1"/>
        </w:numPr>
        <w:ind w:left="1531" w:hanging="510"/>
      </w:pPr>
      <w:r>
        <w:rPr>
          <w:rFonts w:hint="eastAsia"/>
        </w:rPr>
        <w:t>从</w:t>
      </w:r>
      <w:r>
        <w:t>1998</w:t>
      </w:r>
      <w:r>
        <w:rPr>
          <w:rFonts w:hint="eastAsia"/>
        </w:rPr>
        <w:t>年</w:t>
      </w:r>
      <w:r>
        <w:t>4</w:t>
      </w:r>
      <w:r>
        <w:rPr>
          <w:rFonts w:hint="eastAsia"/>
        </w:rPr>
        <w:t>月</w:t>
      </w:r>
      <w:r>
        <w:t>1</w:t>
      </w:r>
      <w:r>
        <w:rPr>
          <w:rFonts w:hint="eastAsia"/>
        </w:rPr>
        <w:t>日起，雇主必须为怀孕工人和分娩后的健康管理采取措施，而过去雇主仅有义务努力采取这种措施。</w:t>
      </w:r>
      <w:r>
        <w:t>(</w:t>
      </w:r>
      <w:r>
        <w:rPr>
          <w:rFonts w:hint="eastAsia"/>
        </w:rPr>
        <w:t>还请参考本报告第</w:t>
      </w:r>
      <w:r>
        <w:t>10</w:t>
      </w:r>
      <w:r>
        <w:rPr>
          <w:rFonts w:hint="eastAsia"/>
        </w:rPr>
        <w:t>条第</w:t>
      </w:r>
      <w:r>
        <w:t>2</w:t>
      </w:r>
      <w:r>
        <w:rPr>
          <w:rFonts w:hint="eastAsia"/>
        </w:rPr>
        <w:t>节，保护母亲的部分。</w:t>
      </w:r>
      <w:r>
        <w:t>)</w:t>
      </w:r>
    </w:p>
    <w:p w:rsidR="00000000" w:rsidRDefault="0031739B">
      <w:r>
        <w:tab/>
        <w:t xml:space="preserve">42.  </w:t>
      </w:r>
      <w:r>
        <w:rPr>
          <w:rFonts w:hint="eastAsia"/>
        </w:rPr>
        <w:t>此外，对劳工标准法同时进行的部分修改取消了有关加班、假日工作和夜班</w:t>
      </w:r>
      <w:r>
        <w:t>(</w:t>
      </w:r>
      <w:r>
        <w:rPr>
          <w:rFonts w:hint="eastAsia"/>
        </w:rPr>
        <w:t>从晚</w:t>
      </w:r>
      <w:r>
        <w:t>10</w:t>
      </w:r>
      <w:r>
        <w:rPr>
          <w:rFonts w:hint="eastAsia"/>
        </w:rPr>
        <w:t>点至凌晨</w:t>
      </w:r>
      <w:r>
        <w:t>5</w:t>
      </w:r>
      <w:r>
        <w:rPr>
          <w:rFonts w:hint="eastAsia"/>
        </w:rPr>
        <w:t>点</w:t>
      </w:r>
      <w:r>
        <w:t>)</w:t>
      </w:r>
      <w:r>
        <w:rPr>
          <w:rFonts w:hint="eastAsia"/>
        </w:rPr>
        <w:t>对</w:t>
      </w:r>
      <w:r>
        <w:t>18</w:t>
      </w:r>
      <w:r>
        <w:rPr>
          <w:rFonts w:hint="eastAsia"/>
        </w:rPr>
        <w:t>岁以上女工的限制。该修正将于</w:t>
      </w:r>
      <w:r>
        <w:t>1999</w:t>
      </w:r>
      <w:r>
        <w:rPr>
          <w:rFonts w:hint="eastAsia"/>
        </w:rPr>
        <w:t>年</w:t>
      </w:r>
      <w:r>
        <w:t>4</w:t>
      </w:r>
      <w:r>
        <w:rPr>
          <w:rFonts w:hint="eastAsia"/>
        </w:rPr>
        <w:t>月与公平就业机会法同时生效。</w:t>
      </w:r>
    </w:p>
    <w:p w:rsidR="00000000" w:rsidRDefault="0031739B">
      <w:r>
        <w:tab/>
        <w:t xml:space="preserve">43.  </w:t>
      </w:r>
      <w:r>
        <w:rPr>
          <w:rFonts w:hint="eastAsia"/>
          <w:u w:val="single"/>
        </w:rPr>
        <w:t>加强公平就业机会法</w:t>
      </w:r>
      <w:r>
        <w:rPr>
          <w:rFonts w:hint="eastAsia"/>
        </w:rPr>
        <w:t>。关于招聘、雇用、分派任务和晋升等领域与妇女有关的人事管理问题，县妇女和青年工人办事处就改善人事管理制度提供教育、咨询、指导并帮助解决争端，以使雇主遵守公平就业机会法、根据该法进行人事管理和传播经修订的公平就业机会法。具体而言，县妇女和青年工人办事处每年收到女工和雇主提出的</w:t>
      </w:r>
      <w:r>
        <w:t>20,000</w:t>
      </w:r>
      <w:r>
        <w:rPr>
          <w:rFonts w:hint="eastAsia"/>
        </w:rPr>
        <w:t>多份咨询要求并对有触犯公平就业机会法行为的雇主提供严格的纠正指导意见。此外，这些办事处定期向各公司收集有关妇女人事管理的报告，并要求严格遵守公平就业机会法。这些办</w:t>
      </w:r>
      <w:r>
        <w:rPr>
          <w:rFonts w:hint="eastAsia"/>
        </w:rPr>
        <w:t>事处如发现问题，则作出更多努力，积极提供指导意见。最后，办事处鼓励雇主自愿努力，根据公平就业机会法的目标改善就业管理。</w:t>
      </w:r>
    </w:p>
    <w:p w:rsidR="00000000" w:rsidRDefault="0031739B">
      <w:r>
        <w:tab/>
        <w:t xml:space="preserve">44.  </w:t>
      </w:r>
      <w:r>
        <w:rPr>
          <w:rFonts w:hint="eastAsia"/>
          <w:u w:val="single"/>
        </w:rPr>
        <w:t>例外情况</w:t>
      </w:r>
      <w:r>
        <w:rPr>
          <w:rFonts w:hint="eastAsia"/>
        </w:rPr>
        <w:t>。根据公平就业机会法颁布的劳工大臣准则规定雇主采取与招聘、雇用、分配和晋升有关的措施，允许有以下例外：</w:t>
      </w:r>
    </w:p>
    <w:p w:rsidR="00000000" w:rsidRDefault="0031739B">
      <w:pPr>
        <w:pStyle w:val="a5"/>
        <w:ind w:left="1546"/>
      </w:pPr>
      <w:r>
        <w:t>(a)</w:t>
      </w:r>
      <w:r>
        <w:tab/>
      </w:r>
      <w:r>
        <w:rPr>
          <w:rFonts w:hint="eastAsia"/>
        </w:rPr>
        <w:t>在有必要由男人从事的艺术和娱乐领域的工作</w:t>
      </w:r>
      <w:r>
        <w:t>(</w:t>
      </w:r>
      <w:r>
        <w:rPr>
          <w:rFonts w:hint="eastAsia"/>
        </w:rPr>
        <w:t>表演者、男歌唱家</w:t>
      </w:r>
      <w:r>
        <w:t>)</w:t>
      </w:r>
      <w:r>
        <w:rPr>
          <w:rFonts w:hint="eastAsia"/>
        </w:rPr>
        <w:t>；</w:t>
      </w:r>
    </w:p>
    <w:p w:rsidR="00000000" w:rsidRDefault="0031739B">
      <w:pPr>
        <w:pStyle w:val="a5"/>
        <w:ind w:left="1546"/>
      </w:pPr>
      <w:r>
        <w:t>(b)</w:t>
      </w:r>
      <w:r>
        <w:tab/>
      </w:r>
      <w:r>
        <w:rPr>
          <w:rFonts w:hint="eastAsia"/>
        </w:rPr>
        <w:t>因预防犯罪要求而必须由男人从事的工作，如警卫和治安人员；</w:t>
      </w:r>
    </w:p>
    <w:p w:rsidR="00000000" w:rsidRDefault="0031739B">
      <w:pPr>
        <w:pStyle w:val="a5"/>
        <w:ind w:left="1546"/>
      </w:pPr>
      <w:r>
        <w:t>(c)</w:t>
      </w:r>
      <w:r>
        <w:tab/>
      </w:r>
      <w:r>
        <w:rPr>
          <w:rFonts w:hint="eastAsia"/>
        </w:rPr>
        <w:t>因其性质被确认为如上文</w:t>
      </w:r>
      <w:r>
        <w:t>(a)</w:t>
      </w:r>
      <w:r>
        <w:rPr>
          <w:rFonts w:hint="eastAsia"/>
        </w:rPr>
        <w:t>和</w:t>
      </w:r>
      <w:r>
        <w:t>(b)</w:t>
      </w:r>
      <w:r>
        <w:rPr>
          <w:rFonts w:hint="eastAsia"/>
        </w:rPr>
        <w:t>段所指工作那样，亦需由男人从事的工作</w:t>
      </w:r>
      <w:r>
        <w:t>(</w:t>
      </w:r>
      <w:r>
        <w:rPr>
          <w:rFonts w:hint="eastAsia"/>
        </w:rPr>
        <w:t>由于宗教、公共道德、参与体育等需要</w:t>
      </w:r>
      <w:r>
        <w:t>)</w:t>
      </w:r>
      <w:r>
        <w:rPr>
          <w:rFonts w:hint="eastAsia"/>
        </w:rPr>
        <w:t>；</w:t>
      </w:r>
    </w:p>
    <w:p w:rsidR="00000000" w:rsidRDefault="0031739B">
      <w:pPr>
        <w:pStyle w:val="a5"/>
        <w:ind w:left="1546"/>
      </w:pPr>
      <w:r>
        <w:t>(d)</w:t>
      </w:r>
      <w:r>
        <w:tab/>
      </w:r>
      <w:r>
        <w:rPr>
          <w:rFonts w:hint="eastAsia"/>
        </w:rPr>
        <w:t>为了开展工作的正常活动，据认为由于劳动标准法限制或禁止规定</w:t>
      </w:r>
      <w:r>
        <w:t>(</w:t>
      </w:r>
      <w:r>
        <w:rPr>
          <w:rFonts w:hint="eastAsia"/>
        </w:rPr>
        <w:t>有关夜班、加班和假日工作等方面的限制，这些限制将于</w:t>
      </w:r>
      <w:r>
        <w:t>1999</w:t>
      </w:r>
      <w:r>
        <w:rPr>
          <w:rFonts w:hint="eastAsia"/>
        </w:rPr>
        <w:t>年</w:t>
      </w:r>
      <w:r>
        <w:t>3</w:t>
      </w:r>
      <w:r>
        <w:rPr>
          <w:rFonts w:hint="eastAsia"/>
        </w:rPr>
        <w:t>月</w:t>
      </w:r>
      <w:r>
        <w:t>31</w:t>
      </w:r>
      <w:r>
        <w:rPr>
          <w:rFonts w:hint="eastAsia"/>
        </w:rPr>
        <w:t>日取消</w:t>
      </w:r>
      <w:r>
        <w:t>)</w:t>
      </w:r>
      <w:r>
        <w:rPr>
          <w:rFonts w:hint="eastAsia"/>
        </w:rPr>
        <w:t>，而难以向妇女提供与男人同等机会或待遇的情况；</w:t>
      </w:r>
    </w:p>
    <w:p w:rsidR="00000000" w:rsidRDefault="0031739B">
      <w:pPr>
        <w:pStyle w:val="a5"/>
        <w:ind w:left="1546"/>
      </w:pPr>
      <w:r>
        <w:t>(e)</w:t>
      </w:r>
      <w:r>
        <w:tab/>
      </w:r>
      <w:r>
        <w:rPr>
          <w:rFonts w:hint="eastAsia"/>
        </w:rPr>
        <w:t>需要到海外服务的情况，其中由于风俗习惯或类似区别，或其他特殊情况，妇女将难以发挥其能力。</w:t>
      </w:r>
    </w:p>
    <w:p w:rsidR="00000000" w:rsidRDefault="0031739B">
      <w:pPr>
        <w:spacing w:after="240"/>
        <w:textAlignment w:val="center"/>
      </w:pPr>
      <w:r>
        <w:rPr>
          <w:rFonts w:hint="eastAsia"/>
        </w:rPr>
        <w:t>将依据经修订的公平就业机会法起草新的准则，它将于</w:t>
      </w:r>
      <w:r>
        <w:t>1999</w:t>
      </w:r>
      <w:r>
        <w:rPr>
          <w:rFonts w:hint="eastAsia"/>
        </w:rPr>
        <w:t>年</w:t>
      </w:r>
      <w:r>
        <w:t>4</w:t>
      </w:r>
      <w:r>
        <w:rPr>
          <w:rFonts w:hint="eastAsia"/>
        </w:rPr>
        <w:t>月</w:t>
      </w:r>
      <w:r>
        <w:t>1</w:t>
      </w:r>
      <w:r>
        <w:rPr>
          <w:rFonts w:hint="eastAsia"/>
        </w:rPr>
        <w:t>日起生效。</w:t>
      </w:r>
    </w:p>
    <w:p w:rsidR="00000000" w:rsidRDefault="0031739B">
      <w:pPr>
        <w:pStyle w:val="Heading4"/>
      </w:pPr>
      <w:r>
        <w:rPr>
          <w:u w:val="none"/>
        </w:rPr>
        <w:t>(b)</w:t>
      </w:r>
      <w:r>
        <w:rPr>
          <w:u w:val="none"/>
        </w:rPr>
        <w:tab/>
      </w:r>
      <w:r>
        <w:rPr>
          <w:rFonts w:hint="eastAsia"/>
        </w:rPr>
        <w:t>在日本的阿伊努人、多瓦人和朝鲜居民</w:t>
      </w:r>
    </w:p>
    <w:p w:rsidR="00000000" w:rsidRDefault="0031739B">
      <w:pPr>
        <w:spacing w:after="240"/>
        <w:textAlignment w:val="center"/>
      </w:pPr>
      <w:r>
        <w:tab/>
        <w:t xml:space="preserve">45.  </w:t>
      </w:r>
      <w:r>
        <w:rPr>
          <w:rFonts w:hint="eastAsia"/>
        </w:rPr>
        <w:t>日本在公共机构提供的就业指导和就业安置方面对阿伊努人、多瓦人或朝鲜居民没有歧视。然而，鉴于他们的历</w:t>
      </w:r>
      <w:r>
        <w:rPr>
          <w:rFonts w:hint="eastAsia"/>
        </w:rPr>
        <w:t>史背景，需要作出特殊考虑以便他们能够过较稳定的生活。为进一步确保他们的基本人权，政府指示和教育雇主适当理解和承认这些个人，并鼓励奉行依据求职者的能力和技术的公平就业做法。政府以这种方法努力保证他们的就业机会。此外，如果发生工作场所机会平等因种族、国籍或社会地位等原因而得不到保证的事件，人权组织将以个人为基础教育有关人员，保证理解就业保障法第</w:t>
      </w:r>
      <w:r>
        <w:t>3</w:t>
      </w:r>
      <w:r>
        <w:rPr>
          <w:rFonts w:hint="eastAsia"/>
        </w:rPr>
        <w:t>条和其他有关规章的目标</w:t>
      </w:r>
      <w:r>
        <w:t>(</w:t>
      </w:r>
      <w:r>
        <w:rPr>
          <w:rFonts w:hint="eastAsia"/>
        </w:rPr>
        <w:t>见第</w:t>
      </w:r>
      <w:r>
        <w:t>39</w:t>
      </w:r>
      <w:r>
        <w:rPr>
          <w:rFonts w:hint="eastAsia"/>
        </w:rPr>
        <w:t>段</w:t>
      </w:r>
      <w:r>
        <w:t>)</w:t>
      </w:r>
      <w:r>
        <w:rPr>
          <w:rFonts w:hint="eastAsia"/>
        </w:rPr>
        <w:t>。</w:t>
      </w:r>
    </w:p>
    <w:p w:rsidR="00000000" w:rsidRDefault="0031739B">
      <w:pPr>
        <w:pStyle w:val="Heading4"/>
      </w:pPr>
      <w:r>
        <w:rPr>
          <w:u w:val="none"/>
        </w:rPr>
        <w:t>(c)</w:t>
      </w:r>
      <w:r>
        <w:rPr>
          <w:u w:val="none"/>
        </w:rPr>
        <w:tab/>
      </w:r>
      <w:r>
        <w:rPr>
          <w:rFonts w:hint="eastAsia"/>
        </w:rPr>
        <w:t>外国人进入日本</w:t>
      </w:r>
    </w:p>
    <w:p w:rsidR="00000000" w:rsidRDefault="0031739B">
      <w:pPr>
        <w:spacing w:after="320"/>
        <w:textAlignment w:val="center"/>
      </w:pPr>
      <w:r>
        <w:tab/>
        <w:t xml:space="preserve">46.  </w:t>
      </w:r>
      <w:r>
        <w:rPr>
          <w:rFonts w:hint="eastAsia"/>
        </w:rPr>
        <w:t>日本政府认为：如外国人来日本从事需要专门技术、技能或知识的工作、或需要以外国文化为基础的具体</w:t>
      </w:r>
      <w:r>
        <w:rPr>
          <w:rFonts w:hint="eastAsia"/>
        </w:rPr>
        <w:t>思维或感觉方式的工作，或从事日本人不能进行的工作，那么予以雇用则不大可能对国内劳动市场造成不利影响或引起其他社会问题，反而将为促进和发展日本经济和社会作出贡献，只要这些工人受到适当的移民管制。从这一角度而言，政府尽可能多地接受从事需要专门技术的工作的外国工人。对于获准进入日本居住的外国人，全国公共就业保障办事处努力确保他们的就业机会，并按他们的“居民地位”容许的活动提供与日本国民相同的就业服务。</w:t>
      </w:r>
    </w:p>
    <w:p w:rsidR="00000000" w:rsidRDefault="0031739B">
      <w:pPr>
        <w:pStyle w:val="Heading3"/>
      </w:pPr>
      <w:r>
        <w:rPr>
          <w:u w:val="none"/>
        </w:rPr>
        <w:t xml:space="preserve">B.  </w:t>
      </w:r>
      <w:r>
        <w:rPr>
          <w:rFonts w:hint="eastAsia"/>
        </w:rPr>
        <w:t>第</w:t>
      </w:r>
      <w:r>
        <w:t xml:space="preserve"> 7 </w:t>
      </w:r>
      <w:r>
        <w:rPr>
          <w:rFonts w:hint="eastAsia"/>
        </w:rPr>
        <w:t>条</w:t>
      </w:r>
    </w:p>
    <w:p w:rsidR="00000000" w:rsidRDefault="0031739B">
      <w:pPr>
        <w:pStyle w:val="Heading3"/>
      </w:pPr>
      <w:r>
        <w:rPr>
          <w:u w:val="none"/>
        </w:rPr>
        <w:t xml:space="preserve">1.  </w:t>
      </w:r>
      <w:r>
        <w:rPr>
          <w:rFonts w:hint="eastAsia"/>
        </w:rPr>
        <w:t>工</w:t>
      </w:r>
      <w:r>
        <w:t xml:space="preserve">  </w:t>
      </w:r>
      <w:r>
        <w:rPr>
          <w:rFonts w:hint="eastAsia"/>
        </w:rPr>
        <w:t>资</w:t>
      </w:r>
    </w:p>
    <w:p w:rsidR="00000000" w:rsidRDefault="0031739B">
      <w:pPr>
        <w:pStyle w:val="Heading4"/>
      </w:pPr>
      <w:r>
        <w:rPr>
          <w:u w:val="none"/>
        </w:rPr>
        <w:t>(a)</w:t>
      </w:r>
      <w:r>
        <w:rPr>
          <w:u w:val="none"/>
        </w:rPr>
        <w:tab/>
      </w:r>
      <w:r>
        <w:rPr>
          <w:rFonts w:hint="eastAsia"/>
        </w:rPr>
        <w:t>确定工资的方法</w:t>
      </w:r>
    </w:p>
    <w:p w:rsidR="00000000" w:rsidRDefault="0031739B">
      <w:r>
        <w:tab/>
        <w:t xml:space="preserve">47.  </w:t>
      </w:r>
      <w:r>
        <w:rPr>
          <w:rFonts w:hint="eastAsia"/>
        </w:rPr>
        <w:t>宪法第</w:t>
      </w:r>
      <w:r>
        <w:t>28</w:t>
      </w:r>
      <w:r>
        <w:rPr>
          <w:rFonts w:hint="eastAsia"/>
        </w:rPr>
        <w:t>条保证工人有权成立组织、集体</w:t>
      </w:r>
      <w:r>
        <w:rPr>
          <w:rFonts w:hint="eastAsia"/>
        </w:rPr>
        <w:t>谈判和采取行动。原则上，工资通过劳资双方讨论或集体谈判确定。依据宪法规定，工会法和公营公司和国家企业劳动关系法授权缔结有关工作条件</w:t>
      </w:r>
      <w:r>
        <w:t>(</w:t>
      </w:r>
      <w:r>
        <w:rPr>
          <w:rFonts w:hint="eastAsia"/>
        </w:rPr>
        <w:t>包括工资</w:t>
      </w:r>
      <w:r>
        <w:t>)</w:t>
      </w:r>
      <w:r>
        <w:rPr>
          <w:rFonts w:hint="eastAsia"/>
        </w:rPr>
        <w:t>的劳动协议。</w:t>
      </w:r>
    </w:p>
    <w:p w:rsidR="00000000" w:rsidRDefault="0031739B">
      <w:r>
        <w:tab/>
        <w:t xml:space="preserve">48.  </w:t>
      </w:r>
      <w:r>
        <w:rPr>
          <w:rFonts w:hint="eastAsia"/>
        </w:rPr>
        <w:t>然而，国家公共雇员的基本劳动权利，由于他们的地位和公共职责的特点而受到限制；这些雇员除了在政府企业工作者外，不得缔结有关包括薪金在内的就业条件的劳动协议。而他们的薪金却由法律规定，根据一般社会条件、依据国家人事当局</w:t>
      </w:r>
      <w:r>
        <w:t>(</w:t>
      </w:r>
      <w:r>
        <w:rPr>
          <w:rFonts w:hint="eastAsia"/>
        </w:rPr>
        <w:t>一个独立机构</w:t>
      </w:r>
      <w:r>
        <w:t>)</w:t>
      </w:r>
      <w:r>
        <w:rPr>
          <w:rFonts w:hint="eastAsia"/>
        </w:rPr>
        <w:t>向国会和内阁提出的建议，通过修改法律</w:t>
      </w:r>
      <w:r>
        <w:t>(</w:t>
      </w:r>
      <w:r>
        <w:rPr>
          <w:rFonts w:hint="eastAsia"/>
        </w:rPr>
        <w:t>全国公共服务法第</w:t>
      </w:r>
      <w:r>
        <w:t>28</w:t>
      </w:r>
      <w:r>
        <w:rPr>
          <w:rFonts w:hint="eastAsia"/>
        </w:rPr>
        <w:t>条和有关经常服务部门雇员报酬法第</w:t>
      </w:r>
      <w:r>
        <w:t>2</w:t>
      </w:r>
      <w:r>
        <w:rPr>
          <w:rFonts w:hint="eastAsia"/>
        </w:rPr>
        <w:t>条</w:t>
      </w:r>
      <w:r>
        <w:t>)</w:t>
      </w:r>
      <w:r>
        <w:rPr>
          <w:rFonts w:hint="eastAsia"/>
        </w:rPr>
        <w:t>予以调整。例如，</w:t>
      </w:r>
      <w:r>
        <w:t>1</w:t>
      </w:r>
      <w:r>
        <w:t>997</w:t>
      </w:r>
      <w:r>
        <w:rPr>
          <w:rFonts w:hint="eastAsia"/>
        </w:rPr>
        <w:t>年</w:t>
      </w:r>
      <w:r>
        <w:t>4</w:t>
      </w:r>
      <w:r>
        <w:rPr>
          <w:rFonts w:hint="eastAsia"/>
        </w:rPr>
        <w:t>月，负责行政服务的国家公共服务部门雇员的平均月薪</w:t>
      </w:r>
      <w:r>
        <w:t>(</w:t>
      </w:r>
      <w:r>
        <w:rPr>
          <w:rFonts w:hint="eastAsia"/>
        </w:rPr>
        <w:t>平均年龄：</w:t>
      </w:r>
      <w:r>
        <w:t>39.8</w:t>
      </w:r>
      <w:r>
        <w:rPr>
          <w:rFonts w:hint="eastAsia"/>
        </w:rPr>
        <w:t>岁</w:t>
      </w:r>
      <w:r>
        <w:t>)</w:t>
      </w:r>
      <w:r>
        <w:rPr>
          <w:rFonts w:hint="eastAsia"/>
        </w:rPr>
        <w:t>为</w:t>
      </w:r>
      <w:r>
        <w:t>356,424</w:t>
      </w:r>
      <w:r>
        <w:rPr>
          <w:rFonts w:hint="eastAsia"/>
        </w:rPr>
        <w:t>日元，而从事类似工作的私人企业雇员的平均月薪为</w:t>
      </w:r>
      <w:r>
        <w:t>360,056</w:t>
      </w:r>
      <w:r>
        <w:rPr>
          <w:rFonts w:hint="eastAsia"/>
        </w:rPr>
        <w:t>日元。为消除公、私营雇员之间的薪金差距，全国人事当局建议调整公共服务部门雇员的薪金。内阁收到该建议后，根据国家总政策，考虑到全国公共服务部门雇员的管理，决定根据国家人事当局为正规服务部门</w:t>
      </w:r>
      <w:r>
        <w:t>(</w:t>
      </w:r>
      <w:r>
        <w:rPr>
          <w:rFonts w:hint="eastAsia"/>
        </w:rPr>
        <w:t>不包括指定的服务部门</w:t>
      </w:r>
      <w:r>
        <w:t>)</w:t>
      </w:r>
      <w:r>
        <w:rPr>
          <w:rFonts w:hint="eastAsia"/>
        </w:rPr>
        <w:t>提出的建议修订该法。内阁正式向国会提出了“修订有关正规服务部门雇员报酬的法律和有关正规服务部门固定任期研究员的招聘、报酬和工作时间的特别措施法的</w:t>
      </w:r>
      <w:r>
        <w:rPr>
          <w:rFonts w:hint="eastAsia"/>
        </w:rPr>
        <w:t>法案”。该法案未经修正获得通过，为此对国家正规公共服务部门雇员的薪金作了调整，追溯到</w:t>
      </w:r>
      <w:r>
        <w:t>1997</w:t>
      </w:r>
      <w:r>
        <w:rPr>
          <w:rFonts w:hint="eastAsia"/>
        </w:rPr>
        <w:t>年</w:t>
      </w:r>
      <w:r>
        <w:t>4</w:t>
      </w:r>
      <w:r>
        <w:rPr>
          <w:rFonts w:hint="eastAsia"/>
        </w:rPr>
        <w:t>月。</w:t>
      </w:r>
      <w:r>
        <w:t>1998</w:t>
      </w:r>
      <w:r>
        <w:rPr>
          <w:rFonts w:hint="eastAsia"/>
        </w:rPr>
        <w:t>年</w:t>
      </w:r>
      <w:r>
        <w:t>4</w:t>
      </w:r>
      <w:r>
        <w:rPr>
          <w:rFonts w:hint="eastAsia"/>
        </w:rPr>
        <w:t>月调整了指定服务部门雇员的薪金。</w:t>
      </w:r>
    </w:p>
    <w:p w:rsidR="00000000" w:rsidRDefault="0031739B">
      <w:pPr>
        <w:spacing w:after="240"/>
        <w:textAlignment w:val="center"/>
      </w:pPr>
      <w:r>
        <w:tab/>
        <w:t xml:space="preserve">49.  </w:t>
      </w:r>
      <w:r>
        <w:rPr>
          <w:rFonts w:hint="eastAsia"/>
        </w:rPr>
        <w:t>除了地方公共企业雇员和为从事简单劳动雇用的雇员，地方公共雇员的薪金也以类似方式决定</w:t>
      </w:r>
      <w:r>
        <w:t>(</w:t>
      </w:r>
      <w:r>
        <w:rPr>
          <w:rFonts w:hint="eastAsia"/>
        </w:rPr>
        <w:t>地方公共服务法第</w:t>
      </w:r>
      <w:r>
        <w:t>24</w:t>
      </w:r>
      <w:r>
        <w:rPr>
          <w:rFonts w:hint="eastAsia"/>
        </w:rPr>
        <w:t>条和</w:t>
      </w:r>
      <w:r>
        <w:t>26</w:t>
      </w:r>
      <w:r>
        <w:rPr>
          <w:rFonts w:hint="eastAsia"/>
        </w:rPr>
        <w:t>条</w:t>
      </w:r>
      <w:r>
        <w:t>)</w:t>
      </w:r>
      <w:r>
        <w:rPr>
          <w:rFonts w:hint="eastAsia"/>
        </w:rPr>
        <w:t>。</w:t>
      </w:r>
    </w:p>
    <w:p w:rsidR="00000000" w:rsidRDefault="0031739B">
      <w:pPr>
        <w:pStyle w:val="Heading4"/>
      </w:pPr>
      <w:r>
        <w:rPr>
          <w:u w:val="none"/>
        </w:rPr>
        <w:t>(b)</w:t>
      </w:r>
      <w:r>
        <w:rPr>
          <w:u w:val="none"/>
        </w:rPr>
        <w:tab/>
      </w:r>
      <w:r>
        <w:rPr>
          <w:rFonts w:hint="eastAsia"/>
        </w:rPr>
        <w:t>最低工资</w:t>
      </w:r>
    </w:p>
    <w:p w:rsidR="00000000" w:rsidRDefault="0031739B">
      <w:pPr>
        <w:spacing w:after="240"/>
        <w:textAlignment w:val="center"/>
      </w:pPr>
      <w:r>
        <w:tab/>
        <w:t xml:space="preserve">50.  </w:t>
      </w:r>
      <w:r>
        <w:rPr>
          <w:rFonts w:hint="eastAsia"/>
        </w:rPr>
        <w:t>最低工资由最低工资法保障，确保工人的生计和改善劳动力的质量。当劳工大臣或县劳工标准办事处长官认为某个工业、职业或地区需要规定最低工资，以改善低工资工人的劳动条件，他</w:t>
      </w:r>
      <w:r>
        <w:t>/</w:t>
      </w:r>
      <w:r>
        <w:rPr>
          <w:rFonts w:hint="eastAsia"/>
        </w:rPr>
        <w:t>她就请全国或县最低工资委员会</w:t>
      </w:r>
      <w:r>
        <w:t>(</w:t>
      </w:r>
      <w:r>
        <w:rPr>
          <w:rFonts w:hint="eastAsia"/>
        </w:rPr>
        <w:t>由代表公</w:t>
      </w:r>
      <w:r>
        <w:rPr>
          <w:rFonts w:hint="eastAsia"/>
        </w:rPr>
        <w:t>共利益和劳、资三方相同数目的成员组成</w:t>
      </w:r>
      <w:r>
        <w:t>)</w:t>
      </w:r>
      <w:r>
        <w:rPr>
          <w:rFonts w:hint="eastAsia"/>
        </w:rPr>
        <w:t>作一项调查并讨论该问题。随后他</w:t>
      </w:r>
      <w:r>
        <w:t>/</w:t>
      </w:r>
      <w:r>
        <w:rPr>
          <w:rFonts w:hint="eastAsia"/>
        </w:rPr>
        <w:t>她根据委员会的意见</w:t>
      </w:r>
      <w:r>
        <w:t>(</w:t>
      </w:r>
      <w:r>
        <w:rPr>
          <w:rFonts w:hint="eastAsia"/>
        </w:rPr>
        <w:t>报告</w:t>
      </w:r>
      <w:r>
        <w:t>)</w:t>
      </w:r>
      <w:r>
        <w:rPr>
          <w:rFonts w:hint="eastAsia"/>
        </w:rPr>
        <w:t>确定最低工资。基于最低工资委员会调查和讨论的最低工资有两种，即地区最低工资</w:t>
      </w:r>
      <w:r>
        <w:t>(</w:t>
      </w:r>
      <w:r>
        <w:rPr>
          <w:rFonts w:hint="eastAsia"/>
        </w:rPr>
        <w:t>适用于某县所有工人不分行业或工种的最低工资</w:t>
      </w:r>
      <w:r>
        <w:t>)</w:t>
      </w:r>
      <w:r>
        <w:rPr>
          <w:rFonts w:hint="eastAsia"/>
        </w:rPr>
        <w:t>和工业最低工资</w:t>
      </w:r>
      <w:r>
        <w:t>(</w:t>
      </w:r>
      <w:r>
        <w:rPr>
          <w:rFonts w:hint="eastAsia"/>
        </w:rPr>
        <w:t>适用于具体工业工人的最低工资</w:t>
      </w:r>
      <w:r>
        <w:t>)</w:t>
      </w:r>
      <w:r>
        <w:rPr>
          <w:rFonts w:hint="eastAsia"/>
        </w:rPr>
        <w:t>。还有依据劳工协议的地区最低工资。表</w:t>
      </w:r>
      <w:r>
        <w:t>6</w:t>
      </w:r>
      <w:r>
        <w:rPr>
          <w:rFonts w:hint="eastAsia"/>
        </w:rPr>
        <w:t>显示了截至</w:t>
      </w:r>
      <w:r>
        <w:t>1997</w:t>
      </w:r>
      <w:r>
        <w:rPr>
          <w:rFonts w:hint="eastAsia"/>
        </w:rPr>
        <w:t>年</w:t>
      </w:r>
      <w:r>
        <w:t>3</w:t>
      </w:r>
      <w:r>
        <w:rPr>
          <w:rFonts w:hint="eastAsia"/>
        </w:rPr>
        <w:t>月</w:t>
      </w:r>
      <w:r>
        <w:t>31</w:t>
      </w:r>
      <w:r>
        <w:rPr>
          <w:rFonts w:hint="eastAsia"/>
        </w:rPr>
        <w:t>日根据既定制度确定的最低工资。</w:t>
      </w:r>
    </w:p>
    <w:p w:rsidR="00000000" w:rsidRDefault="0031739B">
      <w:pPr>
        <w:pStyle w:val="Heading3"/>
      </w:pPr>
      <w:r>
        <w:rPr>
          <w:rFonts w:hint="eastAsia"/>
          <w:u w:val="none"/>
        </w:rPr>
        <w:t>表</w:t>
      </w:r>
      <w:r>
        <w:rPr>
          <w:u w:val="none"/>
        </w:rPr>
        <w:t xml:space="preserve"> 6.  </w:t>
      </w:r>
      <w:r>
        <w:rPr>
          <w:rFonts w:hint="eastAsia"/>
        </w:rPr>
        <w:t>制订的最低工资制度数目和适用最低工资的工人人数</w:t>
      </w:r>
    </w:p>
    <w:tbl>
      <w:tblPr>
        <w:tblW w:w="0" w:type="auto"/>
        <w:tblInd w:w="-26" w:type="dxa"/>
        <w:tblBorders>
          <w:top w:val="single" w:sz="6" w:space="0" w:color="auto"/>
          <w:left w:val="single" w:sz="6" w:space="0" w:color="auto"/>
          <w:bottom w:val="single" w:sz="6" w:space="0" w:color="auto"/>
          <w:right w:val="single" w:sz="6" w:space="0" w:color="auto"/>
        </w:tblBorders>
        <w:tblLayout w:type="fixed"/>
        <w:tblCellMar>
          <w:left w:w="28" w:type="dxa"/>
          <w:right w:w="28" w:type="dxa"/>
        </w:tblCellMar>
        <w:tblLook w:val="0000" w:firstRow="0" w:lastRow="0" w:firstColumn="0" w:lastColumn="0" w:noHBand="0" w:noVBand="0"/>
      </w:tblPr>
      <w:tblGrid>
        <w:gridCol w:w="4828"/>
        <w:gridCol w:w="1800"/>
        <w:gridCol w:w="2784"/>
      </w:tblGrid>
      <w:tr w:rsidR="00000000">
        <w:tblPrEx>
          <w:tblCellMar>
            <w:top w:w="0" w:type="dxa"/>
            <w:bottom w:w="0" w:type="dxa"/>
          </w:tblCellMar>
        </w:tblPrEx>
        <w:tc>
          <w:tcPr>
            <w:tcW w:w="4828" w:type="dxa"/>
            <w:tcBorders>
              <w:bottom w:val="nil"/>
              <w:right w:val="nil"/>
            </w:tcBorders>
          </w:tcPr>
          <w:p w:rsidR="00000000" w:rsidRDefault="0031739B">
            <w:pPr>
              <w:spacing w:before="120"/>
              <w:jc w:val="center"/>
              <w:rPr>
                <w:sz w:val="21"/>
              </w:rPr>
            </w:pPr>
            <w:r>
              <w:rPr>
                <w:rFonts w:hint="eastAsia"/>
                <w:sz w:val="21"/>
              </w:rPr>
              <w:t>制定的制度</w:t>
            </w:r>
          </w:p>
        </w:tc>
        <w:tc>
          <w:tcPr>
            <w:tcW w:w="1800" w:type="dxa"/>
            <w:tcBorders>
              <w:top w:val="single" w:sz="6" w:space="0" w:color="auto"/>
              <w:left w:val="single" w:sz="6" w:space="0" w:color="auto"/>
              <w:bottom w:val="nil"/>
              <w:right w:val="single" w:sz="6" w:space="0" w:color="auto"/>
            </w:tcBorders>
          </w:tcPr>
          <w:p w:rsidR="00000000" w:rsidRDefault="0031739B">
            <w:pPr>
              <w:spacing w:before="120"/>
              <w:jc w:val="center"/>
              <w:rPr>
                <w:sz w:val="21"/>
              </w:rPr>
            </w:pPr>
            <w:r>
              <w:rPr>
                <w:rFonts w:hint="eastAsia"/>
                <w:sz w:val="21"/>
              </w:rPr>
              <w:t>决定的数目</w:t>
            </w:r>
          </w:p>
        </w:tc>
        <w:tc>
          <w:tcPr>
            <w:tcW w:w="2784" w:type="dxa"/>
            <w:tcBorders>
              <w:left w:val="nil"/>
              <w:bottom w:val="nil"/>
            </w:tcBorders>
          </w:tcPr>
          <w:p w:rsidR="00000000" w:rsidRDefault="0031739B">
            <w:pPr>
              <w:spacing w:before="120"/>
              <w:jc w:val="center"/>
              <w:rPr>
                <w:sz w:val="21"/>
              </w:rPr>
            </w:pPr>
            <w:r>
              <w:rPr>
                <w:rFonts w:hint="eastAsia"/>
                <w:sz w:val="21"/>
              </w:rPr>
              <w:t>适用最低工资的工人人数</w:t>
            </w:r>
          </w:p>
        </w:tc>
      </w:tr>
      <w:tr w:rsidR="00000000">
        <w:tblPrEx>
          <w:tblCellMar>
            <w:top w:w="0" w:type="dxa"/>
            <w:bottom w:w="0" w:type="dxa"/>
          </w:tblCellMar>
        </w:tblPrEx>
        <w:tc>
          <w:tcPr>
            <w:tcW w:w="4828" w:type="dxa"/>
            <w:tcBorders>
              <w:top w:val="single" w:sz="6" w:space="0" w:color="auto"/>
              <w:bottom w:val="nil"/>
              <w:right w:val="nil"/>
            </w:tcBorders>
          </w:tcPr>
          <w:p w:rsidR="00000000" w:rsidRDefault="0031739B">
            <w:pPr>
              <w:spacing w:before="60"/>
              <w:ind w:left="113"/>
              <w:rPr>
                <w:sz w:val="21"/>
              </w:rPr>
            </w:pPr>
            <w:r>
              <w:rPr>
                <w:rFonts w:hint="eastAsia"/>
                <w:sz w:val="21"/>
              </w:rPr>
              <w:t>基于调查和讨论的最低工资</w:t>
            </w:r>
          </w:p>
        </w:tc>
        <w:tc>
          <w:tcPr>
            <w:tcW w:w="1800" w:type="dxa"/>
            <w:tcBorders>
              <w:top w:val="single" w:sz="6" w:space="0" w:color="auto"/>
              <w:left w:val="single" w:sz="6" w:space="0" w:color="auto"/>
              <w:bottom w:val="nil"/>
              <w:right w:val="single" w:sz="6" w:space="0" w:color="auto"/>
            </w:tcBorders>
          </w:tcPr>
          <w:p w:rsidR="00000000" w:rsidRDefault="0031739B">
            <w:pPr>
              <w:spacing w:before="60"/>
              <w:ind w:right="624"/>
              <w:jc w:val="right"/>
              <w:rPr>
                <w:sz w:val="21"/>
              </w:rPr>
            </w:pPr>
            <w:r>
              <w:rPr>
                <w:sz w:val="21"/>
              </w:rPr>
              <w:t>301</w:t>
            </w:r>
          </w:p>
        </w:tc>
        <w:tc>
          <w:tcPr>
            <w:tcW w:w="2784" w:type="dxa"/>
            <w:tcBorders>
              <w:top w:val="single" w:sz="6" w:space="0" w:color="auto"/>
              <w:left w:val="nil"/>
              <w:bottom w:val="nil"/>
            </w:tcBorders>
          </w:tcPr>
          <w:p w:rsidR="00000000" w:rsidRDefault="0031739B">
            <w:pPr>
              <w:spacing w:before="60"/>
              <w:ind w:right="624"/>
              <w:jc w:val="right"/>
              <w:rPr>
                <w:sz w:val="21"/>
              </w:rPr>
            </w:pPr>
            <w:r>
              <w:rPr>
                <w:sz w:val="21"/>
              </w:rPr>
              <w:t>47,8</w:t>
            </w:r>
            <w:r>
              <w:rPr>
                <w:sz w:val="21"/>
              </w:rPr>
              <w:t>63,100</w:t>
            </w:r>
          </w:p>
        </w:tc>
      </w:tr>
      <w:tr w:rsidR="00000000">
        <w:tblPrEx>
          <w:tblCellMar>
            <w:top w:w="0" w:type="dxa"/>
            <w:bottom w:w="0" w:type="dxa"/>
          </w:tblCellMar>
        </w:tblPrEx>
        <w:tc>
          <w:tcPr>
            <w:tcW w:w="4828" w:type="dxa"/>
            <w:tcBorders>
              <w:top w:val="dotted" w:sz="6" w:space="0" w:color="auto"/>
              <w:bottom w:val="nil"/>
              <w:right w:val="nil"/>
            </w:tcBorders>
          </w:tcPr>
          <w:p w:rsidR="00000000" w:rsidRDefault="0031739B">
            <w:pPr>
              <w:spacing w:before="40"/>
              <w:ind w:left="113"/>
              <w:rPr>
                <w:sz w:val="21"/>
              </w:rPr>
            </w:pPr>
            <w:r>
              <w:rPr>
                <w:rFonts w:hint="eastAsia"/>
                <w:sz w:val="21"/>
              </w:rPr>
              <w:t>地区最低工资</w:t>
            </w:r>
          </w:p>
        </w:tc>
        <w:tc>
          <w:tcPr>
            <w:tcW w:w="1800" w:type="dxa"/>
            <w:tcBorders>
              <w:top w:val="dotted" w:sz="6" w:space="0" w:color="auto"/>
              <w:left w:val="single" w:sz="6" w:space="0" w:color="auto"/>
              <w:bottom w:val="nil"/>
              <w:right w:val="single" w:sz="6" w:space="0" w:color="auto"/>
            </w:tcBorders>
          </w:tcPr>
          <w:p w:rsidR="00000000" w:rsidRDefault="0031739B">
            <w:pPr>
              <w:ind w:right="624"/>
              <w:jc w:val="right"/>
              <w:rPr>
                <w:sz w:val="21"/>
              </w:rPr>
            </w:pPr>
            <w:r>
              <w:rPr>
                <w:sz w:val="21"/>
              </w:rPr>
              <w:t>47</w:t>
            </w:r>
          </w:p>
        </w:tc>
        <w:tc>
          <w:tcPr>
            <w:tcW w:w="2784" w:type="dxa"/>
            <w:tcBorders>
              <w:top w:val="dotted" w:sz="6" w:space="0" w:color="auto"/>
              <w:left w:val="nil"/>
              <w:bottom w:val="nil"/>
            </w:tcBorders>
          </w:tcPr>
          <w:p w:rsidR="00000000" w:rsidRDefault="0031739B">
            <w:pPr>
              <w:ind w:right="624"/>
              <w:jc w:val="right"/>
              <w:rPr>
                <w:sz w:val="21"/>
              </w:rPr>
            </w:pPr>
            <w:r>
              <w:rPr>
                <w:sz w:val="21"/>
              </w:rPr>
              <w:t>43,088,600</w:t>
            </w:r>
          </w:p>
        </w:tc>
      </w:tr>
      <w:tr w:rsidR="00000000">
        <w:tblPrEx>
          <w:tblCellMar>
            <w:top w:w="0" w:type="dxa"/>
            <w:bottom w:w="0" w:type="dxa"/>
          </w:tblCellMar>
        </w:tblPrEx>
        <w:tc>
          <w:tcPr>
            <w:tcW w:w="4828" w:type="dxa"/>
            <w:tcBorders>
              <w:top w:val="nil"/>
              <w:right w:val="nil"/>
            </w:tcBorders>
          </w:tcPr>
          <w:p w:rsidR="00000000" w:rsidRDefault="0031739B">
            <w:pPr>
              <w:ind w:left="113"/>
              <w:rPr>
                <w:sz w:val="21"/>
              </w:rPr>
            </w:pPr>
            <w:r>
              <w:rPr>
                <w:rFonts w:hint="eastAsia"/>
                <w:sz w:val="21"/>
              </w:rPr>
              <w:t>工业部门最低工资</w:t>
            </w:r>
          </w:p>
        </w:tc>
        <w:tc>
          <w:tcPr>
            <w:tcW w:w="1800" w:type="dxa"/>
            <w:tcBorders>
              <w:top w:val="nil"/>
              <w:left w:val="single" w:sz="6" w:space="0" w:color="auto"/>
              <w:bottom w:val="nil"/>
              <w:right w:val="single" w:sz="6" w:space="0" w:color="auto"/>
            </w:tcBorders>
          </w:tcPr>
          <w:p w:rsidR="00000000" w:rsidRDefault="0031739B">
            <w:pPr>
              <w:ind w:right="624"/>
              <w:jc w:val="right"/>
              <w:rPr>
                <w:sz w:val="21"/>
              </w:rPr>
            </w:pPr>
            <w:r>
              <w:rPr>
                <w:sz w:val="21"/>
              </w:rPr>
              <w:t>254</w:t>
            </w:r>
          </w:p>
        </w:tc>
        <w:tc>
          <w:tcPr>
            <w:tcW w:w="2784" w:type="dxa"/>
            <w:tcBorders>
              <w:top w:val="nil"/>
              <w:left w:val="nil"/>
            </w:tcBorders>
          </w:tcPr>
          <w:p w:rsidR="00000000" w:rsidRDefault="0031739B">
            <w:pPr>
              <w:ind w:right="624"/>
              <w:jc w:val="right"/>
              <w:rPr>
                <w:sz w:val="21"/>
              </w:rPr>
            </w:pPr>
            <w:r>
              <w:rPr>
                <w:sz w:val="21"/>
              </w:rPr>
              <w:t>4,774,500</w:t>
            </w:r>
          </w:p>
        </w:tc>
      </w:tr>
      <w:tr w:rsidR="00000000">
        <w:tblPrEx>
          <w:tblCellMar>
            <w:top w:w="0" w:type="dxa"/>
            <w:bottom w:w="0" w:type="dxa"/>
          </w:tblCellMar>
        </w:tblPrEx>
        <w:tc>
          <w:tcPr>
            <w:tcW w:w="4828" w:type="dxa"/>
            <w:tcBorders>
              <w:right w:val="nil"/>
            </w:tcBorders>
          </w:tcPr>
          <w:p w:rsidR="00000000" w:rsidRDefault="0031739B">
            <w:pPr>
              <w:ind w:left="113"/>
              <w:rPr>
                <w:sz w:val="21"/>
              </w:rPr>
            </w:pPr>
            <w:r>
              <w:rPr>
                <w:rFonts w:hint="eastAsia"/>
                <w:sz w:val="21"/>
              </w:rPr>
              <w:t>劳工大臣决定的最低工资</w:t>
            </w:r>
          </w:p>
        </w:tc>
        <w:tc>
          <w:tcPr>
            <w:tcW w:w="1800" w:type="dxa"/>
            <w:tcBorders>
              <w:top w:val="nil"/>
              <w:left w:val="single" w:sz="6" w:space="0" w:color="auto"/>
              <w:bottom w:val="nil"/>
              <w:right w:val="single" w:sz="6" w:space="0" w:color="auto"/>
            </w:tcBorders>
          </w:tcPr>
          <w:p w:rsidR="00000000" w:rsidRDefault="0031739B">
            <w:pPr>
              <w:ind w:right="624"/>
              <w:jc w:val="right"/>
              <w:rPr>
                <w:sz w:val="21"/>
              </w:rPr>
            </w:pPr>
            <w:r>
              <w:rPr>
                <w:sz w:val="21"/>
              </w:rPr>
              <w:t>3</w:t>
            </w:r>
          </w:p>
        </w:tc>
        <w:tc>
          <w:tcPr>
            <w:tcW w:w="2784" w:type="dxa"/>
            <w:tcBorders>
              <w:left w:val="nil"/>
            </w:tcBorders>
          </w:tcPr>
          <w:p w:rsidR="00000000" w:rsidRDefault="0031739B">
            <w:pPr>
              <w:ind w:right="624"/>
              <w:jc w:val="right"/>
              <w:rPr>
                <w:sz w:val="21"/>
              </w:rPr>
            </w:pPr>
            <w:r>
              <w:rPr>
                <w:sz w:val="21"/>
              </w:rPr>
              <w:t>4,300</w:t>
            </w:r>
          </w:p>
        </w:tc>
      </w:tr>
      <w:tr w:rsidR="00000000">
        <w:tblPrEx>
          <w:tblCellMar>
            <w:top w:w="0" w:type="dxa"/>
            <w:bottom w:w="0" w:type="dxa"/>
          </w:tblCellMar>
        </w:tblPrEx>
        <w:tc>
          <w:tcPr>
            <w:tcW w:w="4828" w:type="dxa"/>
            <w:tcBorders>
              <w:bottom w:val="nil"/>
              <w:right w:val="nil"/>
            </w:tcBorders>
          </w:tcPr>
          <w:p w:rsidR="00000000" w:rsidRDefault="0031739B">
            <w:pPr>
              <w:ind w:left="113"/>
              <w:rPr>
                <w:sz w:val="21"/>
              </w:rPr>
            </w:pPr>
            <w:r>
              <w:rPr>
                <w:rFonts w:hint="eastAsia"/>
                <w:sz w:val="21"/>
              </w:rPr>
              <w:t>劳工标准办事处长官决定的最低工资</w:t>
            </w:r>
          </w:p>
        </w:tc>
        <w:tc>
          <w:tcPr>
            <w:tcW w:w="1800" w:type="dxa"/>
            <w:tcBorders>
              <w:top w:val="nil"/>
              <w:left w:val="single" w:sz="6" w:space="0" w:color="auto"/>
              <w:bottom w:val="nil"/>
              <w:right w:val="single" w:sz="6" w:space="0" w:color="auto"/>
            </w:tcBorders>
          </w:tcPr>
          <w:p w:rsidR="00000000" w:rsidRDefault="0031739B">
            <w:pPr>
              <w:ind w:right="624"/>
              <w:jc w:val="right"/>
              <w:rPr>
                <w:sz w:val="21"/>
              </w:rPr>
            </w:pPr>
            <w:r>
              <w:rPr>
                <w:sz w:val="21"/>
              </w:rPr>
              <w:t>251</w:t>
            </w:r>
          </w:p>
        </w:tc>
        <w:tc>
          <w:tcPr>
            <w:tcW w:w="2784" w:type="dxa"/>
            <w:tcBorders>
              <w:left w:val="nil"/>
              <w:bottom w:val="nil"/>
            </w:tcBorders>
          </w:tcPr>
          <w:p w:rsidR="00000000" w:rsidRDefault="0031739B">
            <w:pPr>
              <w:ind w:right="624"/>
              <w:jc w:val="right"/>
              <w:rPr>
                <w:sz w:val="21"/>
              </w:rPr>
            </w:pPr>
            <w:r>
              <w:rPr>
                <w:sz w:val="21"/>
              </w:rPr>
              <w:t>4,770,200</w:t>
            </w:r>
          </w:p>
        </w:tc>
      </w:tr>
      <w:tr w:rsidR="00000000">
        <w:tblPrEx>
          <w:tblCellMar>
            <w:top w:w="0" w:type="dxa"/>
            <w:bottom w:w="0" w:type="dxa"/>
          </w:tblCellMar>
        </w:tblPrEx>
        <w:tc>
          <w:tcPr>
            <w:tcW w:w="4828" w:type="dxa"/>
            <w:tcBorders>
              <w:top w:val="single" w:sz="6" w:space="0" w:color="auto"/>
              <w:bottom w:val="single" w:sz="6" w:space="0" w:color="auto"/>
              <w:right w:val="nil"/>
            </w:tcBorders>
          </w:tcPr>
          <w:p w:rsidR="00000000" w:rsidRDefault="0031739B">
            <w:pPr>
              <w:spacing w:before="60"/>
              <w:ind w:left="113"/>
              <w:rPr>
                <w:sz w:val="21"/>
              </w:rPr>
            </w:pPr>
            <w:r>
              <w:rPr>
                <w:rFonts w:hint="eastAsia"/>
                <w:sz w:val="21"/>
              </w:rPr>
              <w:t>依据劳工协议的地区最低工资</w:t>
            </w:r>
          </w:p>
        </w:tc>
        <w:tc>
          <w:tcPr>
            <w:tcW w:w="1800" w:type="dxa"/>
            <w:tcBorders>
              <w:top w:val="single" w:sz="6" w:space="0" w:color="auto"/>
              <w:left w:val="single" w:sz="6" w:space="0" w:color="auto"/>
              <w:bottom w:val="single" w:sz="6" w:space="0" w:color="auto"/>
              <w:right w:val="single" w:sz="6" w:space="0" w:color="auto"/>
            </w:tcBorders>
          </w:tcPr>
          <w:p w:rsidR="00000000" w:rsidRDefault="0031739B">
            <w:pPr>
              <w:spacing w:before="60"/>
              <w:ind w:right="624"/>
              <w:jc w:val="right"/>
              <w:rPr>
                <w:sz w:val="21"/>
              </w:rPr>
            </w:pPr>
            <w:r>
              <w:rPr>
                <w:sz w:val="21"/>
              </w:rPr>
              <w:t>2</w:t>
            </w:r>
          </w:p>
        </w:tc>
        <w:tc>
          <w:tcPr>
            <w:tcW w:w="2784" w:type="dxa"/>
            <w:tcBorders>
              <w:top w:val="single" w:sz="6" w:space="0" w:color="auto"/>
              <w:left w:val="nil"/>
              <w:bottom w:val="single" w:sz="6" w:space="0" w:color="auto"/>
            </w:tcBorders>
          </w:tcPr>
          <w:p w:rsidR="00000000" w:rsidRDefault="0031739B">
            <w:pPr>
              <w:spacing w:before="60"/>
              <w:ind w:right="624"/>
              <w:jc w:val="right"/>
              <w:rPr>
                <w:sz w:val="21"/>
              </w:rPr>
            </w:pPr>
            <w:r>
              <w:rPr>
                <w:sz w:val="21"/>
              </w:rPr>
              <w:t>600</w:t>
            </w:r>
          </w:p>
        </w:tc>
      </w:tr>
      <w:tr w:rsidR="00000000">
        <w:tblPrEx>
          <w:tblCellMar>
            <w:top w:w="0" w:type="dxa"/>
            <w:bottom w:w="0" w:type="dxa"/>
          </w:tblCellMar>
        </w:tblPrEx>
        <w:tc>
          <w:tcPr>
            <w:tcW w:w="4828" w:type="dxa"/>
            <w:tcBorders>
              <w:top w:val="nil"/>
              <w:bottom w:val="single" w:sz="6" w:space="0" w:color="auto"/>
              <w:right w:val="nil"/>
            </w:tcBorders>
          </w:tcPr>
          <w:p w:rsidR="00000000" w:rsidRDefault="0031739B">
            <w:pPr>
              <w:spacing w:before="60"/>
              <w:ind w:left="113"/>
              <w:rPr>
                <w:sz w:val="21"/>
              </w:rPr>
            </w:pPr>
            <w:r>
              <w:rPr>
                <w:rFonts w:hint="eastAsia"/>
                <w:sz w:val="21"/>
              </w:rPr>
              <w:t>总</w:t>
            </w:r>
            <w:r>
              <w:rPr>
                <w:sz w:val="21"/>
              </w:rPr>
              <w:t xml:space="preserve">  </w:t>
            </w:r>
            <w:r>
              <w:rPr>
                <w:rFonts w:hint="eastAsia"/>
                <w:sz w:val="21"/>
              </w:rPr>
              <w:t>计</w:t>
            </w:r>
          </w:p>
        </w:tc>
        <w:tc>
          <w:tcPr>
            <w:tcW w:w="1800" w:type="dxa"/>
            <w:tcBorders>
              <w:top w:val="nil"/>
              <w:left w:val="single" w:sz="6" w:space="0" w:color="auto"/>
              <w:bottom w:val="single" w:sz="6" w:space="0" w:color="auto"/>
              <w:right w:val="single" w:sz="6" w:space="0" w:color="auto"/>
            </w:tcBorders>
          </w:tcPr>
          <w:p w:rsidR="00000000" w:rsidRDefault="0031739B">
            <w:pPr>
              <w:spacing w:before="60"/>
              <w:ind w:right="624"/>
              <w:jc w:val="right"/>
              <w:rPr>
                <w:sz w:val="21"/>
              </w:rPr>
            </w:pPr>
            <w:r>
              <w:rPr>
                <w:sz w:val="21"/>
              </w:rPr>
              <w:t>303</w:t>
            </w:r>
          </w:p>
        </w:tc>
        <w:tc>
          <w:tcPr>
            <w:tcW w:w="2784" w:type="dxa"/>
            <w:tcBorders>
              <w:top w:val="nil"/>
              <w:left w:val="nil"/>
              <w:bottom w:val="single" w:sz="6" w:space="0" w:color="auto"/>
            </w:tcBorders>
          </w:tcPr>
          <w:p w:rsidR="00000000" w:rsidRDefault="0031739B">
            <w:pPr>
              <w:spacing w:before="60"/>
              <w:ind w:right="624"/>
              <w:jc w:val="right"/>
              <w:rPr>
                <w:sz w:val="21"/>
              </w:rPr>
            </w:pPr>
            <w:r>
              <w:rPr>
                <w:sz w:val="21"/>
              </w:rPr>
              <w:t>47,863,700</w:t>
            </w:r>
          </w:p>
        </w:tc>
      </w:tr>
    </w:tbl>
    <w:p w:rsidR="00000000" w:rsidRDefault="0031739B">
      <w:pPr>
        <w:pStyle w:val="EndnoteText"/>
        <w:spacing w:before="240" w:after="360"/>
        <w:ind w:hanging="958"/>
      </w:pPr>
      <w:r>
        <w:rPr>
          <w:rFonts w:hint="eastAsia"/>
          <w:u w:val="single"/>
        </w:rPr>
        <w:t>说</w:t>
      </w:r>
      <w:r>
        <w:rPr>
          <w:u w:val="single"/>
        </w:rPr>
        <w:t xml:space="preserve">  </w:t>
      </w:r>
      <w:r>
        <w:rPr>
          <w:rFonts w:hint="eastAsia"/>
          <w:u w:val="single"/>
        </w:rPr>
        <w:t>明</w:t>
      </w:r>
      <w:r>
        <w:rPr>
          <w:rFonts w:hint="eastAsia"/>
        </w:rPr>
        <w:t>：适用两种或两种以上最低工资的工人计作较高最低工资的领取者。</w:t>
      </w:r>
    </w:p>
    <w:p w:rsidR="00000000" w:rsidRDefault="0031739B">
      <w:r>
        <w:tab/>
        <w:t xml:space="preserve">51.  </w:t>
      </w:r>
      <w:r>
        <w:rPr>
          <w:rFonts w:hint="eastAsia"/>
        </w:rPr>
        <w:t>除法律规定的正规公共服务部门的雇员和其他雇员外，最低工资适用于所有工人，包括全时、临时和部分时间的雇员。然而，经县劳工标准办事处长官</w:t>
      </w:r>
      <w:r>
        <w:rPr>
          <w:rFonts w:hint="eastAsia"/>
        </w:rPr>
        <w:t>授权，从事简单劳动的工人可被排除在最低工资制度之外。</w:t>
      </w:r>
    </w:p>
    <w:p w:rsidR="00000000" w:rsidRDefault="0031739B">
      <w:r>
        <w:tab/>
        <w:t xml:space="preserve">52.  </w:t>
      </w:r>
      <w:r>
        <w:rPr>
          <w:rFonts w:hint="eastAsia"/>
        </w:rPr>
        <w:t>最低工资的水平由劳工大臣或县劳工标准办事处长官依据最低工资委员会调查和讨论的结果决定。最低工资法规定：决定最低工资时应考虑三个因素：工人的生活费用、类似劳动的工资和雇主的支付能力。最低工资委员会的讨论以对实际工人工资的调查结果为基础。最低工资委员会的成员到各办公室查访，以观察工作条件，研究工资和听取有关工人和雇主的意见。他们由此通过考虑下列因素而确定最低工资：如地区生活费用、最近毕业生的起步薪金、劳资双方商定的最低工资、工人按收入档次的分布情</w:t>
      </w:r>
      <w:r>
        <w:rPr>
          <w:rFonts w:hint="eastAsia"/>
        </w:rPr>
        <w:t>况，以及预计来自薪金在设想的最低工资以下工人人数的影响。</w:t>
      </w:r>
    </w:p>
    <w:p w:rsidR="00000000" w:rsidRDefault="0031739B">
      <w:pPr>
        <w:spacing w:after="160"/>
        <w:textAlignment w:val="center"/>
      </w:pPr>
      <w:r>
        <w:tab/>
        <w:t xml:space="preserve">53.  </w:t>
      </w:r>
      <w:r>
        <w:rPr>
          <w:rFonts w:hint="eastAsia"/>
        </w:rPr>
        <w:t>表</w:t>
      </w:r>
      <w:r>
        <w:t>7</w:t>
      </w:r>
      <w:r>
        <w:rPr>
          <w:rFonts w:hint="eastAsia"/>
        </w:rPr>
        <w:t>显示了日本全时工人平均月薪。表</w:t>
      </w:r>
      <w:r>
        <w:t>8</w:t>
      </w:r>
      <w:r>
        <w:rPr>
          <w:rFonts w:hint="eastAsia"/>
        </w:rPr>
        <w:t>显示了按地区和行业分列的全国平均最低日工资。</w:t>
      </w:r>
    </w:p>
    <w:p w:rsidR="00000000" w:rsidRDefault="0031739B">
      <w:pPr>
        <w:pStyle w:val="Heading3"/>
        <w:spacing w:after="240"/>
        <w:textAlignment w:val="center"/>
      </w:pPr>
      <w:r>
        <w:rPr>
          <w:rFonts w:hint="eastAsia"/>
          <w:u w:val="none"/>
        </w:rPr>
        <w:t>表</w:t>
      </w:r>
      <w:r>
        <w:rPr>
          <w:u w:val="none"/>
        </w:rPr>
        <w:t xml:space="preserve"> 7.  </w:t>
      </w:r>
      <w:r>
        <w:rPr>
          <w:rFonts w:hint="eastAsia"/>
        </w:rPr>
        <w:t>一名全时工人平均总月薪</w:t>
      </w:r>
      <w:r>
        <w:t>(</w:t>
      </w:r>
      <w:r>
        <w:rPr>
          <w:rFonts w:hint="eastAsia"/>
        </w:rPr>
        <w:t>日元</w:t>
      </w:r>
      <w:r>
        <w:t>)</w:t>
      </w:r>
    </w:p>
    <w:tbl>
      <w:tblPr>
        <w:tblW w:w="0" w:type="auto"/>
        <w:tblInd w:w="-26" w:type="dxa"/>
        <w:tblBorders>
          <w:top w:val="single" w:sz="6" w:space="0" w:color="auto"/>
          <w:left w:val="single" w:sz="6" w:space="0" w:color="auto"/>
          <w:bottom w:val="single" w:sz="6" w:space="0" w:color="auto"/>
          <w:right w:val="single" w:sz="6" w:space="0" w:color="auto"/>
        </w:tblBorders>
        <w:tblLayout w:type="fixed"/>
        <w:tblCellMar>
          <w:left w:w="28" w:type="dxa"/>
          <w:right w:w="28" w:type="dxa"/>
        </w:tblCellMar>
        <w:tblLook w:val="0000" w:firstRow="0" w:lastRow="0" w:firstColumn="0" w:lastColumn="0" w:noHBand="0" w:noVBand="0"/>
      </w:tblPr>
      <w:tblGrid>
        <w:gridCol w:w="1882"/>
        <w:gridCol w:w="1882"/>
        <w:gridCol w:w="1882"/>
        <w:gridCol w:w="1882"/>
        <w:gridCol w:w="1882"/>
      </w:tblGrid>
      <w:tr w:rsidR="00000000">
        <w:tblPrEx>
          <w:tblCellMar>
            <w:top w:w="0" w:type="dxa"/>
            <w:bottom w:w="0" w:type="dxa"/>
          </w:tblCellMar>
        </w:tblPrEx>
        <w:tc>
          <w:tcPr>
            <w:tcW w:w="1882" w:type="dxa"/>
            <w:tcBorders>
              <w:bottom w:val="nil"/>
              <w:right w:val="nil"/>
            </w:tcBorders>
          </w:tcPr>
          <w:p w:rsidR="00000000" w:rsidRDefault="0031739B">
            <w:pPr>
              <w:spacing w:before="60"/>
              <w:jc w:val="center"/>
              <w:rPr>
                <w:sz w:val="21"/>
              </w:rPr>
            </w:pPr>
            <w:r>
              <w:rPr>
                <w:rFonts w:hint="eastAsia"/>
                <w:sz w:val="21"/>
              </w:rPr>
              <w:t>年</w:t>
            </w:r>
            <w:r>
              <w:rPr>
                <w:sz w:val="21"/>
              </w:rPr>
              <w:t xml:space="preserve"> </w:t>
            </w:r>
            <w:r>
              <w:rPr>
                <w:rFonts w:hint="eastAsia"/>
                <w:sz w:val="21"/>
              </w:rPr>
              <w:t>份</w:t>
            </w:r>
          </w:p>
        </w:tc>
        <w:tc>
          <w:tcPr>
            <w:tcW w:w="1882" w:type="dxa"/>
            <w:tcBorders>
              <w:top w:val="single" w:sz="6" w:space="0" w:color="auto"/>
              <w:left w:val="single" w:sz="6" w:space="0" w:color="auto"/>
              <w:bottom w:val="nil"/>
              <w:right w:val="single" w:sz="6" w:space="0" w:color="auto"/>
            </w:tcBorders>
          </w:tcPr>
          <w:p w:rsidR="00000000" w:rsidRDefault="0031739B">
            <w:pPr>
              <w:spacing w:before="60"/>
              <w:jc w:val="center"/>
              <w:rPr>
                <w:sz w:val="21"/>
              </w:rPr>
            </w:pPr>
            <w:r>
              <w:rPr>
                <w:rFonts w:hint="eastAsia"/>
                <w:sz w:val="21"/>
              </w:rPr>
              <w:t>总工资</w:t>
            </w:r>
          </w:p>
        </w:tc>
        <w:tc>
          <w:tcPr>
            <w:tcW w:w="1882" w:type="dxa"/>
            <w:tcBorders>
              <w:left w:val="nil"/>
              <w:bottom w:val="nil"/>
              <w:right w:val="nil"/>
            </w:tcBorders>
          </w:tcPr>
          <w:p w:rsidR="00000000" w:rsidRDefault="0031739B">
            <w:pPr>
              <w:spacing w:before="60"/>
              <w:jc w:val="center"/>
              <w:rPr>
                <w:sz w:val="21"/>
              </w:rPr>
            </w:pPr>
            <w:r>
              <w:rPr>
                <w:rFonts w:hint="eastAsia"/>
                <w:sz w:val="21"/>
              </w:rPr>
              <w:t>固定收入</w:t>
            </w:r>
          </w:p>
        </w:tc>
        <w:tc>
          <w:tcPr>
            <w:tcW w:w="1882" w:type="dxa"/>
            <w:tcBorders>
              <w:top w:val="single" w:sz="6" w:space="0" w:color="auto"/>
              <w:left w:val="single" w:sz="6" w:space="0" w:color="auto"/>
              <w:bottom w:val="nil"/>
              <w:right w:val="single" w:sz="6" w:space="0" w:color="auto"/>
            </w:tcBorders>
          </w:tcPr>
          <w:p w:rsidR="00000000" w:rsidRDefault="0031739B">
            <w:pPr>
              <w:spacing w:before="60"/>
              <w:jc w:val="center"/>
              <w:rPr>
                <w:sz w:val="21"/>
              </w:rPr>
            </w:pPr>
            <w:r>
              <w:rPr>
                <w:rFonts w:hint="eastAsia"/>
                <w:sz w:val="21"/>
              </w:rPr>
              <w:t>加班工资</w:t>
            </w:r>
          </w:p>
        </w:tc>
        <w:tc>
          <w:tcPr>
            <w:tcW w:w="1882" w:type="dxa"/>
            <w:tcBorders>
              <w:left w:val="nil"/>
              <w:bottom w:val="nil"/>
            </w:tcBorders>
          </w:tcPr>
          <w:p w:rsidR="00000000" w:rsidRDefault="0031739B">
            <w:pPr>
              <w:spacing w:before="60"/>
              <w:jc w:val="center"/>
              <w:rPr>
                <w:sz w:val="21"/>
              </w:rPr>
            </w:pPr>
            <w:r>
              <w:rPr>
                <w:rFonts w:hint="eastAsia"/>
                <w:sz w:val="21"/>
              </w:rPr>
              <w:t>特别工资</w:t>
            </w:r>
          </w:p>
        </w:tc>
      </w:tr>
      <w:tr w:rsidR="00000000">
        <w:tblPrEx>
          <w:tblCellMar>
            <w:top w:w="0" w:type="dxa"/>
            <w:bottom w:w="0" w:type="dxa"/>
          </w:tblCellMar>
        </w:tblPrEx>
        <w:tc>
          <w:tcPr>
            <w:tcW w:w="1882" w:type="dxa"/>
            <w:tcBorders>
              <w:top w:val="single" w:sz="6" w:space="0" w:color="auto"/>
              <w:bottom w:val="nil"/>
              <w:right w:val="nil"/>
            </w:tcBorders>
          </w:tcPr>
          <w:p w:rsidR="00000000" w:rsidRDefault="0031739B">
            <w:pPr>
              <w:jc w:val="center"/>
              <w:rPr>
                <w:sz w:val="21"/>
              </w:rPr>
            </w:pPr>
            <w:r>
              <w:rPr>
                <w:sz w:val="21"/>
              </w:rPr>
              <w:t>1985</w:t>
            </w:r>
          </w:p>
        </w:tc>
        <w:tc>
          <w:tcPr>
            <w:tcW w:w="1882" w:type="dxa"/>
            <w:tcBorders>
              <w:top w:val="single" w:sz="6" w:space="0" w:color="auto"/>
              <w:left w:val="single" w:sz="6" w:space="0" w:color="auto"/>
              <w:bottom w:val="nil"/>
              <w:right w:val="single" w:sz="6" w:space="0" w:color="auto"/>
            </w:tcBorders>
          </w:tcPr>
          <w:p w:rsidR="00000000" w:rsidRDefault="0031739B">
            <w:pPr>
              <w:jc w:val="center"/>
              <w:rPr>
                <w:sz w:val="21"/>
              </w:rPr>
            </w:pPr>
            <w:r>
              <w:rPr>
                <w:sz w:val="21"/>
              </w:rPr>
              <w:t>317,091</w:t>
            </w:r>
          </w:p>
        </w:tc>
        <w:tc>
          <w:tcPr>
            <w:tcW w:w="1882" w:type="dxa"/>
            <w:tcBorders>
              <w:top w:val="single" w:sz="6" w:space="0" w:color="auto"/>
              <w:left w:val="nil"/>
              <w:bottom w:val="nil"/>
              <w:right w:val="nil"/>
            </w:tcBorders>
          </w:tcPr>
          <w:p w:rsidR="00000000" w:rsidRDefault="0031739B">
            <w:pPr>
              <w:jc w:val="center"/>
              <w:rPr>
                <w:sz w:val="21"/>
              </w:rPr>
            </w:pPr>
            <w:r>
              <w:rPr>
                <w:sz w:val="21"/>
              </w:rPr>
              <w:t>214,255</w:t>
            </w:r>
          </w:p>
        </w:tc>
        <w:tc>
          <w:tcPr>
            <w:tcW w:w="1882" w:type="dxa"/>
            <w:tcBorders>
              <w:top w:val="single" w:sz="6" w:space="0" w:color="auto"/>
              <w:left w:val="single" w:sz="6" w:space="0" w:color="auto"/>
              <w:bottom w:val="nil"/>
              <w:right w:val="single" w:sz="6" w:space="0" w:color="auto"/>
            </w:tcBorders>
          </w:tcPr>
          <w:p w:rsidR="00000000" w:rsidRDefault="0031739B">
            <w:pPr>
              <w:jc w:val="center"/>
              <w:rPr>
                <w:sz w:val="21"/>
              </w:rPr>
            </w:pPr>
            <w:r>
              <w:rPr>
                <w:sz w:val="21"/>
              </w:rPr>
              <w:t>22,332</w:t>
            </w:r>
          </w:p>
        </w:tc>
        <w:tc>
          <w:tcPr>
            <w:tcW w:w="1882" w:type="dxa"/>
            <w:tcBorders>
              <w:top w:val="single" w:sz="6" w:space="0" w:color="auto"/>
              <w:left w:val="nil"/>
              <w:bottom w:val="nil"/>
            </w:tcBorders>
          </w:tcPr>
          <w:p w:rsidR="00000000" w:rsidRDefault="0031739B">
            <w:pPr>
              <w:jc w:val="center"/>
              <w:rPr>
                <w:sz w:val="21"/>
              </w:rPr>
            </w:pPr>
            <w:r>
              <w:rPr>
                <w:sz w:val="21"/>
              </w:rPr>
              <w:t>80,504</w:t>
            </w:r>
          </w:p>
        </w:tc>
      </w:tr>
      <w:tr w:rsidR="00000000">
        <w:tblPrEx>
          <w:tblCellMar>
            <w:top w:w="0" w:type="dxa"/>
            <w:bottom w:w="0" w:type="dxa"/>
          </w:tblCellMar>
        </w:tblPrEx>
        <w:tc>
          <w:tcPr>
            <w:tcW w:w="1882" w:type="dxa"/>
            <w:tcBorders>
              <w:top w:val="nil"/>
              <w:right w:val="nil"/>
            </w:tcBorders>
          </w:tcPr>
          <w:p w:rsidR="00000000" w:rsidRDefault="0031739B">
            <w:pPr>
              <w:jc w:val="center"/>
              <w:rPr>
                <w:sz w:val="21"/>
              </w:rPr>
            </w:pPr>
            <w:r>
              <w:rPr>
                <w:sz w:val="21"/>
              </w:rPr>
              <w:t>1990</w:t>
            </w:r>
          </w:p>
        </w:tc>
        <w:tc>
          <w:tcPr>
            <w:tcW w:w="1882" w:type="dxa"/>
            <w:tcBorders>
              <w:top w:val="nil"/>
              <w:left w:val="single" w:sz="6" w:space="0" w:color="auto"/>
              <w:bottom w:val="nil"/>
              <w:right w:val="single" w:sz="6" w:space="0" w:color="auto"/>
            </w:tcBorders>
          </w:tcPr>
          <w:p w:rsidR="00000000" w:rsidRDefault="0031739B">
            <w:pPr>
              <w:jc w:val="center"/>
              <w:rPr>
                <w:sz w:val="21"/>
              </w:rPr>
            </w:pPr>
            <w:r>
              <w:rPr>
                <w:sz w:val="21"/>
              </w:rPr>
              <w:t>370,169</w:t>
            </w:r>
          </w:p>
        </w:tc>
        <w:tc>
          <w:tcPr>
            <w:tcW w:w="1882" w:type="dxa"/>
            <w:tcBorders>
              <w:top w:val="nil"/>
              <w:left w:val="nil"/>
              <w:right w:val="nil"/>
            </w:tcBorders>
          </w:tcPr>
          <w:p w:rsidR="00000000" w:rsidRDefault="0031739B">
            <w:pPr>
              <w:jc w:val="center"/>
              <w:rPr>
                <w:sz w:val="21"/>
              </w:rPr>
            </w:pPr>
            <w:r>
              <w:rPr>
                <w:sz w:val="21"/>
              </w:rPr>
              <w:t>244,373</w:t>
            </w:r>
          </w:p>
        </w:tc>
        <w:tc>
          <w:tcPr>
            <w:tcW w:w="1882" w:type="dxa"/>
            <w:tcBorders>
              <w:top w:val="nil"/>
              <w:left w:val="single" w:sz="6" w:space="0" w:color="auto"/>
              <w:bottom w:val="nil"/>
              <w:right w:val="single" w:sz="6" w:space="0" w:color="auto"/>
            </w:tcBorders>
          </w:tcPr>
          <w:p w:rsidR="00000000" w:rsidRDefault="0031739B">
            <w:pPr>
              <w:jc w:val="center"/>
              <w:rPr>
                <w:sz w:val="21"/>
              </w:rPr>
            </w:pPr>
            <w:r>
              <w:rPr>
                <w:sz w:val="21"/>
              </w:rPr>
              <w:t>27,123</w:t>
            </w:r>
          </w:p>
        </w:tc>
        <w:tc>
          <w:tcPr>
            <w:tcW w:w="1882" w:type="dxa"/>
            <w:tcBorders>
              <w:top w:val="nil"/>
              <w:left w:val="nil"/>
            </w:tcBorders>
          </w:tcPr>
          <w:p w:rsidR="00000000" w:rsidRDefault="0031739B">
            <w:pPr>
              <w:jc w:val="center"/>
              <w:rPr>
                <w:sz w:val="21"/>
              </w:rPr>
            </w:pPr>
            <w:r>
              <w:rPr>
                <w:sz w:val="21"/>
              </w:rPr>
              <w:t>98,673</w:t>
            </w:r>
          </w:p>
        </w:tc>
      </w:tr>
      <w:tr w:rsidR="00000000">
        <w:tblPrEx>
          <w:tblCellMar>
            <w:top w:w="0" w:type="dxa"/>
            <w:bottom w:w="0" w:type="dxa"/>
          </w:tblCellMar>
        </w:tblPrEx>
        <w:tc>
          <w:tcPr>
            <w:tcW w:w="1882" w:type="dxa"/>
            <w:tcBorders>
              <w:right w:val="nil"/>
            </w:tcBorders>
          </w:tcPr>
          <w:p w:rsidR="00000000" w:rsidRDefault="0031739B">
            <w:pPr>
              <w:jc w:val="center"/>
              <w:rPr>
                <w:sz w:val="21"/>
              </w:rPr>
            </w:pPr>
            <w:r>
              <w:rPr>
                <w:sz w:val="21"/>
              </w:rPr>
              <w:t>1995</w:t>
            </w:r>
          </w:p>
        </w:tc>
        <w:tc>
          <w:tcPr>
            <w:tcW w:w="1882" w:type="dxa"/>
            <w:tcBorders>
              <w:top w:val="nil"/>
              <w:left w:val="single" w:sz="6" w:space="0" w:color="auto"/>
              <w:bottom w:val="nil"/>
              <w:right w:val="single" w:sz="6" w:space="0" w:color="auto"/>
            </w:tcBorders>
          </w:tcPr>
          <w:p w:rsidR="00000000" w:rsidRDefault="0031739B">
            <w:pPr>
              <w:jc w:val="center"/>
              <w:rPr>
                <w:sz w:val="21"/>
              </w:rPr>
            </w:pPr>
            <w:r>
              <w:rPr>
                <w:sz w:val="21"/>
              </w:rPr>
              <w:t>408,864</w:t>
            </w:r>
          </w:p>
        </w:tc>
        <w:tc>
          <w:tcPr>
            <w:tcW w:w="1882" w:type="dxa"/>
            <w:tcBorders>
              <w:left w:val="nil"/>
              <w:right w:val="nil"/>
            </w:tcBorders>
          </w:tcPr>
          <w:p w:rsidR="00000000" w:rsidRDefault="0031739B">
            <w:pPr>
              <w:jc w:val="center"/>
              <w:rPr>
                <w:sz w:val="21"/>
              </w:rPr>
            </w:pPr>
            <w:r>
              <w:rPr>
                <w:sz w:val="21"/>
              </w:rPr>
              <w:t>284,040</w:t>
            </w:r>
          </w:p>
        </w:tc>
        <w:tc>
          <w:tcPr>
            <w:tcW w:w="1882" w:type="dxa"/>
            <w:tcBorders>
              <w:top w:val="nil"/>
              <w:left w:val="single" w:sz="6" w:space="0" w:color="auto"/>
              <w:bottom w:val="nil"/>
              <w:right w:val="single" w:sz="6" w:space="0" w:color="auto"/>
            </w:tcBorders>
          </w:tcPr>
          <w:p w:rsidR="00000000" w:rsidRDefault="0031739B">
            <w:pPr>
              <w:jc w:val="center"/>
              <w:rPr>
                <w:sz w:val="21"/>
              </w:rPr>
            </w:pPr>
            <w:r>
              <w:rPr>
                <w:sz w:val="21"/>
              </w:rPr>
              <w:t>23,983</w:t>
            </w:r>
          </w:p>
        </w:tc>
        <w:tc>
          <w:tcPr>
            <w:tcW w:w="1882" w:type="dxa"/>
            <w:tcBorders>
              <w:left w:val="nil"/>
            </w:tcBorders>
          </w:tcPr>
          <w:p w:rsidR="00000000" w:rsidRDefault="0031739B">
            <w:pPr>
              <w:jc w:val="center"/>
              <w:rPr>
                <w:sz w:val="21"/>
              </w:rPr>
            </w:pPr>
            <w:r>
              <w:rPr>
                <w:sz w:val="21"/>
              </w:rPr>
              <w:t>100,841</w:t>
            </w:r>
          </w:p>
        </w:tc>
      </w:tr>
      <w:tr w:rsidR="00000000">
        <w:tblPrEx>
          <w:tblCellMar>
            <w:top w:w="0" w:type="dxa"/>
            <w:bottom w:w="0" w:type="dxa"/>
          </w:tblCellMar>
        </w:tblPrEx>
        <w:tc>
          <w:tcPr>
            <w:tcW w:w="1882" w:type="dxa"/>
            <w:tcBorders>
              <w:right w:val="nil"/>
            </w:tcBorders>
          </w:tcPr>
          <w:p w:rsidR="00000000" w:rsidRDefault="0031739B">
            <w:pPr>
              <w:jc w:val="center"/>
              <w:rPr>
                <w:sz w:val="21"/>
              </w:rPr>
            </w:pPr>
            <w:r>
              <w:rPr>
                <w:sz w:val="21"/>
              </w:rPr>
              <w:t>1996</w:t>
            </w:r>
          </w:p>
        </w:tc>
        <w:tc>
          <w:tcPr>
            <w:tcW w:w="1882" w:type="dxa"/>
            <w:tcBorders>
              <w:top w:val="nil"/>
              <w:left w:val="single" w:sz="6" w:space="0" w:color="auto"/>
              <w:bottom w:val="single" w:sz="6" w:space="0" w:color="auto"/>
              <w:right w:val="single" w:sz="6" w:space="0" w:color="auto"/>
            </w:tcBorders>
          </w:tcPr>
          <w:p w:rsidR="00000000" w:rsidRDefault="0031739B">
            <w:pPr>
              <w:jc w:val="center"/>
              <w:rPr>
                <w:sz w:val="21"/>
              </w:rPr>
            </w:pPr>
            <w:r>
              <w:rPr>
                <w:sz w:val="21"/>
              </w:rPr>
              <w:t>413,096</w:t>
            </w:r>
          </w:p>
        </w:tc>
        <w:tc>
          <w:tcPr>
            <w:tcW w:w="1882" w:type="dxa"/>
            <w:tcBorders>
              <w:left w:val="nil"/>
              <w:right w:val="nil"/>
            </w:tcBorders>
          </w:tcPr>
          <w:p w:rsidR="00000000" w:rsidRDefault="0031739B">
            <w:pPr>
              <w:jc w:val="center"/>
              <w:rPr>
                <w:sz w:val="21"/>
              </w:rPr>
            </w:pPr>
            <w:r>
              <w:rPr>
                <w:sz w:val="21"/>
              </w:rPr>
              <w:t>286,853</w:t>
            </w:r>
          </w:p>
        </w:tc>
        <w:tc>
          <w:tcPr>
            <w:tcW w:w="1882" w:type="dxa"/>
            <w:tcBorders>
              <w:top w:val="nil"/>
              <w:left w:val="single" w:sz="6" w:space="0" w:color="auto"/>
              <w:bottom w:val="single" w:sz="6" w:space="0" w:color="auto"/>
              <w:right w:val="single" w:sz="6" w:space="0" w:color="auto"/>
            </w:tcBorders>
          </w:tcPr>
          <w:p w:rsidR="00000000" w:rsidRDefault="0031739B">
            <w:pPr>
              <w:jc w:val="center"/>
              <w:rPr>
                <w:sz w:val="21"/>
              </w:rPr>
            </w:pPr>
            <w:r>
              <w:rPr>
                <w:sz w:val="21"/>
              </w:rPr>
              <w:t>25,1</w:t>
            </w:r>
            <w:r>
              <w:rPr>
                <w:sz w:val="21"/>
              </w:rPr>
              <w:t>81</w:t>
            </w:r>
          </w:p>
        </w:tc>
        <w:tc>
          <w:tcPr>
            <w:tcW w:w="1882" w:type="dxa"/>
            <w:tcBorders>
              <w:left w:val="nil"/>
            </w:tcBorders>
          </w:tcPr>
          <w:p w:rsidR="00000000" w:rsidRDefault="0031739B">
            <w:pPr>
              <w:jc w:val="center"/>
              <w:rPr>
                <w:sz w:val="21"/>
              </w:rPr>
            </w:pPr>
            <w:r>
              <w:rPr>
                <w:sz w:val="21"/>
              </w:rPr>
              <w:t>161,062</w:t>
            </w:r>
          </w:p>
        </w:tc>
      </w:tr>
    </w:tbl>
    <w:p w:rsidR="00000000" w:rsidRDefault="0031739B">
      <w:pPr>
        <w:pStyle w:val="EndnoteText"/>
        <w:spacing w:before="240"/>
        <w:ind w:hanging="958"/>
      </w:pPr>
      <w:r>
        <w:rPr>
          <w:rFonts w:hint="eastAsia"/>
          <w:u w:val="single"/>
        </w:rPr>
        <w:t>说明</w:t>
      </w:r>
      <w:r>
        <w:rPr>
          <w:u w:val="single"/>
        </w:rPr>
        <w:t>1</w:t>
      </w:r>
      <w:r>
        <w:rPr>
          <w:rFonts w:hint="eastAsia"/>
        </w:rPr>
        <w:t>：依据劳工省作的“每月劳工调查”。</w:t>
      </w:r>
    </w:p>
    <w:p w:rsidR="00000000" w:rsidRDefault="0031739B">
      <w:pPr>
        <w:pStyle w:val="EndnoteText"/>
        <w:spacing w:after="240"/>
        <w:textAlignment w:val="center"/>
      </w:pPr>
      <w:r>
        <w:rPr>
          <w:rFonts w:hint="eastAsia"/>
          <w:u w:val="single"/>
        </w:rPr>
        <w:t>说明</w:t>
      </w:r>
      <w:r>
        <w:rPr>
          <w:u w:val="single"/>
        </w:rPr>
        <w:t>2</w:t>
      </w:r>
      <w:r>
        <w:rPr>
          <w:rFonts w:hint="eastAsia"/>
        </w:rPr>
        <w:t>：该调查涵盖</w:t>
      </w:r>
      <w:r>
        <w:t>30</w:t>
      </w:r>
      <w:r>
        <w:rPr>
          <w:rFonts w:hint="eastAsia"/>
        </w:rPr>
        <w:t>或</w:t>
      </w:r>
      <w:r>
        <w:t>30</w:t>
      </w:r>
      <w:r>
        <w:rPr>
          <w:rFonts w:hint="eastAsia"/>
        </w:rPr>
        <w:t>名以上工人的机构。</w:t>
      </w:r>
    </w:p>
    <w:p w:rsidR="00000000" w:rsidRDefault="0031739B">
      <w:pPr>
        <w:pStyle w:val="Heading3"/>
        <w:spacing w:after="240"/>
        <w:textAlignment w:val="center"/>
      </w:pPr>
      <w:r>
        <w:rPr>
          <w:rFonts w:hint="eastAsia"/>
          <w:u w:val="none"/>
        </w:rPr>
        <w:t>表</w:t>
      </w:r>
      <w:r>
        <w:rPr>
          <w:u w:val="none"/>
        </w:rPr>
        <w:t xml:space="preserve">8.  </w:t>
      </w:r>
      <w:r>
        <w:rPr>
          <w:rFonts w:hint="eastAsia"/>
        </w:rPr>
        <w:t>按地区和行业分列的全国平均最低日工资</w:t>
      </w:r>
      <w:r>
        <w:t>(</w:t>
      </w:r>
      <w:r>
        <w:rPr>
          <w:rFonts w:hint="eastAsia"/>
        </w:rPr>
        <w:t>日元</w:t>
      </w:r>
      <w:r>
        <w:t>)</w:t>
      </w:r>
    </w:p>
    <w:tbl>
      <w:tblPr>
        <w:tblW w:w="0" w:type="auto"/>
        <w:tblInd w:w="-26" w:type="dxa"/>
        <w:tblBorders>
          <w:top w:val="single" w:sz="6" w:space="0" w:color="auto"/>
          <w:left w:val="single" w:sz="6" w:space="0" w:color="auto"/>
          <w:bottom w:val="single" w:sz="6" w:space="0" w:color="auto"/>
          <w:right w:val="single" w:sz="6" w:space="0" w:color="auto"/>
        </w:tblBorders>
        <w:tblLayout w:type="fixed"/>
        <w:tblCellMar>
          <w:left w:w="28" w:type="dxa"/>
          <w:right w:w="28" w:type="dxa"/>
        </w:tblCellMar>
        <w:tblLook w:val="0000" w:firstRow="0" w:lastRow="0" w:firstColumn="0" w:lastColumn="0" w:noHBand="0" w:noVBand="0"/>
      </w:tblPr>
      <w:tblGrid>
        <w:gridCol w:w="3137"/>
        <w:gridCol w:w="3137"/>
        <w:gridCol w:w="3137"/>
      </w:tblGrid>
      <w:tr w:rsidR="00000000">
        <w:tblPrEx>
          <w:tblCellMar>
            <w:top w:w="0" w:type="dxa"/>
            <w:bottom w:w="0" w:type="dxa"/>
          </w:tblCellMar>
        </w:tblPrEx>
        <w:tc>
          <w:tcPr>
            <w:tcW w:w="3137" w:type="dxa"/>
            <w:tcBorders>
              <w:bottom w:val="nil"/>
              <w:right w:val="nil"/>
            </w:tcBorders>
          </w:tcPr>
          <w:p w:rsidR="00000000" w:rsidRDefault="0031739B">
            <w:pPr>
              <w:spacing w:before="60"/>
              <w:jc w:val="center"/>
              <w:rPr>
                <w:sz w:val="21"/>
              </w:rPr>
            </w:pPr>
            <w:r>
              <w:rPr>
                <w:rFonts w:hint="eastAsia"/>
                <w:sz w:val="21"/>
              </w:rPr>
              <w:t>年</w:t>
            </w:r>
            <w:r>
              <w:rPr>
                <w:sz w:val="21"/>
              </w:rPr>
              <w:t xml:space="preserve">  </w:t>
            </w:r>
            <w:r>
              <w:rPr>
                <w:rFonts w:hint="eastAsia"/>
                <w:sz w:val="21"/>
              </w:rPr>
              <w:t>份</w:t>
            </w:r>
          </w:p>
        </w:tc>
        <w:tc>
          <w:tcPr>
            <w:tcW w:w="3137" w:type="dxa"/>
            <w:tcBorders>
              <w:top w:val="single" w:sz="6" w:space="0" w:color="auto"/>
              <w:left w:val="single" w:sz="6" w:space="0" w:color="auto"/>
              <w:bottom w:val="nil"/>
              <w:right w:val="single" w:sz="6" w:space="0" w:color="auto"/>
            </w:tcBorders>
          </w:tcPr>
          <w:p w:rsidR="00000000" w:rsidRDefault="0031739B">
            <w:pPr>
              <w:spacing w:before="60"/>
              <w:jc w:val="center"/>
              <w:rPr>
                <w:sz w:val="21"/>
              </w:rPr>
            </w:pPr>
            <w:r>
              <w:rPr>
                <w:rFonts w:hint="eastAsia"/>
                <w:sz w:val="21"/>
              </w:rPr>
              <w:t>地区最低工资</w:t>
            </w:r>
          </w:p>
        </w:tc>
        <w:tc>
          <w:tcPr>
            <w:tcW w:w="3137" w:type="dxa"/>
            <w:tcBorders>
              <w:left w:val="nil"/>
              <w:bottom w:val="nil"/>
            </w:tcBorders>
          </w:tcPr>
          <w:p w:rsidR="00000000" w:rsidRDefault="0031739B">
            <w:pPr>
              <w:spacing w:before="60"/>
              <w:jc w:val="center"/>
              <w:rPr>
                <w:sz w:val="21"/>
              </w:rPr>
            </w:pPr>
            <w:r>
              <w:rPr>
                <w:rFonts w:hint="eastAsia"/>
                <w:sz w:val="21"/>
              </w:rPr>
              <w:t>行业最低工资</w:t>
            </w:r>
          </w:p>
        </w:tc>
      </w:tr>
      <w:tr w:rsidR="00000000">
        <w:tblPrEx>
          <w:tblCellMar>
            <w:top w:w="0" w:type="dxa"/>
            <w:bottom w:w="0" w:type="dxa"/>
          </w:tblCellMar>
        </w:tblPrEx>
        <w:tc>
          <w:tcPr>
            <w:tcW w:w="3137" w:type="dxa"/>
            <w:tcBorders>
              <w:top w:val="single" w:sz="6" w:space="0" w:color="auto"/>
              <w:bottom w:val="nil"/>
              <w:right w:val="nil"/>
            </w:tcBorders>
          </w:tcPr>
          <w:p w:rsidR="00000000" w:rsidRDefault="0031739B">
            <w:pPr>
              <w:jc w:val="center"/>
              <w:rPr>
                <w:sz w:val="21"/>
              </w:rPr>
            </w:pPr>
            <w:r>
              <w:rPr>
                <w:sz w:val="21"/>
              </w:rPr>
              <w:t>1985</w:t>
            </w:r>
          </w:p>
        </w:tc>
        <w:tc>
          <w:tcPr>
            <w:tcW w:w="3137" w:type="dxa"/>
            <w:tcBorders>
              <w:top w:val="single" w:sz="6" w:space="0" w:color="auto"/>
              <w:left w:val="single" w:sz="6" w:space="0" w:color="auto"/>
              <w:bottom w:val="nil"/>
              <w:right w:val="single" w:sz="6" w:space="0" w:color="auto"/>
            </w:tcBorders>
          </w:tcPr>
          <w:p w:rsidR="00000000" w:rsidRDefault="0031739B">
            <w:pPr>
              <w:jc w:val="center"/>
              <w:rPr>
                <w:sz w:val="21"/>
              </w:rPr>
            </w:pPr>
            <w:r>
              <w:rPr>
                <w:sz w:val="21"/>
              </w:rPr>
              <w:t>3,478</w:t>
            </w:r>
          </w:p>
        </w:tc>
        <w:tc>
          <w:tcPr>
            <w:tcW w:w="3137" w:type="dxa"/>
            <w:tcBorders>
              <w:top w:val="single" w:sz="6" w:space="0" w:color="auto"/>
              <w:left w:val="nil"/>
              <w:bottom w:val="nil"/>
            </w:tcBorders>
          </w:tcPr>
          <w:p w:rsidR="00000000" w:rsidRDefault="0031739B">
            <w:pPr>
              <w:jc w:val="center"/>
              <w:rPr>
                <w:sz w:val="21"/>
              </w:rPr>
            </w:pPr>
            <w:r>
              <w:rPr>
                <w:sz w:val="21"/>
              </w:rPr>
              <w:t>3,834</w:t>
            </w:r>
          </w:p>
        </w:tc>
      </w:tr>
      <w:tr w:rsidR="00000000">
        <w:tblPrEx>
          <w:tblCellMar>
            <w:top w:w="0" w:type="dxa"/>
            <w:bottom w:w="0" w:type="dxa"/>
          </w:tblCellMar>
        </w:tblPrEx>
        <w:tc>
          <w:tcPr>
            <w:tcW w:w="3137" w:type="dxa"/>
            <w:tcBorders>
              <w:top w:val="nil"/>
              <w:right w:val="nil"/>
            </w:tcBorders>
          </w:tcPr>
          <w:p w:rsidR="00000000" w:rsidRDefault="0031739B">
            <w:pPr>
              <w:jc w:val="center"/>
              <w:rPr>
                <w:sz w:val="21"/>
              </w:rPr>
            </w:pPr>
            <w:r>
              <w:rPr>
                <w:sz w:val="21"/>
              </w:rPr>
              <w:t>1990</w:t>
            </w:r>
          </w:p>
        </w:tc>
        <w:tc>
          <w:tcPr>
            <w:tcW w:w="3137" w:type="dxa"/>
            <w:tcBorders>
              <w:top w:val="nil"/>
              <w:left w:val="single" w:sz="6" w:space="0" w:color="auto"/>
              <w:right w:val="single" w:sz="6" w:space="0" w:color="auto"/>
            </w:tcBorders>
          </w:tcPr>
          <w:p w:rsidR="00000000" w:rsidRDefault="0031739B">
            <w:pPr>
              <w:jc w:val="center"/>
              <w:rPr>
                <w:sz w:val="21"/>
              </w:rPr>
            </w:pPr>
            <w:r>
              <w:rPr>
                <w:sz w:val="21"/>
              </w:rPr>
              <w:t>4,117</w:t>
            </w:r>
          </w:p>
        </w:tc>
        <w:tc>
          <w:tcPr>
            <w:tcW w:w="3137" w:type="dxa"/>
            <w:tcBorders>
              <w:top w:val="nil"/>
              <w:left w:val="nil"/>
            </w:tcBorders>
          </w:tcPr>
          <w:p w:rsidR="00000000" w:rsidRDefault="0031739B">
            <w:pPr>
              <w:jc w:val="center"/>
              <w:rPr>
                <w:sz w:val="21"/>
              </w:rPr>
            </w:pPr>
            <w:r>
              <w:rPr>
                <w:sz w:val="21"/>
              </w:rPr>
              <w:t>4,377</w:t>
            </w:r>
          </w:p>
        </w:tc>
      </w:tr>
      <w:tr w:rsidR="00000000">
        <w:tblPrEx>
          <w:tblCellMar>
            <w:top w:w="0" w:type="dxa"/>
            <w:bottom w:w="0" w:type="dxa"/>
          </w:tblCellMar>
        </w:tblPrEx>
        <w:tc>
          <w:tcPr>
            <w:tcW w:w="3137" w:type="dxa"/>
            <w:tcBorders>
              <w:right w:val="nil"/>
            </w:tcBorders>
          </w:tcPr>
          <w:p w:rsidR="00000000" w:rsidRDefault="0031739B">
            <w:pPr>
              <w:jc w:val="center"/>
              <w:rPr>
                <w:sz w:val="21"/>
              </w:rPr>
            </w:pPr>
            <w:r>
              <w:rPr>
                <w:sz w:val="21"/>
              </w:rPr>
              <w:t>1995</w:t>
            </w:r>
          </w:p>
        </w:tc>
        <w:tc>
          <w:tcPr>
            <w:tcW w:w="3137" w:type="dxa"/>
            <w:tcBorders>
              <w:left w:val="single" w:sz="6" w:space="0" w:color="auto"/>
              <w:right w:val="single" w:sz="6" w:space="0" w:color="auto"/>
            </w:tcBorders>
          </w:tcPr>
          <w:p w:rsidR="00000000" w:rsidRDefault="0031739B">
            <w:pPr>
              <w:jc w:val="center"/>
              <w:rPr>
                <w:sz w:val="21"/>
              </w:rPr>
            </w:pPr>
            <w:r>
              <w:rPr>
                <w:sz w:val="21"/>
              </w:rPr>
              <w:t>4,866</w:t>
            </w:r>
          </w:p>
        </w:tc>
        <w:tc>
          <w:tcPr>
            <w:tcW w:w="3137" w:type="dxa"/>
            <w:tcBorders>
              <w:left w:val="nil"/>
            </w:tcBorders>
          </w:tcPr>
          <w:p w:rsidR="00000000" w:rsidRDefault="0031739B">
            <w:pPr>
              <w:jc w:val="center"/>
              <w:rPr>
                <w:sz w:val="21"/>
              </w:rPr>
            </w:pPr>
            <w:r>
              <w:rPr>
                <w:sz w:val="21"/>
              </w:rPr>
              <w:t>5,521</w:t>
            </w:r>
          </w:p>
        </w:tc>
      </w:tr>
      <w:tr w:rsidR="00000000">
        <w:tblPrEx>
          <w:tblCellMar>
            <w:top w:w="0" w:type="dxa"/>
            <w:bottom w:w="0" w:type="dxa"/>
          </w:tblCellMar>
        </w:tblPrEx>
        <w:tc>
          <w:tcPr>
            <w:tcW w:w="3137" w:type="dxa"/>
            <w:tcBorders>
              <w:right w:val="nil"/>
            </w:tcBorders>
          </w:tcPr>
          <w:p w:rsidR="00000000" w:rsidRDefault="0031739B">
            <w:pPr>
              <w:jc w:val="center"/>
              <w:rPr>
                <w:sz w:val="21"/>
              </w:rPr>
            </w:pPr>
            <w:r>
              <w:rPr>
                <w:sz w:val="21"/>
              </w:rPr>
              <w:t>1996</w:t>
            </w:r>
          </w:p>
        </w:tc>
        <w:tc>
          <w:tcPr>
            <w:tcW w:w="3137" w:type="dxa"/>
            <w:tcBorders>
              <w:left w:val="single" w:sz="6" w:space="0" w:color="auto"/>
              <w:bottom w:val="single" w:sz="6" w:space="0" w:color="auto"/>
              <w:right w:val="single" w:sz="6" w:space="0" w:color="auto"/>
            </w:tcBorders>
          </w:tcPr>
          <w:p w:rsidR="00000000" w:rsidRDefault="0031739B">
            <w:pPr>
              <w:jc w:val="center"/>
              <w:rPr>
                <w:sz w:val="21"/>
              </w:rPr>
            </w:pPr>
            <w:r>
              <w:rPr>
                <w:sz w:val="21"/>
              </w:rPr>
              <w:t>4,969</w:t>
            </w:r>
          </w:p>
        </w:tc>
        <w:tc>
          <w:tcPr>
            <w:tcW w:w="3137" w:type="dxa"/>
            <w:tcBorders>
              <w:left w:val="nil"/>
            </w:tcBorders>
          </w:tcPr>
          <w:p w:rsidR="00000000" w:rsidRDefault="0031739B">
            <w:pPr>
              <w:jc w:val="center"/>
              <w:rPr>
                <w:sz w:val="21"/>
              </w:rPr>
            </w:pPr>
            <w:r>
              <w:rPr>
                <w:sz w:val="21"/>
              </w:rPr>
              <w:t>5,650</w:t>
            </w:r>
          </w:p>
        </w:tc>
      </w:tr>
    </w:tbl>
    <w:p w:rsidR="00000000" w:rsidRDefault="0031739B">
      <w:pPr>
        <w:pStyle w:val="EndnoteText"/>
        <w:spacing w:before="240" w:after="160"/>
        <w:ind w:hanging="958"/>
        <w:textAlignment w:val="center"/>
      </w:pPr>
      <w:r>
        <w:rPr>
          <w:rFonts w:hint="eastAsia"/>
          <w:u w:val="single"/>
        </w:rPr>
        <w:t>说</w:t>
      </w:r>
      <w:r>
        <w:rPr>
          <w:u w:val="single"/>
        </w:rPr>
        <w:t xml:space="preserve">  </w:t>
      </w:r>
      <w:r>
        <w:rPr>
          <w:rFonts w:hint="eastAsia"/>
          <w:u w:val="single"/>
        </w:rPr>
        <w:t>明</w:t>
      </w:r>
      <w:r>
        <w:rPr>
          <w:rFonts w:hint="eastAsia"/>
        </w:rPr>
        <w:t>：此为适用这些数字的工人人数的加权平均数额。</w:t>
      </w:r>
    </w:p>
    <w:p w:rsidR="00000000" w:rsidRDefault="0031739B">
      <w:r>
        <w:tab/>
        <w:t xml:space="preserve">54.  </w:t>
      </w:r>
      <w:r>
        <w:rPr>
          <w:rFonts w:hint="eastAsia"/>
        </w:rPr>
        <w:t>最低工资一经确定即通过发表官方公报予以公布。劳工标准检查机构向雇员和雇主分发活页并举行解释会</w:t>
      </w:r>
      <w:r>
        <w:rPr>
          <w:rFonts w:hint="eastAsia"/>
        </w:rPr>
        <w:t>议来让公众了解最低工资。他们还进行检查、提供全国性指导、并警告违反最低工资标准的组织，令其纠正这些做法。</w:t>
      </w:r>
    </w:p>
    <w:p w:rsidR="00000000" w:rsidRDefault="0031739B">
      <w:r>
        <w:tab/>
        <w:t xml:space="preserve">55.  </w:t>
      </w:r>
      <w:r>
        <w:rPr>
          <w:rFonts w:hint="eastAsia"/>
        </w:rPr>
        <w:t>雇主有义务支付最低或较高工资，违反者将受到最低工资法的惩罚。即使劳资双方商定同意不足最低工资的工资，在法律上仍属无效，并不承认其为最低工资</w:t>
      </w:r>
      <w:r>
        <w:t>(</w:t>
      </w:r>
      <w:r>
        <w:rPr>
          <w:rFonts w:hint="eastAsia"/>
        </w:rPr>
        <w:t>最低工资法第</w:t>
      </w:r>
      <w:r>
        <w:t>5</w:t>
      </w:r>
      <w:r>
        <w:rPr>
          <w:rFonts w:hint="eastAsia"/>
        </w:rPr>
        <w:t>条</w:t>
      </w:r>
      <w:r>
        <w:t>)</w:t>
      </w:r>
      <w:r>
        <w:rPr>
          <w:rFonts w:hint="eastAsia"/>
        </w:rPr>
        <w:t>。关于违反最低工资法的问题，一名劳工标准检查行政检察长根据刑事程序法的规定，负责由司法警察进行调查。</w:t>
      </w:r>
    </w:p>
    <w:p w:rsidR="00000000" w:rsidRDefault="0031739B">
      <w:pPr>
        <w:spacing w:after="320"/>
        <w:textAlignment w:val="center"/>
      </w:pPr>
      <w:r>
        <w:tab/>
        <w:t xml:space="preserve">56.  </w:t>
      </w:r>
      <w:r>
        <w:rPr>
          <w:rFonts w:hint="eastAsia"/>
        </w:rPr>
        <w:t>日本于</w:t>
      </w:r>
      <w:r>
        <w:t>1971</w:t>
      </w:r>
      <w:r>
        <w:rPr>
          <w:rFonts w:hint="eastAsia"/>
        </w:rPr>
        <w:t>年</w:t>
      </w:r>
      <w:r>
        <w:t>4</w:t>
      </w:r>
      <w:r>
        <w:rPr>
          <w:rFonts w:hint="eastAsia"/>
        </w:rPr>
        <w:t>月批准了劳工组织第</w:t>
      </w:r>
      <w:r>
        <w:t>26</w:t>
      </w:r>
      <w:r>
        <w:rPr>
          <w:rFonts w:hint="eastAsia"/>
        </w:rPr>
        <w:t>号公约</w:t>
      </w:r>
      <w:r>
        <w:t>(</w:t>
      </w:r>
      <w:r>
        <w:rPr>
          <w:rFonts w:hint="eastAsia"/>
        </w:rPr>
        <w:t>规定最低工资办法公约</w:t>
      </w:r>
      <w:r>
        <w:t>)</w:t>
      </w:r>
      <w:r>
        <w:rPr>
          <w:rFonts w:hint="eastAsia"/>
        </w:rPr>
        <w:t>和第</w:t>
      </w:r>
      <w:r>
        <w:t>131</w:t>
      </w:r>
      <w:r>
        <w:rPr>
          <w:rFonts w:hint="eastAsia"/>
        </w:rPr>
        <w:t>号公约</w:t>
      </w:r>
      <w:r>
        <w:t>(</w:t>
      </w:r>
      <w:r>
        <w:rPr>
          <w:rFonts w:hint="eastAsia"/>
        </w:rPr>
        <w:t>确定最低工资公约，其中特别提到发展</w:t>
      </w:r>
      <w:r>
        <w:rPr>
          <w:rFonts w:hint="eastAsia"/>
        </w:rPr>
        <w:t>中国家</w:t>
      </w:r>
      <w:r>
        <w:t>)</w:t>
      </w:r>
      <w:r>
        <w:rPr>
          <w:rFonts w:hint="eastAsia"/>
        </w:rPr>
        <w:t>，并建立了符合这些公约的立法制度。日本于</w:t>
      </w:r>
      <w:r>
        <w:t>1976</w:t>
      </w:r>
      <w:r>
        <w:rPr>
          <w:rFonts w:hint="eastAsia"/>
        </w:rPr>
        <w:t>年和</w:t>
      </w:r>
      <w:r>
        <w:t>1997</w:t>
      </w:r>
      <w:r>
        <w:rPr>
          <w:rFonts w:hint="eastAsia"/>
        </w:rPr>
        <w:t>年分别向劳工组织提交了执行第</w:t>
      </w:r>
      <w:r>
        <w:t>26</w:t>
      </w:r>
      <w:r>
        <w:rPr>
          <w:rFonts w:hint="eastAsia"/>
        </w:rPr>
        <w:t>号公约和第</w:t>
      </w:r>
      <w:r>
        <w:t>131</w:t>
      </w:r>
      <w:r>
        <w:rPr>
          <w:rFonts w:hint="eastAsia"/>
        </w:rPr>
        <w:t>号公约的最近报告。</w:t>
      </w:r>
    </w:p>
    <w:p w:rsidR="00000000" w:rsidRDefault="0031739B">
      <w:pPr>
        <w:pStyle w:val="Heading3"/>
      </w:pPr>
      <w:r>
        <w:rPr>
          <w:u w:val="none"/>
        </w:rPr>
        <w:t xml:space="preserve">2.  </w:t>
      </w:r>
      <w:r>
        <w:rPr>
          <w:rFonts w:hint="eastAsia"/>
        </w:rPr>
        <w:t>同等待遇</w:t>
      </w:r>
    </w:p>
    <w:p w:rsidR="00000000" w:rsidRDefault="0031739B">
      <w:r>
        <w:tab/>
        <w:t xml:space="preserve">57.  </w:t>
      </w:r>
      <w:r>
        <w:rPr>
          <w:rFonts w:hint="eastAsia"/>
        </w:rPr>
        <w:t>劳工标准法第</w:t>
      </w:r>
      <w:r>
        <w:t>3</w:t>
      </w:r>
      <w:r>
        <w:rPr>
          <w:rFonts w:hint="eastAsia"/>
        </w:rPr>
        <w:t>条规定：“雇主不得因任何工人的国籍、教义或社会地位而在工资、工作时间或其他工作条件方面歧视或优待任何工人。”日本还于</w:t>
      </w:r>
      <w:r>
        <w:t>1967</w:t>
      </w:r>
      <w:r>
        <w:rPr>
          <w:rFonts w:hint="eastAsia"/>
        </w:rPr>
        <w:t>年</w:t>
      </w:r>
      <w:r>
        <w:t>7</w:t>
      </w:r>
      <w:r>
        <w:rPr>
          <w:rFonts w:hint="eastAsia"/>
        </w:rPr>
        <w:t>月批准了劳工组织第</w:t>
      </w:r>
      <w:r>
        <w:t>100</w:t>
      </w:r>
      <w:r>
        <w:rPr>
          <w:rFonts w:hint="eastAsia"/>
        </w:rPr>
        <w:t>号公约</w:t>
      </w:r>
      <w:r>
        <w:t>(</w:t>
      </w:r>
      <w:r>
        <w:rPr>
          <w:rFonts w:hint="eastAsia"/>
        </w:rPr>
        <w:t>对男女工人同等价值的工作付以同等报酬公约</w:t>
      </w:r>
      <w:r>
        <w:t>)</w:t>
      </w:r>
      <w:r>
        <w:rPr>
          <w:rFonts w:hint="eastAsia"/>
        </w:rPr>
        <w:t>并根据该公约建立了立法制度。</w:t>
      </w:r>
    </w:p>
    <w:p w:rsidR="00000000" w:rsidRDefault="0031739B">
      <w:r>
        <w:tab/>
        <w:t xml:space="preserve">58.  </w:t>
      </w:r>
      <w:r>
        <w:rPr>
          <w:rFonts w:hint="eastAsia"/>
        </w:rPr>
        <w:t>公平就业机会法实施以来已过去了</w:t>
      </w:r>
      <w:r>
        <w:t>10</w:t>
      </w:r>
      <w:r>
        <w:rPr>
          <w:rFonts w:hint="eastAsia"/>
        </w:rPr>
        <w:t>年。各企业在不断努力改善就业管理过程中逐步融入了该法的</w:t>
      </w:r>
      <w:r>
        <w:rPr>
          <w:rFonts w:hint="eastAsia"/>
        </w:rPr>
        <w:t>宗旨。根据</w:t>
      </w:r>
      <w:r>
        <w:t>1995</w:t>
      </w:r>
      <w:r>
        <w:rPr>
          <w:rFonts w:hint="eastAsia"/>
        </w:rPr>
        <w:t>年进行的“女工就业管理调查”，在所有公司中，</w:t>
      </w:r>
      <w:r>
        <w:t>14.3%</w:t>
      </w:r>
      <w:r>
        <w:rPr>
          <w:rFonts w:hint="eastAsia"/>
        </w:rPr>
        <w:t>的公司雇用担任相当于经理一级职位的女工；</w:t>
      </w:r>
      <w:r>
        <w:t>30.6%</w:t>
      </w:r>
      <w:r>
        <w:rPr>
          <w:rFonts w:hint="eastAsia"/>
        </w:rPr>
        <w:t>的公司雇用担任相当于科长级职务的女工；</w:t>
      </w:r>
      <w:r>
        <w:t>72.1%</w:t>
      </w:r>
      <w:r>
        <w:rPr>
          <w:rFonts w:hint="eastAsia"/>
        </w:rPr>
        <w:t>的公司雇用担任相当于助理经理职务的女工。此外，还取消了歧视妇女的退休制度和结婚、妊娠和产假退休制度。关于国家公共雇员问题，通过修订全国人事当局规章废除了申请全国公共服务部门招聘考试对妇女的资格限制。因此，在雇用正规公共服务部门工人时已不存在对妇女的限制或歧视。</w:t>
      </w:r>
    </w:p>
    <w:p w:rsidR="00000000" w:rsidRDefault="0031739B">
      <w:r>
        <w:tab/>
        <w:t xml:space="preserve">59.  </w:t>
      </w:r>
      <w:r>
        <w:rPr>
          <w:rFonts w:hint="eastAsia"/>
        </w:rPr>
        <w:t>工会法第</w:t>
      </w:r>
      <w:r>
        <w:t>7</w:t>
      </w:r>
      <w:r>
        <w:rPr>
          <w:rFonts w:hint="eastAsia"/>
        </w:rPr>
        <w:t>条规定：禁止雇主因工人是工会成员、试图加入或组织工会或已从</w:t>
      </w:r>
      <w:r>
        <w:rPr>
          <w:rFonts w:hint="eastAsia"/>
        </w:rPr>
        <w:t>事工会的公正活动而予歧视，并视此为不公平的劳工行径。</w:t>
      </w:r>
    </w:p>
    <w:p w:rsidR="00000000" w:rsidRDefault="0031739B">
      <w:pPr>
        <w:spacing w:after="320"/>
        <w:textAlignment w:val="center"/>
      </w:pPr>
      <w:r>
        <w:tab/>
        <w:t xml:space="preserve">60.  </w:t>
      </w:r>
      <w:r>
        <w:rPr>
          <w:rFonts w:hint="eastAsia"/>
        </w:rPr>
        <w:t>为比较公共和私营部门类似工种的工资，见上文第</w:t>
      </w:r>
      <w:r>
        <w:t>1</w:t>
      </w:r>
      <w:r>
        <w:rPr>
          <w:rFonts w:hint="eastAsia"/>
        </w:rPr>
        <w:t>节</w:t>
      </w:r>
      <w:r>
        <w:t>(a)</w:t>
      </w:r>
      <w:r>
        <w:rPr>
          <w:rFonts w:hint="eastAsia"/>
        </w:rPr>
        <w:t>段。</w:t>
      </w:r>
    </w:p>
    <w:p w:rsidR="00000000" w:rsidRDefault="0031739B">
      <w:pPr>
        <w:pStyle w:val="Heading3"/>
        <w:spacing w:after="240"/>
        <w:textAlignment w:val="center"/>
      </w:pPr>
      <w:r>
        <w:rPr>
          <w:u w:val="none"/>
        </w:rPr>
        <w:t xml:space="preserve">3.  </w:t>
      </w:r>
      <w:r>
        <w:rPr>
          <w:rFonts w:hint="eastAsia"/>
        </w:rPr>
        <w:t>安全和健康的工作条件</w:t>
      </w:r>
    </w:p>
    <w:p w:rsidR="00000000" w:rsidRDefault="0031739B">
      <w:pPr>
        <w:pStyle w:val="Heading4"/>
        <w:textAlignment w:val="center"/>
      </w:pPr>
      <w:r>
        <w:rPr>
          <w:u w:val="none"/>
        </w:rPr>
        <w:t>(a)</w:t>
      </w:r>
      <w:r>
        <w:rPr>
          <w:u w:val="none"/>
        </w:rPr>
        <w:tab/>
      </w:r>
      <w:r>
        <w:rPr>
          <w:rFonts w:hint="eastAsia"/>
        </w:rPr>
        <w:t>基本法律和法令</w:t>
      </w:r>
    </w:p>
    <w:p w:rsidR="00000000" w:rsidRDefault="0031739B">
      <w:r>
        <w:tab/>
        <w:t xml:space="preserve">61.  </w:t>
      </w:r>
      <w:r>
        <w:rPr>
          <w:rFonts w:hint="eastAsia"/>
        </w:rPr>
        <w:t>为保证工作场所工人的安全和健康，日本颁布和实施了若干法律和规章，包括“工业安全和健康法”、“尘肺法”、“工业安全和健康法令”、“锅炉和压力容器法令”和“防止有机溶剂毒害法令”。</w:t>
      </w:r>
    </w:p>
    <w:p w:rsidR="00000000" w:rsidRDefault="0031739B">
      <w:r>
        <w:tab/>
        <w:t xml:space="preserve">62.  </w:t>
      </w:r>
      <w:r>
        <w:rPr>
          <w:rFonts w:hint="eastAsia"/>
        </w:rPr>
        <w:t>尽管工业安全和健康法不适用于海员法所指的船员或矿务安全法第</w:t>
      </w:r>
      <w:r>
        <w:t>2</w:t>
      </w:r>
      <w:r>
        <w:rPr>
          <w:rFonts w:hint="eastAsia"/>
        </w:rPr>
        <w:t>条第</w:t>
      </w:r>
      <w:r>
        <w:t>2</w:t>
      </w:r>
      <w:r>
        <w:rPr>
          <w:rFonts w:hint="eastAsia"/>
        </w:rPr>
        <w:t>款所指的矿工，但他们的安全和健康受到水手法、矿务安全法和其他有关</w:t>
      </w:r>
      <w:r>
        <w:rPr>
          <w:rFonts w:hint="eastAsia"/>
        </w:rPr>
        <w:t>法令的保证。</w:t>
      </w:r>
    </w:p>
    <w:p w:rsidR="00000000" w:rsidRDefault="0031739B">
      <w:pPr>
        <w:spacing w:after="240"/>
        <w:textAlignment w:val="center"/>
      </w:pPr>
      <w:r>
        <w:tab/>
        <w:t xml:space="preserve">63.  </w:t>
      </w:r>
      <w:r>
        <w:rPr>
          <w:rFonts w:hint="eastAsia"/>
        </w:rPr>
        <w:t>日本于</w:t>
      </w:r>
      <w:r>
        <w:t>1953</w:t>
      </w:r>
      <w:r>
        <w:rPr>
          <w:rFonts w:hint="eastAsia"/>
        </w:rPr>
        <w:t>年</w:t>
      </w:r>
      <w:r>
        <w:t>10</w:t>
      </w:r>
      <w:r>
        <w:rPr>
          <w:rFonts w:hint="eastAsia"/>
        </w:rPr>
        <w:t>月批准了劳工组织第</w:t>
      </w:r>
      <w:r>
        <w:t>81</w:t>
      </w:r>
      <w:r>
        <w:rPr>
          <w:rFonts w:hint="eastAsia"/>
        </w:rPr>
        <w:t>号公约</w:t>
      </w:r>
      <w:r>
        <w:t>(</w:t>
      </w:r>
      <w:r>
        <w:rPr>
          <w:rFonts w:hint="eastAsia"/>
        </w:rPr>
        <w:t>工商业劳动监察公约</w:t>
      </w:r>
      <w:r>
        <w:t>)</w:t>
      </w:r>
      <w:r>
        <w:rPr>
          <w:rFonts w:hint="eastAsia"/>
        </w:rPr>
        <w:t>，并实施了基于该公约的劳工标准行政活动。关于该公约的实施，请参考日本于</w:t>
      </w:r>
      <w:r>
        <w:t>1997</w:t>
      </w:r>
      <w:r>
        <w:rPr>
          <w:rFonts w:hint="eastAsia"/>
        </w:rPr>
        <w:t>年提交劳工组织的报告。</w:t>
      </w:r>
    </w:p>
    <w:p w:rsidR="00000000" w:rsidRDefault="0031739B">
      <w:pPr>
        <w:pStyle w:val="Heading4"/>
        <w:textAlignment w:val="center"/>
      </w:pPr>
      <w:r>
        <w:rPr>
          <w:u w:val="none"/>
        </w:rPr>
        <w:t>(b)</w:t>
      </w:r>
      <w:r>
        <w:rPr>
          <w:u w:val="none"/>
        </w:rPr>
        <w:tab/>
      </w:r>
      <w:r>
        <w:rPr>
          <w:rFonts w:hint="eastAsia"/>
        </w:rPr>
        <w:t>工业伤害</w:t>
      </w:r>
    </w:p>
    <w:p w:rsidR="00000000" w:rsidRDefault="0031739B">
      <w:pPr>
        <w:textAlignment w:val="center"/>
      </w:pPr>
      <w:r>
        <w:tab/>
        <w:t xml:space="preserve">64.  </w:t>
      </w:r>
      <w:r>
        <w:rPr>
          <w:rFonts w:hint="eastAsia"/>
        </w:rPr>
        <w:t>因工业伤害</w:t>
      </w:r>
      <w:r>
        <w:t>(</w:t>
      </w:r>
      <w:r>
        <w:rPr>
          <w:rFonts w:hint="eastAsia"/>
        </w:rPr>
        <w:t>上班或往返途中的事故和职业病</w:t>
      </w:r>
      <w:r>
        <w:t>)</w:t>
      </w:r>
      <w:r>
        <w:rPr>
          <w:rFonts w:hint="eastAsia"/>
        </w:rPr>
        <w:t>造成的伤亡人数在</w:t>
      </w:r>
      <w:r>
        <w:t>1961</w:t>
      </w:r>
      <w:r>
        <w:rPr>
          <w:rFonts w:hint="eastAsia"/>
        </w:rPr>
        <w:t>年达到高峰后不断下降。</w:t>
      </w:r>
      <w:r>
        <w:t>(</w:t>
      </w:r>
      <w:r>
        <w:rPr>
          <w:rFonts w:hint="eastAsia"/>
        </w:rPr>
        <w:t>然而，</w:t>
      </w:r>
      <w:r>
        <w:t>1975</w:t>
      </w:r>
      <w:r>
        <w:rPr>
          <w:rFonts w:hint="eastAsia"/>
        </w:rPr>
        <w:t>年和</w:t>
      </w:r>
      <w:r>
        <w:t>1977</w:t>
      </w:r>
      <w:r>
        <w:rPr>
          <w:rFonts w:hint="eastAsia"/>
        </w:rPr>
        <w:t>年之间有暂时性增加。</w:t>
      </w:r>
      <w:r>
        <w:t>)</w:t>
      </w:r>
      <w:r>
        <w:rPr>
          <w:rFonts w:hint="eastAsia"/>
        </w:rPr>
        <w:t>自第一次报告以来出现了同样的趋势</w:t>
      </w:r>
      <w:r>
        <w:t>(</w:t>
      </w:r>
      <w:r>
        <w:rPr>
          <w:rFonts w:hint="eastAsia"/>
        </w:rPr>
        <w:t>参见表</w:t>
      </w:r>
      <w:r>
        <w:t>9)</w:t>
      </w:r>
      <w:r>
        <w:rPr>
          <w:rFonts w:hint="eastAsia"/>
        </w:rPr>
        <w:t>。</w:t>
      </w:r>
    </w:p>
    <w:p w:rsidR="00000000" w:rsidRDefault="0031739B">
      <w:pPr>
        <w:spacing w:after="320"/>
        <w:textAlignment w:val="center"/>
      </w:pPr>
      <w:r>
        <w:tab/>
        <w:t xml:space="preserve">65.  </w:t>
      </w:r>
      <w:r>
        <w:rPr>
          <w:rFonts w:hint="eastAsia"/>
        </w:rPr>
        <w:t>许多工业伤害发生在中小规模公司。为解决工厂和建筑工地等场所仍经常发生工业伤害的情况，政</w:t>
      </w:r>
      <w:r>
        <w:rPr>
          <w:rFonts w:hint="eastAsia"/>
        </w:rPr>
        <w:t>府于</w:t>
      </w:r>
      <w:r>
        <w:t>1992</w:t>
      </w:r>
      <w:r>
        <w:rPr>
          <w:rFonts w:hint="eastAsia"/>
        </w:rPr>
        <w:t>年修正了工业安全和健康法，目的是在中小型建筑基地发展安全和健康管理制度，以及在建筑计划阶段强化安全措施。</w:t>
      </w:r>
    </w:p>
    <w:p w:rsidR="00000000" w:rsidRDefault="0031739B">
      <w:pPr>
        <w:pStyle w:val="Heading4"/>
      </w:pPr>
      <w:r>
        <w:rPr>
          <w:u w:val="none"/>
        </w:rPr>
        <w:t>(c)</w:t>
      </w:r>
      <w:r>
        <w:rPr>
          <w:u w:val="none"/>
        </w:rPr>
        <w:tab/>
      </w:r>
      <w:r>
        <w:rPr>
          <w:rFonts w:hint="eastAsia"/>
        </w:rPr>
        <w:t>职业病</w:t>
      </w:r>
    </w:p>
    <w:p w:rsidR="00000000" w:rsidRDefault="0031739B">
      <w:r>
        <w:tab/>
        <w:t xml:space="preserve">66.  </w:t>
      </w:r>
      <w:r>
        <w:rPr>
          <w:rFonts w:hint="eastAsia"/>
        </w:rPr>
        <w:t>得职业病人数在</w:t>
      </w:r>
      <w:r>
        <w:t>1980</w:t>
      </w:r>
      <w:r>
        <w:rPr>
          <w:rFonts w:hint="eastAsia"/>
        </w:rPr>
        <w:t>年代前五年期间每年在</w:t>
      </w:r>
      <w:r>
        <w:t>15,000</w:t>
      </w:r>
      <w:r>
        <w:rPr>
          <w:rFonts w:hint="eastAsia"/>
        </w:rPr>
        <w:t>至</w:t>
      </w:r>
      <w:r>
        <w:t>18,000</w:t>
      </w:r>
      <w:r>
        <w:rPr>
          <w:rFonts w:hint="eastAsia"/>
        </w:rPr>
        <w:t>人之间，但在</w:t>
      </w:r>
      <w:r>
        <w:t>1996</w:t>
      </w:r>
      <w:r>
        <w:rPr>
          <w:rFonts w:hint="eastAsia"/>
        </w:rPr>
        <w:t>年下降到</w:t>
      </w:r>
      <w:r>
        <w:t>9,250</w:t>
      </w:r>
      <w:r>
        <w:rPr>
          <w:rFonts w:hint="eastAsia"/>
        </w:rPr>
        <w:t>人。</w:t>
      </w:r>
    </w:p>
    <w:p w:rsidR="00000000" w:rsidRDefault="0031739B">
      <w:r>
        <w:tab/>
        <w:t>67.  1996</w:t>
      </w:r>
      <w:r>
        <w:rPr>
          <w:rFonts w:hint="eastAsia"/>
        </w:rPr>
        <w:t>年发生的职业病可分类如下：</w:t>
      </w:r>
      <w:r>
        <w:t>70%</w:t>
      </w:r>
      <w:r>
        <w:rPr>
          <w:rFonts w:hint="eastAsia"/>
        </w:rPr>
        <w:t>因伤害造成；约</w:t>
      </w:r>
      <w:r>
        <w:t>16%</w:t>
      </w:r>
      <w:r>
        <w:rPr>
          <w:rFonts w:hint="eastAsia"/>
        </w:rPr>
        <w:t>因肺尘病及其并发症造成。</w:t>
      </w:r>
    </w:p>
    <w:p w:rsidR="00000000" w:rsidRDefault="0031739B">
      <w:pPr>
        <w:spacing w:after="320"/>
        <w:textAlignment w:val="center"/>
      </w:pPr>
      <w:r>
        <w:tab/>
        <w:t xml:space="preserve">68.  </w:t>
      </w:r>
      <w:r>
        <w:rPr>
          <w:rFonts w:hint="eastAsia"/>
        </w:rPr>
        <w:t>依据工业安全和健康法需做有害工作特别体检的工人的百分比在</w:t>
      </w:r>
      <w:r>
        <w:t>1996</w:t>
      </w:r>
      <w:r>
        <w:rPr>
          <w:rFonts w:hint="eastAsia"/>
        </w:rPr>
        <w:t>年为</w:t>
      </w:r>
      <w:r>
        <w:t>3.1%</w:t>
      </w:r>
      <w:r>
        <w:rPr>
          <w:rFonts w:hint="eastAsia"/>
        </w:rPr>
        <w:t>。</w:t>
      </w:r>
    </w:p>
    <w:p w:rsidR="00000000" w:rsidRDefault="0031739B">
      <w:pPr>
        <w:pStyle w:val="Heading3"/>
        <w:spacing w:after="240"/>
        <w:textAlignment w:val="center"/>
      </w:pPr>
      <w:r>
        <w:rPr>
          <w:rFonts w:hint="eastAsia"/>
          <w:u w:val="none"/>
        </w:rPr>
        <w:t>表</w:t>
      </w:r>
      <w:r>
        <w:rPr>
          <w:u w:val="none"/>
        </w:rPr>
        <w:t xml:space="preserve"> 9.  </w:t>
      </w:r>
      <w:r>
        <w:rPr>
          <w:rFonts w:hint="eastAsia"/>
        </w:rPr>
        <w:t>劳动事故趋势</w:t>
      </w:r>
      <w:r>
        <w:t>(</w:t>
      </w:r>
      <w:r>
        <w:rPr>
          <w:rFonts w:hint="eastAsia"/>
        </w:rPr>
        <w:t>所有工业</w:t>
      </w:r>
      <w:r>
        <w:t>)</w:t>
      </w:r>
    </w:p>
    <w:tbl>
      <w:tblPr>
        <w:tblW w:w="0" w:type="auto"/>
        <w:tblInd w:w="-26" w:type="dxa"/>
        <w:tblBorders>
          <w:top w:val="single" w:sz="6" w:space="0" w:color="auto"/>
          <w:left w:val="single" w:sz="6" w:space="0" w:color="auto"/>
          <w:bottom w:val="single" w:sz="6" w:space="0" w:color="auto"/>
          <w:right w:val="single" w:sz="6" w:space="0" w:color="auto"/>
        </w:tblBorders>
        <w:tblLayout w:type="fixed"/>
        <w:tblCellMar>
          <w:left w:w="28" w:type="dxa"/>
          <w:right w:w="28" w:type="dxa"/>
        </w:tblCellMar>
        <w:tblLook w:val="0000" w:firstRow="0" w:lastRow="0" w:firstColumn="0" w:lastColumn="0" w:noHBand="0" w:noVBand="0"/>
      </w:tblPr>
      <w:tblGrid>
        <w:gridCol w:w="1882"/>
        <w:gridCol w:w="1882"/>
        <w:gridCol w:w="1882"/>
        <w:gridCol w:w="1882"/>
        <w:gridCol w:w="1882"/>
      </w:tblGrid>
      <w:tr w:rsidR="00000000">
        <w:tblPrEx>
          <w:tblCellMar>
            <w:top w:w="0" w:type="dxa"/>
            <w:bottom w:w="0" w:type="dxa"/>
          </w:tblCellMar>
        </w:tblPrEx>
        <w:tc>
          <w:tcPr>
            <w:tcW w:w="1882" w:type="dxa"/>
            <w:tcBorders>
              <w:bottom w:val="nil"/>
              <w:right w:val="nil"/>
            </w:tcBorders>
          </w:tcPr>
          <w:p w:rsidR="00000000" w:rsidRDefault="0031739B">
            <w:pPr>
              <w:spacing w:before="60"/>
              <w:jc w:val="center"/>
              <w:rPr>
                <w:sz w:val="21"/>
              </w:rPr>
            </w:pPr>
            <w:r>
              <w:rPr>
                <w:rFonts w:hint="eastAsia"/>
                <w:sz w:val="21"/>
              </w:rPr>
              <w:t>年</w:t>
            </w:r>
            <w:r>
              <w:rPr>
                <w:sz w:val="21"/>
              </w:rPr>
              <w:t xml:space="preserve">  </w:t>
            </w:r>
            <w:r>
              <w:rPr>
                <w:rFonts w:hint="eastAsia"/>
                <w:sz w:val="21"/>
              </w:rPr>
              <w:t>份</w:t>
            </w:r>
          </w:p>
        </w:tc>
        <w:tc>
          <w:tcPr>
            <w:tcW w:w="1882" w:type="dxa"/>
            <w:tcBorders>
              <w:top w:val="single" w:sz="6" w:space="0" w:color="auto"/>
              <w:left w:val="single" w:sz="6" w:space="0" w:color="auto"/>
              <w:bottom w:val="nil"/>
              <w:right w:val="single" w:sz="6" w:space="0" w:color="auto"/>
            </w:tcBorders>
          </w:tcPr>
          <w:p w:rsidR="00000000" w:rsidRDefault="0031739B">
            <w:pPr>
              <w:spacing w:before="60"/>
              <w:jc w:val="center"/>
              <w:rPr>
                <w:sz w:val="21"/>
              </w:rPr>
            </w:pPr>
            <w:r>
              <w:rPr>
                <w:rFonts w:hint="eastAsia"/>
                <w:sz w:val="21"/>
              </w:rPr>
              <w:t>伤亡人数</w:t>
            </w:r>
          </w:p>
        </w:tc>
        <w:tc>
          <w:tcPr>
            <w:tcW w:w="1882" w:type="dxa"/>
            <w:tcBorders>
              <w:left w:val="nil"/>
              <w:bottom w:val="nil"/>
              <w:right w:val="nil"/>
            </w:tcBorders>
          </w:tcPr>
          <w:p w:rsidR="00000000" w:rsidRDefault="0031739B">
            <w:pPr>
              <w:spacing w:before="60"/>
              <w:jc w:val="center"/>
              <w:rPr>
                <w:sz w:val="21"/>
              </w:rPr>
            </w:pPr>
            <w:r>
              <w:rPr>
                <w:rFonts w:hint="eastAsia"/>
                <w:sz w:val="21"/>
              </w:rPr>
              <w:t>死亡人</w:t>
            </w:r>
            <w:r>
              <w:rPr>
                <w:rFonts w:hint="eastAsia"/>
                <w:sz w:val="21"/>
              </w:rPr>
              <w:t>数</w:t>
            </w:r>
          </w:p>
        </w:tc>
        <w:tc>
          <w:tcPr>
            <w:tcW w:w="1882" w:type="dxa"/>
            <w:tcBorders>
              <w:top w:val="single" w:sz="6" w:space="0" w:color="auto"/>
              <w:left w:val="single" w:sz="6" w:space="0" w:color="auto"/>
              <w:bottom w:val="nil"/>
              <w:right w:val="single" w:sz="6" w:space="0" w:color="auto"/>
            </w:tcBorders>
          </w:tcPr>
          <w:p w:rsidR="00000000" w:rsidRDefault="0031739B">
            <w:pPr>
              <w:spacing w:before="60"/>
              <w:jc w:val="center"/>
              <w:rPr>
                <w:sz w:val="21"/>
              </w:rPr>
            </w:pPr>
            <w:r>
              <w:rPr>
                <w:rFonts w:hint="eastAsia"/>
                <w:sz w:val="21"/>
              </w:rPr>
              <w:t>频</w:t>
            </w:r>
            <w:r>
              <w:rPr>
                <w:sz w:val="21"/>
              </w:rPr>
              <w:t xml:space="preserve"> </w:t>
            </w:r>
            <w:r>
              <w:rPr>
                <w:rFonts w:hint="eastAsia"/>
                <w:sz w:val="21"/>
              </w:rPr>
              <w:t>率</w:t>
            </w:r>
          </w:p>
        </w:tc>
        <w:tc>
          <w:tcPr>
            <w:tcW w:w="1882" w:type="dxa"/>
            <w:tcBorders>
              <w:left w:val="nil"/>
              <w:bottom w:val="nil"/>
            </w:tcBorders>
          </w:tcPr>
          <w:p w:rsidR="00000000" w:rsidRDefault="0031739B">
            <w:pPr>
              <w:spacing w:before="60"/>
              <w:jc w:val="center"/>
              <w:rPr>
                <w:sz w:val="21"/>
              </w:rPr>
            </w:pPr>
            <w:r>
              <w:rPr>
                <w:rFonts w:hint="eastAsia"/>
                <w:sz w:val="21"/>
              </w:rPr>
              <w:t>严重率</w:t>
            </w:r>
          </w:p>
        </w:tc>
      </w:tr>
      <w:tr w:rsidR="00000000">
        <w:tblPrEx>
          <w:tblCellMar>
            <w:top w:w="0" w:type="dxa"/>
            <w:bottom w:w="0" w:type="dxa"/>
          </w:tblCellMar>
        </w:tblPrEx>
        <w:tc>
          <w:tcPr>
            <w:tcW w:w="1882" w:type="dxa"/>
            <w:tcBorders>
              <w:top w:val="single" w:sz="6" w:space="0" w:color="auto"/>
              <w:bottom w:val="nil"/>
              <w:right w:val="nil"/>
            </w:tcBorders>
          </w:tcPr>
          <w:p w:rsidR="00000000" w:rsidRDefault="0031739B">
            <w:pPr>
              <w:spacing w:before="60"/>
              <w:jc w:val="center"/>
              <w:rPr>
                <w:sz w:val="21"/>
              </w:rPr>
            </w:pPr>
            <w:r>
              <w:rPr>
                <w:sz w:val="21"/>
              </w:rPr>
              <w:t>1983</w:t>
            </w:r>
          </w:p>
        </w:tc>
        <w:tc>
          <w:tcPr>
            <w:tcW w:w="1882" w:type="dxa"/>
            <w:tcBorders>
              <w:top w:val="single" w:sz="6" w:space="0" w:color="auto"/>
              <w:left w:val="single" w:sz="6" w:space="0" w:color="auto"/>
              <w:bottom w:val="nil"/>
              <w:right w:val="single" w:sz="6" w:space="0" w:color="auto"/>
            </w:tcBorders>
          </w:tcPr>
          <w:p w:rsidR="00000000" w:rsidRDefault="0031739B">
            <w:pPr>
              <w:spacing w:before="60"/>
              <w:jc w:val="center"/>
              <w:rPr>
                <w:sz w:val="21"/>
              </w:rPr>
            </w:pPr>
            <w:r>
              <w:rPr>
                <w:sz w:val="21"/>
              </w:rPr>
              <w:t>930,000</w:t>
            </w:r>
          </w:p>
        </w:tc>
        <w:tc>
          <w:tcPr>
            <w:tcW w:w="1882" w:type="dxa"/>
            <w:tcBorders>
              <w:top w:val="single" w:sz="6" w:space="0" w:color="auto"/>
              <w:left w:val="nil"/>
              <w:bottom w:val="nil"/>
              <w:right w:val="nil"/>
            </w:tcBorders>
          </w:tcPr>
          <w:p w:rsidR="00000000" w:rsidRDefault="0031739B">
            <w:pPr>
              <w:spacing w:before="60"/>
              <w:jc w:val="center"/>
              <w:rPr>
                <w:sz w:val="21"/>
              </w:rPr>
            </w:pPr>
            <w:r>
              <w:rPr>
                <w:sz w:val="21"/>
              </w:rPr>
              <w:t>2,588</w:t>
            </w:r>
          </w:p>
        </w:tc>
        <w:tc>
          <w:tcPr>
            <w:tcW w:w="1882" w:type="dxa"/>
            <w:tcBorders>
              <w:top w:val="single" w:sz="6" w:space="0" w:color="auto"/>
              <w:left w:val="single" w:sz="6" w:space="0" w:color="auto"/>
              <w:bottom w:val="nil"/>
              <w:right w:val="single" w:sz="6" w:space="0" w:color="auto"/>
            </w:tcBorders>
          </w:tcPr>
          <w:p w:rsidR="00000000" w:rsidRDefault="0031739B">
            <w:pPr>
              <w:spacing w:before="60"/>
              <w:jc w:val="center"/>
              <w:rPr>
                <w:sz w:val="21"/>
              </w:rPr>
            </w:pPr>
            <w:r>
              <w:rPr>
                <w:sz w:val="21"/>
              </w:rPr>
              <w:t>3.03</w:t>
            </w:r>
          </w:p>
        </w:tc>
        <w:tc>
          <w:tcPr>
            <w:tcW w:w="1882" w:type="dxa"/>
            <w:tcBorders>
              <w:top w:val="single" w:sz="6" w:space="0" w:color="auto"/>
              <w:left w:val="nil"/>
              <w:bottom w:val="nil"/>
            </w:tcBorders>
          </w:tcPr>
          <w:p w:rsidR="00000000" w:rsidRDefault="0031739B">
            <w:pPr>
              <w:spacing w:before="60"/>
              <w:jc w:val="center"/>
              <w:rPr>
                <w:sz w:val="21"/>
              </w:rPr>
            </w:pPr>
            <w:r>
              <w:rPr>
                <w:sz w:val="21"/>
              </w:rPr>
              <w:t>0.30</w:t>
            </w:r>
          </w:p>
        </w:tc>
      </w:tr>
      <w:tr w:rsidR="00000000">
        <w:tblPrEx>
          <w:tblCellMar>
            <w:top w:w="0" w:type="dxa"/>
            <w:bottom w:w="0" w:type="dxa"/>
          </w:tblCellMar>
        </w:tblPrEx>
        <w:tc>
          <w:tcPr>
            <w:tcW w:w="1882" w:type="dxa"/>
            <w:tcBorders>
              <w:top w:val="nil"/>
              <w:right w:val="nil"/>
            </w:tcBorders>
          </w:tcPr>
          <w:p w:rsidR="00000000" w:rsidRDefault="0031739B">
            <w:pPr>
              <w:jc w:val="center"/>
              <w:rPr>
                <w:sz w:val="21"/>
              </w:rPr>
            </w:pPr>
            <w:r>
              <w:rPr>
                <w:sz w:val="21"/>
              </w:rPr>
              <w:t>1984</w:t>
            </w:r>
          </w:p>
        </w:tc>
        <w:tc>
          <w:tcPr>
            <w:tcW w:w="1882" w:type="dxa"/>
            <w:tcBorders>
              <w:top w:val="nil"/>
              <w:left w:val="single" w:sz="6" w:space="0" w:color="auto"/>
              <w:right w:val="single" w:sz="6" w:space="0" w:color="auto"/>
            </w:tcBorders>
          </w:tcPr>
          <w:p w:rsidR="00000000" w:rsidRDefault="0031739B">
            <w:pPr>
              <w:jc w:val="center"/>
              <w:rPr>
                <w:sz w:val="21"/>
              </w:rPr>
            </w:pPr>
            <w:r>
              <w:rPr>
                <w:sz w:val="21"/>
              </w:rPr>
              <w:t>921,000</w:t>
            </w:r>
          </w:p>
        </w:tc>
        <w:tc>
          <w:tcPr>
            <w:tcW w:w="1882" w:type="dxa"/>
            <w:tcBorders>
              <w:top w:val="nil"/>
              <w:left w:val="nil"/>
              <w:right w:val="nil"/>
            </w:tcBorders>
          </w:tcPr>
          <w:p w:rsidR="00000000" w:rsidRDefault="0031739B">
            <w:pPr>
              <w:jc w:val="center"/>
              <w:rPr>
                <w:sz w:val="21"/>
              </w:rPr>
            </w:pPr>
            <w:r>
              <w:rPr>
                <w:sz w:val="21"/>
              </w:rPr>
              <w:t>2,635</w:t>
            </w:r>
          </w:p>
        </w:tc>
        <w:tc>
          <w:tcPr>
            <w:tcW w:w="1882" w:type="dxa"/>
            <w:tcBorders>
              <w:top w:val="nil"/>
              <w:left w:val="single" w:sz="6" w:space="0" w:color="auto"/>
              <w:right w:val="single" w:sz="6" w:space="0" w:color="auto"/>
            </w:tcBorders>
          </w:tcPr>
          <w:p w:rsidR="00000000" w:rsidRDefault="0031739B">
            <w:pPr>
              <w:jc w:val="center"/>
              <w:rPr>
                <w:sz w:val="21"/>
              </w:rPr>
            </w:pPr>
            <w:r>
              <w:rPr>
                <w:sz w:val="21"/>
              </w:rPr>
              <w:t>2.77</w:t>
            </w:r>
          </w:p>
        </w:tc>
        <w:tc>
          <w:tcPr>
            <w:tcW w:w="1882" w:type="dxa"/>
            <w:tcBorders>
              <w:top w:val="nil"/>
              <w:left w:val="nil"/>
            </w:tcBorders>
          </w:tcPr>
          <w:p w:rsidR="00000000" w:rsidRDefault="0031739B">
            <w:pPr>
              <w:jc w:val="center"/>
              <w:rPr>
                <w:sz w:val="21"/>
              </w:rPr>
            </w:pPr>
            <w:r>
              <w:rPr>
                <w:sz w:val="21"/>
              </w:rPr>
              <w:t>0.34</w:t>
            </w:r>
          </w:p>
        </w:tc>
      </w:tr>
      <w:tr w:rsidR="00000000">
        <w:tblPrEx>
          <w:tblCellMar>
            <w:top w:w="0" w:type="dxa"/>
            <w:bottom w:w="0" w:type="dxa"/>
          </w:tblCellMar>
        </w:tblPrEx>
        <w:tc>
          <w:tcPr>
            <w:tcW w:w="1882" w:type="dxa"/>
            <w:tcBorders>
              <w:right w:val="nil"/>
            </w:tcBorders>
          </w:tcPr>
          <w:p w:rsidR="00000000" w:rsidRDefault="0031739B">
            <w:pPr>
              <w:jc w:val="center"/>
              <w:rPr>
                <w:sz w:val="21"/>
              </w:rPr>
            </w:pPr>
            <w:r>
              <w:rPr>
                <w:sz w:val="21"/>
              </w:rPr>
              <w:t>1985</w:t>
            </w:r>
          </w:p>
        </w:tc>
        <w:tc>
          <w:tcPr>
            <w:tcW w:w="1882" w:type="dxa"/>
            <w:tcBorders>
              <w:left w:val="single" w:sz="6" w:space="0" w:color="auto"/>
              <w:right w:val="single" w:sz="6" w:space="0" w:color="auto"/>
            </w:tcBorders>
          </w:tcPr>
          <w:p w:rsidR="00000000" w:rsidRDefault="0031739B">
            <w:pPr>
              <w:jc w:val="center"/>
              <w:rPr>
                <w:sz w:val="21"/>
              </w:rPr>
            </w:pPr>
            <w:r>
              <w:rPr>
                <w:sz w:val="21"/>
              </w:rPr>
              <w:t>902,000</w:t>
            </w:r>
          </w:p>
        </w:tc>
        <w:tc>
          <w:tcPr>
            <w:tcW w:w="1882" w:type="dxa"/>
            <w:tcBorders>
              <w:left w:val="nil"/>
              <w:right w:val="nil"/>
            </w:tcBorders>
          </w:tcPr>
          <w:p w:rsidR="00000000" w:rsidRDefault="0031739B">
            <w:pPr>
              <w:jc w:val="center"/>
              <w:rPr>
                <w:sz w:val="21"/>
              </w:rPr>
            </w:pPr>
            <w:r>
              <w:rPr>
                <w:sz w:val="21"/>
              </w:rPr>
              <w:t>2,572</w:t>
            </w:r>
          </w:p>
        </w:tc>
        <w:tc>
          <w:tcPr>
            <w:tcW w:w="1882" w:type="dxa"/>
            <w:tcBorders>
              <w:left w:val="single" w:sz="6" w:space="0" w:color="auto"/>
              <w:right w:val="single" w:sz="6" w:space="0" w:color="auto"/>
            </w:tcBorders>
          </w:tcPr>
          <w:p w:rsidR="00000000" w:rsidRDefault="0031739B">
            <w:pPr>
              <w:jc w:val="center"/>
              <w:rPr>
                <w:sz w:val="21"/>
              </w:rPr>
            </w:pPr>
            <w:r>
              <w:rPr>
                <w:sz w:val="21"/>
              </w:rPr>
              <w:t>2.52</w:t>
            </w:r>
          </w:p>
        </w:tc>
        <w:tc>
          <w:tcPr>
            <w:tcW w:w="1882" w:type="dxa"/>
            <w:tcBorders>
              <w:left w:val="nil"/>
            </w:tcBorders>
          </w:tcPr>
          <w:p w:rsidR="00000000" w:rsidRDefault="0031739B">
            <w:pPr>
              <w:jc w:val="center"/>
              <w:rPr>
                <w:sz w:val="21"/>
              </w:rPr>
            </w:pPr>
            <w:r>
              <w:rPr>
                <w:sz w:val="21"/>
              </w:rPr>
              <w:t>0.29</w:t>
            </w:r>
          </w:p>
        </w:tc>
      </w:tr>
      <w:tr w:rsidR="00000000">
        <w:tblPrEx>
          <w:tblCellMar>
            <w:top w:w="0" w:type="dxa"/>
            <w:bottom w:w="0" w:type="dxa"/>
          </w:tblCellMar>
        </w:tblPrEx>
        <w:tc>
          <w:tcPr>
            <w:tcW w:w="1882" w:type="dxa"/>
            <w:tcBorders>
              <w:right w:val="nil"/>
            </w:tcBorders>
          </w:tcPr>
          <w:p w:rsidR="00000000" w:rsidRDefault="0031739B">
            <w:pPr>
              <w:jc w:val="center"/>
              <w:rPr>
                <w:sz w:val="21"/>
              </w:rPr>
            </w:pPr>
            <w:r>
              <w:rPr>
                <w:sz w:val="21"/>
              </w:rPr>
              <w:t>1986</w:t>
            </w:r>
          </w:p>
        </w:tc>
        <w:tc>
          <w:tcPr>
            <w:tcW w:w="1882" w:type="dxa"/>
            <w:tcBorders>
              <w:left w:val="single" w:sz="6" w:space="0" w:color="auto"/>
              <w:right w:val="single" w:sz="6" w:space="0" w:color="auto"/>
            </w:tcBorders>
          </w:tcPr>
          <w:p w:rsidR="00000000" w:rsidRDefault="0031739B">
            <w:pPr>
              <w:jc w:val="center"/>
              <w:rPr>
                <w:sz w:val="21"/>
              </w:rPr>
            </w:pPr>
            <w:r>
              <w:rPr>
                <w:sz w:val="21"/>
              </w:rPr>
              <w:t>859,000</w:t>
            </w:r>
          </w:p>
        </w:tc>
        <w:tc>
          <w:tcPr>
            <w:tcW w:w="1882" w:type="dxa"/>
            <w:tcBorders>
              <w:left w:val="nil"/>
              <w:right w:val="nil"/>
            </w:tcBorders>
          </w:tcPr>
          <w:p w:rsidR="00000000" w:rsidRDefault="0031739B">
            <w:pPr>
              <w:jc w:val="center"/>
              <w:rPr>
                <w:sz w:val="21"/>
              </w:rPr>
            </w:pPr>
            <w:r>
              <w:rPr>
                <w:sz w:val="21"/>
              </w:rPr>
              <w:t>2,318</w:t>
            </w:r>
          </w:p>
        </w:tc>
        <w:tc>
          <w:tcPr>
            <w:tcW w:w="1882" w:type="dxa"/>
            <w:tcBorders>
              <w:left w:val="single" w:sz="6" w:space="0" w:color="auto"/>
              <w:right w:val="single" w:sz="6" w:space="0" w:color="auto"/>
            </w:tcBorders>
          </w:tcPr>
          <w:p w:rsidR="00000000" w:rsidRDefault="0031739B">
            <w:pPr>
              <w:jc w:val="center"/>
              <w:rPr>
                <w:sz w:val="21"/>
              </w:rPr>
            </w:pPr>
            <w:r>
              <w:rPr>
                <w:sz w:val="21"/>
              </w:rPr>
              <w:t>2.37</w:t>
            </w:r>
          </w:p>
        </w:tc>
        <w:tc>
          <w:tcPr>
            <w:tcW w:w="1882" w:type="dxa"/>
            <w:tcBorders>
              <w:left w:val="nil"/>
            </w:tcBorders>
          </w:tcPr>
          <w:p w:rsidR="00000000" w:rsidRDefault="0031739B">
            <w:pPr>
              <w:jc w:val="center"/>
              <w:rPr>
                <w:sz w:val="21"/>
              </w:rPr>
            </w:pPr>
            <w:r>
              <w:rPr>
                <w:sz w:val="21"/>
              </w:rPr>
              <w:t>0.22</w:t>
            </w:r>
          </w:p>
        </w:tc>
      </w:tr>
      <w:tr w:rsidR="00000000">
        <w:tblPrEx>
          <w:tblCellMar>
            <w:top w:w="0" w:type="dxa"/>
            <w:bottom w:w="0" w:type="dxa"/>
          </w:tblCellMar>
        </w:tblPrEx>
        <w:tc>
          <w:tcPr>
            <w:tcW w:w="1882" w:type="dxa"/>
            <w:tcBorders>
              <w:right w:val="nil"/>
            </w:tcBorders>
          </w:tcPr>
          <w:p w:rsidR="00000000" w:rsidRDefault="0031739B">
            <w:pPr>
              <w:jc w:val="center"/>
              <w:rPr>
                <w:sz w:val="21"/>
              </w:rPr>
            </w:pPr>
            <w:r>
              <w:rPr>
                <w:sz w:val="21"/>
              </w:rPr>
              <w:t>1987</w:t>
            </w:r>
          </w:p>
        </w:tc>
        <w:tc>
          <w:tcPr>
            <w:tcW w:w="1882" w:type="dxa"/>
            <w:tcBorders>
              <w:left w:val="single" w:sz="6" w:space="0" w:color="auto"/>
              <w:right w:val="single" w:sz="6" w:space="0" w:color="auto"/>
            </w:tcBorders>
          </w:tcPr>
          <w:p w:rsidR="00000000" w:rsidRDefault="0031739B">
            <w:pPr>
              <w:jc w:val="center"/>
              <w:rPr>
                <w:sz w:val="21"/>
              </w:rPr>
            </w:pPr>
            <w:r>
              <w:rPr>
                <w:sz w:val="21"/>
              </w:rPr>
              <w:t>847,000</w:t>
            </w:r>
          </w:p>
        </w:tc>
        <w:tc>
          <w:tcPr>
            <w:tcW w:w="1882" w:type="dxa"/>
            <w:tcBorders>
              <w:left w:val="nil"/>
              <w:right w:val="nil"/>
            </w:tcBorders>
          </w:tcPr>
          <w:p w:rsidR="00000000" w:rsidRDefault="0031739B">
            <w:pPr>
              <w:jc w:val="center"/>
              <w:rPr>
                <w:sz w:val="21"/>
              </w:rPr>
            </w:pPr>
            <w:r>
              <w:rPr>
                <w:sz w:val="21"/>
              </w:rPr>
              <w:t>2,342</w:t>
            </w:r>
          </w:p>
        </w:tc>
        <w:tc>
          <w:tcPr>
            <w:tcW w:w="1882" w:type="dxa"/>
            <w:tcBorders>
              <w:left w:val="single" w:sz="6" w:space="0" w:color="auto"/>
              <w:right w:val="single" w:sz="6" w:space="0" w:color="auto"/>
            </w:tcBorders>
          </w:tcPr>
          <w:p w:rsidR="00000000" w:rsidRDefault="0031739B">
            <w:pPr>
              <w:jc w:val="center"/>
              <w:rPr>
                <w:sz w:val="21"/>
              </w:rPr>
            </w:pPr>
            <w:r>
              <w:rPr>
                <w:sz w:val="21"/>
              </w:rPr>
              <w:t>2.22</w:t>
            </w:r>
          </w:p>
        </w:tc>
        <w:tc>
          <w:tcPr>
            <w:tcW w:w="1882" w:type="dxa"/>
            <w:tcBorders>
              <w:left w:val="nil"/>
            </w:tcBorders>
          </w:tcPr>
          <w:p w:rsidR="00000000" w:rsidRDefault="0031739B">
            <w:pPr>
              <w:jc w:val="center"/>
              <w:rPr>
                <w:sz w:val="21"/>
              </w:rPr>
            </w:pPr>
            <w:r>
              <w:rPr>
                <w:sz w:val="21"/>
              </w:rPr>
              <w:t>0.20</w:t>
            </w:r>
          </w:p>
        </w:tc>
      </w:tr>
      <w:tr w:rsidR="00000000">
        <w:tblPrEx>
          <w:tblCellMar>
            <w:top w:w="0" w:type="dxa"/>
            <w:bottom w:w="0" w:type="dxa"/>
          </w:tblCellMar>
        </w:tblPrEx>
        <w:tc>
          <w:tcPr>
            <w:tcW w:w="1882" w:type="dxa"/>
            <w:tcBorders>
              <w:right w:val="nil"/>
            </w:tcBorders>
          </w:tcPr>
          <w:p w:rsidR="00000000" w:rsidRDefault="0031739B">
            <w:pPr>
              <w:jc w:val="center"/>
              <w:rPr>
                <w:sz w:val="21"/>
              </w:rPr>
            </w:pPr>
            <w:r>
              <w:rPr>
                <w:sz w:val="21"/>
              </w:rPr>
              <w:t>1988</w:t>
            </w:r>
          </w:p>
        </w:tc>
        <w:tc>
          <w:tcPr>
            <w:tcW w:w="1882" w:type="dxa"/>
            <w:tcBorders>
              <w:left w:val="single" w:sz="6" w:space="0" w:color="auto"/>
              <w:right w:val="single" w:sz="6" w:space="0" w:color="auto"/>
            </w:tcBorders>
          </w:tcPr>
          <w:p w:rsidR="00000000" w:rsidRDefault="0031739B">
            <w:pPr>
              <w:jc w:val="center"/>
              <w:rPr>
                <w:sz w:val="21"/>
              </w:rPr>
            </w:pPr>
            <w:r>
              <w:rPr>
                <w:sz w:val="21"/>
              </w:rPr>
              <w:t>832,000</w:t>
            </w:r>
          </w:p>
        </w:tc>
        <w:tc>
          <w:tcPr>
            <w:tcW w:w="1882" w:type="dxa"/>
            <w:tcBorders>
              <w:left w:val="nil"/>
              <w:right w:val="nil"/>
            </w:tcBorders>
          </w:tcPr>
          <w:p w:rsidR="00000000" w:rsidRDefault="0031739B">
            <w:pPr>
              <w:jc w:val="center"/>
              <w:rPr>
                <w:sz w:val="21"/>
              </w:rPr>
            </w:pPr>
            <w:r>
              <w:rPr>
                <w:sz w:val="21"/>
              </w:rPr>
              <w:t>2,549</w:t>
            </w:r>
          </w:p>
        </w:tc>
        <w:tc>
          <w:tcPr>
            <w:tcW w:w="1882" w:type="dxa"/>
            <w:tcBorders>
              <w:left w:val="single" w:sz="6" w:space="0" w:color="auto"/>
              <w:right w:val="single" w:sz="6" w:space="0" w:color="auto"/>
            </w:tcBorders>
          </w:tcPr>
          <w:p w:rsidR="00000000" w:rsidRDefault="0031739B">
            <w:pPr>
              <w:jc w:val="center"/>
              <w:rPr>
                <w:sz w:val="21"/>
              </w:rPr>
            </w:pPr>
            <w:r>
              <w:rPr>
                <w:sz w:val="21"/>
              </w:rPr>
              <w:t>2.09</w:t>
            </w:r>
          </w:p>
        </w:tc>
        <w:tc>
          <w:tcPr>
            <w:tcW w:w="1882" w:type="dxa"/>
            <w:tcBorders>
              <w:left w:val="nil"/>
            </w:tcBorders>
          </w:tcPr>
          <w:p w:rsidR="00000000" w:rsidRDefault="0031739B">
            <w:pPr>
              <w:jc w:val="center"/>
              <w:rPr>
                <w:sz w:val="21"/>
              </w:rPr>
            </w:pPr>
            <w:r>
              <w:rPr>
                <w:sz w:val="21"/>
              </w:rPr>
              <w:t>0.20</w:t>
            </w:r>
          </w:p>
        </w:tc>
      </w:tr>
      <w:tr w:rsidR="00000000">
        <w:tblPrEx>
          <w:tblCellMar>
            <w:top w:w="0" w:type="dxa"/>
            <w:bottom w:w="0" w:type="dxa"/>
          </w:tblCellMar>
        </w:tblPrEx>
        <w:tc>
          <w:tcPr>
            <w:tcW w:w="1882" w:type="dxa"/>
            <w:tcBorders>
              <w:right w:val="nil"/>
            </w:tcBorders>
          </w:tcPr>
          <w:p w:rsidR="00000000" w:rsidRDefault="0031739B">
            <w:pPr>
              <w:jc w:val="center"/>
              <w:rPr>
                <w:sz w:val="21"/>
              </w:rPr>
            </w:pPr>
            <w:r>
              <w:rPr>
                <w:sz w:val="21"/>
              </w:rPr>
              <w:t>1989</w:t>
            </w:r>
          </w:p>
        </w:tc>
        <w:tc>
          <w:tcPr>
            <w:tcW w:w="1882" w:type="dxa"/>
            <w:tcBorders>
              <w:left w:val="single" w:sz="6" w:space="0" w:color="auto"/>
              <w:right w:val="single" w:sz="6" w:space="0" w:color="auto"/>
            </w:tcBorders>
          </w:tcPr>
          <w:p w:rsidR="00000000" w:rsidRDefault="0031739B">
            <w:pPr>
              <w:jc w:val="center"/>
              <w:rPr>
                <w:sz w:val="21"/>
              </w:rPr>
            </w:pPr>
            <w:r>
              <w:rPr>
                <w:sz w:val="21"/>
              </w:rPr>
              <w:t>818,000</w:t>
            </w:r>
          </w:p>
        </w:tc>
        <w:tc>
          <w:tcPr>
            <w:tcW w:w="1882" w:type="dxa"/>
            <w:tcBorders>
              <w:left w:val="nil"/>
              <w:right w:val="nil"/>
            </w:tcBorders>
          </w:tcPr>
          <w:p w:rsidR="00000000" w:rsidRDefault="0031739B">
            <w:pPr>
              <w:jc w:val="center"/>
              <w:rPr>
                <w:sz w:val="21"/>
              </w:rPr>
            </w:pPr>
            <w:r>
              <w:rPr>
                <w:sz w:val="21"/>
              </w:rPr>
              <w:t>2,419</w:t>
            </w:r>
          </w:p>
        </w:tc>
        <w:tc>
          <w:tcPr>
            <w:tcW w:w="1882" w:type="dxa"/>
            <w:tcBorders>
              <w:left w:val="single" w:sz="6" w:space="0" w:color="auto"/>
              <w:right w:val="single" w:sz="6" w:space="0" w:color="auto"/>
            </w:tcBorders>
          </w:tcPr>
          <w:p w:rsidR="00000000" w:rsidRDefault="0031739B">
            <w:pPr>
              <w:jc w:val="center"/>
              <w:rPr>
                <w:sz w:val="21"/>
              </w:rPr>
            </w:pPr>
            <w:r>
              <w:rPr>
                <w:sz w:val="21"/>
              </w:rPr>
              <w:t>2.05</w:t>
            </w:r>
          </w:p>
        </w:tc>
        <w:tc>
          <w:tcPr>
            <w:tcW w:w="1882" w:type="dxa"/>
            <w:tcBorders>
              <w:left w:val="nil"/>
            </w:tcBorders>
          </w:tcPr>
          <w:p w:rsidR="00000000" w:rsidRDefault="0031739B">
            <w:pPr>
              <w:jc w:val="center"/>
              <w:rPr>
                <w:sz w:val="21"/>
              </w:rPr>
            </w:pPr>
            <w:r>
              <w:rPr>
                <w:sz w:val="21"/>
              </w:rPr>
              <w:t>0.20</w:t>
            </w:r>
          </w:p>
        </w:tc>
      </w:tr>
      <w:tr w:rsidR="00000000">
        <w:tblPrEx>
          <w:tblCellMar>
            <w:top w:w="0" w:type="dxa"/>
            <w:bottom w:w="0" w:type="dxa"/>
          </w:tblCellMar>
        </w:tblPrEx>
        <w:tc>
          <w:tcPr>
            <w:tcW w:w="1882" w:type="dxa"/>
            <w:tcBorders>
              <w:right w:val="nil"/>
            </w:tcBorders>
          </w:tcPr>
          <w:p w:rsidR="00000000" w:rsidRDefault="0031739B">
            <w:pPr>
              <w:jc w:val="center"/>
              <w:rPr>
                <w:sz w:val="21"/>
              </w:rPr>
            </w:pPr>
            <w:r>
              <w:rPr>
                <w:sz w:val="21"/>
              </w:rPr>
              <w:t>1990</w:t>
            </w:r>
          </w:p>
        </w:tc>
        <w:tc>
          <w:tcPr>
            <w:tcW w:w="1882" w:type="dxa"/>
            <w:tcBorders>
              <w:left w:val="single" w:sz="6" w:space="0" w:color="auto"/>
              <w:right w:val="single" w:sz="6" w:space="0" w:color="auto"/>
            </w:tcBorders>
          </w:tcPr>
          <w:p w:rsidR="00000000" w:rsidRDefault="0031739B">
            <w:pPr>
              <w:jc w:val="center"/>
              <w:rPr>
                <w:sz w:val="21"/>
              </w:rPr>
            </w:pPr>
            <w:r>
              <w:rPr>
                <w:sz w:val="21"/>
              </w:rPr>
              <w:t>798,000</w:t>
            </w:r>
          </w:p>
        </w:tc>
        <w:tc>
          <w:tcPr>
            <w:tcW w:w="1882" w:type="dxa"/>
            <w:tcBorders>
              <w:left w:val="nil"/>
              <w:right w:val="nil"/>
            </w:tcBorders>
          </w:tcPr>
          <w:p w:rsidR="00000000" w:rsidRDefault="0031739B">
            <w:pPr>
              <w:jc w:val="center"/>
              <w:rPr>
                <w:sz w:val="21"/>
              </w:rPr>
            </w:pPr>
            <w:r>
              <w:rPr>
                <w:sz w:val="21"/>
              </w:rPr>
              <w:t>2,550</w:t>
            </w:r>
          </w:p>
        </w:tc>
        <w:tc>
          <w:tcPr>
            <w:tcW w:w="1882" w:type="dxa"/>
            <w:tcBorders>
              <w:left w:val="single" w:sz="6" w:space="0" w:color="auto"/>
              <w:right w:val="single" w:sz="6" w:space="0" w:color="auto"/>
            </w:tcBorders>
          </w:tcPr>
          <w:p w:rsidR="00000000" w:rsidRDefault="0031739B">
            <w:pPr>
              <w:jc w:val="center"/>
              <w:rPr>
                <w:sz w:val="21"/>
              </w:rPr>
            </w:pPr>
            <w:r>
              <w:rPr>
                <w:sz w:val="21"/>
              </w:rPr>
              <w:t>1.95</w:t>
            </w:r>
          </w:p>
        </w:tc>
        <w:tc>
          <w:tcPr>
            <w:tcW w:w="1882" w:type="dxa"/>
            <w:tcBorders>
              <w:left w:val="nil"/>
            </w:tcBorders>
          </w:tcPr>
          <w:p w:rsidR="00000000" w:rsidRDefault="0031739B">
            <w:pPr>
              <w:jc w:val="center"/>
              <w:rPr>
                <w:sz w:val="21"/>
              </w:rPr>
            </w:pPr>
            <w:r>
              <w:rPr>
                <w:sz w:val="21"/>
              </w:rPr>
              <w:t>0.18</w:t>
            </w:r>
          </w:p>
        </w:tc>
      </w:tr>
      <w:tr w:rsidR="00000000">
        <w:tblPrEx>
          <w:tblCellMar>
            <w:top w:w="0" w:type="dxa"/>
            <w:bottom w:w="0" w:type="dxa"/>
          </w:tblCellMar>
        </w:tblPrEx>
        <w:tc>
          <w:tcPr>
            <w:tcW w:w="1882" w:type="dxa"/>
            <w:tcBorders>
              <w:right w:val="nil"/>
            </w:tcBorders>
          </w:tcPr>
          <w:p w:rsidR="00000000" w:rsidRDefault="0031739B">
            <w:pPr>
              <w:jc w:val="center"/>
              <w:rPr>
                <w:sz w:val="21"/>
              </w:rPr>
            </w:pPr>
            <w:r>
              <w:rPr>
                <w:sz w:val="21"/>
              </w:rPr>
              <w:t>1991</w:t>
            </w:r>
          </w:p>
        </w:tc>
        <w:tc>
          <w:tcPr>
            <w:tcW w:w="1882" w:type="dxa"/>
            <w:tcBorders>
              <w:left w:val="single" w:sz="6" w:space="0" w:color="auto"/>
              <w:right w:val="single" w:sz="6" w:space="0" w:color="auto"/>
            </w:tcBorders>
          </w:tcPr>
          <w:p w:rsidR="00000000" w:rsidRDefault="0031739B">
            <w:pPr>
              <w:jc w:val="center"/>
              <w:rPr>
                <w:sz w:val="21"/>
              </w:rPr>
            </w:pPr>
            <w:r>
              <w:rPr>
                <w:sz w:val="21"/>
              </w:rPr>
              <w:t>765,000</w:t>
            </w:r>
          </w:p>
        </w:tc>
        <w:tc>
          <w:tcPr>
            <w:tcW w:w="1882" w:type="dxa"/>
            <w:tcBorders>
              <w:left w:val="nil"/>
              <w:right w:val="nil"/>
            </w:tcBorders>
          </w:tcPr>
          <w:p w:rsidR="00000000" w:rsidRDefault="0031739B">
            <w:pPr>
              <w:jc w:val="center"/>
              <w:rPr>
                <w:sz w:val="21"/>
              </w:rPr>
            </w:pPr>
            <w:r>
              <w:rPr>
                <w:sz w:val="21"/>
              </w:rPr>
              <w:t>2,489</w:t>
            </w:r>
          </w:p>
        </w:tc>
        <w:tc>
          <w:tcPr>
            <w:tcW w:w="1882" w:type="dxa"/>
            <w:tcBorders>
              <w:left w:val="single" w:sz="6" w:space="0" w:color="auto"/>
              <w:right w:val="single" w:sz="6" w:space="0" w:color="auto"/>
            </w:tcBorders>
          </w:tcPr>
          <w:p w:rsidR="00000000" w:rsidRDefault="0031739B">
            <w:pPr>
              <w:jc w:val="center"/>
              <w:rPr>
                <w:sz w:val="21"/>
              </w:rPr>
            </w:pPr>
            <w:r>
              <w:rPr>
                <w:sz w:val="21"/>
              </w:rPr>
              <w:t>1.92</w:t>
            </w:r>
          </w:p>
        </w:tc>
        <w:tc>
          <w:tcPr>
            <w:tcW w:w="1882" w:type="dxa"/>
            <w:tcBorders>
              <w:left w:val="nil"/>
            </w:tcBorders>
          </w:tcPr>
          <w:p w:rsidR="00000000" w:rsidRDefault="0031739B">
            <w:pPr>
              <w:jc w:val="center"/>
              <w:rPr>
                <w:sz w:val="21"/>
              </w:rPr>
            </w:pPr>
            <w:r>
              <w:rPr>
                <w:sz w:val="21"/>
              </w:rPr>
              <w:t>0.17</w:t>
            </w:r>
          </w:p>
        </w:tc>
      </w:tr>
      <w:tr w:rsidR="00000000">
        <w:tblPrEx>
          <w:tblCellMar>
            <w:top w:w="0" w:type="dxa"/>
            <w:bottom w:w="0" w:type="dxa"/>
          </w:tblCellMar>
        </w:tblPrEx>
        <w:tc>
          <w:tcPr>
            <w:tcW w:w="1882" w:type="dxa"/>
            <w:tcBorders>
              <w:right w:val="nil"/>
            </w:tcBorders>
          </w:tcPr>
          <w:p w:rsidR="00000000" w:rsidRDefault="0031739B">
            <w:pPr>
              <w:jc w:val="center"/>
              <w:rPr>
                <w:sz w:val="21"/>
              </w:rPr>
            </w:pPr>
            <w:r>
              <w:rPr>
                <w:sz w:val="21"/>
              </w:rPr>
              <w:t>1992</w:t>
            </w:r>
          </w:p>
        </w:tc>
        <w:tc>
          <w:tcPr>
            <w:tcW w:w="1882" w:type="dxa"/>
            <w:tcBorders>
              <w:left w:val="single" w:sz="6" w:space="0" w:color="auto"/>
              <w:right w:val="single" w:sz="6" w:space="0" w:color="auto"/>
            </w:tcBorders>
          </w:tcPr>
          <w:p w:rsidR="00000000" w:rsidRDefault="0031739B">
            <w:pPr>
              <w:jc w:val="center"/>
              <w:rPr>
                <w:sz w:val="21"/>
              </w:rPr>
            </w:pPr>
            <w:r>
              <w:rPr>
                <w:sz w:val="21"/>
              </w:rPr>
              <w:t>726,000</w:t>
            </w:r>
          </w:p>
        </w:tc>
        <w:tc>
          <w:tcPr>
            <w:tcW w:w="1882" w:type="dxa"/>
            <w:tcBorders>
              <w:left w:val="nil"/>
              <w:right w:val="nil"/>
            </w:tcBorders>
          </w:tcPr>
          <w:p w:rsidR="00000000" w:rsidRDefault="0031739B">
            <w:pPr>
              <w:jc w:val="center"/>
              <w:rPr>
                <w:sz w:val="21"/>
              </w:rPr>
            </w:pPr>
            <w:r>
              <w:rPr>
                <w:sz w:val="21"/>
              </w:rPr>
              <w:t>2,354</w:t>
            </w:r>
          </w:p>
        </w:tc>
        <w:tc>
          <w:tcPr>
            <w:tcW w:w="1882" w:type="dxa"/>
            <w:tcBorders>
              <w:left w:val="single" w:sz="6" w:space="0" w:color="auto"/>
              <w:right w:val="single" w:sz="6" w:space="0" w:color="auto"/>
            </w:tcBorders>
          </w:tcPr>
          <w:p w:rsidR="00000000" w:rsidRDefault="0031739B">
            <w:pPr>
              <w:jc w:val="center"/>
              <w:rPr>
                <w:sz w:val="21"/>
              </w:rPr>
            </w:pPr>
            <w:r>
              <w:rPr>
                <w:sz w:val="21"/>
              </w:rPr>
              <w:t>2.13</w:t>
            </w:r>
          </w:p>
        </w:tc>
        <w:tc>
          <w:tcPr>
            <w:tcW w:w="1882" w:type="dxa"/>
            <w:tcBorders>
              <w:left w:val="nil"/>
            </w:tcBorders>
          </w:tcPr>
          <w:p w:rsidR="00000000" w:rsidRDefault="0031739B">
            <w:pPr>
              <w:jc w:val="center"/>
              <w:rPr>
                <w:sz w:val="21"/>
              </w:rPr>
            </w:pPr>
            <w:r>
              <w:rPr>
                <w:sz w:val="21"/>
              </w:rPr>
              <w:t>0.15</w:t>
            </w:r>
          </w:p>
        </w:tc>
      </w:tr>
      <w:tr w:rsidR="00000000">
        <w:tblPrEx>
          <w:tblCellMar>
            <w:top w:w="0" w:type="dxa"/>
            <w:bottom w:w="0" w:type="dxa"/>
          </w:tblCellMar>
        </w:tblPrEx>
        <w:tc>
          <w:tcPr>
            <w:tcW w:w="1882" w:type="dxa"/>
            <w:tcBorders>
              <w:right w:val="nil"/>
            </w:tcBorders>
          </w:tcPr>
          <w:p w:rsidR="00000000" w:rsidRDefault="0031739B">
            <w:pPr>
              <w:jc w:val="center"/>
              <w:rPr>
                <w:sz w:val="21"/>
              </w:rPr>
            </w:pPr>
            <w:r>
              <w:rPr>
                <w:sz w:val="21"/>
              </w:rPr>
              <w:t>1993</w:t>
            </w:r>
          </w:p>
        </w:tc>
        <w:tc>
          <w:tcPr>
            <w:tcW w:w="1882" w:type="dxa"/>
            <w:tcBorders>
              <w:left w:val="single" w:sz="6" w:space="0" w:color="auto"/>
              <w:right w:val="single" w:sz="6" w:space="0" w:color="auto"/>
            </w:tcBorders>
          </w:tcPr>
          <w:p w:rsidR="00000000" w:rsidRDefault="0031739B">
            <w:pPr>
              <w:jc w:val="center"/>
              <w:rPr>
                <w:sz w:val="21"/>
              </w:rPr>
            </w:pPr>
            <w:r>
              <w:rPr>
                <w:sz w:val="21"/>
              </w:rPr>
              <w:t>696,000</w:t>
            </w:r>
          </w:p>
        </w:tc>
        <w:tc>
          <w:tcPr>
            <w:tcW w:w="1882" w:type="dxa"/>
            <w:tcBorders>
              <w:left w:val="nil"/>
              <w:right w:val="nil"/>
            </w:tcBorders>
          </w:tcPr>
          <w:p w:rsidR="00000000" w:rsidRDefault="0031739B">
            <w:pPr>
              <w:jc w:val="center"/>
              <w:rPr>
                <w:sz w:val="21"/>
              </w:rPr>
            </w:pPr>
            <w:r>
              <w:rPr>
                <w:sz w:val="21"/>
              </w:rPr>
              <w:t>2,245</w:t>
            </w:r>
          </w:p>
        </w:tc>
        <w:tc>
          <w:tcPr>
            <w:tcW w:w="1882" w:type="dxa"/>
            <w:tcBorders>
              <w:left w:val="single" w:sz="6" w:space="0" w:color="auto"/>
              <w:right w:val="single" w:sz="6" w:space="0" w:color="auto"/>
            </w:tcBorders>
          </w:tcPr>
          <w:p w:rsidR="00000000" w:rsidRDefault="0031739B">
            <w:pPr>
              <w:jc w:val="center"/>
              <w:rPr>
                <w:sz w:val="21"/>
              </w:rPr>
            </w:pPr>
            <w:r>
              <w:rPr>
                <w:sz w:val="21"/>
              </w:rPr>
              <w:t>2.07</w:t>
            </w:r>
          </w:p>
        </w:tc>
        <w:tc>
          <w:tcPr>
            <w:tcW w:w="1882" w:type="dxa"/>
            <w:tcBorders>
              <w:left w:val="nil"/>
            </w:tcBorders>
          </w:tcPr>
          <w:p w:rsidR="00000000" w:rsidRDefault="0031739B">
            <w:pPr>
              <w:jc w:val="center"/>
              <w:rPr>
                <w:sz w:val="21"/>
              </w:rPr>
            </w:pPr>
            <w:r>
              <w:rPr>
                <w:sz w:val="21"/>
              </w:rPr>
              <w:t>0.18</w:t>
            </w:r>
          </w:p>
        </w:tc>
      </w:tr>
      <w:tr w:rsidR="00000000">
        <w:tblPrEx>
          <w:tblCellMar>
            <w:top w:w="0" w:type="dxa"/>
            <w:bottom w:w="0" w:type="dxa"/>
          </w:tblCellMar>
        </w:tblPrEx>
        <w:tc>
          <w:tcPr>
            <w:tcW w:w="1882" w:type="dxa"/>
            <w:tcBorders>
              <w:right w:val="nil"/>
            </w:tcBorders>
          </w:tcPr>
          <w:p w:rsidR="00000000" w:rsidRDefault="0031739B">
            <w:pPr>
              <w:jc w:val="center"/>
              <w:rPr>
                <w:sz w:val="21"/>
              </w:rPr>
            </w:pPr>
            <w:r>
              <w:rPr>
                <w:sz w:val="21"/>
              </w:rPr>
              <w:t>1994</w:t>
            </w:r>
          </w:p>
        </w:tc>
        <w:tc>
          <w:tcPr>
            <w:tcW w:w="1882" w:type="dxa"/>
            <w:tcBorders>
              <w:left w:val="single" w:sz="6" w:space="0" w:color="auto"/>
              <w:right w:val="single" w:sz="6" w:space="0" w:color="auto"/>
            </w:tcBorders>
          </w:tcPr>
          <w:p w:rsidR="00000000" w:rsidRDefault="0031739B">
            <w:pPr>
              <w:jc w:val="center"/>
              <w:rPr>
                <w:sz w:val="21"/>
              </w:rPr>
            </w:pPr>
            <w:r>
              <w:rPr>
                <w:sz w:val="21"/>
              </w:rPr>
              <w:t>675,000</w:t>
            </w:r>
          </w:p>
        </w:tc>
        <w:tc>
          <w:tcPr>
            <w:tcW w:w="1882" w:type="dxa"/>
            <w:tcBorders>
              <w:left w:val="nil"/>
              <w:right w:val="nil"/>
            </w:tcBorders>
          </w:tcPr>
          <w:p w:rsidR="00000000" w:rsidRDefault="0031739B">
            <w:pPr>
              <w:jc w:val="center"/>
              <w:rPr>
                <w:sz w:val="21"/>
              </w:rPr>
            </w:pPr>
            <w:r>
              <w:rPr>
                <w:sz w:val="21"/>
              </w:rPr>
              <w:t>2,301</w:t>
            </w:r>
          </w:p>
        </w:tc>
        <w:tc>
          <w:tcPr>
            <w:tcW w:w="1882" w:type="dxa"/>
            <w:tcBorders>
              <w:left w:val="single" w:sz="6" w:space="0" w:color="auto"/>
              <w:right w:val="single" w:sz="6" w:space="0" w:color="auto"/>
            </w:tcBorders>
          </w:tcPr>
          <w:p w:rsidR="00000000" w:rsidRDefault="0031739B">
            <w:pPr>
              <w:jc w:val="center"/>
              <w:rPr>
                <w:sz w:val="21"/>
              </w:rPr>
            </w:pPr>
            <w:r>
              <w:rPr>
                <w:sz w:val="21"/>
              </w:rPr>
              <w:t>2.00</w:t>
            </w:r>
          </w:p>
        </w:tc>
        <w:tc>
          <w:tcPr>
            <w:tcW w:w="1882" w:type="dxa"/>
            <w:tcBorders>
              <w:left w:val="nil"/>
            </w:tcBorders>
          </w:tcPr>
          <w:p w:rsidR="00000000" w:rsidRDefault="0031739B">
            <w:pPr>
              <w:jc w:val="center"/>
              <w:rPr>
                <w:sz w:val="21"/>
              </w:rPr>
            </w:pPr>
            <w:r>
              <w:rPr>
                <w:sz w:val="21"/>
              </w:rPr>
              <w:t>0.20</w:t>
            </w:r>
          </w:p>
        </w:tc>
      </w:tr>
      <w:tr w:rsidR="00000000">
        <w:tblPrEx>
          <w:tblCellMar>
            <w:top w:w="0" w:type="dxa"/>
            <w:bottom w:w="0" w:type="dxa"/>
          </w:tblCellMar>
        </w:tblPrEx>
        <w:tc>
          <w:tcPr>
            <w:tcW w:w="1882" w:type="dxa"/>
            <w:tcBorders>
              <w:right w:val="nil"/>
            </w:tcBorders>
          </w:tcPr>
          <w:p w:rsidR="00000000" w:rsidRDefault="0031739B">
            <w:pPr>
              <w:jc w:val="center"/>
              <w:rPr>
                <w:sz w:val="21"/>
              </w:rPr>
            </w:pPr>
            <w:r>
              <w:rPr>
                <w:sz w:val="21"/>
              </w:rPr>
              <w:t>1995</w:t>
            </w:r>
          </w:p>
        </w:tc>
        <w:tc>
          <w:tcPr>
            <w:tcW w:w="1882" w:type="dxa"/>
            <w:tcBorders>
              <w:left w:val="single" w:sz="6" w:space="0" w:color="auto"/>
              <w:right w:val="single" w:sz="6" w:space="0" w:color="auto"/>
            </w:tcBorders>
          </w:tcPr>
          <w:p w:rsidR="00000000" w:rsidRDefault="0031739B">
            <w:pPr>
              <w:jc w:val="center"/>
              <w:rPr>
                <w:sz w:val="21"/>
              </w:rPr>
            </w:pPr>
            <w:r>
              <w:rPr>
                <w:sz w:val="21"/>
              </w:rPr>
              <w:t>645,000</w:t>
            </w:r>
          </w:p>
        </w:tc>
        <w:tc>
          <w:tcPr>
            <w:tcW w:w="1882" w:type="dxa"/>
            <w:tcBorders>
              <w:left w:val="nil"/>
              <w:right w:val="nil"/>
            </w:tcBorders>
          </w:tcPr>
          <w:p w:rsidR="00000000" w:rsidRDefault="0031739B">
            <w:pPr>
              <w:jc w:val="center"/>
              <w:rPr>
                <w:sz w:val="21"/>
              </w:rPr>
            </w:pPr>
            <w:r>
              <w:rPr>
                <w:sz w:val="21"/>
              </w:rPr>
              <w:t>2,348</w:t>
            </w:r>
          </w:p>
        </w:tc>
        <w:tc>
          <w:tcPr>
            <w:tcW w:w="1882" w:type="dxa"/>
            <w:tcBorders>
              <w:left w:val="single" w:sz="6" w:space="0" w:color="auto"/>
              <w:right w:val="single" w:sz="6" w:space="0" w:color="auto"/>
            </w:tcBorders>
          </w:tcPr>
          <w:p w:rsidR="00000000" w:rsidRDefault="0031739B">
            <w:pPr>
              <w:jc w:val="center"/>
              <w:rPr>
                <w:sz w:val="21"/>
              </w:rPr>
            </w:pPr>
            <w:r>
              <w:rPr>
                <w:sz w:val="21"/>
              </w:rPr>
              <w:t>1.88</w:t>
            </w:r>
          </w:p>
        </w:tc>
        <w:tc>
          <w:tcPr>
            <w:tcW w:w="1882" w:type="dxa"/>
            <w:tcBorders>
              <w:left w:val="nil"/>
            </w:tcBorders>
          </w:tcPr>
          <w:p w:rsidR="00000000" w:rsidRDefault="0031739B">
            <w:pPr>
              <w:jc w:val="center"/>
              <w:rPr>
                <w:sz w:val="21"/>
              </w:rPr>
            </w:pPr>
            <w:r>
              <w:rPr>
                <w:sz w:val="21"/>
              </w:rPr>
              <w:t>0.19</w:t>
            </w:r>
          </w:p>
        </w:tc>
      </w:tr>
      <w:tr w:rsidR="00000000">
        <w:tblPrEx>
          <w:tblCellMar>
            <w:top w:w="0" w:type="dxa"/>
            <w:bottom w:w="0" w:type="dxa"/>
          </w:tblCellMar>
        </w:tblPrEx>
        <w:tc>
          <w:tcPr>
            <w:tcW w:w="1882" w:type="dxa"/>
            <w:tcBorders>
              <w:right w:val="nil"/>
            </w:tcBorders>
          </w:tcPr>
          <w:p w:rsidR="00000000" w:rsidRDefault="0031739B">
            <w:pPr>
              <w:jc w:val="center"/>
              <w:rPr>
                <w:sz w:val="21"/>
              </w:rPr>
            </w:pPr>
            <w:r>
              <w:rPr>
                <w:sz w:val="21"/>
              </w:rPr>
              <w:t>1996</w:t>
            </w:r>
          </w:p>
        </w:tc>
        <w:tc>
          <w:tcPr>
            <w:tcW w:w="1882" w:type="dxa"/>
            <w:tcBorders>
              <w:left w:val="single" w:sz="6" w:space="0" w:color="auto"/>
              <w:bottom w:val="single" w:sz="6" w:space="0" w:color="auto"/>
              <w:right w:val="single" w:sz="6" w:space="0" w:color="auto"/>
            </w:tcBorders>
          </w:tcPr>
          <w:p w:rsidR="00000000" w:rsidRDefault="0031739B">
            <w:pPr>
              <w:jc w:val="center"/>
              <w:rPr>
                <w:sz w:val="21"/>
              </w:rPr>
            </w:pPr>
            <w:r>
              <w:rPr>
                <w:sz w:val="21"/>
              </w:rPr>
              <w:t>621,000</w:t>
            </w:r>
          </w:p>
        </w:tc>
        <w:tc>
          <w:tcPr>
            <w:tcW w:w="1882" w:type="dxa"/>
            <w:tcBorders>
              <w:left w:val="nil"/>
              <w:right w:val="nil"/>
            </w:tcBorders>
          </w:tcPr>
          <w:p w:rsidR="00000000" w:rsidRDefault="0031739B">
            <w:pPr>
              <w:jc w:val="center"/>
              <w:rPr>
                <w:sz w:val="21"/>
              </w:rPr>
            </w:pPr>
            <w:r>
              <w:rPr>
                <w:sz w:val="21"/>
              </w:rPr>
              <w:t>2,363</w:t>
            </w:r>
          </w:p>
        </w:tc>
        <w:tc>
          <w:tcPr>
            <w:tcW w:w="1882" w:type="dxa"/>
            <w:tcBorders>
              <w:left w:val="single" w:sz="6" w:space="0" w:color="auto"/>
              <w:bottom w:val="single" w:sz="6" w:space="0" w:color="auto"/>
              <w:right w:val="single" w:sz="6" w:space="0" w:color="auto"/>
            </w:tcBorders>
          </w:tcPr>
          <w:p w:rsidR="00000000" w:rsidRDefault="0031739B">
            <w:pPr>
              <w:jc w:val="center"/>
              <w:rPr>
                <w:sz w:val="21"/>
              </w:rPr>
            </w:pPr>
            <w:r>
              <w:rPr>
                <w:sz w:val="21"/>
              </w:rPr>
              <w:t>1.89</w:t>
            </w:r>
          </w:p>
        </w:tc>
        <w:tc>
          <w:tcPr>
            <w:tcW w:w="1882" w:type="dxa"/>
            <w:tcBorders>
              <w:left w:val="nil"/>
            </w:tcBorders>
          </w:tcPr>
          <w:p w:rsidR="00000000" w:rsidRDefault="0031739B">
            <w:pPr>
              <w:jc w:val="center"/>
              <w:rPr>
                <w:sz w:val="21"/>
              </w:rPr>
            </w:pPr>
            <w:r>
              <w:rPr>
                <w:sz w:val="21"/>
              </w:rPr>
              <w:t>0.16</w:t>
            </w:r>
          </w:p>
        </w:tc>
      </w:tr>
    </w:tbl>
    <w:p w:rsidR="00000000" w:rsidRDefault="0031739B">
      <w:pPr>
        <w:pStyle w:val="EndnoteText"/>
        <w:spacing w:before="240"/>
        <w:ind w:hanging="958"/>
      </w:pPr>
      <w:r>
        <w:rPr>
          <w:rFonts w:hint="eastAsia"/>
          <w:u w:val="single"/>
        </w:rPr>
        <w:t>说明</w:t>
      </w:r>
      <w:r>
        <w:rPr>
          <w:u w:val="single"/>
        </w:rPr>
        <w:t>1</w:t>
      </w:r>
      <w:r>
        <w:rPr>
          <w:rFonts w:hint="eastAsia"/>
        </w:rPr>
        <w:t>：伤亡人数是依据工人赔偿保险新受益者而估算的。</w:t>
      </w:r>
    </w:p>
    <w:p w:rsidR="00000000" w:rsidRDefault="0031739B">
      <w:pPr>
        <w:pStyle w:val="EndnoteText"/>
      </w:pPr>
      <w:r>
        <w:rPr>
          <w:rFonts w:hint="eastAsia"/>
          <w:u w:val="single"/>
        </w:rPr>
        <w:t>说明</w:t>
      </w:r>
      <w:r>
        <w:rPr>
          <w:u w:val="single"/>
        </w:rPr>
        <w:t>2</w:t>
      </w:r>
      <w:r>
        <w:rPr>
          <w:rFonts w:hint="eastAsia"/>
        </w:rPr>
        <w:t>：频率指每</w:t>
      </w:r>
      <w:r>
        <w:t>100</w:t>
      </w:r>
      <w:r>
        <w:rPr>
          <w:rFonts w:hint="eastAsia"/>
        </w:rPr>
        <w:t>万个工时的死亡和受伤数字。</w:t>
      </w:r>
    </w:p>
    <w:p w:rsidR="00000000" w:rsidRDefault="0031739B">
      <w:pPr>
        <w:pStyle w:val="EndnoteText"/>
        <w:spacing w:after="320"/>
        <w:textAlignment w:val="center"/>
      </w:pPr>
      <w:r>
        <w:rPr>
          <w:rFonts w:hint="eastAsia"/>
          <w:u w:val="single"/>
        </w:rPr>
        <w:t>说明</w:t>
      </w:r>
      <w:r>
        <w:rPr>
          <w:u w:val="single"/>
        </w:rPr>
        <w:t>3</w:t>
      </w:r>
      <w:r>
        <w:rPr>
          <w:rFonts w:hint="eastAsia"/>
        </w:rPr>
        <w:t>：严重率指每</w:t>
      </w:r>
      <w:r>
        <w:t>1,000</w:t>
      </w:r>
      <w:r>
        <w:rPr>
          <w:rFonts w:hint="eastAsia"/>
        </w:rPr>
        <w:t>个工时损失的工作天数。</w:t>
      </w:r>
    </w:p>
    <w:p w:rsidR="00000000" w:rsidRDefault="0031739B">
      <w:pPr>
        <w:pStyle w:val="Heading3"/>
      </w:pPr>
      <w:r>
        <w:rPr>
          <w:u w:val="none"/>
        </w:rPr>
        <w:t xml:space="preserve">4. </w:t>
      </w:r>
      <w:r>
        <w:rPr>
          <w:u w:val="none"/>
        </w:rPr>
        <w:t xml:space="preserve"> </w:t>
      </w:r>
      <w:r>
        <w:rPr>
          <w:rFonts w:hint="eastAsia"/>
        </w:rPr>
        <w:t>休息、闲暇、工时限制和带薪假日</w:t>
      </w:r>
    </w:p>
    <w:p w:rsidR="00000000" w:rsidRDefault="0031739B">
      <w:pPr>
        <w:spacing w:after="240"/>
        <w:textAlignment w:val="center"/>
      </w:pPr>
      <w:r>
        <w:tab/>
        <w:t xml:space="preserve">69.  </w:t>
      </w:r>
      <w:r>
        <w:rPr>
          <w:rFonts w:hint="eastAsia"/>
        </w:rPr>
        <w:t>劳工标准法等法律为休息、闲暇、工时限制和带薪假日规定了起码的标准，作为公平和良好工作条件的一部分。这些标准由劳工标准监察机构执行。</w:t>
      </w:r>
    </w:p>
    <w:p w:rsidR="00000000" w:rsidRDefault="0031739B">
      <w:pPr>
        <w:pStyle w:val="Heading4"/>
      </w:pPr>
      <w:r>
        <w:rPr>
          <w:u w:val="none"/>
        </w:rPr>
        <w:t>(a)</w:t>
      </w:r>
      <w:r>
        <w:rPr>
          <w:u w:val="none"/>
        </w:rPr>
        <w:tab/>
      </w:r>
      <w:r>
        <w:rPr>
          <w:rFonts w:hint="eastAsia"/>
        </w:rPr>
        <w:t>假</w:t>
      </w:r>
      <w:r>
        <w:t xml:space="preserve">  </w:t>
      </w:r>
      <w:r>
        <w:rPr>
          <w:rFonts w:hint="eastAsia"/>
        </w:rPr>
        <w:t>日</w:t>
      </w:r>
    </w:p>
    <w:p w:rsidR="00000000" w:rsidRDefault="0031739B">
      <w:pPr>
        <w:spacing w:after="240"/>
        <w:textAlignment w:val="center"/>
      </w:pPr>
      <w:r>
        <w:tab/>
        <w:t xml:space="preserve">70.  </w:t>
      </w:r>
      <w:r>
        <w:rPr>
          <w:rFonts w:hint="eastAsia"/>
        </w:rPr>
        <w:t>劳工标准法规定雇主应给工人每周至少一天休息日或每四周四天或以上的休息日</w:t>
      </w:r>
      <w:r>
        <w:t>(</w:t>
      </w:r>
      <w:r>
        <w:rPr>
          <w:rFonts w:hint="eastAsia"/>
        </w:rPr>
        <w:t>第</w:t>
      </w:r>
      <w:r>
        <w:t>35</w:t>
      </w:r>
      <w:r>
        <w:rPr>
          <w:rFonts w:hint="eastAsia"/>
        </w:rPr>
        <w:t>条</w:t>
      </w:r>
      <w:r>
        <w:t>)</w:t>
      </w:r>
      <w:r>
        <w:rPr>
          <w:rFonts w:hint="eastAsia"/>
        </w:rPr>
        <w:t>。</w:t>
      </w:r>
    </w:p>
    <w:p w:rsidR="00000000" w:rsidRDefault="0031739B">
      <w:pPr>
        <w:pStyle w:val="Heading4"/>
      </w:pPr>
      <w:r>
        <w:rPr>
          <w:u w:val="none"/>
        </w:rPr>
        <w:t>(b)</w:t>
      </w:r>
      <w:r>
        <w:rPr>
          <w:u w:val="none"/>
        </w:rPr>
        <w:tab/>
      </w:r>
      <w:r>
        <w:rPr>
          <w:rFonts w:hint="eastAsia"/>
        </w:rPr>
        <w:t>正常工作时间和加班</w:t>
      </w:r>
    </w:p>
    <w:p w:rsidR="00000000" w:rsidRDefault="0031739B">
      <w:pPr>
        <w:spacing w:after="240"/>
        <w:textAlignment w:val="center"/>
      </w:pPr>
      <w:r>
        <w:tab/>
        <w:t>71.  1987</w:t>
      </w:r>
      <w:r>
        <w:rPr>
          <w:rFonts w:hint="eastAsia"/>
        </w:rPr>
        <w:t>年和</w:t>
      </w:r>
      <w:r>
        <w:t>1993</w:t>
      </w:r>
      <w:r>
        <w:rPr>
          <w:rFonts w:hint="eastAsia"/>
        </w:rPr>
        <w:t>年通过修改劳工标准法逐步将正常工作周从每周</w:t>
      </w:r>
      <w:r>
        <w:t>48</w:t>
      </w:r>
      <w:r>
        <w:rPr>
          <w:rFonts w:hint="eastAsia"/>
        </w:rPr>
        <w:t>小时减至每周</w:t>
      </w:r>
      <w:r>
        <w:t>40</w:t>
      </w:r>
      <w:r>
        <w:rPr>
          <w:rFonts w:hint="eastAsia"/>
        </w:rPr>
        <w:t>小时。该法还规定：在紧急情况</w:t>
      </w:r>
      <w:r>
        <w:t>(</w:t>
      </w:r>
      <w:r>
        <w:rPr>
          <w:rFonts w:hint="eastAsia"/>
        </w:rPr>
        <w:t>第</w:t>
      </w:r>
      <w:r>
        <w:t>33</w:t>
      </w:r>
      <w:r>
        <w:rPr>
          <w:rFonts w:hint="eastAsia"/>
        </w:rPr>
        <w:t>条</w:t>
      </w:r>
      <w:r>
        <w:t>)</w:t>
      </w:r>
      <w:r>
        <w:rPr>
          <w:rFonts w:hint="eastAsia"/>
        </w:rPr>
        <w:t>或劳资双方关于加班的书面协议正式提交地方行政办事处</w:t>
      </w:r>
      <w:r>
        <w:t>(</w:t>
      </w:r>
      <w:r>
        <w:rPr>
          <w:rFonts w:hint="eastAsia"/>
        </w:rPr>
        <w:t>第</w:t>
      </w:r>
      <w:r>
        <w:t>3</w:t>
      </w:r>
      <w:r>
        <w:t>6</w:t>
      </w:r>
      <w:r>
        <w:rPr>
          <w:rFonts w:hint="eastAsia"/>
        </w:rPr>
        <w:t>条</w:t>
      </w:r>
      <w:r>
        <w:t>)</w:t>
      </w:r>
      <w:r>
        <w:rPr>
          <w:rFonts w:hint="eastAsia"/>
        </w:rPr>
        <w:t>时，雇主可延长工作时间。</w:t>
      </w:r>
    </w:p>
    <w:p w:rsidR="00000000" w:rsidRDefault="0031739B">
      <w:pPr>
        <w:pStyle w:val="Heading4"/>
      </w:pPr>
      <w:r>
        <w:rPr>
          <w:u w:val="none"/>
        </w:rPr>
        <w:t>(c)</w:t>
      </w:r>
      <w:r>
        <w:rPr>
          <w:u w:val="none"/>
        </w:rPr>
        <w:tab/>
      </w:r>
      <w:r>
        <w:rPr>
          <w:rFonts w:hint="eastAsia"/>
        </w:rPr>
        <w:t>带薪年假</w:t>
      </w:r>
    </w:p>
    <w:p w:rsidR="00000000" w:rsidRDefault="0031739B">
      <w:pPr>
        <w:spacing w:after="240"/>
        <w:textAlignment w:val="center"/>
      </w:pPr>
      <w:r>
        <w:tab/>
        <w:t xml:space="preserve">72.  </w:t>
      </w:r>
      <w:r>
        <w:rPr>
          <w:rFonts w:hint="eastAsia"/>
        </w:rPr>
        <w:t>日本于</w:t>
      </w:r>
      <w:r>
        <w:t>1993</w:t>
      </w:r>
      <w:r>
        <w:rPr>
          <w:rFonts w:hint="eastAsia"/>
        </w:rPr>
        <w:t>年修订了劳工标准法第</w:t>
      </w:r>
      <w:r>
        <w:t>39</w:t>
      </w:r>
      <w:r>
        <w:rPr>
          <w:rFonts w:hint="eastAsia"/>
        </w:rPr>
        <w:t>条。结果，新雇员在享受带薪年假前须工作的期限由一年缩短至六个月。</w:t>
      </w:r>
    </w:p>
    <w:p w:rsidR="00000000" w:rsidRDefault="0031739B">
      <w:pPr>
        <w:pStyle w:val="Heading4"/>
      </w:pPr>
      <w:r>
        <w:rPr>
          <w:u w:val="none"/>
        </w:rPr>
        <w:t>(d)</w:t>
      </w:r>
      <w:r>
        <w:rPr>
          <w:u w:val="none"/>
        </w:rPr>
        <w:tab/>
      </w:r>
      <w:r>
        <w:rPr>
          <w:rFonts w:hint="eastAsia"/>
        </w:rPr>
        <w:t>公共假日报酬</w:t>
      </w:r>
    </w:p>
    <w:p w:rsidR="00000000" w:rsidRDefault="0031739B">
      <w:pPr>
        <w:spacing w:after="240"/>
        <w:textAlignment w:val="center"/>
      </w:pPr>
      <w:r>
        <w:tab/>
        <w:t xml:space="preserve">73.  </w:t>
      </w:r>
      <w:r>
        <w:rPr>
          <w:rFonts w:hint="eastAsia"/>
        </w:rPr>
        <w:t>如初步报告所指出，日本保留不受公共假日给报酬条款约束的权利。少数公司实行了全国假日付工资的制度，但全国假日照付报酬问题没有取得社会共识。因此，该问题以留给劳资双方达成协议为妥。</w:t>
      </w:r>
    </w:p>
    <w:p w:rsidR="00000000" w:rsidRDefault="0031739B">
      <w:pPr>
        <w:pStyle w:val="Heading4"/>
      </w:pPr>
      <w:r>
        <w:rPr>
          <w:u w:val="none"/>
        </w:rPr>
        <w:t>(e)</w:t>
      </w:r>
      <w:r>
        <w:rPr>
          <w:u w:val="none"/>
        </w:rPr>
        <w:tab/>
      </w:r>
      <w:r>
        <w:rPr>
          <w:rFonts w:hint="eastAsia"/>
        </w:rPr>
        <w:t>对农业和渔业工人的限制</w:t>
      </w:r>
    </w:p>
    <w:p w:rsidR="00000000" w:rsidRDefault="0031739B">
      <w:pPr>
        <w:spacing w:after="240"/>
        <w:textAlignment w:val="center"/>
      </w:pPr>
      <w:r>
        <w:tab/>
        <w:t xml:space="preserve">74.  </w:t>
      </w:r>
      <w:r>
        <w:rPr>
          <w:rFonts w:hint="eastAsia"/>
        </w:rPr>
        <w:t>劳工标准法规定有关工时、休息和带薪假日的条例不适用于从事不适合固定工时和周假日制度工种或服</w:t>
      </w:r>
      <w:r>
        <w:rPr>
          <w:rFonts w:hint="eastAsia"/>
        </w:rPr>
        <w:t>务的工人</w:t>
      </w:r>
      <w:r>
        <w:t>(</w:t>
      </w:r>
      <w:r>
        <w:rPr>
          <w:rFonts w:hint="eastAsia"/>
        </w:rPr>
        <w:t>农业或海洋工业</w:t>
      </w:r>
      <w:r>
        <w:t>)(</w:t>
      </w:r>
      <w:r>
        <w:rPr>
          <w:rFonts w:hint="eastAsia"/>
        </w:rPr>
        <w:t>第</w:t>
      </w:r>
      <w:r>
        <w:t>41</w:t>
      </w:r>
      <w:r>
        <w:rPr>
          <w:rFonts w:hint="eastAsia"/>
        </w:rPr>
        <w:t>条</w:t>
      </w:r>
      <w:r>
        <w:t>)</w:t>
      </w:r>
      <w:r>
        <w:rPr>
          <w:rFonts w:hint="eastAsia"/>
        </w:rPr>
        <w:t>。</w:t>
      </w:r>
    </w:p>
    <w:p w:rsidR="00000000" w:rsidRDefault="0031739B">
      <w:pPr>
        <w:pStyle w:val="Heading4"/>
      </w:pPr>
      <w:r>
        <w:rPr>
          <w:u w:val="none"/>
        </w:rPr>
        <w:t>(f)</w:t>
      </w:r>
      <w:r>
        <w:rPr>
          <w:u w:val="none"/>
        </w:rPr>
        <w:tab/>
      </w:r>
      <w:r>
        <w:rPr>
          <w:rFonts w:hint="eastAsia"/>
        </w:rPr>
        <w:t>对海员的限制</w:t>
      </w:r>
    </w:p>
    <w:p w:rsidR="00000000" w:rsidRDefault="0031739B">
      <w:pPr>
        <w:spacing w:after="320"/>
        <w:textAlignment w:val="center"/>
      </w:pPr>
      <w:r>
        <w:tab/>
        <w:t xml:space="preserve">75.  </w:t>
      </w:r>
      <w:r>
        <w:rPr>
          <w:rFonts w:hint="eastAsia"/>
        </w:rPr>
        <w:t>海员工时受海员法管制，并由于其工作特点而有别于一般工人的工时</w:t>
      </w:r>
      <w:r>
        <w:t>(</w:t>
      </w:r>
      <w:r>
        <w:rPr>
          <w:rFonts w:hint="eastAsia"/>
        </w:rPr>
        <w:t>第</w:t>
      </w:r>
      <w:r>
        <w:t>116</w:t>
      </w:r>
      <w:r>
        <w:rPr>
          <w:rFonts w:hint="eastAsia"/>
        </w:rPr>
        <w:t>条</w:t>
      </w:r>
      <w:r>
        <w:t>)</w:t>
      </w:r>
      <w:r>
        <w:rPr>
          <w:rFonts w:hint="eastAsia"/>
        </w:rPr>
        <w:t>。</w:t>
      </w:r>
    </w:p>
    <w:p w:rsidR="00000000" w:rsidRDefault="0031739B">
      <w:pPr>
        <w:pStyle w:val="Heading3"/>
      </w:pPr>
      <w:r>
        <w:rPr>
          <w:u w:val="none"/>
        </w:rPr>
        <w:t xml:space="preserve">5.  </w:t>
      </w:r>
      <w:r>
        <w:rPr>
          <w:rFonts w:hint="eastAsia"/>
        </w:rPr>
        <w:t>影响实现各项权利的程度的因素和障碍：日本有关合理限制</w:t>
      </w:r>
      <w:r>
        <w:br/>
      </w:r>
      <w:r>
        <w:rPr>
          <w:rFonts w:hint="eastAsia"/>
        </w:rPr>
        <w:t>休息、闲暇和工作时间以及定期带薪假日和</w:t>
      </w:r>
      <w:r>
        <w:br/>
      </w:r>
      <w:r>
        <w:rPr>
          <w:rFonts w:hint="eastAsia"/>
        </w:rPr>
        <w:t>公共假日报酬的习惯和法律</w:t>
      </w:r>
    </w:p>
    <w:p w:rsidR="00000000" w:rsidRDefault="0031739B">
      <w:r>
        <w:tab/>
        <w:t xml:space="preserve">76.  </w:t>
      </w:r>
      <w:r>
        <w:rPr>
          <w:rFonts w:hint="eastAsia"/>
        </w:rPr>
        <w:t>一般来说，与较大的公司相比，中小型公司由于其管理基础薄弱和确保代职人员的困难，而难以减少工作时间。</w:t>
      </w:r>
    </w:p>
    <w:p w:rsidR="00000000" w:rsidRDefault="0031739B">
      <w:r>
        <w:tab/>
        <w:t xml:space="preserve">77.  </w:t>
      </w:r>
      <w:r>
        <w:rPr>
          <w:rFonts w:hint="eastAsia"/>
        </w:rPr>
        <w:t>鉴于工人往往将假日积存以备生病等紧急情况，他们不大可能全部休完带薪年假。</w:t>
      </w:r>
    </w:p>
    <w:p w:rsidR="00000000" w:rsidRDefault="0031739B">
      <w:pPr>
        <w:spacing w:after="320"/>
        <w:textAlignment w:val="center"/>
      </w:pPr>
      <w:r>
        <w:tab/>
        <w:t xml:space="preserve">78.  </w:t>
      </w:r>
      <w:r>
        <w:rPr>
          <w:rFonts w:hint="eastAsia"/>
        </w:rPr>
        <w:t>劳工标准法规定的有关</w:t>
      </w:r>
      <w:r>
        <w:rPr>
          <w:rFonts w:hint="eastAsia"/>
        </w:rPr>
        <w:t>工作时间、休息和假日的条例不适用于管理工作人员；这方面没有采取措施。</w:t>
      </w:r>
    </w:p>
    <w:p w:rsidR="00000000" w:rsidRDefault="0031739B">
      <w:pPr>
        <w:pStyle w:val="Heading3"/>
      </w:pPr>
      <w:r>
        <w:rPr>
          <w:u w:val="none"/>
        </w:rPr>
        <w:t xml:space="preserve">C.  </w:t>
      </w:r>
      <w:r>
        <w:rPr>
          <w:rFonts w:hint="eastAsia"/>
        </w:rPr>
        <w:t>第</w:t>
      </w:r>
      <w:r>
        <w:t xml:space="preserve"> 8  </w:t>
      </w:r>
      <w:r>
        <w:rPr>
          <w:rFonts w:hint="eastAsia"/>
        </w:rPr>
        <w:t>条</w:t>
      </w:r>
    </w:p>
    <w:p w:rsidR="00000000" w:rsidRDefault="0031739B">
      <w:pPr>
        <w:spacing w:after="320"/>
        <w:textAlignment w:val="center"/>
      </w:pPr>
      <w:r>
        <w:tab/>
        <w:t xml:space="preserve">79.  </w:t>
      </w:r>
      <w:r>
        <w:rPr>
          <w:rFonts w:hint="eastAsia"/>
        </w:rPr>
        <w:t>初步报告修改要点如下：</w:t>
      </w:r>
    </w:p>
    <w:p w:rsidR="00000000" w:rsidRDefault="0031739B">
      <w:pPr>
        <w:pStyle w:val="Heading3"/>
      </w:pPr>
      <w:r>
        <w:rPr>
          <w:u w:val="none"/>
        </w:rPr>
        <w:t xml:space="preserve">1.  </w:t>
      </w:r>
      <w:r>
        <w:rPr>
          <w:rFonts w:hint="eastAsia"/>
        </w:rPr>
        <w:t>对组成和加入工会权利的保证</w:t>
      </w:r>
    </w:p>
    <w:p w:rsidR="00000000" w:rsidRDefault="0031739B">
      <w:pPr>
        <w:spacing w:after="240"/>
        <w:textAlignment w:val="center"/>
      </w:pPr>
      <w:r>
        <w:tab/>
        <w:t xml:space="preserve">80.  </w:t>
      </w:r>
      <w:r>
        <w:rPr>
          <w:rFonts w:hint="eastAsia"/>
        </w:rPr>
        <w:t>表</w:t>
      </w:r>
      <w:r>
        <w:t>10</w:t>
      </w:r>
      <w:r>
        <w:rPr>
          <w:rFonts w:hint="eastAsia"/>
        </w:rPr>
        <w:t>显示了日本按行业分列的工会及其会员数目：</w:t>
      </w:r>
    </w:p>
    <w:p w:rsidR="00000000" w:rsidRDefault="0031739B">
      <w:pPr>
        <w:pStyle w:val="Heading3"/>
        <w:spacing w:after="160"/>
        <w:textAlignment w:val="center"/>
      </w:pPr>
      <w:r>
        <w:rPr>
          <w:rFonts w:hint="eastAsia"/>
          <w:u w:val="none"/>
        </w:rPr>
        <w:t>表</w:t>
      </w:r>
      <w:r>
        <w:rPr>
          <w:u w:val="none"/>
        </w:rPr>
        <w:t xml:space="preserve"> 10.  </w:t>
      </w:r>
      <w:r>
        <w:rPr>
          <w:rFonts w:hint="eastAsia"/>
        </w:rPr>
        <w:t>按行业分列的工会及其会员数目</w:t>
      </w:r>
    </w:p>
    <w:p w:rsidR="00000000" w:rsidRDefault="0031739B">
      <w:pPr>
        <w:jc w:val="right"/>
      </w:pPr>
      <w:r>
        <w:rPr>
          <w:rFonts w:hint="eastAsia"/>
        </w:rPr>
        <w:t>截止</w:t>
      </w:r>
      <w:r>
        <w:t>1996</w:t>
      </w:r>
      <w:r>
        <w:rPr>
          <w:rFonts w:hint="eastAsia"/>
        </w:rPr>
        <w:t>年</w:t>
      </w:r>
      <w:r>
        <w:t>6</w:t>
      </w:r>
      <w:r>
        <w:rPr>
          <w:rFonts w:hint="eastAsia"/>
        </w:rPr>
        <w:t>月底</w:t>
      </w:r>
    </w:p>
    <w:tbl>
      <w:tblPr>
        <w:tblW w:w="0" w:type="auto"/>
        <w:tblInd w:w="-26" w:type="dxa"/>
        <w:tblLayout w:type="fixed"/>
        <w:tblCellMar>
          <w:left w:w="28" w:type="dxa"/>
          <w:right w:w="28" w:type="dxa"/>
        </w:tblCellMar>
        <w:tblLook w:val="0000" w:firstRow="0" w:lastRow="0" w:firstColumn="0" w:lastColumn="0" w:noHBand="0" w:noVBand="0"/>
      </w:tblPr>
      <w:tblGrid>
        <w:gridCol w:w="4228"/>
        <w:gridCol w:w="2592"/>
        <w:gridCol w:w="2592"/>
      </w:tblGrid>
      <w:tr w:rsidR="00000000">
        <w:tblPrEx>
          <w:tblCellMar>
            <w:top w:w="0" w:type="dxa"/>
            <w:bottom w:w="0" w:type="dxa"/>
          </w:tblCellMar>
        </w:tblPrEx>
        <w:tc>
          <w:tcPr>
            <w:tcW w:w="4228" w:type="dxa"/>
            <w:tcBorders>
              <w:top w:val="single" w:sz="6" w:space="0" w:color="auto"/>
              <w:left w:val="single" w:sz="6" w:space="0" w:color="auto"/>
            </w:tcBorders>
          </w:tcPr>
          <w:p w:rsidR="00000000" w:rsidRDefault="0031739B">
            <w:pPr>
              <w:spacing w:before="120"/>
              <w:ind w:left="113"/>
              <w:rPr>
                <w:sz w:val="21"/>
              </w:rPr>
            </w:pPr>
            <w:r>
              <w:rPr>
                <w:rFonts w:hint="eastAsia"/>
                <w:sz w:val="21"/>
              </w:rPr>
              <w:t>工业</w:t>
            </w:r>
          </w:p>
        </w:tc>
        <w:tc>
          <w:tcPr>
            <w:tcW w:w="2592" w:type="dxa"/>
            <w:tcBorders>
              <w:top w:val="single" w:sz="6" w:space="0" w:color="auto"/>
              <w:left w:val="single" w:sz="6" w:space="0" w:color="auto"/>
              <w:right w:val="single" w:sz="6" w:space="0" w:color="auto"/>
            </w:tcBorders>
          </w:tcPr>
          <w:p w:rsidR="00000000" w:rsidRDefault="0031739B">
            <w:pPr>
              <w:spacing w:before="120"/>
              <w:jc w:val="center"/>
              <w:rPr>
                <w:sz w:val="21"/>
              </w:rPr>
            </w:pPr>
            <w:r>
              <w:rPr>
                <w:rFonts w:hint="eastAsia"/>
                <w:sz w:val="21"/>
              </w:rPr>
              <w:t>工会数目</w:t>
            </w:r>
          </w:p>
        </w:tc>
        <w:tc>
          <w:tcPr>
            <w:tcW w:w="2592" w:type="dxa"/>
            <w:tcBorders>
              <w:top w:val="single" w:sz="6" w:space="0" w:color="auto"/>
              <w:left w:val="nil"/>
              <w:right w:val="single" w:sz="6" w:space="0" w:color="auto"/>
            </w:tcBorders>
          </w:tcPr>
          <w:p w:rsidR="00000000" w:rsidRDefault="0031739B">
            <w:pPr>
              <w:spacing w:before="120"/>
              <w:jc w:val="center"/>
              <w:rPr>
                <w:sz w:val="21"/>
              </w:rPr>
            </w:pPr>
            <w:r>
              <w:rPr>
                <w:rFonts w:hint="eastAsia"/>
                <w:sz w:val="21"/>
              </w:rPr>
              <w:t>工会成员数目</w:t>
            </w:r>
            <w:r>
              <w:rPr>
                <w:sz w:val="21"/>
              </w:rPr>
              <w:t>(</w:t>
            </w:r>
            <w:r>
              <w:rPr>
                <w:rFonts w:hint="eastAsia"/>
                <w:sz w:val="21"/>
              </w:rPr>
              <w:t>人数</w:t>
            </w:r>
            <w:r>
              <w:rPr>
                <w:sz w:val="21"/>
              </w:rPr>
              <w:t>)</w:t>
            </w:r>
          </w:p>
        </w:tc>
      </w:tr>
      <w:tr w:rsidR="00000000">
        <w:tblPrEx>
          <w:tblCellMar>
            <w:top w:w="0" w:type="dxa"/>
            <w:bottom w:w="0" w:type="dxa"/>
          </w:tblCellMar>
        </w:tblPrEx>
        <w:tc>
          <w:tcPr>
            <w:tcW w:w="4228" w:type="dxa"/>
            <w:tcBorders>
              <w:top w:val="single" w:sz="6" w:space="0" w:color="auto"/>
              <w:left w:val="single" w:sz="6" w:space="0" w:color="auto"/>
            </w:tcBorders>
          </w:tcPr>
          <w:p w:rsidR="00000000" w:rsidRDefault="0031739B">
            <w:pPr>
              <w:spacing w:line="240" w:lineRule="auto"/>
              <w:ind w:left="113"/>
              <w:rPr>
                <w:sz w:val="21"/>
              </w:rPr>
            </w:pPr>
            <w:r>
              <w:rPr>
                <w:rFonts w:hint="eastAsia"/>
                <w:sz w:val="21"/>
              </w:rPr>
              <w:t>总计</w:t>
            </w:r>
          </w:p>
        </w:tc>
        <w:tc>
          <w:tcPr>
            <w:tcW w:w="2592" w:type="dxa"/>
            <w:tcBorders>
              <w:top w:val="single" w:sz="6" w:space="0" w:color="auto"/>
              <w:left w:val="single" w:sz="6" w:space="0" w:color="auto"/>
              <w:right w:val="single" w:sz="6" w:space="0" w:color="auto"/>
            </w:tcBorders>
          </w:tcPr>
          <w:p w:rsidR="00000000" w:rsidRDefault="0031739B">
            <w:pPr>
              <w:spacing w:line="240" w:lineRule="auto"/>
              <w:ind w:right="907"/>
              <w:jc w:val="right"/>
              <w:rPr>
                <w:sz w:val="21"/>
              </w:rPr>
            </w:pPr>
            <w:r>
              <w:rPr>
                <w:sz w:val="21"/>
              </w:rPr>
              <w:t>70,699</w:t>
            </w:r>
          </w:p>
        </w:tc>
        <w:tc>
          <w:tcPr>
            <w:tcW w:w="2592" w:type="dxa"/>
            <w:tcBorders>
              <w:top w:val="single" w:sz="6" w:space="0" w:color="auto"/>
              <w:left w:val="nil"/>
              <w:right w:val="single" w:sz="6" w:space="0" w:color="auto"/>
            </w:tcBorders>
          </w:tcPr>
          <w:p w:rsidR="00000000" w:rsidRDefault="0031739B">
            <w:pPr>
              <w:spacing w:line="240" w:lineRule="auto"/>
              <w:ind w:right="794"/>
              <w:jc w:val="right"/>
              <w:rPr>
                <w:sz w:val="21"/>
              </w:rPr>
            </w:pPr>
            <w:r>
              <w:rPr>
                <w:sz w:val="21"/>
              </w:rPr>
              <w:t>12,451,149</w:t>
            </w:r>
          </w:p>
        </w:tc>
      </w:tr>
      <w:tr w:rsidR="00000000">
        <w:tblPrEx>
          <w:tblCellMar>
            <w:top w:w="0" w:type="dxa"/>
            <w:bottom w:w="0" w:type="dxa"/>
          </w:tblCellMar>
        </w:tblPrEx>
        <w:tc>
          <w:tcPr>
            <w:tcW w:w="4228" w:type="dxa"/>
            <w:tcBorders>
              <w:left w:val="single" w:sz="6" w:space="0" w:color="auto"/>
            </w:tcBorders>
          </w:tcPr>
          <w:p w:rsidR="00000000" w:rsidRDefault="0031739B">
            <w:pPr>
              <w:spacing w:line="240" w:lineRule="auto"/>
              <w:ind w:left="113"/>
              <w:rPr>
                <w:sz w:val="21"/>
              </w:rPr>
            </w:pPr>
            <w:r>
              <w:rPr>
                <w:rFonts w:hint="eastAsia"/>
                <w:sz w:val="21"/>
              </w:rPr>
              <w:t>农业</w:t>
            </w:r>
          </w:p>
        </w:tc>
        <w:tc>
          <w:tcPr>
            <w:tcW w:w="2592" w:type="dxa"/>
            <w:tcBorders>
              <w:left w:val="single" w:sz="6" w:space="0" w:color="auto"/>
              <w:right w:val="single" w:sz="6" w:space="0" w:color="auto"/>
            </w:tcBorders>
          </w:tcPr>
          <w:p w:rsidR="00000000" w:rsidRDefault="0031739B">
            <w:pPr>
              <w:spacing w:line="240" w:lineRule="auto"/>
              <w:ind w:right="907"/>
              <w:jc w:val="right"/>
              <w:rPr>
                <w:sz w:val="21"/>
              </w:rPr>
            </w:pPr>
            <w:r>
              <w:rPr>
                <w:sz w:val="21"/>
              </w:rPr>
              <w:t>52</w:t>
            </w:r>
          </w:p>
        </w:tc>
        <w:tc>
          <w:tcPr>
            <w:tcW w:w="2592" w:type="dxa"/>
            <w:tcBorders>
              <w:left w:val="nil"/>
              <w:right w:val="single" w:sz="6" w:space="0" w:color="auto"/>
            </w:tcBorders>
          </w:tcPr>
          <w:p w:rsidR="00000000" w:rsidRDefault="0031739B">
            <w:pPr>
              <w:spacing w:line="240" w:lineRule="auto"/>
              <w:ind w:right="794"/>
              <w:jc w:val="right"/>
              <w:rPr>
                <w:sz w:val="21"/>
              </w:rPr>
            </w:pPr>
            <w:r>
              <w:rPr>
                <w:sz w:val="21"/>
              </w:rPr>
              <w:t>1,770</w:t>
            </w:r>
          </w:p>
        </w:tc>
      </w:tr>
      <w:tr w:rsidR="00000000">
        <w:tblPrEx>
          <w:tblCellMar>
            <w:top w:w="0" w:type="dxa"/>
            <w:bottom w:w="0" w:type="dxa"/>
          </w:tblCellMar>
        </w:tblPrEx>
        <w:tc>
          <w:tcPr>
            <w:tcW w:w="4228" w:type="dxa"/>
            <w:tcBorders>
              <w:left w:val="single" w:sz="6" w:space="0" w:color="auto"/>
            </w:tcBorders>
          </w:tcPr>
          <w:p w:rsidR="00000000" w:rsidRDefault="0031739B">
            <w:pPr>
              <w:spacing w:line="240" w:lineRule="auto"/>
              <w:ind w:left="113"/>
              <w:rPr>
                <w:sz w:val="21"/>
              </w:rPr>
            </w:pPr>
            <w:r>
              <w:rPr>
                <w:rFonts w:hint="eastAsia"/>
                <w:sz w:val="21"/>
              </w:rPr>
              <w:t>林业</w:t>
            </w:r>
          </w:p>
        </w:tc>
        <w:tc>
          <w:tcPr>
            <w:tcW w:w="2592" w:type="dxa"/>
            <w:tcBorders>
              <w:left w:val="single" w:sz="6" w:space="0" w:color="auto"/>
              <w:right w:val="single" w:sz="6" w:space="0" w:color="auto"/>
            </w:tcBorders>
          </w:tcPr>
          <w:p w:rsidR="00000000" w:rsidRDefault="0031739B">
            <w:pPr>
              <w:spacing w:line="240" w:lineRule="auto"/>
              <w:ind w:right="907"/>
              <w:jc w:val="right"/>
              <w:rPr>
                <w:sz w:val="21"/>
              </w:rPr>
            </w:pPr>
            <w:r>
              <w:rPr>
                <w:sz w:val="21"/>
              </w:rPr>
              <w:t>787</w:t>
            </w:r>
          </w:p>
        </w:tc>
        <w:tc>
          <w:tcPr>
            <w:tcW w:w="2592" w:type="dxa"/>
            <w:tcBorders>
              <w:left w:val="nil"/>
              <w:right w:val="single" w:sz="6" w:space="0" w:color="auto"/>
            </w:tcBorders>
          </w:tcPr>
          <w:p w:rsidR="00000000" w:rsidRDefault="0031739B">
            <w:pPr>
              <w:spacing w:line="240" w:lineRule="auto"/>
              <w:ind w:right="794"/>
              <w:jc w:val="right"/>
              <w:rPr>
                <w:sz w:val="21"/>
              </w:rPr>
            </w:pPr>
            <w:r>
              <w:rPr>
                <w:sz w:val="21"/>
              </w:rPr>
              <w:t>22,665</w:t>
            </w:r>
          </w:p>
        </w:tc>
      </w:tr>
      <w:tr w:rsidR="00000000">
        <w:tblPrEx>
          <w:tblCellMar>
            <w:top w:w="0" w:type="dxa"/>
            <w:bottom w:w="0" w:type="dxa"/>
          </w:tblCellMar>
        </w:tblPrEx>
        <w:tc>
          <w:tcPr>
            <w:tcW w:w="4228" w:type="dxa"/>
            <w:tcBorders>
              <w:left w:val="single" w:sz="6" w:space="0" w:color="auto"/>
            </w:tcBorders>
          </w:tcPr>
          <w:p w:rsidR="00000000" w:rsidRDefault="0031739B">
            <w:pPr>
              <w:spacing w:line="240" w:lineRule="auto"/>
              <w:ind w:left="113"/>
              <w:rPr>
                <w:sz w:val="21"/>
              </w:rPr>
            </w:pPr>
            <w:r>
              <w:rPr>
                <w:rFonts w:hint="eastAsia"/>
                <w:sz w:val="21"/>
              </w:rPr>
              <w:t>渔业</w:t>
            </w:r>
          </w:p>
        </w:tc>
        <w:tc>
          <w:tcPr>
            <w:tcW w:w="2592" w:type="dxa"/>
            <w:tcBorders>
              <w:left w:val="single" w:sz="6" w:space="0" w:color="auto"/>
              <w:right w:val="single" w:sz="6" w:space="0" w:color="auto"/>
            </w:tcBorders>
          </w:tcPr>
          <w:p w:rsidR="00000000" w:rsidRDefault="0031739B">
            <w:pPr>
              <w:spacing w:line="240" w:lineRule="auto"/>
              <w:ind w:right="907"/>
              <w:jc w:val="right"/>
              <w:rPr>
                <w:sz w:val="21"/>
              </w:rPr>
            </w:pPr>
            <w:r>
              <w:rPr>
                <w:sz w:val="21"/>
              </w:rPr>
              <w:t>50</w:t>
            </w:r>
          </w:p>
        </w:tc>
        <w:tc>
          <w:tcPr>
            <w:tcW w:w="2592" w:type="dxa"/>
            <w:tcBorders>
              <w:left w:val="nil"/>
              <w:right w:val="single" w:sz="6" w:space="0" w:color="auto"/>
            </w:tcBorders>
          </w:tcPr>
          <w:p w:rsidR="00000000" w:rsidRDefault="0031739B">
            <w:pPr>
              <w:spacing w:line="240" w:lineRule="auto"/>
              <w:ind w:right="794"/>
              <w:jc w:val="right"/>
              <w:rPr>
                <w:sz w:val="21"/>
              </w:rPr>
            </w:pPr>
            <w:r>
              <w:rPr>
                <w:sz w:val="21"/>
              </w:rPr>
              <w:t>6,231</w:t>
            </w:r>
          </w:p>
        </w:tc>
      </w:tr>
      <w:tr w:rsidR="00000000">
        <w:tblPrEx>
          <w:tblCellMar>
            <w:top w:w="0" w:type="dxa"/>
            <w:bottom w:w="0" w:type="dxa"/>
          </w:tblCellMar>
        </w:tblPrEx>
        <w:tc>
          <w:tcPr>
            <w:tcW w:w="4228" w:type="dxa"/>
            <w:tcBorders>
              <w:left w:val="single" w:sz="6" w:space="0" w:color="auto"/>
            </w:tcBorders>
          </w:tcPr>
          <w:p w:rsidR="00000000" w:rsidRDefault="0031739B">
            <w:pPr>
              <w:spacing w:line="240" w:lineRule="auto"/>
              <w:ind w:left="113"/>
              <w:rPr>
                <w:sz w:val="21"/>
              </w:rPr>
            </w:pPr>
            <w:r>
              <w:rPr>
                <w:rFonts w:hint="eastAsia"/>
                <w:sz w:val="21"/>
              </w:rPr>
              <w:t>矿业</w:t>
            </w:r>
          </w:p>
        </w:tc>
        <w:tc>
          <w:tcPr>
            <w:tcW w:w="2592" w:type="dxa"/>
            <w:tcBorders>
              <w:left w:val="single" w:sz="6" w:space="0" w:color="auto"/>
              <w:right w:val="single" w:sz="6" w:space="0" w:color="auto"/>
            </w:tcBorders>
          </w:tcPr>
          <w:p w:rsidR="00000000" w:rsidRDefault="0031739B">
            <w:pPr>
              <w:spacing w:line="240" w:lineRule="auto"/>
              <w:ind w:right="907"/>
              <w:jc w:val="right"/>
              <w:rPr>
                <w:sz w:val="21"/>
              </w:rPr>
            </w:pPr>
            <w:r>
              <w:rPr>
                <w:sz w:val="21"/>
              </w:rPr>
              <w:t>156</w:t>
            </w:r>
          </w:p>
        </w:tc>
        <w:tc>
          <w:tcPr>
            <w:tcW w:w="2592" w:type="dxa"/>
            <w:tcBorders>
              <w:left w:val="nil"/>
              <w:right w:val="single" w:sz="6" w:space="0" w:color="auto"/>
            </w:tcBorders>
          </w:tcPr>
          <w:p w:rsidR="00000000" w:rsidRDefault="0031739B">
            <w:pPr>
              <w:spacing w:line="240" w:lineRule="auto"/>
              <w:ind w:right="794"/>
              <w:jc w:val="right"/>
              <w:rPr>
                <w:sz w:val="21"/>
              </w:rPr>
            </w:pPr>
            <w:r>
              <w:rPr>
                <w:sz w:val="21"/>
              </w:rPr>
              <w:t>13,192</w:t>
            </w:r>
          </w:p>
        </w:tc>
      </w:tr>
      <w:tr w:rsidR="00000000">
        <w:tblPrEx>
          <w:tblCellMar>
            <w:top w:w="0" w:type="dxa"/>
            <w:bottom w:w="0" w:type="dxa"/>
          </w:tblCellMar>
        </w:tblPrEx>
        <w:tc>
          <w:tcPr>
            <w:tcW w:w="4228" w:type="dxa"/>
            <w:tcBorders>
              <w:left w:val="single" w:sz="6" w:space="0" w:color="auto"/>
            </w:tcBorders>
          </w:tcPr>
          <w:p w:rsidR="00000000" w:rsidRDefault="0031739B">
            <w:pPr>
              <w:spacing w:line="240" w:lineRule="auto"/>
              <w:ind w:left="113"/>
              <w:rPr>
                <w:sz w:val="21"/>
              </w:rPr>
            </w:pPr>
            <w:r>
              <w:rPr>
                <w:rFonts w:hint="eastAsia"/>
                <w:sz w:val="21"/>
              </w:rPr>
              <w:t>建筑业</w:t>
            </w:r>
          </w:p>
        </w:tc>
        <w:tc>
          <w:tcPr>
            <w:tcW w:w="2592" w:type="dxa"/>
            <w:tcBorders>
              <w:left w:val="single" w:sz="6" w:space="0" w:color="auto"/>
              <w:right w:val="single" w:sz="6" w:space="0" w:color="auto"/>
            </w:tcBorders>
          </w:tcPr>
          <w:p w:rsidR="00000000" w:rsidRDefault="0031739B">
            <w:pPr>
              <w:spacing w:line="240" w:lineRule="auto"/>
              <w:ind w:right="907"/>
              <w:jc w:val="right"/>
              <w:rPr>
                <w:sz w:val="21"/>
              </w:rPr>
            </w:pPr>
            <w:r>
              <w:rPr>
                <w:sz w:val="21"/>
              </w:rPr>
              <w:t>3,403</w:t>
            </w:r>
          </w:p>
        </w:tc>
        <w:tc>
          <w:tcPr>
            <w:tcW w:w="2592" w:type="dxa"/>
            <w:tcBorders>
              <w:left w:val="nil"/>
              <w:right w:val="single" w:sz="6" w:space="0" w:color="auto"/>
            </w:tcBorders>
          </w:tcPr>
          <w:p w:rsidR="00000000" w:rsidRDefault="0031739B">
            <w:pPr>
              <w:spacing w:line="240" w:lineRule="auto"/>
              <w:ind w:right="794"/>
              <w:jc w:val="right"/>
              <w:rPr>
                <w:sz w:val="21"/>
              </w:rPr>
            </w:pPr>
            <w:r>
              <w:rPr>
                <w:sz w:val="21"/>
              </w:rPr>
              <w:t>1,0</w:t>
            </w:r>
            <w:r>
              <w:rPr>
                <w:sz w:val="21"/>
              </w:rPr>
              <w:t>81,664</w:t>
            </w:r>
          </w:p>
        </w:tc>
      </w:tr>
      <w:tr w:rsidR="00000000">
        <w:tblPrEx>
          <w:tblCellMar>
            <w:top w:w="0" w:type="dxa"/>
            <w:bottom w:w="0" w:type="dxa"/>
          </w:tblCellMar>
        </w:tblPrEx>
        <w:tc>
          <w:tcPr>
            <w:tcW w:w="4228" w:type="dxa"/>
            <w:tcBorders>
              <w:left w:val="single" w:sz="6" w:space="0" w:color="auto"/>
            </w:tcBorders>
          </w:tcPr>
          <w:p w:rsidR="00000000" w:rsidRDefault="0031739B">
            <w:pPr>
              <w:spacing w:line="240" w:lineRule="auto"/>
              <w:ind w:left="113"/>
              <w:rPr>
                <w:sz w:val="21"/>
              </w:rPr>
            </w:pPr>
            <w:r>
              <w:rPr>
                <w:rFonts w:hint="eastAsia"/>
                <w:sz w:val="21"/>
              </w:rPr>
              <w:t>制造业</w:t>
            </w:r>
          </w:p>
        </w:tc>
        <w:tc>
          <w:tcPr>
            <w:tcW w:w="2592" w:type="dxa"/>
            <w:tcBorders>
              <w:left w:val="single" w:sz="6" w:space="0" w:color="auto"/>
              <w:right w:val="single" w:sz="6" w:space="0" w:color="auto"/>
            </w:tcBorders>
          </w:tcPr>
          <w:p w:rsidR="00000000" w:rsidRDefault="0031739B">
            <w:pPr>
              <w:spacing w:line="240" w:lineRule="auto"/>
              <w:ind w:right="907"/>
              <w:jc w:val="right"/>
              <w:rPr>
                <w:sz w:val="21"/>
              </w:rPr>
            </w:pPr>
            <w:r>
              <w:rPr>
                <w:sz w:val="21"/>
              </w:rPr>
              <w:t>17,052</w:t>
            </w:r>
          </w:p>
        </w:tc>
        <w:tc>
          <w:tcPr>
            <w:tcW w:w="2592" w:type="dxa"/>
            <w:tcBorders>
              <w:left w:val="nil"/>
              <w:right w:val="single" w:sz="6" w:space="0" w:color="auto"/>
            </w:tcBorders>
          </w:tcPr>
          <w:p w:rsidR="00000000" w:rsidRDefault="0031739B">
            <w:pPr>
              <w:spacing w:line="240" w:lineRule="auto"/>
              <w:ind w:right="794"/>
              <w:jc w:val="right"/>
              <w:rPr>
                <w:sz w:val="21"/>
              </w:rPr>
            </w:pPr>
            <w:r>
              <w:rPr>
                <w:sz w:val="21"/>
              </w:rPr>
              <w:t>3,821,369</w:t>
            </w:r>
          </w:p>
        </w:tc>
      </w:tr>
      <w:tr w:rsidR="00000000">
        <w:tblPrEx>
          <w:tblCellMar>
            <w:top w:w="0" w:type="dxa"/>
            <w:bottom w:w="0" w:type="dxa"/>
          </w:tblCellMar>
        </w:tblPrEx>
        <w:tc>
          <w:tcPr>
            <w:tcW w:w="4228" w:type="dxa"/>
            <w:tcBorders>
              <w:left w:val="single" w:sz="6" w:space="0" w:color="auto"/>
            </w:tcBorders>
          </w:tcPr>
          <w:p w:rsidR="00000000" w:rsidRDefault="0031739B">
            <w:pPr>
              <w:spacing w:line="240" w:lineRule="auto"/>
              <w:ind w:left="113"/>
              <w:rPr>
                <w:sz w:val="21"/>
              </w:rPr>
            </w:pPr>
            <w:r>
              <w:rPr>
                <w:rFonts w:hint="eastAsia"/>
                <w:sz w:val="21"/>
              </w:rPr>
              <w:t>电力</w:t>
            </w:r>
            <w:r>
              <w:rPr>
                <w:sz w:val="21"/>
              </w:rPr>
              <w:t>/</w:t>
            </w:r>
            <w:r>
              <w:rPr>
                <w:rFonts w:hint="eastAsia"/>
                <w:sz w:val="21"/>
              </w:rPr>
              <w:t>煤气</w:t>
            </w:r>
            <w:r>
              <w:rPr>
                <w:sz w:val="21"/>
              </w:rPr>
              <w:t>/</w:t>
            </w:r>
            <w:r>
              <w:rPr>
                <w:rFonts w:hint="eastAsia"/>
                <w:sz w:val="21"/>
              </w:rPr>
              <w:t>取暖</w:t>
            </w:r>
            <w:r>
              <w:rPr>
                <w:sz w:val="21"/>
              </w:rPr>
              <w:t>/</w:t>
            </w:r>
            <w:r>
              <w:rPr>
                <w:rFonts w:hint="eastAsia"/>
                <w:sz w:val="21"/>
              </w:rPr>
              <w:t>供水</w:t>
            </w:r>
          </w:p>
        </w:tc>
        <w:tc>
          <w:tcPr>
            <w:tcW w:w="2592" w:type="dxa"/>
            <w:tcBorders>
              <w:left w:val="single" w:sz="6" w:space="0" w:color="auto"/>
              <w:right w:val="single" w:sz="6" w:space="0" w:color="auto"/>
            </w:tcBorders>
          </w:tcPr>
          <w:p w:rsidR="00000000" w:rsidRDefault="0031739B">
            <w:pPr>
              <w:spacing w:line="240" w:lineRule="auto"/>
              <w:ind w:right="907"/>
              <w:jc w:val="right"/>
              <w:rPr>
                <w:sz w:val="21"/>
              </w:rPr>
            </w:pPr>
            <w:r>
              <w:rPr>
                <w:sz w:val="21"/>
              </w:rPr>
              <w:t>1,604</w:t>
            </w:r>
          </w:p>
        </w:tc>
        <w:tc>
          <w:tcPr>
            <w:tcW w:w="2592" w:type="dxa"/>
            <w:tcBorders>
              <w:left w:val="nil"/>
              <w:right w:val="single" w:sz="6" w:space="0" w:color="auto"/>
            </w:tcBorders>
          </w:tcPr>
          <w:p w:rsidR="00000000" w:rsidRDefault="0031739B">
            <w:pPr>
              <w:spacing w:line="240" w:lineRule="auto"/>
              <w:ind w:right="794"/>
              <w:jc w:val="right"/>
              <w:rPr>
                <w:sz w:val="21"/>
              </w:rPr>
            </w:pPr>
            <w:r>
              <w:rPr>
                <w:sz w:val="21"/>
              </w:rPr>
              <w:t>229,397</w:t>
            </w:r>
          </w:p>
        </w:tc>
      </w:tr>
      <w:tr w:rsidR="00000000">
        <w:tblPrEx>
          <w:tblCellMar>
            <w:top w:w="0" w:type="dxa"/>
            <w:bottom w:w="0" w:type="dxa"/>
          </w:tblCellMar>
        </w:tblPrEx>
        <w:tc>
          <w:tcPr>
            <w:tcW w:w="4228" w:type="dxa"/>
            <w:tcBorders>
              <w:left w:val="single" w:sz="6" w:space="0" w:color="auto"/>
            </w:tcBorders>
          </w:tcPr>
          <w:p w:rsidR="00000000" w:rsidRDefault="0031739B">
            <w:pPr>
              <w:spacing w:line="240" w:lineRule="auto"/>
              <w:ind w:left="113"/>
              <w:rPr>
                <w:sz w:val="21"/>
              </w:rPr>
            </w:pPr>
            <w:r>
              <w:rPr>
                <w:rFonts w:hint="eastAsia"/>
                <w:sz w:val="21"/>
              </w:rPr>
              <w:t>交通</w:t>
            </w:r>
            <w:r>
              <w:rPr>
                <w:sz w:val="21"/>
              </w:rPr>
              <w:t>/</w:t>
            </w:r>
            <w:r>
              <w:rPr>
                <w:rFonts w:hint="eastAsia"/>
                <w:sz w:val="21"/>
              </w:rPr>
              <w:t>通讯</w:t>
            </w:r>
          </w:p>
        </w:tc>
        <w:tc>
          <w:tcPr>
            <w:tcW w:w="2592" w:type="dxa"/>
            <w:tcBorders>
              <w:left w:val="single" w:sz="6" w:space="0" w:color="auto"/>
              <w:right w:val="single" w:sz="6" w:space="0" w:color="auto"/>
            </w:tcBorders>
          </w:tcPr>
          <w:p w:rsidR="00000000" w:rsidRDefault="0031739B">
            <w:pPr>
              <w:spacing w:line="240" w:lineRule="auto"/>
              <w:ind w:right="907"/>
              <w:jc w:val="right"/>
              <w:rPr>
                <w:sz w:val="21"/>
              </w:rPr>
            </w:pPr>
            <w:r>
              <w:rPr>
                <w:sz w:val="21"/>
              </w:rPr>
              <w:t>13,576</w:t>
            </w:r>
          </w:p>
        </w:tc>
        <w:tc>
          <w:tcPr>
            <w:tcW w:w="2592" w:type="dxa"/>
            <w:tcBorders>
              <w:left w:val="nil"/>
              <w:right w:val="single" w:sz="6" w:space="0" w:color="auto"/>
            </w:tcBorders>
          </w:tcPr>
          <w:p w:rsidR="00000000" w:rsidRDefault="0031739B">
            <w:pPr>
              <w:spacing w:line="240" w:lineRule="auto"/>
              <w:ind w:right="794"/>
              <w:jc w:val="right"/>
              <w:rPr>
                <w:sz w:val="21"/>
              </w:rPr>
            </w:pPr>
            <w:r>
              <w:rPr>
                <w:sz w:val="21"/>
              </w:rPr>
              <w:t>1,607,159</w:t>
            </w:r>
          </w:p>
        </w:tc>
      </w:tr>
      <w:tr w:rsidR="00000000">
        <w:tblPrEx>
          <w:tblCellMar>
            <w:top w:w="0" w:type="dxa"/>
            <w:bottom w:w="0" w:type="dxa"/>
          </w:tblCellMar>
        </w:tblPrEx>
        <w:tc>
          <w:tcPr>
            <w:tcW w:w="4228" w:type="dxa"/>
            <w:tcBorders>
              <w:left w:val="single" w:sz="6" w:space="0" w:color="auto"/>
            </w:tcBorders>
          </w:tcPr>
          <w:p w:rsidR="00000000" w:rsidRDefault="0031739B">
            <w:pPr>
              <w:spacing w:line="240" w:lineRule="auto"/>
              <w:ind w:left="113"/>
              <w:rPr>
                <w:sz w:val="21"/>
              </w:rPr>
            </w:pPr>
            <w:r>
              <w:rPr>
                <w:rFonts w:hint="eastAsia"/>
                <w:sz w:val="21"/>
              </w:rPr>
              <w:t>批发</w:t>
            </w:r>
            <w:r>
              <w:rPr>
                <w:sz w:val="21"/>
              </w:rPr>
              <w:t>/</w:t>
            </w:r>
            <w:r>
              <w:rPr>
                <w:rFonts w:hint="eastAsia"/>
                <w:sz w:val="21"/>
              </w:rPr>
              <w:t>零售</w:t>
            </w:r>
            <w:r>
              <w:rPr>
                <w:sz w:val="21"/>
              </w:rPr>
              <w:t>/</w:t>
            </w:r>
            <w:r>
              <w:rPr>
                <w:rFonts w:hint="eastAsia"/>
                <w:sz w:val="21"/>
              </w:rPr>
              <w:t>贸易</w:t>
            </w:r>
            <w:r>
              <w:rPr>
                <w:sz w:val="21"/>
              </w:rPr>
              <w:t>/</w:t>
            </w:r>
            <w:r>
              <w:rPr>
                <w:rFonts w:hint="eastAsia"/>
                <w:sz w:val="21"/>
              </w:rPr>
              <w:t>餐饮场所</w:t>
            </w:r>
          </w:p>
        </w:tc>
        <w:tc>
          <w:tcPr>
            <w:tcW w:w="2592" w:type="dxa"/>
            <w:tcBorders>
              <w:left w:val="single" w:sz="6" w:space="0" w:color="auto"/>
              <w:right w:val="single" w:sz="6" w:space="0" w:color="auto"/>
            </w:tcBorders>
          </w:tcPr>
          <w:p w:rsidR="00000000" w:rsidRDefault="0031739B">
            <w:pPr>
              <w:spacing w:line="240" w:lineRule="auto"/>
              <w:ind w:right="907"/>
              <w:jc w:val="right"/>
              <w:rPr>
                <w:sz w:val="21"/>
              </w:rPr>
            </w:pPr>
            <w:r>
              <w:rPr>
                <w:sz w:val="21"/>
              </w:rPr>
              <w:t>7,796</w:t>
            </w:r>
          </w:p>
        </w:tc>
        <w:tc>
          <w:tcPr>
            <w:tcW w:w="2592" w:type="dxa"/>
            <w:tcBorders>
              <w:left w:val="nil"/>
              <w:right w:val="single" w:sz="6" w:space="0" w:color="auto"/>
            </w:tcBorders>
          </w:tcPr>
          <w:p w:rsidR="00000000" w:rsidRDefault="0031739B">
            <w:pPr>
              <w:spacing w:line="240" w:lineRule="auto"/>
              <w:ind w:right="794"/>
              <w:jc w:val="right"/>
              <w:rPr>
                <w:sz w:val="21"/>
              </w:rPr>
            </w:pPr>
            <w:r>
              <w:rPr>
                <w:sz w:val="21"/>
              </w:rPr>
              <w:t>1,137,681</w:t>
            </w:r>
          </w:p>
        </w:tc>
      </w:tr>
      <w:tr w:rsidR="00000000">
        <w:tblPrEx>
          <w:tblCellMar>
            <w:top w:w="0" w:type="dxa"/>
            <w:bottom w:w="0" w:type="dxa"/>
          </w:tblCellMar>
        </w:tblPrEx>
        <w:tc>
          <w:tcPr>
            <w:tcW w:w="4228" w:type="dxa"/>
            <w:tcBorders>
              <w:left w:val="single" w:sz="6" w:space="0" w:color="auto"/>
            </w:tcBorders>
          </w:tcPr>
          <w:p w:rsidR="00000000" w:rsidRDefault="0031739B">
            <w:pPr>
              <w:spacing w:line="240" w:lineRule="auto"/>
              <w:ind w:left="113"/>
              <w:rPr>
                <w:sz w:val="21"/>
              </w:rPr>
            </w:pPr>
            <w:r>
              <w:rPr>
                <w:rFonts w:hint="eastAsia"/>
                <w:sz w:val="21"/>
              </w:rPr>
              <w:t>金融</w:t>
            </w:r>
            <w:r>
              <w:rPr>
                <w:sz w:val="21"/>
              </w:rPr>
              <w:t>/</w:t>
            </w:r>
            <w:r>
              <w:rPr>
                <w:rFonts w:hint="eastAsia"/>
                <w:sz w:val="21"/>
              </w:rPr>
              <w:t>保险</w:t>
            </w:r>
          </w:p>
        </w:tc>
        <w:tc>
          <w:tcPr>
            <w:tcW w:w="2592" w:type="dxa"/>
            <w:tcBorders>
              <w:left w:val="single" w:sz="6" w:space="0" w:color="auto"/>
              <w:right w:val="single" w:sz="6" w:space="0" w:color="auto"/>
            </w:tcBorders>
          </w:tcPr>
          <w:p w:rsidR="00000000" w:rsidRDefault="0031739B">
            <w:pPr>
              <w:spacing w:line="240" w:lineRule="auto"/>
              <w:ind w:right="907"/>
              <w:jc w:val="right"/>
              <w:rPr>
                <w:sz w:val="21"/>
              </w:rPr>
            </w:pPr>
            <w:r>
              <w:rPr>
                <w:sz w:val="21"/>
              </w:rPr>
              <w:t>5,093</w:t>
            </w:r>
          </w:p>
        </w:tc>
        <w:tc>
          <w:tcPr>
            <w:tcW w:w="2592" w:type="dxa"/>
            <w:tcBorders>
              <w:left w:val="nil"/>
              <w:right w:val="single" w:sz="6" w:space="0" w:color="auto"/>
            </w:tcBorders>
          </w:tcPr>
          <w:p w:rsidR="00000000" w:rsidRDefault="0031739B">
            <w:pPr>
              <w:spacing w:line="240" w:lineRule="auto"/>
              <w:ind w:right="794"/>
              <w:jc w:val="right"/>
              <w:rPr>
                <w:sz w:val="21"/>
              </w:rPr>
            </w:pPr>
            <w:r>
              <w:rPr>
                <w:sz w:val="21"/>
              </w:rPr>
              <w:t>1,088,290</w:t>
            </w:r>
          </w:p>
        </w:tc>
      </w:tr>
      <w:tr w:rsidR="00000000">
        <w:tblPrEx>
          <w:tblCellMar>
            <w:top w:w="0" w:type="dxa"/>
            <w:bottom w:w="0" w:type="dxa"/>
          </w:tblCellMar>
        </w:tblPrEx>
        <w:tc>
          <w:tcPr>
            <w:tcW w:w="4228" w:type="dxa"/>
            <w:tcBorders>
              <w:left w:val="single" w:sz="6" w:space="0" w:color="auto"/>
            </w:tcBorders>
          </w:tcPr>
          <w:p w:rsidR="00000000" w:rsidRDefault="0031739B">
            <w:pPr>
              <w:spacing w:line="240" w:lineRule="auto"/>
              <w:ind w:left="113"/>
              <w:rPr>
                <w:sz w:val="21"/>
              </w:rPr>
            </w:pPr>
            <w:r>
              <w:rPr>
                <w:rFonts w:hint="eastAsia"/>
                <w:sz w:val="21"/>
              </w:rPr>
              <w:t>房地产</w:t>
            </w:r>
          </w:p>
        </w:tc>
        <w:tc>
          <w:tcPr>
            <w:tcW w:w="2592" w:type="dxa"/>
            <w:tcBorders>
              <w:left w:val="single" w:sz="6" w:space="0" w:color="auto"/>
              <w:right w:val="single" w:sz="6" w:space="0" w:color="auto"/>
            </w:tcBorders>
          </w:tcPr>
          <w:p w:rsidR="00000000" w:rsidRDefault="0031739B">
            <w:pPr>
              <w:spacing w:line="240" w:lineRule="auto"/>
              <w:ind w:right="907"/>
              <w:jc w:val="right"/>
              <w:rPr>
                <w:sz w:val="21"/>
              </w:rPr>
            </w:pPr>
            <w:r>
              <w:rPr>
                <w:sz w:val="21"/>
              </w:rPr>
              <w:t>214</w:t>
            </w:r>
          </w:p>
        </w:tc>
        <w:tc>
          <w:tcPr>
            <w:tcW w:w="2592" w:type="dxa"/>
            <w:tcBorders>
              <w:left w:val="nil"/>
              <w:right w:val="single" w:sz="6" w:space="0" w:color="auto"/>
            </w:tcBorders>
          </w:tcPr>
          <w:p w:rsidR="00000000" w:rsidRDefault="0031739B">
            <w:pPr>
              <w:spacing w:line="240" w:lineRule="auto"/>
              <w:ind w:right="794"/>
              <w:jc w:val="right"/>
              <w:rPr>
                <w:sz w:val="21"/>
              </w:rPr>
            </w:pPr>
            <w:r>
              <w:rPr>
                <w:sz w:val="21"/>
              </w:rPr>
              <w:t>17,438</w:t>
            </w:r>
          </w:p>
        </w:tc>
      </w:tr>
      <w:tr w:rsidR="00000000">
        <w:tblPrEx>
          <w:tblCellMar>
            <w:top w:w="0" w:type="dxa"/>
            <w:bottom w:w="0" w:type="dxa"/>
          </w:tblCellMar>
        </w:tblPrEx>
        <w:tc>
          <w:tcPr>
            <w:tcW w:w="4228" w:type="dxa"/>
            <w:tcBorders>
              <w:left w:val="single" w:sz="6" w:space="0" w:color="auto"/>
            </w:tcBorders>
          </w:tcPr>
          <w:p w:rsidR="00000000" w:rsidRDefault="0031739B">
            <w:pPr>
              <w:spacing w:line="240" w:lineRule="auto"/>
              <w:ind w:left="113"/>
              <w:rPr>
                <w:sz w:val="21"/>
              </w:rPr>
            </w:pPr>
            <w:r>
              <w:rPr>
                <w:rFonts w:hint="eastAsia"/>
                <w:sz w:val="21"/>
              </w:rPr>
              <w:t>服务行业</w:t>
            </w:r>
          </w:p>
        </w:tc>
        <w:tc>
          <w:tcPr>
            <w:tcW w:w="2592" w:type="dxa"/>
            <w:tcBorders>
              <w:left w:val="single" w:sz="6" w:space="0" w:color="auto"/>
              <w:right w:val="single" w:sz="6" w:space="0" w:color="auto"/>
            </w:tcBorders>
          </w:tcPr>
          <w:p w:rsidR="00000000" w:rsidRDefault="0031739B">
            <w:pPr>
              <w:spacing w:line="240" w:lineRule="auto"/>
              <w:ind w:right="907"/>
              <w:jc w:val="right"/>
              <w:rPr>
                <w:sz w:val="21"/>
              </w:rPr>
            </w:pPr>
            <w:r>
              <w:rPr>
                <w:sz w:val="21"/>
              </w:rPr>
              <w:t>14,790</w:t>
            </w:r>
          </w:p>
        </w:tc>
        <w:tc>
          <w:tcPr>
            <w:tcW w:w="2592" w:type="dxa"/>
            <w:tcBorders>
              <w:left w:val="nil"/>
              <w:right w:val="single" w:sz="6" w:space="0" w:color="auto"/>
            </w:tcBorders>
          </w:tcPr>
          <w:p w:rsidR="00000000" w:rsidRDefault="0031739B">
            <w:pPr>
              <w:spacing w:line="240" w:lineRule="auto"/>
              <w:ind w:right="794"/>
              <w:jc w:val="right"/>
              <w:rPr>
                <w:sz w:val="21"/>
              </w:rPr>
            </w:pPr>
            <w:r>
              <w:rPr>
                <w:sz w:val="21"/>
              </w:rPr>
              <w:t>1,926,833</w:t>
            </w:r>
          </w:p>
        </w:tc>
      </w:tr>
      <w:tr w:rsidR="00000000">
        <w:tblPrEx>
          <w:tblCellMar>
            <w:top w:w="0" w:type="dxa"/>
            <w:bottom w:w="0" w:type="dxa"/>
          </w:tblCellMar>
        </w:tblPrEx>
        <w:tc>
          <w:tcPr>
            <w:tcW w:w="4228" w:type="dxa"/>
            <w:tcBorders>
              <w:left w:val="single" w:sz="6" w:space="0" w:color="auto"/>
            </w:tcBorders>
          </w:tcPr>
          <w:p w:rsidR="00000000" w:rsidRDefault="0031739B">
            <w:pPr>
              <w:spacing w:line="240" w:lineRule="auto"/>
              <w:ind w:left="113"/>
              <w:rPr>
                <w:sz w:val="21"/>
              </w:rPr>
            </w:pPr>
            <w:r>
              <w:rPr>
                <w:rFonts w:hint="eastAsia"/>
                <w:sz w:val="21"/>
              </w:rPr>
              <w:t>政府</w:t>
            </w:r>
          </w:p>
        </w:tc>
        <w:tc>
          <w:tcPr>
            <w:tcW w:w="2592" w:type="dxa"/>
            <w:tcBorders>
              <w:left w:val="single" w:sz="6" w:space="0" w:color="auto"/>
              <w:right w:val="single" w:sz="6" w:space="0" w:color="auto"/>
            </w:tcBorders>
          </w:tcPr>
          <w:p w:rsidR="00000000" w:rsidRDefault="0031739B">
            <w:pPr>
              <w:spacing w:line="240" w:lineRule="auto"/>
              <w:ind w:right="907"/>
              <w:jc w:val="right"/>
              <w:rPr>
                <w:sz w:val="21"/>
              </w:rPr>
            </w:pPr>
            <w:r>
              <w:rPr>
                <w:sz w:val="21"/>
              </w:rPr>
              <w:t>5,699</w:t>
            </w:r>
          </w:p>
        </w:tc>
        <w:tc>
          <w:tcPr>
            <w:tcW w:w="2592" w:type="dxa"/>
            <w:tcBorders>
              <w:left w:val="nil"/>
              <w:right w:val="single" w:sz="6" w:space="0" w:color="auto"/>
            </w:tcBorders>
          </w:tcPr>
          <w:p w:rsidR="00000000" w:rsidRDefault="0031739B">
            <w:pPr>
              <w:spacing w:line="240" w:lineRule="auto"/>
              <w:ind w:right="794"/>
              <w:jc w:val="right"/>
              <w:rPr>
                <w:sz w:val="21"/>
              </w:rPr>
            </w:pPr>
            <w:r>
              <w:rPr>
                <w:sz w:val="21"/>
              </w:rPr>
              <w:t>1,331,120</w:t>
            </w:r>
          </w:p>
        </w:tc>
      </w:tr>
      <w:tr w:rsidR="00000000">
        <w:tblPrEx>
          <w:tblCellMar>
            <w:top w:w="0" w:type="dxa"/>
            <w:bottom w:w="0" w:type="dxa"/>
          </w:tblCellMar>
        </w:tblPrEx>
        <w:tc>
          <w:tcPr>
            <w:tcW w:w="4228" w:type="dxa"/>
            <w:tcBorders>
              <w:left w:val="single" w:sz="6" w:space="0" w:color="auto"/>
              <w:bottom w:val="single" w:sz="6" w:space="0" w:color="auto"/>
            </w:tcBorders>
          </w:tcPr>
          <w:p w:rsidR="00000000" w:rsidRDefault="0031739B">
            <w:pPr>
              <w:spacing w:line="240" w:lineRule="auto"/>
              <w:ind w:left="113"/>
              <w:rPr>
                <w:sz w:val="21"/>
              </w:rPr>
            </w:pPr>
            <w:r>
              <w:rPr>
                <w:rFonts w:hint="eastAsia"/>
                <w:sz w:val="21"/>
              </w:rPr>
              <w:t>无适当分类的行业</w:t>
            </w:r>
          </w:p>
        </w:tc>
        <w:tc>
          <w:tcPr>
            <w:tcW w:w="2592" w:type="dxa"/>
            <w:tcBorders>
              <w:left w:val="single" w:sz="6" w:space="0" w:color="auto"/>
              <w:bottom w:val="single" w:sz="6" w:space="0" w:color="auto"/>
              <w:right w:val="single" w:sz="6" w:space="0" w:color="auto"/>
            </w:tcBorders>
          </w:tcPr>
          <w:p w:rsidR="00000000" w:rsidRDefault="0031739B">
            <w:pPr>
              <w:spacing w:line="240" w:lineRule="auto"/>
              <w:ind w:right="907"/>
              <w:jc w:val="right"/>
              <w:rPr>
                <w:sz w:val="21"/>
              </w:rPr>
            </w:pPr>
            <w:r>
              <w:rPr>
                <w:sz w:val="21"/>
              </w:rPr>
              <w:t>427</w:t>
            </w:r>
          </w:p>
        </w:tc>
        <w:tc>
          <w:tcPr>
            <w:tcW w:w="2592" w:type="dxa"/>
            <w:tcBorders>
              <w:left w:val="nil"/>
              <w:bottom w:val="single" w:sz="6" w:space="0" w:color="auto"/>
              <w:right w:val="single" w:sz="6" w:space="0" w:color="auto"/>
            </w:tcBorders>
          </w:tcPr>
          <w:p w:rsidR="00000000" w:rsidRDefault="0031739B">
            <w:pPr>
              <w:spacing w:line="240" w:lineRule="auto"/>
              <w:ind w:right="794"/>
              <w:jc w:val="right"/>
              <w:rPr>
                <w:sz w:val="21"/>
              </w:rPr>
            </w:pPr>
            <w:r>
              <w:rPr>
                <w:sz w:val="21"/>
              </w:rPr>
              <w:t>46,443</w:t>
            </w:r>
          </w:p>
        </w:tc>
      </w:tr>
    </w:tbl>
    <w:p w:rsidR="00000000" w:rsidRDefault="0031739B">
      <w:pPr>
        <w:pStyle w:val="EndnoteText"/>
        <w:spacing w:before="240"/>
        <w:ind w:hanging="958"/>
      </w:pPr>
      <w:r>
        <w:rPr>
          <w:rFonts w:hint="eastAsia"/>
          <w:u w:val="single"/>
        </w:rPr>
        <w:t>说明</w:t>
      </w:r>
      <w:r>
        <w:rPr>
          <w:u w:val="single"/>
        </w:rPr>
        <w:t>1</w:t>
      </w:r>
      <w:r>
        <w:rPr>
          <w:rFonts w:hint="eastAsia"/>
        </w:rPr>
        <w:t>：依据劳工省的“对工会的基本调查”。</w:t>
      </w:r>
    </w:p>
    <w:p w:rsidR="00000000" w:rsidRDefault="0031739B">
      <w:pPr>
        <w:pStyle w:val="EndnoteText"/>
      </w:pPr>
      <w:r>
        <w:rPr>
          <w:rFonts w:hint="eastAsia"/>
          <w:u w:val="single"/>
        </w:rPr>
        <w:t>说明</w:t>
      </w:r>
      <w:r>
        <w:rPr>
          <w:u w:val="single"/>
        </w:rPr>
        <w:t>2</w:t>
      </w:r>
      <w:r>
        <w:rPr>
          <w:rFonts w:hint="eastAsia"/>
        </w:rPr>
        <w:t>：“无适当分类的行业”包括由多种</w:t>
      </w:r>
      <w:r>
        <w:rPr>
          <w:rFonts w:hint="eastAsia"/>
        </w:rPr>
        <w:t>行业雇员组织的工会和行业分类鲜为人知的工会。</w:t>
      </w:r>
    </w:p>
    <w:p w:rsidR="00000000" w:rsidRDefault="0031739B">
      <w:pPr>
        <w:pStyle w:val="EndnoteText"/>
      </w:pPr>
      <w:r>
        <w:rPr>
          <w:rFonts w:hint="eastAsia"/>
          <w:u w:val="single"/>
        </w:rPr>
        <w:t>说明</w:t>
      </w:r>
      <w:r>
        <w:rPr>
          <w:u w:val="single"/>
        </w:rPr>
        <w:t>3</w:t>
      </w:r>
      <w:r>
        <w:rPr>
          <w:rFonts w:hint="eastAsia"/>
        </w:rPr>
        <w:t>：总计包括非独立工会会员。</w:t>
      </w:r>
    </w:p>
    <w:p w:rsidR="00000000" w:rsidRDefault="0031739B">
      <w:pPr>
        <w:pStyle w:val="Heading3"/>
      </w:pPr>
      <w:r>
        <w:rPr>
          <w:u w:val="none"/>
        </w:rPr>
        <w:t xml:space="preserve">2.  </w:t>
      </w:r>
      <w:r>
        <w:rPr>
          <w:rFonts w:hint="eastAsia"/>
        </w:rPr>
        <w:t>私有化</w:t>
      </w:r>
    </w:p>
    <w:p w:rsidR="00000000" w:rsidRDefault="0031739B">
      <w:pPr>
        <w:spacing w:after="320"/>
        <w:textAlignment w:val="center"/>
      </w:pPr>
      <w:r>
        <w:tab/>
        <w:t>81.  1985</w:t>
      </w:r>
      <w:r>
        <w:rPr>
          <w:rFonts w:hint="eastAsia"/>
        </w:rPr>
        <w:t>年</w:t>
      </w:r>
      <w:r>
        <w:t>4</w:t>
      </w:r>
      <w:r>
        <w:rPr>
          <w:rFonts w:hint="eastAsia"/>
        </w:rPr>
        <w:t>月</w:t>
      </w:r>
      <w:r>
        <w:t>1</w:t>
      </w:r>
      <w:r>
        <w:rPr>
          <w:rFonts w:hint="eastAsia"/>
        </w:rPr>
        <w:t>日，政府颁布法律，分别将日本垄断销售公司私有化为日本烟草股份有限公司；将日本电报和电话公司私有化为日本电报和电话股份有限公司；日本国有铁路也实现了私有化。从此这三个公司已不属于适用公共公司和国家企业劳工关系法的范围。而工会法则适用于私有化公司的雇员，与适用于普通私营部门雇员的方式一样。由于公共公司在日本已不复存在，在私有化时，政府将公共公司和国家企业劳工关系法改名为“国家公司劳工关系法</w:t>
      </w:r>
      <w:r>
        <w:rPr>
          <w:rFonts w:hint="eastAsia"/>
        </w:rPr>
        <w:t>”。</w:t>
      </w:r>
    </w:p>
    <w:p w:rsidR="00000000" w:rsidRDefault="0031739B">
      <w:pPr>
        <w:pStyle w:val="Heading3"/>
      </w:pPr>
      <w:r>
        <w:rPr>
          <w:u w:val="none"/>
        </w:rPr>
        <w:t xml:space="preserve">D.  </w:t>
      </w:r>
      <w:r>
        <w:rPr>
          <w:rFonts w:hint="eastAsia"/>
        </w:rPr>
        <w:t>第</w:t>
      </w:r>
      <w:r>
        <w:t xml:space="preserve"> 9 </w:t>
      </w:r>
      <w:r>
        <w:rPr>
          <w:rFonts w:hint="eastAsia"/>
        </w:rPr>
        <w:t>条</w:t>
      </w:r>
    </w:p>
    <w:p w:rsidR="00000000" w:rsidRDefault="0031739B">
      <w:pPr>
        <w:spacing w:after="320"/>
        <w:textAlignment w:val="center"/>
      </w:pPr>
      <w:r>
        <w:tab/>
        <w:t xml:space="preserve">82.  </w:t>
      </w:r>
      <w:r>
        <w:rPr>
          <w:rFonts w:hint="eastAsia"/>
        </w:rPr>
        <w:t>政府实行社会保险，提供医疗保健、受伤或疾病津贴、产妇津贴、老年养恤金、残疾人津贴、幸存者津贴、家庭补助、工业事故津贴和失业津贴。日本于</w:t>
      </w:r>
      <w:r>
        <w:t>1974</w:t>
      </w:r>
      <w:r>
        <w:rPr>
          <w:rFonts w:hint="eastAsia"/>
        </w:rPr>
        <w:t>年</w:t>
      </w:r>
      <w:r>
        <w:t>6</w:t>
      </w:r>
      <w:r>
        <w:rPr>
          <w:rFonts w:hint="eastAsia"/>
        </w:rPr>
        <w:t>月批准了劳工组织第</w:t>
      </w:r>
      <w:r>
        <w:t>121</w:t>
      </w:r>
      <w:r>
        <w:rPr>
          <w:rFonts w:hint="eastAsia"/>
        </w:rPr>
        <w:t>号公约</w:t>
      </w:r>
      <w:r>
        <w:t>(</w:t>
      </w:r>
      <w:r>
        <w:rPr>
          <w:rFonts w:hint="eastAsia"/>
        </w:rPr>
        <w:t>工伤事故津贴公约</w:t>
      </w:r>
      <w:r>
        <w:t>)</w:t>
      </w:r>
      <w:r>
        <w:rPr>
          <w:rFonts w:hint="eastAsia"/>
        </w:rPr>
        <w:t>；</w:t>
      </w:r>
      <w:r>
        <w:t>1976</w:t>
      </w:r>
      <w:r>
        <w:rPr>
          <w:rFonts w:hint="eastAsia"/>
        </w:rPr>
        <w:t>年</w:t>
      </w:r>
      <w:r>
        <w:t>2</w:t>
      </w:r>
      <w:r>
        <w:rPr>
          <w:rFonts w:hint="eastAsia"/>
        </w:rPr>
        <w:t>月批准了第</w:t>
      </w:r>
      <w:r>
        <w:t>102</w:t>
      </w:r>
      <w:r>
        <w:rPr>
          <w:rFonts w:hint="eastAsia"/>
        </w:rPr>
        <w:t>号公约</w:t>
      </w:r>
      <w:r>
        <w:t>(</w:t>
      </w:r>
      <w:r>
        <w:rPr>
          <w:rFonts w:hint="eastAsia"/>
        </w:rPr>
        <w:t>社会保障最低标准公约</w:t>
      </w:r>
      <w:r>
        <w:t>)</w:t>
      </w:r>
      <w:r>
        <w:rPr>
          <w:rFonts w:hint="eastAsia"/>
        </w:rPr>
        <w:t>，承认提供事故或疾病津贴、失业津贴、老年津贴和工伤事故津贴的义务。有关这些公约的执行情况，参见分别于</w:t>
      </w:r>
      <w:r>
        <w:t>1993</w:t>
      </w:r>
      <w:r>
        <w:rPr>
          <w:rFonts w:hint="eastAsia"/>
        </w:rPr>
        <w:t>年和</w:t>
      </w:r>
      <w:r>
        <w:t>1996</w:t>
      </w:r>
      <w:r>
        <w:rPr>
          <w:rFonts w:hint="eastAsia"/>
        </w:rPr>
        <w:t>年提交劳工组织的报告。</w:t>
      </w:r>
    </w:p>
    <w:p w:rsidR="00000000" w:rsidRDefault="0031739B">
      <w:pPr>
        <w:pStyle w:val="Heading3"/>
      </w:pPr>
      <w:r>
        <w:rPr>
          <w:u w:val="none"/>
        </w:rPr>
        <w:t xml:space="preserve">1.  </w:t>
      </w:r>
      <w:r>
        <w:rPr>
          <w:rFonts w:hint="eastAsia"/>
        </w:rPr>
        <w:t>医疗保健、受伤或疾病津贴和产妇津贴</w:t>
      </w:r>
    </w:p>
    <w:p w:rsidR="00000000" w:rsidRDefault="0031739B">
      <w:pPr>
        <w:spacing w:after="240"/>
        <w:textAlignment w:val="center"/>
      </w:pPr>
      <w:r>
        <w:tab/>
        <w:t xml:space="preserve">83.  </w:t>
      </w:r>
      <w:r>
        <w:rPr>
          <w:rFonts w:hint="eastAsia"/>
        </w:rPr>
        <w:t>医疗保健、受伤或疾</w:t>
      </w:r>
      <w:r>
        <w:rPr>
          <w:rFonts w:hint="eastAsia"/>
        </w:rPr>
        <w:t>病津贴和产妇津贴由医疗保险制度予以保证。还通过全国和地方政府的一般财源提供一项公共援助计划</w:t>
      </w:r>
      <w:r>
        <w:t>(</w:t>
      </w:r>
      <w:r>
        <w:rPr>
          <w:rFonts w:hint="eastAsia"/>
        </w:rPr>
        <w:t>生活援助</w:t>
      </w:r>
      <w:r>
        <w:t>)</w:t>
      </w:r>
      <w:r>
        <w:rPr>
          <w:rFonts w:hint="eastAsia"/>
        </w:rPr>
        <w:t>。</w:t>
      </w:r>
    </w:p>
    <w:p w:rsidR="00000000" w:rsidRDefault="0031739B">
      <w:pPr>
        <w:pStyle w:val="Heading4"/>
      </w:pPr>
      <w:r>
        <w:rPr>
          <w:u w:val="none"/>
        </w:rPr>
        <w:t>(a)</w:t>
      </w:r>
      <w:r>
        <w:rPr>
          <w:u w:val="none"/>
        </w:rPr>
        <w:tab/>
      </w:r>
      <w:r>
        <w:rPr>
          <w:rFonts w:hint="eastAsia"/>
        </w:rPr>
        <w:t>医疗保险制度的内容</w:t>
      </w:r>
    </w:p>
    <w:p w:rsidR="00000000" w:rsidRDefault="0031739B">
      <w:r>
        <w:tab/>
        <w:t xml:space="preserve">84.  </w:t>
      </w:r>
      <w:r>
        <w:rPr>
          <w:rFonts w:hint="eastAsia"/>
        </w:rPr>
        <w:t>现行医疗保险制度包含</w:t>
      </w:r>
      <w:r>
        <w:t>6</w:t>
      </w:r>
      <w:r>
        <w:rPr>
          <w:rFonts w:hint="eastAsia"/>
        </w:rPr>
        <w:t>个不同的计划，即健康保险；海员保险；全国公共雇员、地方公务雇员和私立学校教职员的三项互助计划和全国健康保险。前</w:t>
      </w:r>
      <w:r>
        <w:t>5</w:t>
      </w:r>
      <w:r>
        <w:rPr>
          <w:rFonts w:hint="eastAsia"/>
        </w:rPr>
        <w:t>项计划是为受雇人员及家属制定的雇员保险计划，而最后一项是为雇员保险计划没有包括的人员制定的社区保险计划。这一复杂的制度反映了日本医疗保险制度是在社区和就业部门基础上形成和发展的。社区保险计划的对象是不受雇员保险计划保险的人。该计划由</w:t>
      </w:r>
      <w:r>
        <w:rPr>
          <w:rFonts w:hint="eastAsia"/>
        </w:rPr>
        <w:t>地方当局</w:t>
      </w:r>
      <w:r>
        <w:t>(</w:t>
      </w:r>
      <w:r>
        <w:rPr>
          <w:rFonts w:hint="eastAsia"/>
        </w:rPr>
        <w:t>城、镇或村庄</w:t>
      </w:r>
      <w:r>
        <w:t>)</w:t>
      </w:r>
      <w:r>
        <w:rPr>
          <w:rFonts w:hint="eastAsia"/>
        </w:rPr>
        <w:t>、或全国健康保险协会管理，协会由同业的一组人员如医生或木匠组成。下文概述了健康保险和全国健康保险计划提供的主要服务，其范围涵盖大部分人口</w:t>
      </w:r>
      <w:r>
        <w:t>(</w:t>
      </w:r>
      <w:r>
        <w:rPr>
          <w:rFonts w:hint="eastAsia"/>
        </w:rPr>
        <w:t>这些主要服务与初步报告基本相同；然而，修改后的法律改变了受益者支付的比例和涵盖的期间</w:t>
      </w:r>
      <w:r>
        <w:t>)</w:t>
      </w:r>
      <w:r>
        <w:rPr>
          <w:rFonts w:hint="eastAsia"/>
        </w:rPr>
        <w:t>。</w:t>
      </w:r>
    </w:p>
    <w:p w:rsidR="00000000" w:rsidRDefault="0031739B">
      <w:r>
        <w:tab/>
        <w:t xml:space="preserve">85.  </w:t>
      </w:r>
      <w:r>
        <w:rPr>
          <w:rFonts w:hint="eastAsia"/>
          <w:u w:val="single"/>
        </w:rPr>
        <w:t>医疗保健</w:t>
      </w:r>
      <w:r>
        <w:rPr>
          <w:rFonts w:hint="eastAsia"/>
        </w:rPr>
        <w:t>。根据两种计划提供的医疗保健包括医疗、手术、住院、护理、口腔保健、药物等。根据健康保险计划，病人支付</w:t>
      </w:r>
      <w:r>
        <w:t>20%</w:t>
      </w:r>
      <w:r>
        <w:rPr>
          <w:rFonts w:hint="eastAsia"/>
        </w:rPr>
        <w:t>的医疗费用</w:t>
      </w:r>
      <w:r>
        <w:t>(</w:t>
      </w:r>
      <w:r>
        <w:rPr>
          <w:rFonts w:hint="eastAsia"/>
        </w:rPr>
        <w:t>家属为</w:t>
      </w:r>
      <w:r>
        <w:t>30%,</w:t>
      </w:r>
      <w:r>
        <w:rPr>
          <w:rFonts w:hint="eastAsia"/>
        </w:rPr>
        <w:t>住院费病人承担</w:t>
      </w:r>
      <w:r>
        <w:t>20%)</w:t>
      </w:r>
      <w:r>
        <w:rPr>
          <w:rFonts w:hint="eastAsia"/>
        </w:rPr>
        <w:t>。根据全国健康保险计划，病人支付所有医疗费用的</w:t>
      </w:r>
      <w:r>
        <w:t>30%</w:t>
      </w:r>
      <w:r>
        <w:rPr>
          <w:rFonts w:hint="eastAsia"/>
        </w:rPr>
        <w:t>。然而，全国保险计划设立了高费用医</w:t>
      </w:r>
      <w:r>
        <w:rPr>
          <w:rFonts w:hint="eastAsia"/>
        </w:rPr>
        <w:t>疗保健津贴制度，它支付任何一个月内病人医疗费用超过</w:t>
      </w:r>
      <w:r>
        <w:t>63,600</w:t>
      </w:r>
      <w:r>
        <w:rPr>
          <w:rFonts w:hint="eastAsia"/>
        </w:rPr>
        <w:t>日元的差额。</w:t>
      </w:r>
    </w:p>
    <w:p w:rsidR="00000000" w:rsidRDefault="0031739B">
      <w:r>
        <w:tab/>
        <w:t xml:space="preserve">86.  </w:t>
      </w:r>
      <w:r>
        <w:rPr>
          <w:rFonts w:hint="eastAsia"/>
          <w:u w:val="single"/>
        </w:rPr>
        <w:t>疾病津贴</w:t>
      </w:r>
      <w:r>
        <w:rPr>
          <w:rFonts w:hint="eastAsia"/>
        </w:rPr>
        <w:t>。当一个人因受伤或疾病而不能工作，健康保险制度提供标准月收入的</w:t>
      </w:r>
      <w:r>
        <w:t>60%(</w:t>
      </w:r>
      <w:r>
        <w:rPr>
          <w:rFonts w:hint="eastAsia"/>
        </w:rPr>
        <w:t>以投保人基本月薪</w:t>
      </w:r>
      <w:r>
        <w:t>/</w:t>
      </w:r>
      <w:r>
        <w:rPr>
          <w:rFonts w:hint="eastAsia"/>
        </w:rPr>
        <w:t>工资为基础来确定</w:t>
      </w:r>
      <w:r>
        <w:t>)</w:t>
      </w:r>
      <w:r>
        <w:rPr>
          <w:rFonts w:hint="eastAsia"/>
        </w:rPr>
        <w:t>，作为疾病或受伤津贴，从第四天算起，最长为</w:t>
      </w:r>
      <w:r>
        <w:t>18</w:t>
      </w:r>
      <w:r>
        <w:rPr>
          <w:rFonts w:hint="eastAsia"/>
        </w:rPr>
        <w:t>个月。就全国健康保险计划而言，根据法律这些津贴属自愿性质；然而在实际中，多数全国健康保险协会提供这种疾病津贴。</w:t>
      </w:r>
    </w:p>
    <w:p w:rsidR="00000000" w:rsidRDefault="0031739B">
      <w:pPr>
        <w:spacing w:after="240"/>
        <w:textAlignment w:val="center"/>
      </w:pPr>
      <w:r>
        <w:tab/>
        <w:t xml:space="preserve">87.  </w:t>
      </w:r>
      <w:r>
        <w:rPr>
          <w:rFonts w:hint="eastAsia"/>
          <w:u w:val="single"/>
        </w:rPr>
        <w:t>产妇津贴</w:t>
      </w:r>
      <w:r>
        <w:rPr>
          <w:rFonts w:hint="eastAsia"/>
        </w:rPr>
        <w:t>。健康保险计划提供标准月收入的</w:t>
      </w:r>
      <w:r>
        <w:t>60%</w:t>
      </w:r>
      <w:r>
        <w:rPr>
          <w:rFonts w:hint="eastAsia"/>
        </w:rPr>
        <w:t>，作为分娩前</w:t>
      </w:r>
      <w:r>
        <w:t>42</w:t>
      </w:r>
      <w:r>
        <w:rPr>
          <w:rFonts w:hint="eastAsia"/>
        </w:rPr>
        <w:t>天和分娩后</w:t>
      </w:r>
      <w:r>
        <w:t>56</w:t>
      </w:r>
      <w:r>
        <w:rPr>
          <w:rFonts w:hint="eastAsia"/>
        </w:rPr>
        <w:t>天的产妇津贴。此外，还有一笔</w:t>
      </w:r>
      <w:r>
        <w:t>30</w:t>
      </w:r>
      <w:r>
        <w:rPr>
          <w:rFonts w:hint="eastAsia"/>
        </w:rPr>
        <w:t>万日元的一次性分娩和哺乳津贴</w:t>
      </w:r>
      <w:r>
        <w:t>(</w:t>
      </w:r>
      <w:r>
        <w:rPr>
          <w:rFonts w:hint="eastAsia"/>
        </w:rPr>
        <w:t>给配</w:t>
      </w:r>
      <w:r>
        <w:rPr>
          <w:rFonts w:hint="eastAsia"/>
        </w:rPr>
        <w:t>偶提供一次性配偶分娩和哺乳津贴</w:t>
      </w:r>
      <w:r>
        <w:t>)</w:t>
      </w:r>
      <w:r>
        <w:rPr>
          <w:rFonts w:hint="eastAsia"/>
        </w:rPr>
        <w:t>。而根据全国健康保险计划，赠款细节根据每一城、镇和村庄的法令决定；然而，几乎所有计划都支付</w:t>
      </w:r>
      <w:r>
        <w:t>30</w:t>
      </w:r>
      <w:r>
        <w:rPr>
          <w:rFonts w:hint="eastAsia"/>
        </w:rPr>
        <w:t>万日元的一次性分娩和哺乳津贴。</w:t>
      </w:r>
    </w:p>
    <w:p w:rsidR="00000000" w:rsidRDefault="0031739B">
      <w:pPr>
        <w:pStyle w:val="Heading4"/>
      </w:pPr>
      <w:r>
        <w:rPr>
          <w:u w:val="none"/>
        </w:rPr>
        <w:t>(b)</w:t>
      </w:r>
      <w:r>
        <w:rPr>
          <w:u w:val="none"/>
        </w:rPr>
        <w:tab/>
      </w:r>
      <w:r>
        <w:rPr>
          <w:rFonts w:hint="eastAsia"/>
        </w:rPr>
        <w:t>医疗保险制度的财务结构</w:t>
      </w:r>
    </w:p>
    <w:p w:rsidR="00000000" w:rsidRDefault="0031739B">
      <w:r>
        <w:tab/>
        <w:t xml:space="preserve">88.  </w:t>
      </w:r>
      <w:r>
        <w:rPr>
          <w:rFonts w:hint="eastAsia"/>
          <w:u w:val="single"/>
        </w:rPr>
        <w:t>健康保险</w:t>
      </w:r>
      <w:r>
        <w:rPr>
          <w:rFonts w:hint="eastAsia"/>
        </w:rPr>
        <w:t>。个人保险费的数额以投保人标准月收入乘以保险费率计算，并原则上由投保人及其雇主各付一半。截至</w:t>
      </w:r>
      <w:r>
        <w:t>1997</w:t>
      </w:r>
      <w:r>
        <w:rPr>
          <w:rFonts w:hint="eastAsia"/>
        </w:rPr>
        <w:t>年</w:t>
      </w:r>
      <w:r>
        <w:t>3</w:t>
      </w:r>
      <w:r>
        <w:rPr>
          <w:rFonts w:hint="eastAsia"/>
        </w:rPr>
        <w:t>月底，由政府管理的健康保险计划的保险费率为</w:t>
      </w:r>
      <w:r>
        <w:t>8.2%</w:t>
      </w:r>
      <w:r>
        <w:rPr>
          <w:rFonts w:hint="eastAsia"/>
        </w:rPr>
        <w:t>，而由协会管理的健康保险计划为</w:t>
      </w:r>
      <w:r>
        <w:t>8.394%</w:t>
      </w:r>
      <w:r>
        <w:rPr>
          <w:rFonts w:hint="eastAsia"/>
        </w:rPr>
        <w:t>。这些计划的行政费用由政府支付。根据政府管理的健康保险计划，保险津贴费用的</w:t>
      </w:r>
      <w:r>
        <w:t>13%</w:t>
      </w:r>
      <w:r>
        <w:rPr>
          <w:rFonts w:hint="eastAsia"/>
        </w:rPr>
        <w:t>，如医疗、家属医疗津贴、疾</w:t>
      </w:r>
      <w:r>
        <w:rPr>
          <w:rFonts w:hint="eastAsia"/>
        </w:rPr>
        <w:t>病或受伤津贴、产妇津贴和高费用医疗津贴</w:t>
      </w:r>
      <w:r>
        <w:t>(</w:t>
      </w:r>
      <w:r>
        <w:rPr>
          <w:rFonts w:hint="eastAsia"/>
        </w:rPr>
        <w:t>包括家属津贴</w:t>
      </w:r>
      <w:r>
        <w:t>)</w:t>
      </w:r>
      <w:r>
        <w:rPr>
          <w:rFonts w:hint="eastAsia"/>
        </w:rPr>
        <w:t>均由国库支付。</w:t>
      </w:r>
    </w:p>
    <w:p w:rsidR="00000000" w:rsidRDefault="0031739B">
      <w:r>
        <w:tab/>
        <w:t xml:space="preserve">89.  </w:t>
      </w:r>
      <w:r>
        <w:rPr>
          <w:rFonts w:hint="eastAsia"/>
          <w:u w:val="single"/>
        </w:rPr>
        <w:t>全国健康保险</w:t>
      </w:r>
      <w:r>
        <w:rPr>
          <w:rFonts w:hint="eastAsia"/>
        </w:rPr>
        <w:t>。根据全国健康保险计划，保险费由投保人家庭支付。保险费数额原则上是收入、不动产、人头税</w:t>
      </w:r>
      <w:r>
        <w:t>(</w:t>
      </w:r>
      <w:r>
        <w:rPr>
          <w:rFonts w:hint="eastAsia"/>
        </w:rPr>
        <w:t>固定数额乘以家庭人数</w:t>
      </w:r>
      <w:r>
        <w:t>)</w:t>
      </w:r>
      <w:r>
        <w:rPr>
          <w:rFonts w:hint="eastAsia"/>
        </w:rPr>
        <w:t>和户税</w:t>
      </w:r>
      <w:r>
        <w:t>(</w:t>
      </w:r>
      <w:r>
        <w:rPr>
          <w:rFonts w:hint="eastAsia"/>
        </w:rPr>
        <w:t>各户一样</w:t>
      </w:r>
      <w:r>
        <w:t>)</w:t>
      </w:r>
      <w:r>
        <w:rPr>
          <w:rFonts w:hint="eastAsia"/>
        </w:rPr>
        <w:t>之和的百分比。任何一户每年支付保险费不得超过</w:t>
      </w:r>
      <w:r>
        <w:t>53</w:t>
      </w:r>
      <w:r>
        <w:rPr>
          <w:rFonts w:hint="eastAsia"/>
        </w:rPr>
        <w:t>万日元。</w:t>
      </w:r>
      <w:r>
        <w:t>50%</w:t>
      </w:r>
      <w:r>
        <w:rPr>
          <w:rFonts w:hint="eastAsia"/>
        </w:rPr>
        <w:t>的津贴由国库承担；此外还提供其它国家补贴，如支助地方政府财务的赠款。</w:t>
      </w:r>
    </w:p>
    <w:p w:rsidR="00000000" w:rsidRDefault="0031739B">
      <w:pPr>
        <w:spacing w:after="320"/>
        <w:textAlignment w:val="center"/>
      </w:pPr>
      <w:r>
        <w:tab/>
        <w:t xml:space="preserve">90.  </w:t>
      </w:r>
      <w:r>
        <w:rPr>
          <w:rFonts w:hint="eastAsia"/>
          <w:u w:val="single"/>
        </w:rPr>
        <w:t>老年人健康和医疗服务</w:t>
      </w:r>
      <w:r>
        <w:rPr>
          <w:rFonts w:hint="eastAsia"/>
        </w:rPr>
        <w:t>。颁布老年人健康和医疗服务法旨在提供全面健康服务，包括对病人的预防性照顾、治疗和康复，以便在认识到人口老化加剧的同时确保老龄公</w:t>
      </w:r>
      <w:r>
        <w:rPr>
          <w:rFonts w:hint="eastAsia"/>
        </w:rPr>
        <w:t>民得到适当的医疗和保健。该法是建立在公民自力更生和团结精神的基础之上。这些健康服务由城、镇、村庄以及离社区居民最近的行政机构共同承担，费用一部分由病人支付，一部分通过公共开支或医疗保险者付款承担。因此费用负担由全国公平承担。但是，由于人口迅速发展和经济形势萧条，随之老年人医疗开支增加，青年一代的负担正变得过于沉重。因此，日本目前正对制度进行必要的修改，以便各代人公平分担重任，并为老年人确定适当和有效的医疗费用，同时仍然按老年人特殊需要保证提供适当健康医疗服务。</w:t>
      </w:r>
    </w:p>
    <w:p w:rsidR="00000000" w:rsidRDefault="0031739B">
      <w:pPr>
        <w:pStyle w:val="Heading3"/>
      </w:pPr>
      <w:r>
        <w:rPr>
          <w:u w:val="none"/>
        </w:rPr>
        <w:t xml:space="preserve">2.  </w:t>
      </w:r>
      <w:r>
        <w:rPr>
          <w:rFonts w:hint="eastAsia"/>
        </w:rPr>
        <w:t>老年津贴、残疾人津贴和幸存者津贴</w:t>
      </w:r>
    </w:p>
    <w:p w:rsidR="00000000" w:rsidRDefault="0031739B">
      <w:r>
        <w:tab/>
        <w:t>9</w:t>
      </w:r>
      <w:r>
        <w:t xml:space="preserve">1.  </w:t>
      </w:r>
      <w:r>
        <w:rPr>
          <w:rFonts w:hint="eastAsia"/>
        </w:rPr>
        <w:t>老年津贴、残疾人津贴和幸存者津贴是根据公共养老金计划提供的，它适用于日本所有居民</w:t>
      </w:r>
      <w:r>
        <w:t>(</w:t>
      </w:r>
      <w:r>
        <w:rPr>
          <w:rFonts w:hint="eastAsia"/>
        </w:rPr>
        <w:t>国籍要求于</w:t>
      </w:r>
      <w:r>
        <w:t>1982</w:t>
      </w:r>
      <w:r>
        <w:rPr>
          <w:rFonts w:hint="eastAsia"/>
        </w:rPr>
        <w:t>年</w:t>
      </w:r>
      <w:r>
        <w:t>1</w:t>
      </w:r>
      <w:r>
        <w:rPr>
          <w:rFonts w:hint="eastAsia"/>
        </w:rPr>
        <w:t>月取消</w:t>
      </w:r>
      <w:r>
        <w:t>)</w:t>
      </w:r>
      <w:r>
        <w:rPr>
          <w:rFonts w:hint="eastAsia"/>
        </w:rPr>
        <w:t>。还依据工作类型和社区提供公司和个人养老金。提供这些养老金是作为一种手段，通过自助努力丰富老年人生活，而公共养老金旨在确保个人生计的基本部分。因此这些计划互相补充。</w:t>
      </w:r>
    </w:p>
    <w:p w:rsidR="00000000" w:rsidRDefault="0031739B">
      <w:pPr>
        <w:spacing w:after="240"/>
        <w:textAlignment w:val="center"/>
      </w:pPr>
      <w:r>
        <w:tab/>
        <w:t xml:space="preserve">92.  </w:t>
      </w:r>
      <w:r>
        <w:rPr>
          <w:rFonts w:hint="eastAsia"/>
        </w:rPr>
        <w:t>公共养老金计划有两种类型：全国养老金计划向所有受益者提供共同的基本养老金；雇员养老金计划按工资比例提供养老金。后者包括为一般雇员的雇员养老金保险计划和为全国公共服务部门雇员、地方公共服务雇员和私立学校教职员以及农、</w:t>
      </w:r>
      <w:r>
        <w:rPr>
          <w:rFonts w:hint="eastAsia"/>
        </w:rPr>
        <w:t>林、渔业协会雇员互助养老金计划。下文介绍全国养老金计划和雇员养老金保险计划大纲，前者适用于除公司雇员以外的整个人口；后者适用于所有雇员的约</w:t>
      </w:r>
      <w:r>
        <w:t>85%</w:t>
      </w:r>
      <w:r>
        <w:rPr>
          <w:rFonts w:hint="eastAsia"/>
        </w:rPr>
        <w:t>。这一大纲基本上与初次报告提出的一样。</w:t>
      </w:r>
      <w:r>
        <w:t>1985</w:t>
      </w:r>
      <w:r>
        <w:rPr>
          <w:rFonts w:hint="eastAsia"/>
        </w:rPr>
        <w:t>、</w:t>
      </w:r>
      <w:r>
        <w:t>1989</w:t>
      </w:r>
      <w:r>
        <w:rPr>
          <w:rFonts w:hint="eastAsia"/>
        </w:rPr>
        <w:t>和</w:t>
      </w:r>
      <w:r>
        <w:t>1994</w:t>
      </w:r>
      <w:r>
        <w:rPr>
          <w:rFonts w:hint="eastAsia"/>
        </w:rPr>
        <w:t>年对养老金计划进行了改革，使各计划之间的津贴和支付平等并为妇女规定养老金权利</w:t>
      </w:r>
      <w:r>
        <w:t>(</w:t>
      </w:r>
      <w:r>
        <w:rPr>
          <w:rFonts w:hint="eastAsia"/>
        </w:rPr>
        <w:t>保证所有妇女以自身名义领取基本津贴</w:t>
      </w:r>
      <w:r>
        <w:t>)</w:t>
      </w:r>
      <w:r>
        <w:rPr>
          <w:rFonts w:hint="eastAsia"/>
        </w:rPr>
        <w:t>。</w:t>
      </w:r>
    </w:p>
    <w:p w:rsidR="00000000" w:rsidRDefault="0031739B">
      <w:pPr>
        <w:pStyle w:val="Heading4"/>
      </w:pPr>
      <w:r>
        <w:rPr>
          <w:u w:val="none"/>
        </w:rPr>
        <w:t>(a)</w:t>
      </w:r>
      <w:r>
        <w:rPr>
          <w:u w:val="none"/>
        </w:rPr>
        <w:tab/>
      </w:r>
      <w:r>
        <w:rPr>
          <w:rFonts w:hint="eastAsia"/>
        </w:rPr>
        <w:t>全国养老金计划</w:t>
      </w:r>
    </w:p>
    <w:p w:rsidR="00000000" w:rsidRDefault="0031739B">
      <w:pPr>
        <w:spacing w:after="320"/>
        <w:textAlignment w:val="center"/>
      </w:pPr>
      <w:r>
        <w:tab/>
        <w:t xml:space="preserve">93.  </w:t>
      </w:r>
      <w:r>
        <w:rPr>
          <w:rFonts w:hint="eastAsia"/>
        </w:rPr>
        <w:t>全国养老金计划适用于</w:t>
      </w:r>
      <w:r>
        <w:t>20</w:t>
      </w:r>
      <w:r>
        <w:rPr>
          <w:rFonts w:hint="eastAsia"/>
        </w:rPr>
        <w:t>至</w:t>
      </w:r>
      <w:r>
        <w:t>59</w:t>
      </w:r>
      <w:r>
        <w:rPr>
          <w:rFonts w:hint="eastAsia"/>
        </w:rPr>
        <w:t>岁的所有日本居民。根据雇员养老金计划保险的人的配偶</w:t>
      </w:r>
      <w:r>
        <w:t>(</w:t>
      </w:r>
      <w:r>
        <w:rPr>
          <w:rFonts w:hint="eastAsia"/>
        </w:rPr>
        <w:t>家庭妇女等</w:t>
      </w:r>
      <w:r>
        <w:t>)</w:t>
      </w:r>
      <w:r>
        <w:rPr>
          <w:rFonts w:hint="eastAsia"/>
        </w:rPr>
        <w:t>也单独保险。全国养老金津贴包括</w:t>
      </w:r>
      <w:r>
        <w:t>(</w:t>
      </w:r>
      <w:r>
        <w:rPr>
          <w:rFonts w:hint="eastAsia"/>
        </w:rPr>
        <w:t>一</w:t>
      </w:r>
      <w:r>
        <w:t xml:space="preserve">) </w:t>
      </w:r>
      <w:r>
        <w:rPr>
          <w:rFonts w:hint="eastAsia"/>
        </w:rPr>
        <w:t>基本老年养老金，</w:t>
      </w:r>
      <w:r>
        <w:rPr>
          <w:rFonts w:hint="eastAsia"/>
        </w:rPr>
        <w:t>支付给</w:t>
      </w:r>
      <w:r>
        <w:t>65</w:t>
      </w:r>
      <w:r>
        <w:rPr>
          <w:rFonts w:hint="eastAsia"/>
        </w:rPr>
        <w:t>岁以上、参加养老金</w:t>
      </w:r>
      <w:r>
        <w:t>25</w:t>
      </w:r>
      <w:r>
        <w:rPr>
          <w:rFonts w:hint="eastAsia"/>
        </w:rPr>
        <w:t>年或以上者</w:t>
      </w:r>
      <w:r>
        <w:t>(</w:t>
      </w:r>
      <w:r>
        <w:rPr>
          <w:rFonts w:hint="eastAsia"/>
        </w:rPr>
        <w:t>自</w:t>
      </w:r>
      <w:r>
        <w:t>1998</w:t>
      </w:r>
      <w:r>
        <w:rPr>
          <w:rFonts w:hint="eastAsia"/>
        </w:rPr>
        <w:t>年</w:t>
      </w:r>
      <w:r>
        <w:t>4</w:t>
      </w:r>
      <w:r>
        <w:rPr>
          <w:rFonts w:hint="eastAsia"/>
        </w:rPr>
        <w:t>月以来每月为</w:t>
      </w:r>
      <w:r>
        <w:t>66,625</w:t>
      </w:r>
      <w:r>
        <w:rPr>
          <w:rFonts w:hint="eastAsia"/>
        </w:rPr>
        <w:t>日元</w:t>
      </w:r>
      <w:r>
        <w:t>)</w:t>
      </w:r>
      <w:r>
        <w:rPr>
          <w:rFonts w:hint="eastAsia"/>
        </w:rPr>
        <w:t>；</w:t>
      </w:r>
      <w:r>
        <w:t>(</w:t>
      </w:r>
      <w:r>
        <w:rPr>
          <w:rFonts w:hint="eastAsia"/>
        </w:rPr>
        <w:t>二</w:t>
      </w:r>
      <w:r>
        <w:t xml:space="preserve">) </w:t>
      </w:r>
      <w:r>
        <w:rPr>
          <w:rFonts w:hint="eastAsia"/>
        </w:rPr>
        <w:t>残疾基本养恤金，根据残疾程度提供</w:t>
      </w:r>
      <w:r>
        <w:t>(</w:t>
      </w:r>
      <w:r>
        <w:rPr>
          <w:rFonts w:hint="eastAsia"/>
        </w:rPr>
        <w:t>自</w:t>
      </w:r>
      <w:r>
        <w:t>1998</w:t>
      </w:r>
      <w:r>
        <w:rPr>
          <w:rFonts w:hint="eastAsia"/>
        </w:rPr>
        <w:t>年</w:t>
      </w:r>
      <w:r>
        <w:t>4</w:t>
      </w:r>
      <w:r>
        <w:rPr>
          <w:rFonts w:hint="eastAsia"/>
        </w:rPr>
        <w:t>月以来第一等每月</w:t>
      </w:r>
      <w:r>
        <w:t>83,283</w:t>
      </w:r>
      <w:r>
        <w:rPr>
          <w:rFonts w:hint="eastAsia"/>
        </w:rPr>
        <w:t>日元；第二等</w:t>
      </w:r>
      <w:r>
        <w:t>66,625</w:t>
      </w:r>
      <w:r>
        <w:rPr>
          <w:rFonts w:hint="eastAsia"/>
        </w:rPr>
        <w:t>日元</w:t>
      </w:r>
      <w:r>
        <w:t>)</w:t>
      </w:r>
      <w:r>
        <w:rPr>
          <w:rFonts w:hint="eastAsia"/>
        </w:rPr>
        <w:t>；和</w:t>
      </w:r>
      <w:r>
        <w:t>(</w:t>
      </w:r>
      <w:r>
        <w:rPr>
          <w:rFonts w:hint="eastAsia"/>
        </w:rPr>
        <w:t>三</w:t>
      </w:r>
      <w:r>
        <w:t xml:space="preserve">) </w:t>
      </w:r>
      <w:r>
        <w:rPr>
          <w:rFonts w:hint="eastAsia"/>
        </w:rPr>
        <w:t>幸存者基本养恤金，提供给投保人或符合老年基本养老金资格者已故的家庭</w:t>
      </w:r>
      <w:r>
        <w:t>(</w:t>
      </w:r>
      <w:r>
        <w:rPr>
          <w:rFonts w:hint="eastAsia"/>
        </w:rPr>
        <w:t>自</w:t>
      </w:r>
      <w:r>
        <w:t>1998</w:t>
      </w:r>
      <w:r>
        <w:rPr>
          <w:rFonts w:hint="eastAsia"/>
        </w:rPr>
        <w:t>年</w:t>
      </w:r>
      <w:r>
        <w:t>4</w:t>
      </w:r>
      <w:r>
        <w:rPr>
          <w:rFonts w:hint="eastAsia"/>
        </w:rPr>
        <w:t>月以来每月为</w:t>
      </w:r>
      <w:r>
        <w:t>66,625</w:t>
      </w:r>
      <w:r>
        <w:rPr>
          <w:rFonts w:hint="eastAsia"/>
        </w:rPr>
        <w:t>日元，另根据儿童人数外加一笔款项</w:t>
      </w:r>
      <w:r>
        <w:t>)</w:t>
      </w:r>
      <w:r>
        <w:rPr>
          <w:rFonts w:hint="eastAsia"/>
        </w:rPr>
        <w:t>。资金来自投保人的保险费</w:t>
      </w:r>
      <w:r>
        <w:t>(1998</w:t>
      </w:r>
      <w:r>
        <w:rPr>
          <w:rFonts w:hint="eastAsia"/>
        </w:rPr>
        <w:t>财政年度每月为</w:t>
      </w:r>
      <w:r>
        <w:t>13,300</w:t>
      </w:r>
      <w:r>
        <w:rPr>
          <w:rFonts w:hint="eastAsia"/>
        </w:rPr>
        <w:t>日元</w:t>
      </w:r>
      <w:r>
        <w:t>)</w:t>
      </w:r>
      <w:r>
        <w:rPr>
          <w:rFonts w:hint="eastAsia"/>
        </w:rPr>
        <w:t>、雇员养老金保险计划的分担额以及国库</w:t>
      </w:r>
      <w:r>
        <w:t>(</w:t>
      </w:r>
      <w:r>
        <w:rPr>
          <w:rFonts w:hint="eastAsia"/>
        </w:rPr>
        <w:t>作为规则，义务份额为津贴费用的三分之一</w:t>
      </w:r>
      <w:r>
        <w:t>)</w:t>
      </w:r>
      <w:r>
        <w:rPr>
          <w:rFonts w:hint="eastAsia"/>
        </w:rPr>
        <w:t>。</w:t>
      </w:r>
    </w:p>
    <w:p w:rsidR="00000000" w:rsidRDefault="0031739B">
      <w:pPr>
        <w:pStyle w:val="Heading4"/>
      </w:pPr>
      <w:r>
        <w:rPr>
          <w:u w:val="none"/>
        </w:rPr>
        <w:t>(b)</w:t>
      </w:r>
      <w:r>
        <w:rPr>
          <w:u w:val="none"/>
        </w:rPr>
        <w:tab/>
      </w:r>
      <w:r>
        <w:rPr>
          <w:rFonts w:hint="eastAsia"/>
        </w:rPr>
        <w:t>雇员养老金保险计划</w:t>
      </w:r>
    </w:p>
    <w:p w:rsidR="00000000" w:rsidRDefault="0031739B">
      <w:pPr>
        <w:spacing w:after="320"/>
        <w:textAlignment w:val="center"/>
      </w:pPr>
      <w:r>
        <w:tab/>
        <w:t xml:space="preserve">94.  </w:t>
      </w:r>
      <w:r>
        <w:rPr>
          <w:rFonts w:hint="eastAsia"/>
        </w:rPr>
        <w:t>雇员养老金保险计划适用于私有部门公司的雇员。保险津贴包括</w:t>
      </w:r>
      <w:r>
        <w:t>(</w:t>
      </w:r>
      <w:r>
        <w:rPr>
          <w:rFonts w:hint="eastAsia"/>
        </w:rPr>
        <w:t>一</w:t>
      </w:r>
      <w:r>
        <w:t xml:space="preserve">) </w:t>
      </w:r>
      <w:r>
        <w:rPr>
          <w:rFonts w:hint="eastAsia"/>
        </w:rPr>
        <w:t>老年津贴，支付给</w:t>
      </w:r>
      <w:r>
        <w:t>60</w:t>
      </w:r>
      <w:r>
        <w:rPr>
          <w:rFonts w:hint="eastAsia"/>
        </w:rPr>
        <w:t>岁以上</w:t>
      </w:r>
      <w:r>
        <w:t>(</w:t>
      </w:r>
      <w:r>
        <w:rPr>
          <w:rFonts w:hint="eastAsia"/>
        </w:rPr>
        <w:t>妇女为</w:t>
      </w:r>
      <w:r>
        <w:t>59</w:t>
      </w:r>
      <w:r>
        <w:rPr>
          <w:rFonts w:hint="eastAsia"/>
        </w:rPr>
        <w:t>岁以上</w:t>
      </w:r>
      <w:r>
        <w:t>)</w:t>
      </w:r>
      <w:r>
        <w:rPr>
          <w:rFonts w:hint="eastAsia"/>
        </w:rPr>
        <w:t>，投保</w:t>
      </w:r>
      <w:r>
        <w:t>25</w:t>
      </w:r>
      <w:r>
        <w:rPr>
          <w:rFonts w:hint="eastAsia"/>
        </w:rPr>
        <w:t>年或以上者</w:t>
      </w:r>
      <w:r>
        <w:t>(</w:t>
      </w:r>
      <w:r>
        <w:rPr>
          <w:rFonts w:hint="eastAsia"/>
        </w:rPr>
        <w:t>数额取决于年龄、平均月标准报酬、月分担额、是否有配偶和</w:t>
      </w:r>
      <w:r>
        <w:t>/</w:t>
      </w:r>
      <w:r>
        <w:rPr>
          <w:rFonts w:hint="eastAsia"/>
        </w:rPr>
        <w:t>或子女</w:t>
      </w:r>
      <w:r>
        <w:t>)</w:t>
      </w:r>
      <w:r>
        <w:rPr>
          <w:rFonts w:hint="eastAsia"/>
        </w:rPr>
        <w:t>；</w:t>
      </w:r>
      <w:r>
        <w:t>(</w:t>
      </w:r>
      <w:r>
        <w:rPr>
          <w:rFonts w:hint="eastAsia"/>
        </w:rPr>
        <w:t>二</w:t>
      </w:r>
      <w:r>
        <w:t xml:space="preserve">) </w:t>
      </w:r>
      <w:r>
        <w:rPr>
          <w:rFonts w:hint="eastAsia"/>
        </w:rPr>
        <w:t>残疾人津贴，支付给投保后因病伤而致残者</w:t>
      </w:r>
      <w:r>
        <w:t>(</w:t>
      </w:r>
      <w:r>
        <w:rPr>
          <w:rFonts w:hint="eastAsia"/>
        </w:rPr>
        <w:t>数额取决于平均月标准报酬、月分担额和残疾程度；然而每月最低保证为</w:t>
      </w:r>
      <w:r>
        <w:t>49,967</w:t>
      </w:r>
      <w:r>
        <w:rPr>
          <w:rFonts w:hint="eastAsia"/>
        </w:rPr>
        <w:t>日元</w:t>
      </w:r>
      <w:r>
        <w:t>)</w:t>
      </w:r>
      <w:r>
        <w:rPr>
          <w:rFonts w:hint="eastAsia"/>
        </w:rPr>
        <w:t>；和</w:t>
      </w:r>
      <w:r>
        <w:t>(</w:t>
      </w:r>
      <w:r>
        <w:rPr>
          <w:rFonts w:hint="eastAsia"/>
        </w:rPr>
        <w:t>三</w:t>
      </w:r>
      <w:r>
        <w:t xml:space="preserve">) </w:t>
      </w:r>
      <w:r>
        <w:rPr>
          <w:rFonts w:hint="eastAsia"/>
        </w:rPr>
        <w:t>幸存者津贴，提供给投保人或符合基本老年养老金资格者已故的家庭</w:t>
      </w:r>
      <w:r>
        <w:t>(</w:t>
      </w:r>
      <w:r>
        <w:rPr>
          <w:rFonts w:hint="eastAsia"/>
        </w:rPr>
        <w:t>数额取决于平均月标准报酬和月分担额</w:t>
      </w:r>
      <w:r>
        <w:t>)</w:t>
      </w:r>
      <w:r>
        <w:rPr>
          <w:rFonts w:hint="eastAsia"/>
        </w:rPr>
        <w:t>。资金来自雇员和雇主平均支付的保险费。保险</w:t>
      </w:r>
      <w:r>
        <w:rPr>
          <w:rFonts w:hint="eastAsia"/>
        </w:rPr>
        <w:t>费率</w:t>
      </w:r>
      <w:r>
        <w:t>(</w:t>
      </w:r>
      <w:r>
        <w:rPr>
          <w:rFonts w:hint="eastAsia"/>
        </w:rPr>
        <w:t>自</w:t>
      </w:r>
      <w:r>
        <w:t>1996</w:t>
      </w:r>
      <w:r>
        <w:rPr>
          <w:rFonts w:hint="eastAsia"/>
        </w:rPr>
        <w:t>年</w:t>
      </w:r>
      <w:r>
        <w:t>10</w:t>
      </w:r>
      <w:r>
        <w:rPr>
          <w:rFonts w:hint="eastAsia"/>
        </w:rPr>
        <w:t>月以来</w:t>
      </w:r>
      <w:r>
        <w:t>)</w:t>
      </w:r>
      <w:r>
        <w:rPr>
          <w:rFonts w:hint="eastAsia"/>
        </w:rPr>
        <w:t>为</w:t>
      </w:r>
      <w:r>
        <w:t>17.35%</w:t>
      </w:r>
      <w:r>
        <w:rPr>
          <w:rFonts w:hint="eastAsia"/>
        </w:rPr>
        <w:t>。</w:t>
      </w:r>
    </w:p>
    <w:p w:rsidR="00000000" w:rsidRDefault="0031739B">
      <w:pPr>
        <w:pStyle w:val="Heading3"/>
      </w:pPr>
      <w:r>
        <w:rPr>
          <w:u w:val="none"/>
        </w:rPr>
        <w:t xml:space="preserve">3.  </w:t>
      </w:r>
      <w:r>
        <w:rPr>
          <w:rFonts w:hint="eastAsia"/>
        </w:rPr>
        <w:t>家庭津贴</w:t>
      </w:r>
    </w:p>
    <w:p w:rsidR="00000000" w:rsidRDefault="0031739B">
      <w:r>
        <w:tab/>
        <w:t xml:space="preserve">95.  </w:t>
      </w:r>
      <w:r>
        <w:rPr>
          <w:rFonts w:hint="eastAsia"/>
        </w:rPr>
        <w:t>依据儿童津贴法，政府于</w:t>
      </w:r>
      <w:r>
        <w:t>1972</w:t>
      </w:r>
      <w:r>
        <w:rPr>
          <w:rFonts w:hint="eastAsia"/>
        </w:rPr>
        <w:t>年</w:t>
      </w:r>
      <w:r>
        <w:t>1</w:t>
      </w:r>
      <w:r>
        <w:rPr>
          <w:rFonts w:hint="eastAsia"/>
        </w:rPr>
        <w:t>月制定了儿童津贴计划，以便为家庭生活稳定作出贡献，并促进儿童健康成长。到</w:t>
      </w:r>
      <w:r>
        <w:t>1997</w:t>
      </w:r>
      <w:r>
        <w:rPr>
          <w:rFonts w:hint="eastAsia"/>
        </w:rPr>
        <w:t>年</w:t>
      </w:r>
      <w:r>
        <w:t>2</w:t>
      </w:r>
      <w:r>
        <w:rPr>
          <w:rFonts w:hint="eastAsia"/>
        </w:rPr>
        <w:t>月，受益人数为</w:t>
      </w:r>
      <w:r>
        <w:t>2,001,864</w:t>
      </w:r>
      <w:r>
        <w:rPr>
          <w:rFonts w:hint="eastAsia"/>
        </w:rPr>
        <w:t>人。初次报告概述了这种制度，然而此后作了下列修改</w:t>
      </w:r>
      <w:r>
        <w:t>(</w:t>
      </w:r>
      <w:r>
        <w:rPr>
          <w:rFonts w:hint="eastAsia"/>
        </w:rPr>
        <w:t>资金与过去一样</w:t>
      </w:r>
      <w:r>
        <w:t>)</w:t>
      </w:r>
      <w:r>
        <w:rPr>
          <w:rFonts w:hint="eastAsia"/>
        </w:rPr>
        <w:t>：</w:t>
      </w:r>
    </w:p>
    <w:p w:rsidR="00000000" w:rsidRDefault="0031739B" w:rsidP="0031739B">
      <w:pPr>
        <w:pStyle w:val="a0"/>
        <w:numPr>
          <w:ilvl w:val="0"/>
          <w:numId w:val="2"/>
        </w:numPr>
        <w:ind w:left="1531" w:hanging="510"/>
      </w:pPr>
      <w:r>
        <w:rPr>
          <w:rFonts w:hint="eastAsia"/>
        </w:rPr>
        <w:t>津贴支付给居住在日本</w:t>
      </w:r>
      <w:r>
        <w:t>(</w:t>
      </w:r>
      <w:r>
        <w:rPr>
          <w:rFonts w:hint="eastAsia"/>
        </w:rPr>
        <w:t>国籍要求于</w:t>
      </w:r>
      <w:r>
        <w:t>1982</w:t>
      </w:r>
      <w:r>
        <w:rPr>
          <w:rFonts w:hint="eastAsia"/>
        </w:rPr>
        <w:t>年</w:t>
      </w:r>
      <w:r>
        <w:t>1</w:t>
      </w:r>
      <w:r>
        <w:rPr>
          <w:rFonts w:hint="eastAsia"/>
        </w:rPr>
        <w:t>月取消</w:t>
      </w:r>
      <w:r>
        <w:t>)</w:t>
      </w:r>
      <w:r>
        <w:rPr>
          <w:rFonts w:hint="eastAsia"/>
        </w:rPr>
        <w:t>以及照顾和抚养符合津贴资格的儿童的家庭。然而，该津贴不支付给上一年的年收入高于政府法令规定数额的家庭</w:t>
      </w:r>
      <w:r>
        <w:t>(</w:t>
      </w:r>
      <w:r>
        <w:rPr>
          <w:rFonts w:hint="eastAsia"/>
        </w:rPr>
        <w:t>有三名被赡养者的家庭年收入为</w:t>
      </w:r>
      <w:r>
        <w:t>2,396,000</w:t>
      </w:r>
      <w:r>
        <w:rPr>
          <w:rFonts w:hint="eastAsia"/>
        </w:rPr>
        <w:t>日元者</w:t>
      </w:r>
      <w:r>
        <w:t>)</w:t>
      </w:r>
      <w:r>
        <w:rPr>
          <w:rFonts w:hint="eastAsia"/>
        </w:rPr>
        <w:t>。领取</w:t>
      </w:r>
      <w:r>
        <w:rPr>
          <w:rFonts w:hint="eastAsia"/>
        </w:rPr>
        <w:t>津贴的要求曾经是“有三名或三名以上</w:t>
      </w:r>
      <w:r>
        <w:t>18</w:t>
      </w:r>
      <w:r>
        <w:rPr>
          <w:rFonts w:hint="eastAsia"/>
        </w:rPr>
        <w:t>岁以下子女，其中至少一名未达完成义务教育的年龄</w:t>
      </w:r>
      <w:r>
        <w:t>(16</w:t>
      </w:r>
      <w:r>
        <w:rPr>
          <w:rFonts w:hint="eastAsia"/>
        </w:rPr>
        <w:t>岁以下</w:t>
      </w:r>
      <w:r>
        <w:t>)</w:t>
      </w:r>
      <w:r>
        <w:rPr>
          <w:rFonts w:hint="eastAsia"/>
        </w:rPr>
        <w:t>。”然而，</w:t>
      </w:r>
      <w:r>
        <w:t>1991</w:t>
      </w:r>
      <w:r>
        <w:rPr>
          <w:rFonts w:hint="eastAsia"/>
        </w:rPr>
        <w:t>年对儿童津贴法的修订将这一规定改为“</w:t>
      </w:r>
      <w:r>
        <w:t>3</w:t>
      </w:r>
      <w:r>
        <w:rPr>
          <w:rFonts w:hint="eastAsia"/>
        </w:rPr>
        <w:t>岁以下儿童”；</w:t>
      </w:r>
    </w:p>
    <w:p w:rsidR="00000000" w:rsidRDefault="0031739B" w:rsidP="0031739B">
      <w:pPr>
        <w:pStyle w:val="a0"/>
        <w:numPr>
          <w:ilvl w:val="0"/>
          <w:numId w:val="2"/>
        </w:numPr>
        <w:ind w:left="1531" w:hanging="510"/>
      </w:pPr>
      <w:r>
        <w:rPr>
          <w:rFonts w:hint="eastAsia"/>
        </w:rPr>
        <w:t>津贴数额第一和第二名子女分别为每月</w:t>
      </w:r>
      <w:r>
        <w:t>5,000</w:t>
      </w:r>
      <w:r>
        <w:rPr>
          <w:rFonts w:hint="eastAsia"/>
        </w:rPr>
        <w:t>日元；随后每增加一名为</w:t>
      </w:r>
      <w:r>
        <w:t>10,000</w:t>
      </w:r>
      <w:r>
        <w:rPr>
          <w:rFonts w:hint="eastAsia"/>
        </w:rPr>
        <w:t>日元；</w:t>
      </w:r>
    </w:p>
    <w:p w:rsidR="00000000" w:rsidRDefault="0031739B" w:rsidP="0031739B">
      <w:pPr>
        <w:pStyle w:val="a0"/>
        <w:numPr>
          <w:ilvl w:val="0"/>
          <w:numId w:val="2"/>
        </w:numPr>
        <w:spacing w:after="320"/>
        <w:ind w:left="1531" w:hanging="510"/>
        <w:textAlignment w:val="center"/>
      </w:pPr>
      <w:r>
        <w:rPr>
          <w:rFonts w:hint="eastAsia"/>
        </w:rPr>
        <w:t>特别津贴</w:t>
      </w:r>
      <w:r>
        <w:t>(</w:t>
      </w:r>
      <w:r>
        <w:rPr>
          <w:rFonts w:hint="eastAsia"/>
        </w:rPr>
        <w:t>数额与儿童津贴同</w:t>
      </w:r>
      <w:r>
        <w:t>)</w:t>
      </w:r>
      <w:r>
        <w:rPr>
          <w:rFonts w:hint="eastAsia"/>
        </w:rPr>
        <w:t>由雇主付给公司雇员和由有关办事处付给因收入限制而得不到儿童津贴，和上一年收入低于政府法令规定数额的公共服务部门雇员</w:t>
      </w:r>
      <w:r>
        <w:t>(</w:t>
      </w:r>
      <w:r>
        <w:rPr>
          <w:rFonts w:hint="eastAsia"/>
        </w:rPr>
        <w:t>有三人需赡养的家庭年收入为</w:t>
      </w:r>
      <w:r>
        <w:t>4,178,000</w:t>
      </w:r>
      <w:r>
        <w:rPr>
          <w:rFonts w:hint="eastAsia"/>
        </w:rPr>
        <w:t>日元者</w:t>
      </w:r>
      <w:r>
        <w:t>)</w:t>
      </w:r>
      <w:r>
        <w:rPr>
          <w:rFonts w:hint="eastAsia"/>
        </w:rPr>
        <w:t>。</w:t>
      </w:r>
    </w:p>
    <w:p w:rsidR="00000000" w:rsidRDefault="0031739B">
      <w:pPr>
        <w:pStyle w:val="Heading3"/>
      </w:pPr>
      <w:r>
        <w:rPr>
          <w:u w:val="none"/>
        </w:rPr>
        <w:t xml:space="preserve">4.  </w:t>
      </w:r>
      <w:r>
        <w:rPr>
          <w:rFonts w:hint="eastAsia"/>
        </w:rPr>
        <w:t>工伤事故津贴</w:t>
      </w:r>
    </w:p>
    <w:p w:rsidR="00000000" w:rsidRDefault="0031739B">
      <w:r>
        <w:tab/>
        <w:t xml:space="preserve">96.  </w:t>
      </w:r>
      <w:r>
        <w:rPr>
          <w:rFonts w:hint="eastAsia"/>
        </w:rPr>
        <w:t>上班时</w:t>
      </w:r>
      <w:r>
        <w:t>(</w:t>
      </w:r>
      <w:r>
        <w:rPr>
          <w:rFonts w:hint="eastAsia"/>
        </w:rPr>
        <w:t>包括来往途中的</w:t>
      </w:r>
      <w:r>
        <w:rPr>
          <w:rFonts w:hint="eastAsia"/>
        </w:rPr>
        <w:t>事故</w:t>
      </w:r>
      <w:r>
        <w:t>)</w:t>
      </w:r>
      <w:r>
        <w:rPr>
          <w:rFonts w:hint="eastAsia"/>
        </w:rPr>
        <w:t>的受伤津贴是根据工人事故赔偿保险法支付的。</w:t>
      </w:r>
    </w:p>
    <w:p w:rsidR="00000000" w:rsidRDefault="0031739B">
      <w:r>
        <w:tab/>
        <w:t xml:space="preserve">97.  </w:t>
      </w:r>
      <w:r>
        <w:rPr>
          <w:rFonts w:hint="eastAsia"/>
        </w:rPr>
        <w:t>工人事故赔偿保险的对象是所有工人</w:t>
      </w:r>
      <w:r>
        <w:t>(</w:t>
      </w:r>
      <w:r>
        <w:rPr>
          <w:rFonts w:hint="eastAsia"/>
        </w:rPr>
        <w:t>由雇主雇用和领取工资者</w:t>
      </w:r>
      <w:r>
        <w:t>)</w:t>
      </w:r>
      <w:r>
        <w:rPr>
          <w:rFonts w:hint="eastAsia"/>
        </w:rPr>
        <w:t>，而不分国籍，适用于雇工的所有公司。</w:t>
      </w:r>
      <w:r>
        <w:t>1997</w:t>
      </w:r>
      <w:r>
        <w:rPr>
          <w:rFonts w:hint="eastAsia"/>
        </w:rPr>
        <w:t>年</w:t>
      </w:r>
      <w:r>
        <w:t>3</w:t>
      </w:r>
      <w:r>
        <w:rPr>
          <w:rFonts w:hint="eastAsia"/>
        </w:rPr>
        <w:t>月，投保公司约为</w:t>
      </w:r>
      <w:r>
        <w:t>2,680,000</w:t>
      </w:r>
      <w:r>
        <w:rPr>
          <w:rFonts w:hint="eastAsia"/>
        </w:rPr>
        <w:t>家，工人约为</w:t>
      </w:r>
      <w:r>
        <w:t>47,900,000</w:t>
      </w:r>
      <w:r>
        <w:rPr>
          <w:rFonts w:hint="eastAsia"/>
        </w:rPr>
        <w:t>人。</w:t>
      </w:r>
    </w:p>
    <w:p w:rsidR="00000000" w:rsidRDefault="0031739B">
      <w:r>
        <w:tab/>
        <w:t xml:space="preserve">98.  </w:t>
      </w:r>
      <w:r>
        <w:rPr>
          <w:rFonts w:hint="eastAsia"/>
        </w:rPr>
        <w:t>当一名工人因与工作有关、包括来往途中的事故而受伤、生病、致残或死亡，即支付给该工人或幸存者下列保险津贴：</w:t>
      </w:r>
    </w:p>
    <w:p w:rsidR="00000000" w:rsidRDefault="0031739B" w:rsidP="0031739B">
      <w:pPr>
        <w:pStyle w:val="a0"/>
        <w:numPr>
          <w:ilvl w:val="0"/>
          <w:numId w:val="3"/>
        </w:numPr>
        <w:ind w:left="1531" w:hanging="510"/>
      </w:pPr>
      <w:r>
        <w:rPr>
          <w:rFonts w:hint="eastAsia"/>
        </w:rPr>
        <w:t>医疗</w:t>
      </w:r>
      <w:r>
        <w:t>(</w:t>
      </w:r>
      <w:r>
        <w:rPr>
          <w:rFonts w:hint="eastAsia"/>
        </w:rPr>
        <w:t>赔偿</w:t>
      </w:r>
      <w:r>
        <w:t>)</w:t>
      </w:r>
      <w:r>
        <w:rPr>
          <w:rFonts w:hint="eastAsia"/>
        </w:rPr>
        <w:t>津贴</w:t>
      </w:r>
      <w:r>
        <w:t>(</w:t>
      </w:r>
      <w:r>
        <w:rPr>
          <w:rFonts w:hint="eastAsia"/>
        </w:rPr>
        <w:t>当该工人需要医疗时</w:t>
      </w:r>
      <w:r>
        <w:t>)</w:t>
      </w:r>
      <w:r>
        <w:rPr>
          <w:rFonts w:hint="eastAsia"/>
        </w:rPr>
        <w:t>；</w:t>
      </w:r>
    </w:p>
    <w:p w:rsidR="00000000" w:rsidRDefault="0031739B" w:rsidP="0031739B">
      <w:pPr>
        <w:pStyle w:val="a0"/>
        <w:numPr>
          <w:ilvl w:val="0"/>
          <w:numId w:val="3"/>
        </w:numPr>
        <w:ind w:left="1531" w:hanging="510"/>
      </w:pPr>
      <w:r>
        <w:rPr>
          <w:rFonts w:hint="eastAsia"/>
        </w:rPr>
        <w:t>临时残疾</w:t>
      </w:r>
      <w:r>
        <w:t>(</w:t>
      </w:r>
      <w:r>
        <w:rPr>
          <w:rFonts w:hint="eastAsia"/>
        </w:rPr>
        <w:t>赔偿</w:t>
      </w:r>
      <w:r>
        <w:t>)</w:t>
      </w:r>
      <w:r>
        <w:rPr>
          <w:rFonts w:hint="eastAsia"/>
        </w:rPr>
        <w:t>津贴</w:t>
      </w:r>
      <w:r>
        <w:t>(</w:t>
      </w:r>
      <w:r>
        <w:rPr>
          <w:rFonts w:hint="eastAsia"/>
        </w:rPr>
        <w:t>当该工人因医疗期间旷工而无收入时，该福利从旷工第四日起支付</w:t>
      </w:r>
      <w:r>
        <w:t>)</w:t>
      </w:r>
      <w:r>
        <w:rPr>
          <w:rFonts w:hint="eastAsia"/>
        </w:rPr>
        <w:t>；</w:t>
      </w:r>
    </w:p>
    <w:p w:rsidR="00000000" w:rsidRDefault="0031739B" w:rsidP="0031739B">
      <w:pPr>
        <w:pStyle w:val="a0"/>
        <w:numPr>
          <w:ilvl w:val="0"/>
          <w:numId w:val="3"/>
        </w:numPr>
        <w:ind w:left="1531" w:hanging="510"/>
      </w:pPr>
      <w:r>
        <w:rPr>
          <w:rFonts w:hint="eastAsia"/>
        </w:rPr>
        <w:t>长期残疾</w:t>
      </w:r>
      <w:r>
        <w:t>(</w:t>
      </w:r>
      <w:r>
        <w:rPr>
          <w:rFonts w:hint="eastAsia"/>
        </w:rPr>
        <w:t>赔偿</w:t>
      </w:r>
      <w:r>
        <w:t>)</w:t>
      </w:r>
      <w:r>
        <w:rPr>
          <w:rFonts w:hint="eastAsia"/>
        </w:rPr>
        <w:t>津贴</w:t>
      </w:r>
      <w:r>
        <w:t>(</w:t>
      </w:r>
      <w:r>
        <w:rPr>
          <w:rFonts w:hint="eastAsia"/>
        </w:rPr>
        <w:t>当该</w:t>
      </w:r>
      <w:r>
        <w:rPr>
          <w:rFonts w:hint="eastAsia"/>
        </w:rPr>
        <w:t>工人从开始医疗起一年半之后仍未能从伤病中完全康复，且该残疾属于伤病类型</w:t>
      </w:r>
      <w:r>
        <w:t>)</w:t>
      </w:r>
      <w:r>
        <w:rPr>
          <w:rFonts w:hint="eastAsia"/>
        </w:rPr>
        <w:t>；</w:t>
      </w:r>
    </w:p>
    <w:p w:rsidR="00000000" w:rsidRDefault="0031739B" w:rsidP="0031739B">
      <w:pPr>
        <w:pStyle w:val="a0"/>
        <w:numPr>
          <w:ilvl w:val="0"/>
          <w:numId w:val="3"/>
        </w:numPr>
        <w:ind w:left="1531" w:hanging="510"/>
      </w:pPr>
      <w:r>
        <w:rPr>
          <w:rFonts w:hint="eastAsia"/>
        </w:rPr>
        <w:t>永久性残疾</w:t>
      </w:r>
      <w:r>
        <w:t>(</w:t>
      </w:r>
      <w:r>
        <w:rPr>
          <w:rFonts w:hint="eastAsia"/>
        </w:rPr>
        <w:t>赔偿</w:t>
      </w:r>
      <w:r>
        <w:t>)</w:t>
      </w:r>
      <w:r>
        <w:rPr>
          <w:rFonts w:hint="eastAsia"/>
        </w:rPr>
        <w:t>津贴</w:t>
      </w:r>
      <w:r>
        <w:t>(</w:t>
      </w:r>
      <w:r>
        <w:rPr>
          <w:rFonts w:hint="eastAsia"/>
        </w:rPr>
        <w:t>当该工人从与工作有关的伤病恢复后留下永久残疾</w:t>
      </w:r>
      <w:r>
        <w:t>)</w:t>
      </w:r>
      <w:r>
        <w:rPr>
          <w:rFonts w:hint="eastAsia"/>
        </w:rPr>
        <w:t>；</w:t>
      </w:r>
    </w:p>
    <w:p w:rsidR="00000000" w:rsidRDefault="0031739B" w:rsidP="0031739B">
      <w:pPr>
        <w:pStyle w:val="a0"/>
        <w:numPr>
          <w:ilvl w:val="0"/>
          <w:numId w:val="3"/>
        </w:numPr>
        <w:ind w:left="1531" w:hanging="510"/>
      </w:pPr>
      <w:r>
        <w:rPr>
          <w:rFonts w:hint="eastAsia"/>
        </w:rPr>
        <w:t>幸存者</w:t>
      </w:r>
      <w:r>
        <w:t>(</w:t>
      </w:r>
      <w:r>
        <w:rPr>
          <w:rFonts w:hint="eastAsia"/>
        </w:rPr>
        <w:t>赔偿</w:t>
      </w:r>
      <w:r>
        <w:t>)</w:t>
      </w:r>
      <w:r>
        <w:rPr>
          <w:rFonts w:hint="eastAsia"/>
        </w:rPr>
        <w:t>津贴和丧葬费</w:t>
      </w:r>
      <w:r>
        <w:t>(</w:t>
      </w:r>
      <w:r>
        <w:rPr>
          <w:rFonts w:hint="eastAsia"/>
        </w:rPr>
        <w:t>丧葬赔偿津贴</w:t>
      </w:r>
      <w:r>
        <w:t>)(</w:t>
      </w:r>
      <w:r>
        <w:rPr>
          <w:rFonts w:hint="eastAsia"/>
        </w:rPr>
        <w:t>当工人亡故时</w:t>
      </w:r>
      <w:r>
        <w:t>)</w:t>
      </w:r>
      <w:r>
        <w:rPr>
          <w:rFonts w:hint="eastAsia"/>
        </w:rPr>
        <w:t>；以及</w:t>
      </w:r>
    </w:p>
    <w:p w:rsidR="00000000" w:rsidRDefault="0031739B" w:rsidP="0031739B">
      <w:pPr>
        <w:pStyle w:val="a0"/>
        <w:numPr>
          <w:ilvl w:val="0"/>
          <w:numId w:val="3"/>
        </w:numPr>
        <w:ind w:left="1531" w:hanging="510"/>
      </w:pPr>
      <w:r>
        <w:rPr>
          <w:rFonts w:hint="eastAsia"/>
        </w:rPr>
        <w:t>健康护理</w:t>
      </w:r>
      <w:r>
        <w:t>(</w:t>
      </w:r>
      <w:r>
        <w:rPr>
          <w:rFonts w:hint="eastAsia"/>
        </w:rPr>
        <w:t>赔偿</w:t>
      </w:r>
      <w:r>
        <w:t>)</w:t>
      </w:r>
      <w:r>
        <w:rPr>
          <w:rFonts w:hint="eastAsia"/>
        </w:rPr>
        <w:t>津贴</w:t>
      </w:r>
      <w:r>
        <w:t>(</w:t>
      </w:r>
      <w:r>
        <w:rPr>
          <w:rFonts w:hint="eastAsia"/>
        </w:rPr>
        <w:t>当领取残伤</w:t>
      </w:r>
      <w:r>
        <w:t>)(</w:t>
      </w:r>
      <w:r>
        <w:rPr>
          <w:rFonts w:hint="eastAsia"/>
        </w:rPr>
        <w:t>赔偿</w:t>
      </w:r>
      <w:r>
        <w:t>)</w:t>
      </w:r>
      <w:r>
        <w:rPr>
          <w:rFonts w:hint="eastAsia"/>
        </w:rPr>
        <w:t>津贴的工人需继续或候诊护理，并在目前正接受这种护理的工人。</w:t>
      </w:r>
    </w:p>
    <w:p w:rsidR="00000000" w:rsidRDefault="0031739B">
      <w:r>
        <w:tab/>
        <w:t xml:space="preserve">99.  </w:t>
      </w:r>
      <w:r>
        <w:rPr>
          <w:rFonts w:hint="eastAsia"/>
        </w:rPr>
        <w:t>此外，还提供特别津贴，作为劳工福利服务。上述津贴数额符合劳工组织第</w:t>
      </w:r>
      <w:r>
        <w:t>121</w:t>
      </w:r>
      <w:r>
        <w:rPr>
          <w:rFonts w:hint="eastAsia"/>
        </w:rPr>
        <w:t>号建议规定的标准。</w:t>
      </w:r>
    </w:p>
    <w:p w:rsidR="00000000" w:rsidRDefault="0031739B">
      <w:pPr>
        <w:spacing w:after="320"/>
        <w:textAlignment w:val="center"/>
      </w:pPr>
      <w:r>
        <w:tab/>
        <w:t xml:space="preserve">100.  </w:t>
      </w:r>
      <w:r>
        <w:rPr>
          <w:rFonts w:hint="eastAsia"/>
        </w:rPr>
        <w:t>工人事故赔偿保险计划由政府管理。原则上，保险所需开支由雇主支付的保险费承担。</w:t>
      </w:r>
      <w:r>
        <w:rPr>
          <w:rFonts w:hint="eastAsia"/>
        </w:rPr>
        <w:t>保险费按照雇主所付总工资乘以保险费率来计算。保险费率取决于行业类型、以往事故数和其它因素。目前，最低率为</w:t>
      </w:r>
      <w:r>
        <w:t>0.6%</w:t>
      </w:r>
      <w:r>
        <w:rPr>
          <w:rFonts w:hint="eastAsia"/>
        </w:rPr>
        <w:t>；最高为</w:t>
      </w:r>
      <w:r>
        <w:t>13.4%</w:t>
      </w:r>
      <w:r>
        <w:rPr>
          <w:rFonts w:hint="eastAsia"/>
        </w:rPr>
        <w:t>。</w:t>
      </w:r>
    </w:p>
    <w:p w:rsidR="00000000" w:rsidRDefault="0031739B">
      <w:pPr>
        <w:pStyle w:val="Heading3"/>
      </w:pPr>
      <w:r>
        <w:rPr>
          <w:u w:val="none"/>
        </w:rPr>
        <w:t xml:space="preserve">5.  </w:t>
      </w:r>
      <w:r>
        <w:rPr>
          <w:rFonts w:hint="eastAsia"/>
        </w:rPr>
        <w:t>失业津贴</w:t>
      </w:r>
    </w:p>
    <w:p w:rsidR="00000000" w:rsidRDefault="0031739B">
      <w:r>
        <w:tab/>
        <w:t xml:space="preserve">101.  </w:t>
      </w:r>
      <w:r>
        <w:rPr>
          <w:rFonts w:hint="eastAsia"/>
        </w:rPr>
        <w:t>根据就业保险法，失业和其它津贴付给失业或继续雇用有困难的工人。这些福利旨在稳定工人的生计和就业，以及促进就业。</w:t>
      </w:r>
    </w:p>
    <w:p w:rsidR="00000000" w:rsidRDefault="0031739B">
      <w:r>
        <w:tab/>
        <w:t xml:space="preserve">102.  </w:t>
      </w:r>
      <w:r>
        <w:rPr>
          <w:rFonts w:hint="eastAsia"/>
        </w:rPr>
        <w:t>就业保险计划适用于雇用一名或一名以上工人的所有公司。在这种公司雇用的所有人得到该计划的保险和保护，根据海员保险计划享受保险者和年满</w:t>
      </w:r>
      <w:r>
        <w:t>65</w:t>
      </w:r>
      <w:r>
        <w:rPr>
          <w:rFonts w:hint="eastAsia"/>
        </w:rPr>
        <w:t>岁后被雇者除外。截止</w:t>
      </w:r>
      <w:r>
        <w:t>1996</w:t>
      </w:r>
      <w:r>
        <w:rPr>
          <w:rFonts w:hint="eastAsia"/>
        </w:rPr>
        <w:t>年</w:t>
      </w:r>
      <w:r>
        <w:t>3</w:t>
      </w:r>
      <w:r>
        <w:rPr>
          <w:rFonts w:hint="eastAsia"/>
        </w:rPr>
        <w:t>月底，该计划保险的公司数目约为</w:t>
      </w:r>
      <w:r>
        <w:t>1,960,000</w:t>
      </w:r>
      <w:r>
        <w:rPr>
          <w:rFonts w:hint="eastAsia"/>
        </w:rPr>
        <w:t>家，保</w:t>
      </w:r>
      <w:r>
        <w:rPr>
          <w:rFonts w:hint="eastAsia"/>
        </w:rPr>
        <w:t>险人数约为</w:t>
      </w:r>
      <w:r>
        <w:t>33,770,000</w:t>
      </w:r>
      <w:r>
        <w:rPr>
          <w:rFonts w:hint="eastAsia"/>
        </w:rPr>
        <w:t>人。</w:t>
      </w:r>
    </w:p>
    <w:p w:rsidR="00000000" w:rsidRDefault="0031739B">
      <w:r>
        <w:tab/>
        <w:t xml:space="preserve">103.  </w:t>
      </w:r>
      <w:r>
        <w:rPr>
          <w:rFonts w:hint="eastAsia"/>
        </w:rPr>
        <w:t>失业津贴有三种，即求职者津贴，旨在稳定失业者的生计；就业促进津贴，旨在促进重返劳力市场；继续就业津贴，旨在为稳定就业作出贡献，向不能继续被雇用的工人提供必要津贴。求职者津贴的基本补助额和期限取决于此人最后一次工作的日工资、年龄和保险的时间。</w:t>
      </w:r>
      <w:r>
        <w:t>1997</w:t>
      </w:r>
      <w:r>
        <w:rPr>
          <w:rFonts w:hint="eastAsia"/>
        </w:rPr>
        <w:t>年基本补助每日最低额为</w:t>
      </w:r>
      <w:r>
        <w:t>2,580</w:t>
      </w:r>
      <w:r>
        <w:rPr>
          <w:rFonts w:hint="eastAsia"/>
        </w:rPr>
        <w:t>日元，同期每日最高额为</w:t>
      </w:r>
      <w:r>
        <w:t>10,790</w:t>
      </w:r>
      <w:r>
        <w:rPr>
          <w:rFonts w:hint="eastAsia"/>
        </w:rPr>
        <w:t>日元；最短期限为</w:t>
      </w:r>
      <w:r>
        <w:t>90</w:t>
      </w:r>
      <w:r>
        <w:rPr>
          <w:rFonts w:hint="eastAsia"/>
        </w:rPr>
        <w:t>天，最长期限为</w:t>
      </w:r>
      <w:r>
        <w:t>300</w:t>
      </w:r>
      <w:r>
        <w:rPr>
          <w:rFonts w:hint="eastAsia"/>
        </w:rPr>
        <w:t>天。</w:t>
      </w:r>
    </w:p>
    <w:p w:rsidR="00000000" w:rsidRDefault="0031739B">
      <w:pPr>
        <w:spacing w:after="320"/>
        <w:textAlignment w:val="center"/>
      </w:pPr>
      <w:r>
        <w:tab/>
        <w:t xml:space="preserve">104.  </w:t>
      </w:r>
      <w:r>
        <w:rPr>
          <w:rFonts w:hint="eastAsia"/>
        </w:rPr>
        <w:t>失业津贴的资金由雇员和雇主支付的保险费</w:t>
      </w:r>
      <w:r>
        <w:t>(</w:t>
      </w:r>
      <w:r>
        <w:rPr>
          <w:rFonts w:hint="eastAsia"/>
        </w:rPr>
        <w:t>他们公平承担相当于工人工资</w:t>
      </w:r>
      <w:r>
        <w:t>0.8%</w:t>
      </w:r>
      <w:r>
        <w:rPr>
          <w:rFonts w:hint="eastAsia"/>
        </w:rPr>
        <w:t>的数额</w:t>
      </w:r>
      <w:r>
        <w:t>)</w:t>
      </w:r>
      <w:r>
        <w:rPr>
          <w:rFonts w:hint="eastAsia"/>
        </w:rPr>
        <w:t>和国库</w:t>
      </w:r>
      <w:r>
        <w:rPr>
          <w:rFonts w:hint="eastAsia"/>
        </w:rPr>
        <w:t>承担。</w:t>
      </w:r>
    </w:p>
    <w:p w:rsidR="00000000" w:rsidRDefault="0031739B">
      <w:pPr>
        <w:pStyle w:val="Heading3"/>
      </w:pPr>
      <w:r>
        <w:rPr>
          <w:u w:val="none"/>
        </w:rPr>
        <w:t xml:space="preserve">6.  </w:t>
      </w:r>
      <w:r>
        <w:rPr>
          <w:rFonts w:hint="eastAsia"/>
        </w:rPr>
        <w:t>与社会保险有关的费用变化</w:t>
      </w:r>
    </w:p>
    <w:p w:rsidR="00000000" w:rsidRDefault="0031739B">
      <w:pPr>
        <w:spacing w:after="320"/>
        <w:textAlignment w:val="center"/>
      </w:pPr>
      <w:r>
        <w:tab/>
        <w:t xml:space="preserve">105.  </w:t>
      </w:r>
      <w:r>
        <w:rPr>
          <w:rFonts w:hint="eastAsia"/>
        </w:rPr>
        <w:t>近几年，随着人口老化，分配给社会保险的国民预算和国民经济的负担不断增加</w:t>
      </w:r>
      <w:r>
        <w:t>(</w:t>
      </w:r>
      <w:r>
        <w:rPr>
          <w:rFonts w:hint="eastAsia"/>
        </w:rPr>
        <w:t>见表</w:t>
      </w:r>
      <w:r>
        <w:t>11)</w:t>
      </w:r>
      <w:r>
        <w:rPr>
          <w:rFonts w:hint="eastAsia"/>
        </w:rPr>
        <w:t>。</w:t>
      </w:r>
    </w:p>
    <w:p w:rsidR="00000000" w:rsidRDefault="0031739B">
      <w:pPr>
        <w:pStyle w:val="Heading3"/>
      </w:pPr>
      <w:r>
        <w:rPr>
          <w:rFonts w:hint="eastAsia"/>
          <w:u w:val="none"/>
        </w:rPr>
        <w:t>表</w:t>
      </w:r>
      <w:r>
        <w:rPr>
          <w:u w:val="none"/>
        </w:rPr>
        <w:t xml:space="preserve"> 11.  </w:t>
      </w:r>
      <w:r>
        <w:rPr>
          <w:rFonts w:hint="eastAsia"/>
        </w:rPr>
        <w:t>社会保险费用在国民预算中的份额</w:t>
      </w:r>
      <w:r>
        <w:t>(1,000</w:t>
      </w:r>
      <w:r>
        <w:rPr>
          <w:rFonts w:hint="eastAsia"/>
        </w:rPr>
        <w:t>亿日元</w:t>
      </w:r>
      <w:r>
        <w:t>)</w:t>
      </w:r>
    </w:p>
    <w:tbl>
      <w:tblPr>
        <w:tblW w:w="0" w:type="auto"/>
        <w:tblInd w:w="-26" w:type="dxa"/>
        <w:tblBorders>
          <w:top w:val="single" w:sz="6" w:space="0" w:color="auto"/>
          <w:left w:val="single" w:sz="6" w:space="0" w:color="auto"/>
          <w:bottom w:val="single" w:sz="6" w:space="0" w:color="auto"/>
          <w:right w:val="single" w:sz="6" w:space="0" w:color="auto"/>
        </w:tblBorders>
        <w:tblLayout w:type="fixed"/>
        <w:tblCellMar>
          <w:left w:w="28" w:type="dxa"/>
          <w:right w:w="28" w:type="dxa"/>
        </w:tblCellMar>
        <w:tblLook w:val="0000" w:firstRow="0" w:lastRow="0" w:firstColumn="0" w:lastColumn="0" w:noHBand="0" w:noVBand="0"/>
      </w:tblPr>
      <w:tblGrid>
        <w:gridCol w:w="1882"/>
        <w:gridCol w:w="1882"/>
        <w:gridCol w:w="1882"/>
        <w:gridCol w:w="1882"/>
        <w:gridCol w:w="1882"/>
      </w:tblGrid>
      <w:tr w:rsidR="00000000">
        <w:tblPrEx>
          <w:tblCellMar>
            <w:top w:w="0" w:type="dxa"/>
            <w:bottom w:w="0" w:type="dxa"/>
          </w:tblCellMar>
        </w:tblPrEx>
        <w:tc>
          <w:tcPr>
            <w:tcW w:w="1882" w:type="dxa"/>
            <w:tcBorders>
              <w:bottom w:val="nil"/>
              <w:right w:val="nil"/>
            </w:tcBorders>
          </w:tcPr>
          <w:p w:rsidR="00000000" w:rsidRDefault="0031739B">
            <w:pPr>
              <w:spacing w:before="60" w:after="20"/>
              <w:jc w:val="center"/>
              <w:rPr>
                <w:sz w:val="21"/>
              </w:rPr>
            </w:pPr>
            <w:r>
              <w:rPr>
                <w:rFonts w:hint="eastAsia"/>
                <w:sz w:val="21"/>
              </w:rPr>
              <w:t>财政年度</w:t>
            </w:r>
          </w:p>
        </w:tc>
        <w:tc>
          <w:tcPr>
            <w:tcW w:w="1882" w:type="dxa"/>
            <w:tcBorders>
              <w:top w:val="single" w:sz="6" w:space="0" w:color="auto"/>
              <w:left w:val="single" w:sz="6" w:space="0" w:color="auto"/>
              <w:bottom w:val="single" w:sz="6" w:space="0" w:color="auto"/>
              <w:right w:val="single" w:sz="6" w:space="0" w:color="auto"/>
            </w:tcBorders>
          </w:tcPr>
          <w:p w:rsidR="00000000" w:rsidRDefault="0031739B">
            <w:pPr>
              <w:spacing w:before="60" w:after="20"/>
              <w:jc w:val="center"/>
              <w:rPr>
                <w:sz w:val="21"/>
              </w:rPr>
            </w:pPr>
            <w:r>
              <w:rPr>
                <w:sz w:val="21"/>
              </w:rPr>
              <w:t>(</w:t>
            </w:r>
            <w:r>
              <w:rPr>
                <w:rFonts w:hint="eastAsia"/>
                <w:sz w:val="21"/>
              </w:rPr>
              <w:t>名义</w:t>
            </w:r>
            <w:r>
              <w:rPr>
                <w:sz w:val="21"/>
              </w:rPr>
              <w:t>)</w:t>
            </w:r>
            <w:r>
              <w:rPr>
                <w:rFonts w:hint="eastAsia"/>
                <w:sz w:val="21"/>
              </w:rPr>
              <w:t>国产总值</w:t>
            </w:r>
          </w:p>
        </w:tc>
        <w:tc>
          <w:tcPr>
            <w:tcW w:w="1882" w:type="dxa"/>
            <w:tcBorders>
              <w:left w:val="nil"/>
              <w:bottom w:val="nil"/>
              <w:right w:val="nil"/>
            </w:tcBorders>
          </w:tcPr>
          <w:p w:rsidR="00000000" w:rsidRDefault="0031739B">
            <w:pPr>
              <w:spacing w:before="60" w:after="20"/>
              <w:jc w:val="center"/>
              <w:rPr>
                <w:sz w:val="21"/>
              </w:rPr>
            </w:pPr>
            <w:r>
              <w:rPr>
                <w:rFonts w:hint="eastAsia"/>
                <w:sz w:val="21"/>
              </w:rPr>
              <w:t>一般支出</w:t>
            </w:r>
          </w:p>
        </w:tc>
        <w:tc>
          <w:tcPr>
            <w:tcW w:w="1882" w:type="dxa"/>
            <w:tcBorders>
              <w:top w:val="single" w:sz="6" w:space="0" w:color="auto"/>
              <w:left w:val="single" w:sz="6" w:space="0" w:color="auto"/>
              <w:bottom w:val="single" w:sz="6" w:space="0" w:color="auto"/>
              <w:right w:val="single" w:sz="6" w:space="0" w:color="auto"/>
            </w:tcBorders>
          </w:tcPr>
          <w:p w:rsidR="00000000" w:rsidRDefault="0031739B">
            <w:pPr>
              <w:spacing w:before="60" w:after="20"/>
              <w:jc w:val="center"/>
              <w:rPr>
                <w:sz w:val="21"/>
              </w:rPr>
            </w:pPr>
            <w:r>
              <w:rPr>
                <w:rFonts w:hint="eastAsia"/>
                <w:sz w:val="21"/>
              </w:rPr>
              <w:t>社会保险费用</w:t>
            </w:r>
          </w:p>
        </w:tc>
        <w:tc>
          <w:tcPr>
            <w:tcW w:w="1882" w:type="dxa"/>
            <w:tcBorders>
              <w:left w:val="nil"/>
              <w:bottom w:val="nil"/>
            </w:tcBorders>
          </w:tcPr>
          <w:p w:rsidR="00000000" w:rsidRDefault="0031739B">
            <w:pPr>
              <w:spacing w:before="60" w:after="20"/>
              <w:jc w:val="center"/>
              <w:rPr>
                <w:sz w:val="21"/>
              </w:rPr>
            </w:pPr>
            <w:r>
              <w:rPr>
                <w:rFonts w:hint="eastAsia"/>
                <w:sz w:val="21"/>
              </w:rPr>
              <w:t>比</w:t>
            </w:r>
            <w:r>
              <w:rPr>
                <w:sz w:val="21"/>
              </w:rPr>
              <w:t xml:space="preserve">  </w:t>
            </w:r>
            <w:r>
              <w:rPr>
                <w:rFonts w:hint="eastAsia"/>
                <w:sz w:val="21"/>
              </w:rPr>
              <w:t>率</w:t>
            </w:r>
            <w:r>
              <w:rPr>
                <w:sz w:val="21"/>
              </w:rPr>
              <w:t xml:space="preserve"> %</w:t>
            </w:r>
          </w:p>
        </w:tc>
      </w:tr>
      <w:tr w:rsidR="00000000">
        <w:tblPrEx>
          <w:tblCellMar>
            <w:top w:w="0" w:type="dxa"/>
            <w:bottom w:w="0" w:type="dxa"/>
          </w:tblCellMar>
        </w:tblPrEx>
        <w:tc>
          <w:tcPr>
            <w:tcW w:w="1882" w:type="dxa"/>
            <w:tcBorders>
              <w:top w:val="single" w:sz="6" w:space="0" w:color="auto"/>
              <w:bottom w:val="nil"/>
              <w:right w:val="nil"/>
            </w:tcBorders>
          </w:tcPr>
          <w:p w:rsidR="00000000" w:rsidRDefault="0031739B">
            <w:pPr>
              <w:spacing w:before="40"/>
              <w:jc w:val="center"/>
            </w:pPr>
            <w:r>
              <w:t>1980</w:t>
            </w:r>
          </w:p>
        </w:tc>
        <w:tc>
          <w:tcPr>
            <w:tcW w:w="1882" w:type="dxa"/>
            <w:tcBorders>
              <w:top w:val="single" w:sz="6" w:space="0" w:color="auto"/>
              <w:left w:val="single" w:sz="6" w:space="0" w:color="auto"/>
              <w:bottom w:val="nil"/>
              <w:right w:val="single" w:sz="6" w:space="0" w:color="auto"/>
            </w:tcBorders>
          </w:tcPr>
          <w:p w:rsidR="00000000" w:rsidRDefault="0031739B">
            <w:pPr>
              <w:spacing w:before="40"/>
              <w:jc w:val="center"/>
            </w:pPr>
            <w:r>
              <w:t>2,453,600</w:t>
            </w:r>
          </w:p>
        </w:tc>
        <w:tc>
          <w:tcPr>
            <w:tcW w:w="1882" w:type="dxa"/>
            <w:tcBorders>
              <w:top w:val="single" w:sz="6" w:space="0" w:color="auto"/>
              <w:left w:val="nil"/>
              <w:bottom w:val="nil"/>
              <w:right w:val="nil"/>
            </w:tcBorders>
          </w:tcPr>
          <w:p w:rsidR="00000000" w:rsidRDefault="0031739B">
            <w:pPr>
              <w:spacing w:before="40"/>
              <w:jc w:val="center"/>
            </w:pPr>
            <w:r>
              <w:t>307,332</w:t>
            </w:r>
          </w:p>
        </w:tc>
        <w:tc>
          <w:tcPr>
            <w:tcW w:w="1882" w:type="dxa"/>
            <w:tcBorders>
              <w:top w:val="single" w:sz="6" w:space="0" w:color="auto"/>
              <w:left w:val="single" w:sz="6" w:space="0" w:color="auto"/>
              <w:bottom w:val="nil"/>
              <w:right w:val="single" w:sz="6" w:space="0" w:color="auto"/>
            </w:tcBorders>
          </w:tcPr>
          <w:p w:rsidR="00000000" w:rsidRDefault="0031739B">
            <w:pPr>
              <w:spacing w:before="40"/>
              <w:jc w:val="center"/>
            </w:pPr>
            <w:r>
              <w:t>82,124</w:t>
            </w:r>
          </w:p>
        </w:tc>
        <w:tc>
          <w:tcPr>
            <w:tcW w:w="1882" w:type="dxa"/>
            <w:tcBorders>
              <w:top w:val="single" w:sz="6" w:space="0" w:color="auto"/>
              <w:left w:val="nil"/>
              <w:bottom w:val="nil"/>
            </w:tcBorders>
          </w:tcPr>
          <w:p w:rsidR="00000000" w:rsidRDefault="0031739B">
            <w:pPr>
              <w:spacing w:before="40"/>
              <w:jc w:val="center"/>
            </w:pPr>
            <w:r>
              <w:t>26.7%</w:t>
            </w:r>
          </w:p>
        </w:tc>
      </w:tr>
      <w:tr w:rsidR="00000000">
        <w:tblPrEx>
          <w:tblCellMar>
            <w:top w:w="0" w:type="dxa"/>
            <w:bottom w:w="0" w:type="dxa"/>
          </w:tblCellMar>
        </w:tblPrEx>
        <w:tc>
          <w:tcPr>
            <w:tcW w:w="1882" w:type="dxa"/>
            <w:tcBorders>
              <w:top w:val="nil"/>
              <w:bottom w:val="nil"/>
              <w:right w:val="nil"/>
            </w:tcBorders>
          </w:tcPr>
          <w:p w:rsidR="00000000" w:rsidRDefault="0031739B">
            <w:pPr>
              <w:jc w:val="center"/>
            </w:pPr>
            <w:r>
              <w:t>1985</w:t>
            </w:r>
          </w:p>
        </w:tc>
        <w:tc>
          <w:tcPr>
            <w:tcW w:w="1882" w:type="dxa"/>
            <w:tcBorders>
              <w:top w:val="nil"/>
              <w:left w:val="single" w:sz="6" w:space="0" w:color="auto"/>
              <w:bottom w:val="nil"/>
              <w:right w:val="single" w:sz="6" w:space="0" w:color="auto"/>
            </w:tcBorders>
          </w:tcPr>
          <w:p w:rsidR="00000000" w:rsidRDefault="0031739B">
            <w:pPr>
              <w:jc w:val="center"/>
            </w:pPr>
            <w:r>
              <w:t>3,255,011</w:t>
            </w:r>
          </w:p>
        </w:tc>
        <w:tc>
          <w:tcPr>
            <w:tcW w:w="1882" w:type="dxa"/>
            <w:tcBorders>
              <w:top w:val="nil"/>
              <w:left w:val="nil"/>
              <w:bottom w:val="nil"/>
              <w:right w:val="nil"/>
            </w:tcBorders>
          </w:tcPr>
          <w:p w:rsidR="00000000" w:rsidRDefault="0031739B">
            <w:pPr>
              <w:jc w:val="center"/>
            </w:pPr>
            <w:r>
              <w:t>325,854</w:t>
            </w:r>
          </w:p>
        </w:tc>
        <w:tc>
          <w:tcPr>
            <w:tcW w:w="1882" w:type="dxa"/>
            <w:tcBorders>
              <w:top w:val="nil"/>
              <w:left w:val="single" w:sz="6" w:space="0" w:color="auto"/>
              <w:bottom w:val="nil"/>
              <w:right w:val="single" w:sz="6" w:space="0" w:color="auto"/>
            </w:tcBorders>
          </w:tcPr>
          <w:p w:rsidR="00000000" w:rsidRDefault="0031739B">
            <w:pPr>
              <w:jc w:val="center"/>
            </w:pPr>
            <w:r>
              <w:t>95,736</w:t>
            </w:r>
          </w:p>
        </w:tc>
        <w:tc>
          <w:tcPr>
            <w:tcW w:w="1882" w:type="dxa"/>
            <w:tcBorders>
              <w:top w:val="nil"/>
              <w:left w:val="nil"/>
              <w:bottom w:val="nil"/>
            </w:tcBorders>
          </w:tcPr>
          <w:p w:rsidR="00000000" w:rsidRDefault="0031739B">
            <w:pPr>
              <w:jc w:val="center"/>
            </w:pPr>
            <w:r>
              <w:t>29.4%</w:t>
            </w:r>
          </w:p>
        </w:tc>
      </w:tr>
      <w:tr w:rsidR="00000000">
        <w:tblPrEx>
          <w:tblCellMar>
            <w:top w:w="0" w:type="dxa"/>
            <w:bottom w:w="0" w:type="dxa"/>
          </w:tblCellMar>
        </w:tblPrEx>
        <w:tc>
          <w:tcPr>
            <w:tcW w:w="1882" w:type="dxa"/>
            <w:tcBorders>
              <w:top w:val="nil"/>
              <w:bottom w:val="nil"/>
              <w:right w:val="nil"/>
            </w:tcBorders>
          </w:tcPr>
          <w:p w:rsidR="00000000" w:rsidRDefault="0031739B">
            <w:pPr>
              <w:jc w:val="center"/>
            </w:pPr>
            <w:r>
              <w:t>1990</w:t>
            </w:r>
          </w:p>
        </w:tc>
        <w:tc>
          <w:tcPr>
            <w:tcW w:w="1882" w:type="dxa"/>
            <w:tcBorders>
              <w:top w:val="nil"/>
              <w:left w:val="single" w:sz="6" w:space="0" w:color="auto"/>
              <w:bottom w:val="nil"/>
              <w:right w:val="single" w:sz="6" w:space="0" w:color="auto"/>
            </w:tcBorders>
          </w:tcPr>
          <w:p w:rsidR="00000000" w:rsidRDefault="0031739B">
            <w:pPr>
              <w:jc w:val="center"/>
            </w:pPr>
            <w:r>
              <w:t>4,415,891</w:t>
            </w:r>
          </w:p>
        </w:tc>
        <w:tc>
          <w:tcPr>
            <w:tcW w:w="1882" w:type="dxa"/>
            <w:tcBorders>
              <w:top w:val="nil"/>
              <w:left w:val="nil"/>
              <w:bottom w:val="nil"/>
              <w:right w:val="nil"/>
            </w:tcBorders>
          </w:tcPr>
          <w:p w:rsidR="00000000" w:rsidRDefault="0031739B">
            <w:pPr>
              <w:jc w:val="center"/>
            </w:pPr>
            <w:r>
              <w:t>353,731</w:t>
            </w:r>
          </w:p>
        </w:tc>
        <w:tc>
          <w:tcPr>
            <w:tcW w:w="1882" w:type="dxa"/>
            <w:tcBorders>
              <w:top w:val="nil"/>
              <w:left w:val="single" w:sz="6" w:space="0" w:color="auto"/>
              <w:bottom w:val="nil"/>
              <w:right w:val="single" w:sz="6" w:space="0" w:color="auto"/>
            </w:tcBorders>
          </w:tcPr>
          <w:p w:rsidR="00000000" w:rsidRDefault="0031739B">
            <w:pPr>
              <w:jc w:val="center"/>
            </w:pPr>
            <w:r>
              <w:t>116,148</w:t>
            </w:r>
          </w:p>
        </w:tc>
        <w:tc>
          <w:tcPr>
            <w:tcW w:w="1882" w:type="dxa"/>
            <w:tcBorders>
              <w:top w:val="nil"/>
              <w:left w:val="nil"/>
              <w:bottom w:val="nil"/>
            </w:tcBorders>
          </w:tcPr>
          <w:p w:rsidR="00000000" w:rsidRDefault="0031739B">
            <w:pPr>
              <w:jc w:val="center"/>
            </w:pPr>
            <w:r>
              <w:t>32.8%</w:t>
            </w:r>
          </w:p>
        </w:tc>
      </w:tr>
      <w:tr w:rsidR="00000000">
        <w:tblPrEx>
          <w:tblCellMar>
            <w:top w:w="0" w:type="dxa"/>
            <w:bottom w:w="0" w:type="dxa"/>
          </w:tblCellMar>
        </w:tblPrEx>
        <w:tc>
          <w:tcPr>
            <w:tcW w:w="1882" w:type="dxa"/>
            <w:tcBorders>
              <w:top w:val="nil"/>
              <w:bottom w:val="single" w:sz="6" w:space="0" w:color="auto"/>
              <w:right w:val="nil"/>
            </w:tcBorders>
          </w:tcPr>
          <w:p w:rsidR="00000000" w:rsidRDefault="0031739B">
            <w:pPr>
              <w:jc w:val="center"/>
            </w:pPr>
            <w:r>
              <w:t>1995</w:t>
            </w:r>
          </w:p>
        </w:tc>
        <w:tc>
          <w:tcPr>
            <w:tcW w:w="1882" w:type="dxa"/>
            <w:tcBorders>
              <w:top w:val="nil"/>
              <w:left w:val="single" w:sz="6" w:space="0" w:color="auto"/>
              <w:bottom w:val="single" w:sz="6" w:space="0" w:color="auto"/>
              <w:right w:val="single" w:sz="6" w:space="0" w:color="auto"/>
            </w:tcBorders>
          </w:tcPr>
          <w:p w:rsidR="00000000" w:rsidRDefault="0031739B">
            <w:pPr>
              <w:jc w:val="center"/>
            </w:pPr>
            <w:r>
              <w:t>4</w:t>
            </w:r>
            <w:r>
              <w:t>,927,803</w:t>
            </w:r>
          </w:p>
        </w:tc>
        <w:tc>
          <w:tcPr>
            <w:tcW w:w="1882" w:type="dxa"/>
            <w:tcBorders>
              <w:top w:val="nil"/>
              <w:left w:val="nil"/>
              <w:bottom w:val="single" w:sz="6" w:space="0" w:color="auto"/>
              <w:right w:val="nil"/>
            </w:tcBorders>
          </w:tcPr>
          <w:p w:rsidR="00000000" w:rsidRDefault="0031739B">
            <w:pPr>
              <w:jc w:val="center"/>
            </w:pPr>
            <w:r>
              <w:t>421,417</w:t>
            </w:r>
          </w:p>
        </w:tc>
        <w:tc>
          <w:tcPr>
            <w:tcW w:w="1882" w:type="dxa"/>
            <w:tcBorders>
              <w:top w:val="nil"/>
              <w:left w:val="single" w:sz="6" w:space="0" w:color="auto"/>
              <w:bottom w:val="single" w:sz="6" w:space="0" w:color="auto"/>
              <w:right w:val="single" w:sz="6" w:space="0" w:color="auto"/>
            </w:tcBorders>
          </w:tcPr>
          <w:p w:rsidR="00000000" w:rsidRDefault="0031739B">
            <w:pPr>
              <w:jc w:val="center"/>
            </w:pPr>
            <w:r>
              <w:t>139,244</w:t>
            </w:r>
          </w:p>
        </w:tc>
        <w:tc>
          <w:tcPr>
            <w:tcW w:w="1882" w:type="dxa"/>
            <w:tcBorders>
              <w:top w:val="nil"/>
              <w:left w:val="nil"/>
              <w:bottom w:val="single" w:sz="6" w:space="0" w:color="auto"/>
            </w:tcBorders>
          </w:tcPr>
          <w:p w:rsidR="00000000" w:rsidRDefault="0031739B">
            <w:pPr>
              <w:jc w:val="center"/>
            </w:pPr>
            <w:r>
              <w:t>33.0%</w:t>
            </w:r>
          </w:p>
        </w:tc>
      </w:tr>
    </w:tbl>
    <w:p w:rsidR="00000000" w:rsidRDefault="0031739B">
      <w:pPr>
        <w:pStyle w:val="Heading3"/>
      </w:pPr>
      <w:r>
        <w:rPr>
          <w:u w:val="none"/>
        </w:rPr>
        <w:t xml:space="preserve">E.  </w:t>
      </w:r>
      <w:r>
        <w:rPr>
          <w:rFonts w:hint="eastAsia"/>
        </w:rPr>
        <w:t>第</w:t>
      </w:r>
      <w:r>
        <w:t xml:space="preserve"> 10 </w:t>
      </w:r>
      <w:r>
        <w:rPr>
          <w:rFonts w:hint="eastAsia"/>
        </w:rPr>
        <w:t>条</w:t>
      </w:r>
    </w:p>
    <w:p w:rsidR="00000000" w:rsidRDefault="0031739B">
      <w:pPr>
        <w:pStyle w:val="Heading3"/>
      </w:pPr>
      <w:r>
        <w:rPr>
          <w:u w:val="none"/>
        </w:rPr>
        <w:t xml:space="preserve">1.  </w:t>
      </w:r>
      <w:r>
        <w:rPr>
          <w:rFonts w:hint="eastAsia"/>
        </w:rPr>
        <w:t>保护家庭</w:t>
      </w:r>
    </w:p>
    <w:p w:rsidR="00000000" w:rsidRDefault="0031739B">
      <w:pPr>
        <w:pStyle w:val="Heading4"/>
      </w:pPr>
      <w:r>
        <w:rPr>
          <w:u w:val="none"/>
        </w:rPr>
        <w:t>(a)</w:t>
      </w:r>
      <w:r>
        <w:rPr>
          <w:u w:val="none"/>
        </w:rPr>
        <w:tab/>
      </w:r>
      <w:r>
        <w:rPr>
          <w:rFonts w:hint="eastAsia"/>
        </w:rPr>
        <w:t>家庭概念和需赡养的子女</w:t>
      </w:r>
    </w:p>
    <w:p w:rsidR="00000000" w:rsidRDefault="0031739B">
      <w:r>
        <w:tab/>
        <w:t xml:space="preserve">106.  </w:t>
      </w:r>
      <w:r>
        <w:rPr>
          <w:rFonts w:hint="eastAsia"/>
          <w:u w:val="single"/>
        </w:rPr>
        <w:t>家庭</w:t>
      </w:r>
      <w:r>
        <w:rPr>
          <w:rFonts w:hint="eastAsia"/>
        </w:rPr>
        <w:t>。民法典为日本民法领域的主要法典，它采纳间接建立“家庭”概念及其范围的办法，方式是调整夫妻、父母与子女、以及夫妻与各自血缘亲属的特别法律关系，而未制订直接界定“家庭”概念及其范围的条款。关于上述人员之间的法律关系，下文概述了维持生计和赡养</w:t>
      </w:r>
      <w:r>
        <w:t>(</w:t>
      </w:r>
      <w:r>
        <w:rPr>
          <w:rFonts w:hint="eastAsia"/>
        </w:rPr>
        <w:t>包括支助</w:t>
      </w:r>
      <w:r>
        <w:t>)</w:t>
      </w:r>
      <w:r>
        <w:rPr>
          <w:rFonts w:hint="eastAsia"/>
        </w:rPr>
        <w:t>的规章：</w:t>
      </w:r>
    </w:p>
    <w:p w:rsidR="00000000" w:rsidRDefault="0031739B" w:rsidP="0031739B">
      <w:pPr>
        <w:pStyle w:val="a0"/>
        <w:numPr>
          <w:ilvl w:val="0"/>
          <w:numId w:val="4"/>
        </w:numPr>
        <w:ind w:left="1531" w:hanging="510"/>
      </w:pPr>
      <w:r>
        <w:rPr>
          <w:rFonts w:hint="eastAsia"/>
        </w:rPr>
        <w:t>夫妻有义务共同生活、相互合作和帮助</w:t>
      </w:r>
      <w:r>
        <w:t>(</w:t>
      </w:r>
      <w:r>
        <w:rPr>
          <w:rFonts w:hint="eastAsia"/>
        </w:rPr>
        <w:t>第</w:t>
      </w:r>
      <w:r>
        <w:t>752</w:t>
      </w:r>
      <w:r>
        <w:rPr>
          <w:rFonts w:hint="eastAsia"/>
        </w:rPr>
        <w:t>条</w:t>
      </w:r>
      <w:r>
        <w:t>)</w:t>
      </w:r>
      <w:r>
        <w:rPr>
          <w:rFonts w:hint="eastAsia"/>
        </w:rPr>
        <w:t>。这项义务被认为是实质性的，因为它规定配偶一方有义</w:t>
      </w:r>
      <w:r>
        <w:rPr>
          <w:rFonts w:hint="eastAsia"/>
        </w:rPr>
        <w:t>务保证另一方享有与其自身同样或类似的生活水准。此外，夫妻应共同承担日常家务产生的义务</w:t>
      </w:r>
      <w:r>
        <w:t>(</w:t>
      </w:r>
      <w:r>
        <w:rPr>
          <w:rFonts w:hint="eastAsia"/>
        </w:rPr>
        <w:t>第</w:t>
      </w:r>
      <w:r>
        <w:t>761</w:t>
      </w:r>
      <w:r>
        <w:rPr>
          <w:rFonts w:hint="eastAsia"/>
        </w:rPr>
        <w:t>条</w:t>
      </w:r>
      <w:r>
        <w:t>)</w:t>
      </w:r>
      <w:r>
        <w:rPr>
          <w:rFonts w:hint="eastAsia"/>
        </w:rPr>
        <w:t>。如配偶一方被宣布丧失能力，另一方即成为该配偶的法</w:t>
      </w:r>
      <w:r>
        <w:t xml:space="preserve"> </w:t>
      </w:r>
      <w:r>
        <w:rPr>
          <w:rFonts w:hint="eastAsia"/>
        </w:rPr>
        <w:t>定监护人</w:t>
      </w:r>
      <w:r>
        <w:t>(</w:t>
      </w:r>
      <w:r>
        <w:rPr>
          <w:rFonts w:hint="eastAsia"/>
        </w:rPr>
        <w:t>第</w:t>
      </w:r>
      <w:r>
        <w:t>840</w:t>
      </w:r>
      <w:r>
        <w:rPr>
          <w:rFonts w:hint="eastAsia"/>
        </w:rPr>
        <w:t>条</w:t>
      </w:r>
      <w:r>
        <w:t>)</w:t>
      </w:r>
      <w:r>
        <w:rPr>
          <w:rFonts w:hint="eastAsia"/>
        </w:rPr>
        <w:t>。配偶一方将始终为另一方的法定继承人</w:t>
      </w:r>
      <w:r>
        <w:t>(</w:t>
      </w:r>
      <w:r>
        <w:rPr>
          <w:rFonts w:hint="eastAsia"/>
        </w:rPr>
        <w:t>第</w:t>
      </w:r>
      <w:r>
        <w:t>890</w:t>
      </w:r>
      <w:r>
        <w:rPr>
          <w:rFonts w:hint="eastAsia"/>
        </w:rPr>
        <w:t>条</w:t>
      </w:r>
      <w:r>
        <w:t>)</w:t>
      </w:r>
      <w:r>
        <w:rPr>
          <w:rFonts w:hint="eastAsia"/>
        </w:rPr>
        <w:t>；</w:t>
      </w:r>
    </w:p>
    <w:p w:rsidR="00000000" w:rsidRDefault="0031739B" w:rsidP="0031739B">
      <w:pPr>
        <w:pStyle w:val="a0"/>
        <w:numPr>
          <w:ilvl w:val="0"/>
          <w:numId w:val="4"/>
        </w:numPr>
        <w:ind w:left="1531" w:hanging="510"/>
      </w:pPr>
      <w:r>
        <w:rPr>
          <w:rFonts w:hint="eastAsia"/>
        </w:rPr>
        <w:t>关于父母与子女，父母行使父母权力</w:t>
      </w:r>
      <w:r>
        <w:t>(</w:t>
      </w:r>
      <w:r>
        <w:rPr>
          <w:rFonts w:hint="eastAsia"/>
        </w:rPr>
        <w:t>第</w:t>
      </w:r>
      <w:r>
        <w:t>818</w:t>
      </w:r>
      <w:r>
        <w:rPr>
          <w:rFonts w:hint="eastAsia"/>
        </w:rPr>
        <w:t>条</w:t>
      </w:r>
      <w:r>
        <w:t>)</w:t>
      </w:r>
      <w:r>
        <w:rPr>
          <w:rFonts w:hint="eastAsia"/>
        </w:rPr>
        <w:t>，提供监护和教育</w:t>
      </w:r>
      <w:r>
        <w:t>(</w:t>
      </w:r>
      <w:r>
        <w:rPr>
          <w:rFonts w:hint="eastAsia"/>
        </w:rPr>
        <w:t>第</w:t>
      </w:r>
      <w:r>
        <w:t>820</w:t>
      </w:r>
      <w:r>
        <w:rPr>
          <w:rFonts w:hint="eastAsia"/>
        </w:rPr>
        <w:t>条</w:t>
      </w:r>
      <w:r>
        <w:t>)</w:t>
      </w:r>
      <w:r>
        <w:rPr>
          <w:rFonts w:hint="eastAsia"/>
        </w:rPr>
        <w:t>并确定子女的居住地点</w:t>
      </w:r>
      <w:r>
        <w:t>(</w:t>
      </w:r>
      <w:r>
        <w:rPr>
          <w:rFonts w:hint="eastAsia"/>
        </w:rPr>
        <w:t>第</w:t>
      </w:r>
      <w:r>
        <w:t>821</w:t>
      </w:r>
      <w:r>
        <w:rPr>
          <w:rFonts w:hint="eastAsia"/>
        </w:rPr>
        <w:t>条</w:t>
      </w:r>
      <w:r>
        <w:t>)</w:t>
      </w:r>
      <w:r>
        <w:rPr>
          <w:rFonts w:hint="eastAsia"/>
        </w:rPr>
        <w:t>，直至其成年。父母完全有义务象他们相互供养那样赡养子女。此外，子女在与父母的关系中有第一优先继承权；</w:t>
      </w:r>
    </w:p>
    <w:p w:rsidR="00000000" w:rsidRDefault="0031739B" w:rsidP="0031739B">
      <w:pPr>
        <w:pStyle w:val="a0"/>
        <w:numPr>
          <w:ilvl w:val="0"/>
          <w:numId w:val="4"/>
        </w:numPr>
        <w:ind w:left="1531" w:hanging="510"/>
      </w:pPr>
      <w:r>
        <w:rPr>
          <w:rFonts w:hint="eastAsia"/>
        </w:rPr>
        <w:t>相反，因血缘或姻亲关系的同胞和特定亲属的义务程度相对较低；他们仅有义务帮助</w:t>
      </w:r>
      <w:r>
        <w:rPr>
          <w:rFonts w:hint="eastAsia"/>
        </w:rPr>
        <w:t>无配偶或无父母、或配偶或父母无充足资源给予赡养者。</w:t>
      </w:r>
    </w:p>
    <w:p w:rsidR="00000000" w:rsidRDefault="0031739B">
      <w:r>
        <w:tab/>
        <w:t xml:space="preserve">107.  </w:t>
      </w:r>
      <w:r>
        <w:rPr>
          <w:rFonts w:hint="eastAsia"/>
        </w:rPr>
        <w:t>上述规章表明：民法典视夫妻和未成年子女构成的集体为共同群体含意上的“家庭”之基本单位。</w:t>
      </w:r>
    </w:p>
    <w:p w:rsidR="00000000" w:rsidRDefault="0031739B">
      <w:r>
        <w:tab/>
        <w:t xml:space="preserve">108.  </w:t>
      </w:r>
      <w:r>
        <w:rPr>
          <w:rFonts w:hint="eastAsia"/>
          <w:u w:val="single"/>
        </w:rPr>
        <w:t>子女</w:t>
      </w:r>
      <w:r>
        <w:rPr>
          <w:rFonts w:hint="eastAsia"/>
        </w:rPr>
        <w:t>。民法典规定</w:t>
      </w:r>
      <w:r>
        <w:t>20</w:t>
      </w:r>
      <w:r>
        <w:rPr>
          <w:rFonts w:hint="eastAsia"/>
        </w:rPr>
        <w:t>岁为成年人年龄</w:t>
      </w:r>
      <w:r>
        <w:t>(</w:t>
      </w:r>
      <w:r>
        <w:rPr>
          <w:rFonts w:hint="eastAsia"/>
        </w:rPr>
        <w:t>第</w:t>
      </w:r>
      <w:r>
        <w:t>3</w:t>
      </w:r>
      <w:r>
        <w:rPr>
          <w:rFonts w:hint="eastAsia"/>
        </w:rPr>
        <w:t>条</w:t>
      </w:r>
      <w:r>
        <w:t>)</w:t>
      </w:r>
      <w:r>
        <w:rPr>
          <w:rFonts w:hint="eastAsia"/>
        </w:rPr>
        <w:t>、限制私法规定的未成年人的法律资格</w:t>
      </w:r>
      <w:r>
        <w:t>(</w:t>
      </w:r>
      <w:r>
        <w:rPr>
          <w:rFonts w:hint="eastAsia"/>
        </w:rPr>
        <w:t>第</w:t>
      </w:r>
      <w:r>
        <w:t>4</w:t>
      </w:r>
      <w:r>
        <w:rPr>
          <w:rFonts w:hint="eastAsia"/>
        </w:rPr>
        <w:t>条</w:t>
      </w:r>
      <w:r>
        <w:t>)</w:t>
      </w:r>
      <w:r>
        <w:rPr>
          <w:rFonts w:hint="eastAsia"/>
        </w:rPr>
        <w:t>，并规定未成年子女应服从父母的权威</w:t>
      </w:r>
      <w:r>
        <w:t>(</w:t>
      </w:r>
      <w:r>
        <w:rPr>
          <w:rFonts w:hint="eastAsia"/>
        </w:rPr>
        <w:t>第</w:t>
      </w:r>
      <w:r>
        <w:t>818</w:t>
      </w:r>
      <w:r>
        <w:rPr>
          <w:rFonts w:hint="eastAsia"/>
        </w:rPr>
        <w:t>条</w:t>
      </w:r>
      <w:r>
        <w:t>)</w:t>
      </w:r>
      <w:r>
        <w:rPr>
          <w:rFonts w:hint="eastAsia"/>
        </w:rPr>
        <w:t>。具有父母权威的人有权利和义务监护和教育其子女</w:t>
      </w:r>
      <w:r>
        <w:t>(</w:t>
      </w:r>
      <w:r>
        <w:rPr>
          <w:rFonts w:hint="eastAsia"/>
        </w:rPr>
        <w:t>第</w:t>
      </w:r>
      <w:r>
        <w:t>820</w:t>
      </w:r>
      <w:r>
        <w:rPr>
          <w:rFonts w:hint="eastAsia"/>
        </w:rPr>
        <w:t>条</w:t>
      </w:r>
      <w:r>
        <w:t>)</w:t>
      </w:r>
      <w:r>
        <w:rPr>
          <w:rFonts w:hint="eastAsia"/>
        </w:rPr>
        <w:t>。根据私法，未满</w:t>
      </w:r>
      <w:r>
        <w:t>20</w:t>
      </w:r>
      <w:r>
        <w:rPr>
          <w:rFonts w:hint="eastAsia"/>
        </w:rPr>
        <w:t>岁的已婚子女被视为已达到成年人年龄</w:t>
      </w:r>
      <w:r>
        <w:t>(</w:t>
      </w:r>
      <w:r>
        <w:rPr>
          <w:rFonts w:hint="eastAsia"/>
        </w:rPr>
        <w:t>第</w:t>
      </w:r>
      <w:r>
        <w:t>753</w:t>
      </w:r>
      <w:r>
        <w:rPr>
          <w:rFonts w:hint="eastAsia"/>
        </w:rPr>
        <w:t>条</w:t>
      </w:r>
      <w:r>
        <w:t>)</w:t>
      </w:r>
      <w:r>
        <w:rPr>
          <w:rFonts w:hint="eastAsia"/>
        </w:rPr>
        <w:t>。</w:t>
      </w:r>
    </w:p>
    <w:p w:rsidR="00000000" w:rsidRDefault="0031739B">
      <w:pPr>
        <w:spacing w:after="320"/>
        <w:textAlignment w:val="center"/>
      </w:pPr>
      <w:r>
        <w:tab/>
        <w:t xml:space="preserve">109.  </w:t>
      </w:r>
      <w:r>
        <w:rPr>
          <w:rFonts w:hint="eastAsia"/>
        </w:rPr>
        <w:t>为促进儿童健康成长而颁布的儿童福利法将“儿童”界定为“年龄未满</w:t>
      </w:r>
      <w:r>
        <w:t>20</w:t>
      </w:r>
      <w:r>
        <w:rPr>
          <w:rFonts w:hint="eastAsia"/>
        </w:rPr>
        <w:t>岁者”。</w:t>
      </w:r>
    </w:p>
    <w:p w:rsidR="00000000" w:rsidRDefault="0031739B">
      <w:pPr>
        <w:pStyle w:val="Heading4"/>
      </w:pPr>
      <w:r>
        <w:rPr>
          <w:u w:val="none"/>
        </w:rPr>
        <w:t>(b)</w:t>
      </w:r>
      <w:r>
        <w:rPr>
          <w:u w:val="none"/>
        </w:rPr>
        <w:tab/>
      </w:r>
      <w:r>
        <w:rPr>
          <w:rFonts w:hint="eastAsia"/>
        </w:rPr>
        <w:t>家庭援助</w:t>
      </w:r>
    </w:p>
    <w:p w:rsidR="00000000" w:rsidRDefault="0031739B">
      <w:r>
        <w:tab/>
        <w:t xml:space="preserve">110.  </w:t>
      </w:r>
      <w:r>
        <w:rPr>
          <w:rFonts w:hint="eastAsia"/>
          <w:u w:val="single"/>
        </w:rPr>
        <w:t>抚养子女的经济援助</w:t>
      </w:r>
      <w:r>
        <w:rPr>
          <w:rFonts w:hint="eastAsia"/>
        </w:rPr>
        <w:t>。给抚养子女的家长的经济援助包括依据儿童津贴法提供的儿童津贴、依据抚养儿童津贴法提供的抚养儿童津贴和依据提供抚养儿童特别津贴的法律提供的抚养儿童特别津贴。关于儿童津贴，见上文第</w:t>
      </w:r>
      <w:r>
        <w:t>9</w:t>
      </w:r>
      <w:r>
        <w:rPr>
          <w:rFonts w:hint="eastAsia"/>
        </w:rPr>
        <w:t>条第</w:t>
      </w:r>
      <w:r>
        <w:t>3</w:t>
      </w:r>
      <w:r>
        <w:rPr>
          <w:rFonts w:hint="eastAsia"/>
        </w:rPr>
        <w:t>节。抚养儿童津贴付给没有父亲的家庭中的母亲或照顾并抚养儿童的监护人。在一个孩子的情况中，截至</w:t>
      </w:r>
      <w:r>
        <w:t>1997</w:t>
      </w:r>
      <w:r>
        <w:rPr>
          <w:rFonts w:hint="eastAsia"/>
        </w:rPr>
        <w:t>年</w:t>
      </w:r>
      <w:r>
        <w:t>4</w:t>
      </w:r>
      <w:r>
        <w:rPr>
          <w:rFonts w:hint="eastAsia"/>
        </w:rPr>
        <w:t>月，每月数额为</w:t>
      </w:r>
      <w:r>
        <w:t>41,390</w:t>
      </w:r>
      <w:r>
        <w:rPr>
          <w:rFonts w:hint="eastAsia"/>
        </w:rPr>
        <w:t>日元</w:t>
      </w:r>
      <w:r>
        <w:t>(</w:t>
      </w:r>
      <w:r>
        <w:rPr>
          <w:rFonts w:hint="eastAsia"/>
        </w:rPr>
        <w:t>根据孩子人数作相应调整</w:t>
      </w:r>
      <w:r>
        <w:t>)</w:t>
      </w:r>
      <w:r>
        <w:rPr>
          <w:rFonts w:hint="eastAsia"/>
        </w:rPr>
        <w:t>。截至</w:t>
      </w:r>
      <w:r>
        <w:t>1997</w:t>
      </w:r>
      <w:r>
        <w:rPr>
          <w:rFonts w:hint="eastAsia"/>
        </w:rPr>
        <w:t>年</w:t>
      </w:r>
      <w:r>
        <w:t>3</w:t>
      </w:r>
      <w:r>
        <w:rPr>
          <w:rFonts w:hint="eastAsia"/>
        </w:rPr>
        <w:t>月底，领取津贴总人数为</w:t>
      </w:r>
      <w:r>
        <w:t>624,101</w:t>
      </w:r>
      <w:r>
        <w:rPr>
          <w:rFonts w:hint="eastAsia"/>
        </w:rPr>
        <w:t>人。抚养儿童特别津贴支付给照顾和抚养或监护精神或身</w:t>
      </w:r>
      <w:r>
        <w:rPr>
          <w:rFonts w:hint="eastAsia"/>
        </w:rPr>
        <w:t>体残疾的儿童的父母或监护人。截止</w:t>
      </w:r>
      <w:r>
        <w:t>1997</w:t>
      </w:r>
      <w:r>
        <w:rPr>
          <w:rFonts w:hint="eastAsia"/>
        </w:rPr>
        <w:t>年</w:t>
      </w:r>
      <w:r>
        <w:t>4</w:t>
      </w:r>
      <w:r>
        <w:rPr>
          <w:rFonts w:hint="eastAsia"/>
        </w:rPr>
        <w:t>月，一等残疾儿童每人每月数额为</w:t>
      </w:r>
      <w:r>
        <w:t>50,350</w:t>
      </w:r>
      <w:r>
        <w:rPr>
          <w:rFonts w:hint="eastAsia"/>
        </w:rPr>
        <w:t>日元。截至</w:t>
      </w:r>
      <w:r>
        <w:t>1997</w:t>
      </w:r>
      <w:r>
        <w:rPr>
          <w:rFonts w:hint="eastAsia"/>
        </w:rPr>
        <w:t>年</w:t>
      </w:r>
      <w:r>
        <w:t>3</w:t>
      </w:r>
      <w:r>
        <w:rPr>
          <w:rFonts w:hint="eastAsia"/>
        </w:rPr>
        <w:t>月底，受益总数为</w:t>
      </w:r>
      <w:r>
        <w:t>130,000</w:t>
      </w:r>
      <w:r>
        <w:rPr>
          <w:rFonts w:hint="eastAsia"/>
        </w:rPr>
        <w:t>人。</w:t>
      </w:r>
    </w:p>
    <w:p w:rsidR="00000000" w:rsidRDefault="0031739B">
      <w:r>
        <w:tab/>
        <w:t xml:space="preserve">111.  </w:t>
      </w:r>
      <w:r>
        <w:rPr>
          <w:rFonts w:hint="eastAsia"/>
          <w:u w:val="single"/>
        </w:rPr>
        <w:t>保育服务</w:t>
      </w:r>
      <w:r>
        <w:rPr>
          <w:rFonts w:hint="eastAsia"/>
        </w:rPr>
        <w:t>。如监护人因工作、疾病或其它原因而不能充分照顾其婴儿和学步儿童，则根据儿童福利法提供保育服务。截止</w:t>
      </w:r>
      <w:r>
        <w:t>1997</w:t>
      </w:r>
      <w:r>
        <w:rPr>
          <w:rFonts w:hint="eastAsia"/>
        </w:rPr>
        <w:t>年</w:t>
      </w:r>
      <w:r>
        <w:t>4</w:t>
      </w:r>
      <w:r>
        <w:rPr>
          <w:rFonts w:hint="eastAsia"/>
        </w:rPr>
        <w:t>月，约</w:t>
      </w:r>
      <w:r>
        <w:t>1,650,000</w:t>
      </w:r>
      <w:r>
        <w:rPr>
          <w:rFonts w:hint="eastAsia"/>
        </w:rPr>
        <w:t>名婴儿和学步儿童</w:t>
      </w:r>
      <w:r>
        <w:t>(</w:t>
      </w:r>
      <w:r>
        <w:rPr>
          <w:rFonts w:hint="eastAsia"/>
        </w:rPr>
        <w:t>占所有婴儿和学步儿童的</w:t>
      </w:r>
      <w:r>
        <w:t>20%)</w:t>
      </w:r>
      <w:r>
        <w:rPr>
          <w:rFonts w:hint="eastAsia"/>
        </w:rPr>
        <w:t>在日托中心接受保育服务</w:t>
      </w:r>
      <w:r>
        <w:t>(</w:t>
      </w:r>
      <w:r>
        <w:rPr>
          <w:rFonts w:hint="eastAsia"/>
        </w:rPr>
        <w:t>全国约有</w:t>
      </w:r>
      <w:r>
        <w:t>22,400</w:t>
      </w:r>
      <w:r>
        <w:rPr>
          <w:rFonts w:hint="eastAsia"/>
        </w:rPr>
        <w:t>个中心</w:t>
      </w:r>
      <w:r>
        <w:t>)</w:t>
      </w:r>
      <w:r>
        <w:rPr>
          <w:rFonts w:hint="eastAsia"/>
        </w:rPr>
        <w:t>。日托中心护理婴儿和学步儿童所需开支由全国和地方政府预算以及按监护人财务能力收费支付。政府正采取各种措施、包括提</w:t>
      </w:r>
      <w:r>
        <w:rPr>
          <w:rFonts w:hint="eastAsia"/>
        </w:rPr>
        <w:t>供补贴，以发展保育设施。</w:t>
      </w:r>
    </w:p>
    <w:p w:rsidR="00000000" w:rsidRDefault="0031739B">
      <w:r>
        <w:tab/>
        <w:t xml:space="preserve">112.  </w:t>
      </w:r>
      <w:r>
        <w:rPr>
          <w:rFonts w:hint="eastAsia"/>
          <w:u w:val="single"/>
        </w:rPr>
        <w:t>照看孩子假期</w:t>
      </w:r>
      <w:r>
        <w:rPr>
          <w:rFonts w:hint="eastAsia"/>
        </w:rPr>
        <w:t>。</w:t>
      </w:r>
      <w:r>
        <w:t>1992</w:t>
      </w:r>
      <w:r>
        <w:rPr>
          <w:rFonts w:hint="eastAsia"/>
        </w:rPr>
        <w:t>年</w:t>
      </w:r>
      <w:r>
        <w:t>4</w:t>
      </w:r>
      <w:r>
        <w:rPr>
          <w:rFonts w:hint="eastAsia"/>
        </w:rPr>
        <w:t>月起生效的有关照看孩子假期的法律，在</w:t>
      </w:r>
      <w:r>
        <w:t>1995</w:t>
      </w:r>
      <w:r>
        <w:rPr>
          <w:rFonts w:hint="eastAsia"/>
        </w:rPr>
        <w:t>年</w:t>
      </w:r>
      <w:r>
        <w:t>6</w:t>
      </w:r>
      <w:r>
        <w:rPr>
          <w:rFonts w:hint="eastAsia"/>
        </w:rPr>
        <w:t>月修改为照看孩子或其他家庭成员包括照看孩子和家庭假期的工人福利法律</w:t>
      </w:r>
      <w:r>
        <w:t>(</w:t>
      </w:r>
      <w:r>
        <w:rPr>
          <w:rFonts w:hint="eastAsia"/>
        </w:rPr>
        <w:t>下文称为照看孩子和家庭假期法</w:t>
      </w:r>
      <w:r>
        <w:t>)</w:t>
      </w:r>
      <w:r>
        <w:rPr>
          <w:rFonts w:hint="eastAsia"/>
        </w:rPr>
        <w:t>。该法除一章外于</w:t>
      </w:r>
      <w:r>
        <w:t>1995</w:t>
      </w:r>
      <w:r>
        <w:rPr>
          <w:rFonts w:hint="eastAsia"/>
        </w:rPr>
        <w:t>年</w:t>
      </w:r>
      <w:r>
        <w:t>10</w:t>
      </w:r>
      <w:r>
        <w:rPr>
          <w:rFonts w:hint="eastAsia"/>
        </w:rPr>
        <w:t>月起生效。</w:t>
      </w:r>
    </w:p>
    <w:p w:rsidR="00000000" w:rsidRDefault="0031739B">
      <w:r>
        <w:tab/>
        <w:t xml:space="preserve">113.  </w:t>
      </w:r>
      <w:r>
        <w:rPr>
          <w:rFonts w:hint="eastAsia"/>
        </w:rPr>
        <w:t>照看孩子和家庭假期法规定有</w:t>
      </w:r>
      <w:r>
        <w:t>1</w:t>
      </w:r>
      <w:r>
        <w:rPr>
          <w:rFonts w:hint="eastAsia"/>
        </w:rPr>
        <w:t>岁以下孩子的工人在向雇主提出申请后可休照看孩子的假期。如申请符合要求，雇主不得加以拒绝。此外，雇主必须采取措施，继续雇用抚养不足</w:t>
      </w:r>
      <w:r>
        <w:t>1</w:t>
      </w:r>
      <w:r>
        <w:rPr>
          <w:rFonts w:hint="eastAsia"/>
        </w:rPr>
        <w:t>岁的孩子而选择不请照看假的工人，并便利他们抚养孩子，例如缩短工作时间</w:t>
      </w:r>
      <w:r>
        <w:t>(</w:t>
      </w:r>
      <w:r>
        <w:rPr>
          <w:rFonts w:hint="eastAsia"/>
        </w:rPr>
        <w:t>第</w:t>
      </w:r>
      <w:r>
        <w:t>19</w:t>
      </w:r>
      <w:r>
        <w:rPr>
          <w:rFonts w:hint="eastAsia"/>
        </w:rPr>
        <w:t>条，第</w:t>
      </w:r>
      <w:r>
        <w:t>1</w:t>
      </w:r>
      <w:r>
        <w:rPr>
          <w:rFonts w:hint="eastAsia"/>
        </w:rPr>
        <w:t>款</w:t>
      </w:r>
      <w:r>
        <w:t>)</w:t>
      </w:r>
      <w:r>
        <w:rPr>
          <w:rFonts w:hint="eastAsia"/>
        </w:rPr>
        <w:t>。另外，该法规定雇主必须努力采取措施，继续雇用抚养年龄在</w:t>
      </w:r>
      <w:r>
        <w:t>1</w:t>
      </w:r>
      <w:r>
        <w:rPr>
          <w:rFonts w:hint="eastAsia"/>
        </w:rPr>
        <w:t>岁至小学教育开始年龄的孩子的工人，并便利他们抚养孩子，例如缩短工作时间</w:t>
      </w:r>
      <w:r>
        <w:t>(</w:t>
      </w:r>
      <w:r>
        <w:rPr>
          <w:rFonts w:hint="eastAsia"/>
        </w:rPr>
        <w:t>第</w:t>
      </w:r>
      <w:r>
        <w:t>20</w:t>
      </w:r>
      <w:r>
        <w:rPr>
          <w:rFonts w:hint="eastAsia"/>
        </w:rPr>
        <w:t>条，第</w:t>
      </w:r>
      <w:r>
        <w:t>1</w:t>
      </w:r>
      <w:r>
        <w:rPr>
          <w:rFonts w:hint="eastAsia"/>
        </w:rPr>
        <w:t>款</w:t>
      </w:r>
      <w:r>
        <w:t>)</w:t>
      </w:r>
      <w:r>
        <w:rPr>
          <w:rFonts w:hint="eastAsia"/>
        </w:rPr>
        <w:t>。</w:t>
      </w:r>
    </w:p>
    <w:p w:rsidR="00000000" w:rsidRDefault="0031739B">
      <w:r>
        <w:tab/>
        <w:t xml:space="preserve">114.  </w:t>
      </w:r>
      <w:r>
        <w:rPr>
          <w:rFonts w:hint="eastAsia"/>
          <w:u w:val="single"/>
        </w:rPr>
        <w:t>照看家庭假期</w:t>
      </w:r>
      <w:r>
        <w:rPr>
          <w:rFonts w:hint="eastAsia"/>
        </w:rPr>
        <w:t>。照看孩子和家庭假期法要求雇主根据该法努力建立照看家庭假期制度，并从</w:t>
      </w:r>
      <w:r>
        <w:t>1995</w:t>
      </w:r>
      <w:r>
        <w:rPr>
          <w:rFonts w:hint="eastAsia"/>
        </w:rPr>
        <w:t>年</w:t>
      </w:r>
      <w:r>
        <w:t>10</w:t>
      </w:r>
      <w:r>
        <w:rPr>
          <w:rFonts w:hint="eastAsia"/>
        </w:rPr>
        <w:t>月起采取措施缩短工作时间。从</w:t>
      </w:r>
      <w:r>
        <w:t>1999</w:t>
      </w:r>
      <w:r>
        <w:rPr>
          <w:rFonts w:hint="eastAsia"/>
        </w:rPr>
        <w:t>年</w:t>
      </w:r>
      <w:r>
        <w:t>4</w:t>
      </w:r>
      <w:r>
        <w:rPr>
          <w:rFonts w:hint="eastAsia"/>
        </w:rPr>
        <w:t>月起，遵行该制度将成为所有雇主的义务。</w:t>
      </w:r>
    </w:p>
    <w:p w:rsidR="00000000" w:rsidRDefault="0031739B">
      <w:r>
        <w:tab/>
        <w:t xml:space="preserve">115.  </w:t>
      </w:r>
      <w:r>
        <w:rPr>
          <w:rFonts w:hint="eastAsia"/>
        </w:rPr>
        <w:t>根据该法，照看处于必要条件</w:t>
      </w:r>
      <w:r>
        <w:t>(</w:t>
      </w:r>
      <w:r>
        <w:rPr>
          <w:rFonts w:hint="eastAsia"/>
        </w:rPr>
        <w:t>需获得两星期以上的持续护理</w:t>
      </w:r>
      <w:r>
        <w:t>)</w:t>
      </w:r>
      <w:r>
        <w:rPr>
          <w:rFonts w:hint="eastAsia"/>
        </w:rPr>
        <w:t>的家庭成员</w:t>
      </w:r>
      <w:r>
        <w:t>(</w:t>
      </w:r>
      <w:r>
        <w:rPr>
          <w:rFonts w:hint="eastAsia"/>
        </w:rPr>
        <w:t>配偶、父母和子女、配偶的父母或祖父母、同胞和生活在一起并由同一家庭赡养的孙子孙女</w:t>
      </w:r>
      <w:r>
        <w:t>)</w:t>
      </w:r>
      <w:r>
        <w:rPr>
          <w:rFonts w:hint="eastAsia"/>
        </w:rPr>
        <w:t>的工人</w:t>
      </w:r>
      <w:r>
        <w:rPr>
          <w:rFonts w:hint="eastAsia"/>
        </w:rPr>
        <w:t>可在向雇主提出申请后获得最长不超过连续</w:t>
      </w:r>
      <w:r>
        <w:t>3</w:t>
      </w:r>
      <w:r>
        <w:rPr>
          <w:rFonts w:hint="eastAsia"/>
        </w:rPr>
        <w:t>个月的照看家庭假，如果申请符合要求，雇主不得拒绝。雇主还必须采取措施，如连续</w:t>
      </w:r>
      <w:r>
        <w:t>3</w:t>
      </w:r>
      <w:r>
        <w:rPr>
          <w:rFonts w:hint="eastAsia"/>
        </w:rPr>
        <w:t>个月或三个月以上缩短工作时间，允许工人照看处于必要条件下的家庭成员，和继续留用选择不请照看家庭假的工人，以及为护理提供便利</w:t>
      </w:r>
      <w:r>
        <w:t>(</w:t>
      </w:r>
      <w:r>
        <w:rPr>
          <w:rFonts w:hint="eastAsia"/>
        </w:rPr>
        <w:t>第</w:t>
      </w:r>
      <w:r>
        <w:t>20</w:t>
      </w:r>
      <w:r>
        <w:rPr>
          <w:rFonts w:hint="eastAsia"/>
        </w:rPr>
        <w:t>条，第</w:t>
      </w:r>
      <w:r>
        <w:t>2</w:t>
      </w:r>
      <w:r>
        <w:rPr>
          <w:rFonts w:hint="eastAsia"/>
        </w:rPr>
        <w:t>款</w:t>
      </w:r>
      <w:r>
        <w:t>)</w:t>
      </w:r>
      <w:r>
        <w:rPr>
          <w:rFonts w:hint="eastAsia"/>
        </w:rPr>
        <w:t>。此外，该法规定雇主必须采取诸如根据照看家庭假制度可适用和缩短工作时间等措施，从而使工人得以照看需要照顾的家庭成员</w:t>
      </w:r>
      <w:r>
        <w:t>(</w:t>
      </w:r>
      <w:r>
        <w:rPr>
          <w:rFonts w:hint="eastAsia"/>
        </w:rPr>
        <w:t>第</w:t>
      </w:r>
      <w:r>
        <w:t>20</w:t>
      </w:r>
      <w:r>
        <w:rPr>
          <w:rFonts w:hint="eastAsia"/>
        </w:rPr>
        <w:t>条，第</w:t>
      </w:r>
      <w:r>
        <w:t>2</w:t>
      </w:r>
      <w:r>
        <w:rPr>
          <w:rFonts w:hint="eastAsia"/>
        </w:rPr>
        <w:t>款</w:t>
      </w:r>
      <w:r>
        <w:t>)</w:t>
      </w:r>
      <w:r>
        <w:rPr>
          <w:rFonts w:hint="eastAsia"/>
        </w:rPr>
        <w:t>。</w:t>
      </w:r>
    </w:p>
    <w:p w:rsidR="00000000" w:rsidRDefault="0031739B">
      <w:pPr>
        <w:spacing w:after="320"/>
        <w:textAlignment w:val="center"/>
      </w:pPr>
      <w:r>
        <w:tab/>
        <w:t xml:space="preserve">116.  </w:t>
      </w:r>
      <w:r>
        <w:rPr>
          <w:rFonts w:hint="eastAsia"/>
          <w:u w:val="single"/>
        </w:rPr>
        <w:t>为夜班工人采取的措施</w:t>
      </w:r>
      <w:r>
        <w:rPr>
          <w:rFonts w:hint="eastAsia"/>
        </w:rPr>
        <w:t>。</w:t>
      </w:r>
      <w:r>
        <w:t>1997</w:t>
      </w:r>
      <w:r>
        <w:rPr>
          <w:rFonts w:hint="eastAsia"/>
        </w:rPr>
        <w:t>年对劳工标准法进行了部分修改，取消了对妇女工人加班、节日工作和夜班工作</w:t>
      </w:r>
      <w:r>
        <w:t>(</w:t>
      </w:r>
      <w:r>
        <w:rPr>
          <w:rFonts w:hint="eastAsia"/>
        </w:rPr>
        <w:t>从晚</w:t>
      </w:r>
      <w:r>
        <w:t>10</w:t>
      </w:r>
      <w:r>
        <w:rPr>
          <w:rFonts w:hint="eastAsia"/>
        </w:rPr>
        <w:t>时至凌晨</w:t>
      </w:r>
      <w:r>
        <w:t>5</w:t>
      </w:r>
      <w:r>
        <w:rPr>
          <w:rFonts w:hint="eastAsia"/>
        </w:rPr>
        <w:t>时</w:t>
      </w:r>
      <w:r>
        <w:t>)</w:t>
      </w:r>
      <w:r>
        <w:rPr>
          <w:rFonts w:hint="eastAsia"/>
        </w:rPr>
        <w:t>的限制</w:t>
      </w:r>
      <w:r>
        <w:t>(</w:t>
      </w:r>
      <w:r>
        <w:rPr>
          <w:rFonts w:hint="eastAsia"/>
        </w:rPr>
        <w:t>见上文第</w:t>
      </w:r>
      <w:r>
        <w:t>6</w:t>
      </w:r>
      <w:r>
        <w:rPr>
          <w:rFonts w:hint="eastAsia"/>
        </w:rPr>
        <w:t>条第</w:t>
      </w:r>
      <w:r>
        <w:t>5</w:t>
      </w:r>
      <w:r>
        <w:rPr>
          <w:rFonts w:hint="eastAsia"/>
        </w:rPr>
        <w:t>节</w:t>
      </w:r>
      <w:r>
        <w:t>)</w:t>
      </w:r>
      <w:r>
        <w:rPr>
          <w:rFonts w:hint="eastAsia"/>
        </w:rPr>
        <w:t>，同时也对照看儿童和家庭成员假期法进行了部分修改，对需要照看孩子或家庭成员的工人夜班工作规定了限制。这些修改将从</w:t>
      </w:r>
      <w:r>
        <w:t>1999</w:t>
      </w:r>
      <w:r>
        <w:rPr>
          <w:rFonts w:hint="eastAsia"/>
        </w:rPr>
        <w:t>年</w:t>
      </w:r>
      <w:r>
        <w:t>4</w:t>
      </w:r>
      <w:r>
        <w:rPr>
          <w:rFonts w:hint="eastAsia"/>
        </w:rPr>
        <w:t>月起付诸实施。</w:t>
      </w:r>
    </w:p>
    <w:p w:rsidR="00000000" w:rsidRDefault="0031739B">
      <w:pPr>
        <w:pStyle w:val="Heading4"/>
      </w:pPr>
      <w:r>
        <w:rPr>
          <w:u w:val="none"/>
        </w:rPr>
        <w:t>(c)</w:t>
      </w:r>
      <w:r>
        <w:rPr>
          <w:u w:val="none"/>
        </w:rPr>
        <w:tab/>
      </w:r>
      <w:r>
        <w:rPr>
          <w:rFonts w:hint="eastAsia"/>
        </w:rPr>
        <w:t>婚姻自由</w:t>
      </w:r>
    </w:p>
    <w:p w:rsidR="00000000" w:rsidRDefault="0031739B">
      <w:r>
        <w:tab/>
        <w:t xml:space="preserve">117.  </w:t>
      </w:r>
      <w:r>
        <w:rPr>
          <w:rFonts w:hint="eastAsia"/>
        </w:rPr>
        <w:t>正如上文第</w:t>
      </w:r>
      <w:r>
        <w:t>1(a)</w:t>
      </w:r>
      <w:r>
        <w:rPr>
          <w:rFonts w:hint="eastAsia"/>
        </w:rPr>
        <w:t>节提到的，日本家庭基本组成单位由夫妻及未成年子女组成；因此，在日本婚姻是构成家庭核心的制度。宪法第</w:t>
      </w:r>
      <w:r>
        <w:t>24</w:t>
      </w:r>
      <w:r>
        <w:rPr>
          <w:rFonts w:hint="eastAsia"/>
        </w:rPr>
        <w:t>条第</w:t>
      </w:r>
      <w:r>
        <w:t>1</w:t>
      </w:r>
      <w:r>
        <w:rPr>
          <w:rFonts w:hint="eastAsia"/>
        </w:rPr>
        <w:t>款规定婚姻惟双方互相同意为基础，并通过互相合作予以维持、以夫妻权利平等为基础。根据民法典，成年男女之间的婚姻通过登记以及一定手续而合法缔结。除合理规章如禁止重婚和</w:t>
      </w:r>
      <w:r>
        <w:rPr>
          <w:rFonts w:hint="eastAsia"/>
        </w:rPr>
        <w:t>近亲结婚，对自由婚姻没有法律限制，</w:t>
      </w:r>
      <w:r>
        <w:t>(</w:t>
      </w:r>
      <w:r>
        <w:rPr>
          <w:rFonts w:hint="eastAsia"/>
        </w:rPr>
        <w:t>甚至在未成年人的情况下，根据适用成年人夫妇的同样程序，</w:t>
      </w:r>
      <w:r>
        <w:t>18</w:t>
      </w:r>
      <w:r>
        <w:rPr>
          <w:rFonts w:hint="eastAsia"/>
        </w:rPr>
        <w:t>岁以上的男子和</w:t>
      </w:r>
      <w:r>
        <w:t>16</w:t>
      </w:r>
      <w:r>
        <w:rPr>
          <w:rFonts w:hint="eastAsia"/>
        </w:rPr>
        <w:t>岁以上的女子经父母同意可缔结婚姻</w:t>
      </w:r>
      <w:r>
        <w:t>)</w:t>
      </w:r>
      <w:r>
        <w:rPr>
          <w:rFonts w:hint="eastAsia"/>
        </w:rPr>
        <w:t>。</w:t>
      </w:r>
    </w:p>
    <w:p w:rsidR="00000000" w:rsidRDefault="0031739B">
      <w:pPr>
        <w:spacing w:after="320"/>
        <w:textAlignment w:val="center"/>
      </w:pPr>
      <w:r>
        <w:tab/>
        <w:t xml:space="preserve">118.  </w:t>
      </w:r>
      <w:r>
        <w:rPr>
          <w:rFonts w:hint="eastAsia"/>
        </w:rPr>
        <w:t>然而，不可否认，社会上仍存在不合时宜的态度和习俗，即看重婚姻中的家庭出身和社会地位。在这方面，日本人权机构努力开展各种提高认识活动，促进公众充分理解宪法第</w:t>
      </w:r>
      <w:r>
        <w:t>24</w:t>
      </w:r>
      <w:r>
        <w:rPr>
          <w:rFonts w:hint="eastAsia"/>
        </w:rPr>
        <w:t>条，以消除上述态度和习俗。</w:t>
      </w:r>
    </w:p>
    <w:p w:rsidR="00000000" w:rsidRDefault="0031739B">
      <w:pPr>
        <w:pStyle w:val="Heading3"/>
      </w:pPr>
      <w:r>
        <w:rPr>
          <w:u w:val="none"/>
        </w:rPr>
        <w:t xml:space="preserve">2.  </w:t>
      </w:r>
      <w:r>
        <w:rPr>
          <w:rFonts w:hint="eastAsia"/>
        </w:rPr>
        <w:t>保护母亲</w:t>
      </w:r>
    </w:p>
    <w:p w:rsidR="00000000" w:rsidRDefault="0031739B">
      <w:r>
        <w:tab/>
        <w:t xml:space="preserve">119.  </w:t>
      </w:r>
      <w:r>
        <w:rPr>
          <w:rFonts w:hint="eastAsia"/>
        </w:rPr>
        <w:t>根据产妇和儿童健康法，政府为预产和哺乳母亲、婴儿与学步儿童的保护者进行体检并提供指导；向因有病而可能对妊娠或分娩带来不利影响的预产</w:t>
      </w:r>
      <w:r>
        <w:rPr>
          <w:rFonts w:hint="eastAsia"/>
        </w:rPr>
        <w:t>或哺乳母亲给予医疗援助、对早产婴儿住院给予医疗津贴，并为预产或哺乳母亲及婴儿提供各种健康咨询意见。此外，政府建立产妇和儿童健康中心，提供与产妇和儿童健康有关的各种咨询意见。另外，根据儿童福利法，政府为有可能残疾的儿童提供医疗帮助和设备，向患结核病的儿童提供医疗津贴和为患特定慢性病</w:t>
      </w:r>
      <w:r>
        <w:t>(</w:t>
      </w:r>
      <w:r>
        <w:rPr>
          <w:rFonts w:hint="eastAsia"/>
        </w:rPr>
        <w:t>如癌症</w:t>
      </w:r>
      <w:r>
        <w:t>)</w:t>
      </w:r>
      <w:r>
        <w:rPr>
          <w:rFonts w:hint="eastAsia"/>
        </w:rPr>
        <w:t>的儿童给予医疗费用援助。此外，日本为因财务原因而不能在医院分娩的预产或哺乳母亲建立了产妇之家。</w:t>
      </w:r>
    </w:p>
    <w:p w:rsidR="00000000" w:rsidRDefault="0031739B">
      <w:r>
        <w:tab/>
        <w:t xml:space="preserve">120.  </w:t>
      </w:r>
      <w:r>
        <w:rPr>
          <w:rFonts w:hint="eastAsia"/>
        </w:rPr>
        <w:t>有健康保险的人在分娩后获得</w:t>
      </w:r>
      <w:r>
        <w:t>300,000</w:t>
      </w:r>
      <w:r>
        <w:rPr>
          <w:rFonts w:hint="eastAsia"/>
        </w:rPr>
        <w:t>日元</w:t>
      </w:r>
      <w:r>
        <w:t>(</w:t>
      </w:r>
      <w:r>
        <w:rPr>
          <w:rFonts w:hint="eastAsia"/>
        </w:rPr>
        <w:t>或者在需保险人赡养的妻子分娩的情况下，该款项作为为分娩和抚养而给配</w:t>
      </w:r>
      <w:r>
        <w:rPr>
          <w:rFonts w:hint="eastAsia"/>
        </w:rPr>
        <w:t>偶的抚养子女一次性费用</w:t>
      </w:r>
      <w:r>
        <w:t>)</w:t>
      </w:r>
      <w:r>
        <w:rPr>
          <w:rFonts w:hint="eastAsia"/>
        </w:rPr>
        <w:t>。作为生育赠款提供相当于标准月报酬</w:t>
      </w:r>
      <w:r>
        <w:t>60%</w:t>
      </w:r>
      <w:r>
        <w:rPr>
          <w:rFonts w:hint="eastAsia"/>
        </w:rPr>
        <w:t>的产妇津贴，期限为产前</w:t>
      </w:r>
      <w:r>
        <w:t>42</w:t>
      </w:r>
      <w:r>
        <w:rPr>
          <w:rFonts w:hint="eastAsia"/>
        </w:rPr>
        <w:t>天、产后</w:t>
      </w:r>
      <w:r>
        <w:t>56</w:t>
      </w:r>
      <w:r>
        <w:rPr>
          <w:rFonts w:hint="eastAsia"/>
        </w:rPr>
        <w:t>天</w:t>
      </w:r>
      <w:r>
        <w:t>(</w:t>
      </w:r>
      <w:r>
        <w:rPr>
          <w:rFonts w:hint="eastAsia"/>
        </w:rPr>
        <w:t>初次报告后延长</w:t>
      </w:r>
      <w:r>
        <w:t>)</w:t>
      </w:r>
      <w:r>
        <w:rPr>
          <w:rFonts w:hint="eastAsia"/>
        </w:rPr>
        <w:t>。根据全国健康保险计划，在投保人分娩时，也提供一次性生产和抚养赠款</w:t>
      </w:r>
      <w:r>
        <w:t>(</w:t>
      </w:r>
      <w:r>
        <w:rPr>
          <w:rFonts w:hint="eastAsia"/>
        </w:rPr>
        <w:t>有关健康保险计划与全国健康保险计划之间的区别，见上文第</w:t>
      </w:r>
      <w:r>
        <w:t>9</w:t>
      </w:r>
      <w:r>
        <w:rPr>
          <w:rFonts w:hint="eastAsia"/>
        </w:rPr>
        <w:t>条第</w:t>
      </w:r>
      <w:r>
        <w:t>1</w:t>
      </w:r>
      <w:r>
        <w:rPr>
          <w:rFonts w:hint="eastAsia"/>
        </w:rPr>
        <w:t>节</w:t>
      </w:r>
      <w:r>
        <w:t>(a))</w:t>
      </w:r>
      <w:r>
        <w:rPr>
          <w:rFonts w:hint="eastAsia"/>
        </w:rPr>
        <w:t>。</w:t>
      </w:r>
    </w:p>
    <w:p w:rsidR="00000000" w:rsidRDefault="0031739B">
      <w:r>
        <w:tab/>
        <w:t xml:space="preserve">121.  </w:t>
      </w:r>
      <w:r>
        <w:rPr>
          <w:rFonts w:hint="eastAsia"/>
        </w:rPr>
        <w:t>根据有抚养负担的母亲和寡妇福利法，政府向没有父亲的家庭和寡妇提供无息或低息贷款，用于开办商业、教育等目的。</w:t>
      </w:r>
      <w:r>
        <w:t>1996</w:t>
      </w:r>
      <w:r>
        <w:rPr>
          <w:rFonts w:hint="eastAsia"/>
        </w:rPr>
        <w:t>年发放贷款额约为</w:t>
      </w:r>
      <w:r>
        <w:t>60,000</w:t>
      </w:r>
      <w:r>
        <w:rPr>
          <w:rFonts w:hint="eastAsia"/>
        </w:rPr>
        <w:t>份，达</w:t>
      </w:r>
      <w:r>
        <w:t>20,670,000,000</w:t>
      </w:r>
      <w:r>
        <w:rPr>
          <w:rFonts w:hint="eastAsia"/>
        </w:rPr>
        <w:t>日元。</w:t>
      </w:r>
    </w:p>
    <w:p w:rsidR="00000000" w:rsidRDefault="0031739B">
      <w:r>
        <w:tab/>
        <w:t xml:space="preserve">122.  </w:t>
      </w:r>
      <w:r>
        <w:rPr>
          <w:rFonts w:hint="eastAsia"/>
        </w:rPr>
        <w:t>作为促进母亲和子女以及寡妇独立的措</w:t>
      </w:r>
      <w:r>
        <w:rPr>
          <w:rFonts w:hint="eastAsia"/>
        </w:rPr>
        <w:t>施，政府通过咨询员向由寡母及其子女组成的家庭提供咨询意见、在生病期间提供家庭照顾服务、优先允许在公共设施中设立零售摊位，并为无父亲家庭建立福利设施。</w:t>
      </w:r>
    </w:p>
    <w:p w:rsidR="00000000" w:rsidRDefault="0031739B">
      <w:r>
        <w:tab/>
        <w:t xml:space="preserve">123.  </w:t>
      </w:r>
      <w:r>
        <w:rPr>
          <w:rFonts w:hint="eastAsia"/>
        </w:rPr>
        <w:t>劳动标准法规定了适用于所有工人的下列保护母亲措施：</w:t>
      </w:r>
    </w:p>
    <w:p w:rsidR="00000000" w:rsidRDefault="0031739B" w:rsidP="0031739B">
      <w:pPr>
        <w:pStyle w:val="a0"/>
        <w:numPr>
          <w:ilvl w:val="0"/>
          <w:numId w:val="5"/>
        </w:numPr>
        <w:ind w:left="1531" w:hanging="510"/>
      </w:pPr>
      <w:r>
        <w:rPr>
          <w:rFonts w:hint="eastAsia"/>
        </w:rPr>
        <w:t>禁止预产和哺乳母亲从事地下工作</w:t>
      </w:r>
      <w:r>
        <w:t>(</w:t>
      </w:r>
      <w:r>
        <w:rPr>
          <w:rFonts w:hint="eastAsia"/>
        </w:rPr>
        <w:t>第</w:t>
      </w:r>
      <w:r>
        <w:t>64</w:t>
      </w:r>
      <w:r>
        <w:rPr>
          <w:rFonts w:hint="eastAsia"/>
        </w:rPr>
        <w:t>条</w:t>
      </w:r>
      <w:r>
        <w:t>(4)</w:t>
      </w:r>
      <w:r>
        <w:rPr>
          <w:rFonts w:hint="eastAsia"/>
        </w:rPr>
        <w:t>项</w:t>
      </w:r>
      <w:r>
        <w:t>)</w:t>
      </w:r>
      <w:r>
        <w:rPr>
          <w:rFonts w:hint="eastAsia"/>
        </w:rPr>
        <w:t>；</w:t>
      </w:r>
    </w:p>
    <w:p w:rsidR="00000000" w:rsidRDefault="0031739B" w:rsidP="0031739B">
      <w:pPr>
        <w:pStyle w:val="a0"/>
        <w:numPr>
          <w:ilvl w:val="0"/>
          <w:numId w:val="5"/>
        </w:numPr>
        <w:ind w:left="1531" w:hanging="510"/>
      </w:pPr>
      <w:r>
        <w:rPr>
          <w:rFonts w:hint="eastAsia"/>
        </w:rPr>
        <w:t>限制预产和哺乳母亲从事危险或有害工作</w:t>
      </w:r>
      <w:r>
        <w:t>(</w:t>
      </w:r>
      <w:r>
        <w:rPr>
          <w:rFonts w:hint="eastAsia"/>
        </w:rPr>
        <w:t>第</w:t>
      </w:r>
      <w:r>
        <w:t>64</w:t>
      </w:r>
      <w:r>
        <w:rPr>
          <w:rFonts w:hint="eastAsia"/>
        </w:rPr>
        <w:t>条</w:t>
      </w:r>
      <w:r>
        <w:t>(5)</w:t>
      </w:r>
      <w:r>
        <w:rPr>
          <w:rFonts w:hint="eastAsia"/>
        </w:rPr>
        <w:t>项</w:t>
      </w:r>
      <w:r>
        <w:t>)</w:t>
      </w:r>
      <w:r>
        <w:rPr>
          <w:rFonts w:hint="eastAsia"/>
        </w:rPr>
        <w:t>；</w:t>
      </w:r>
    </w:p>
    <w:p w:rsidR="00000000" w:rsidRDefault="0031739B" w:rsidP="0031739B">
      <w:pPr>
        <w:pStyle w:val="a0"/>
        <w:numPr>
          <w:ilvl w:val="0"/>
          <w:numId w:val="5"/>
        </w:numPr>
        <w:ind w:left="1531" w:hanging="510"/>
      </w:pPr>
      <w:r>
        <w:rPr>
          <w:rFonts w:hint="eastAsia"/>
        </w:rPr>
        <w:t>分娩前</w:t>
      </w:r>
      <w:r>
        <w:t>6</w:t>
      </w:r>
      <w:r>
        <w:rPr>
          <w:rFonts w:hint="eastAsia"/>
        </w:rPr>
        <w:t>周和分娩后</w:t>
      </w:r>
      <w:r>
        <w:t>8</w:t>
      </w:r>
      <w:r>
        <w:rPr>
          <w:rFonts w:hint="eastAsia"/>
        </w:rPr>
        <w:t>周</w:t>
      </w:r>
      <w:r>
        <w:t>(</w:t>
      </w:r>
      <w:r>
        <w:rPr>
          <w:rFonts w:hint="eastAsia"/>
        </w:rPr>
        <w:t>在多胎情况下为分娩前</w:t>
      </w:r>
      <w:r>
        <w:t>14</w:t>
      </w:r>
      <w:r>
        <w:rPr>
          <w:rFonts w:hint="eastAsia"/>
        </w:rPr>
        <w:t>周和分娩后</w:t>
      </w:r>
      <w:r>
        <w:t>10</w:t>
      </w:r>
      <w:r>
        <w:rPr>
          <w:rFonts w:hint="eastAsia"/>
        </w:rPr>
        <w:t>周</w:t>
      </w:r>
      <w:r>
        <w:t>)</w:t>
      </w:r>
      <w:r>
        <w:rPr>
          <w:rFonts w:hint="eastAsia"/>
        </w:rPr>
        <w:t>实行工作限制</w:t>
      </w:r>
      <w:r>
        <w:t>(</w:t>
      </w:r>
      <w:r>
        <w:rPr>
          <w:rFonts w:hint="eastAsia"/>
        </w:rPr>
        <w:t>第</w:t>
      </w:r>
      <w:r>
        <w:t>65</w:t>
      </w:r>
      <w:r>
        <w:rPr>
          <w:rFonts w:hint="eastAsia"/>
        </w:rPr>
        <w:t>条</w:t>
      </w:r>
      <w:r>
        <w:t>)</w:t>
      </w:r>
      <w:r>
        <w:rPr>
          <w:rFonts w:hint="eastAsia"/>
        </w:rPr>
        <w:t>；</w:t>
      </w:r>
    </w:p>
    <w:p w:rsidR="00000000" w:rsidRDefault="0031739B" w:rsidP="0031739B">
      <w:pPr>
        <w:pStyle w:val="a0"/>
        <w:numPr>
          <w:ilvl w:val="0"/>
          <w:numId w:val="5"/>
        </w:numPr>
        <w:ind w:left="1531" w:hanging="510"/>
      </w:pPr>
      <w:r>
        <w:rPr>
          <w:rFonts w:hint="eastAsia"/>
        </w:rPr>
        <w:t>如果预产妇女或哺乳母亲提出要求，则应限制轮班和禁止加班、假日工作和夜班工作</w:t>
      </w:r>
      <w:r>
        <w:t>(</w:t>
      </w:r>
      <w:r>
        <w:rPr>
          <w:rFonts w:hint="eastAsia"/>
        </w:rPr>
        <w:t>第</w:t>
      </w:r>
      <w:r>
        <w:t>66</w:t>
      </w:r>
      <w:r>
        <w:rPr>
          <w:rFonts w:hint="eastAsia"/>
        </w:rPr>
        <w:t>条</w:t>
      </w:r>
      <w:r>
        <w:t>)</w:t>
      </w:r>
      <w:r>
        <w:rPr>
          <w:rFonts w:hint="eastAsia"/>
        </w:rPr>
        <w:t>；</w:t>
      </w:r>
      <w:r>
        <w:rPr>
          <w:rFonts w:hint="eastAsia"/>
        </w:rPr>
        <w:t>以及</w:t>
      </w:r>
    </w:p>
    <w:p w:rsidR="00000000" w:rsidRDefault="0031739B" w:rsidP="0031739B">
      <w:pPr>
        <w:pStyle w:val="a0"/>
        <w:numPr>
          <w:ilvl w:val="0"/>
          <w:numId w:val="5"/>
        </w:numPr>
        <w:ind w:left="1531" w:hanging="510"/>
      </w:pPr>
      <w:r>
        <w:rPr>
          <w:rFonts w:hint="eastAsia"/>
        </w:rPr>
        <w:t>抚养年龄在</w:t>
      </w:r>
      <w:r>
        <w:t>1</w:t>
      </w:r>
      <w:r>
        <w:rPr>
          <w:rFonts w:hint="eastAsia"/>
        </w:rPr>
        <w:t>岁以下婴儿的妇女有权要求照看儿童的时间</w:t>
      </w:r>
      <w:r>
        <w:t>(</w:t>
      </w:r>
      <w:r>
        <w:rPr>
          <w:rFonts w:hint="eastAsia"/>
        </w:rPr>
        <w:t>第</w:t>
      </w:r>
      <w:r>
        <w:t>67</w:t>
      </w:r>
      <w:r>
        <w:rPr>
          <w:rFonts w:hint="eastAsia"/>
        </w:rPr>
        <w:t>条</w:t>
      </w:r>
      <w:r>
        <w:t>)</w:t>
      </w:r>
      <w:r>
        <w:rPr>
          <w:rFonts w:hint="eastAsia"/>
        </w:rPr>
        <w:t>。</w:t>
      </w:r>
    </w:p>
    <w:p w:rsidR="00000000" w:rsidRDefault="0031739B">
      <w:r>
        <w:tab/>
        <w:t>124.  1997</w:t>
      </w:r>
      <w:r>
        <w:rPr>
          <w:rFonts w:hint="eastAsia"/>
        </w:rPr>
        <w:t>年颁布的经修订的公平就业机会法</w:t>
      </w:r>
      <w:r>
        <w:t>(</w:t>
      </w:r>
      <w:r>
        <w:rPr>
          <w:rFonts w:hint="eastAsia"/>
        </w:rPr>
        <w:t>见上文第</w:t>
      </w:r>
      <w:r>
        <w:t>6</w:t>
      </w:r>
      <w:r>
        <w:rPr>
          <w:rFonts w:hint="eastAsia"/>
        </w:rPr>
        <w:t>条第</w:t>
      </w:r>
      <w:r>
        <w:t>5</w:t>
      </w:r>
      <w:r>
        <w:rPr>
          <w:rFonts w:hint="eastAsia"/>
        </w:rPr>
        <w:t>节</w:t>
      </w:r>
      <w:r>
        <w:t>)</w:t>
      </w:r>
      <w:r>
        <w:rPr>
          <w:rFonts w:hint="eastAsia"/>
        </w:rPr>
        <w:t>规定雇主有义务为怀孕和分娩女工采取健康管理措施，而过去雇主仅有义务作出采取此种措施的努力。下列措施于</w:t>
      </w:r>
      <w:r>
        <w:t>1998</w:t>
      </w:r>
      <w:r>
        <w:rPr>
          <w:rFonts w:hint="eastAsia"/>
        </w:rPr>
        <w:t>年</w:t>
      </w:r>
      <w:r>
        <w:t>4</w:t>
      </w:r>
      <w:r>
        <w:rPr>
          <w:rFonts w:hint="eastAsia"/>
        </w:rPr>
        <w:t>月成为一种义务：</w:t>
      </w:r>
    </w:p>
    <w:p w:rsidR="00000000" w:rsidRDefault="0031739B" w:rsidP="0031739B">
      <w:pPr>
        <w:pStyle w:val="a0"/>
        <w:numPr>
          <w:ilvl w:val="0"/>
          <w:numId w:val="6"/>
        </w:numPr>
        <w:ind w:left="1531" w:hanging="510"/>
      </w:pPr>
      <w:r>
        <w:rPr>
          <w:rFonts w:hint="eastAsia"/>
        </w:rPr>
        <w:t>保证她们有必要的时间接受健康指导和体检的措施；</w:t>
      </w:r>
    </w:p>
    <w:p w:rsidR="00000000" w:rsidRDefault="0031739B" w:rsidP="0031739B">
      <w:pPr>
        <w:pStyle w:val="a0"/>
        <w:numPr>
          <w:ilvl w:val="0"/>
          <w:numId w:val="6"/>
        </w:numPr>
        <w:ind w:left="1531" w:hanging="510"/>
      </w:pPr>
      <w:r>
        <w:rPr>
          <w:rFonts w:hint="eastAsia"/>
        </w:rPr>
        <w:t>能使她们遵守所提供的指导的措施。</w:t>
      </w:r>
    </w:p>
    <w:p w:rsidR="00000000" w:rsidRDefault="0031739B">
      <w:r>
        <w:rPr>
          <w:rFonts w:hint="eastAsia"/>
        </w:rPr>
        <w:t>政府制定了给予这些规定的产前和产后健康管理指导标准，并为雇主遵守这些标准提供指导。</w:t>
      </w:r>
    </w:p>
    <w:p w:rsidR="00000000" w:rsidRDefault="0031739B">
      <w:r>
        <w:tab/>
        <w:t xml:space="preserve">125.  </w:t>
      </w:r>
      <w:r>
        <w:rPr>
          <w:rFonts w:hint="eastAsia"/>
        </w:rPr>
        <w:t>海员法为保护母亲制订了类似规定。</w:t>
      </w:r>
    </w:p>
    <w:p w:rsidR="00000000" w:rsidRDefault="0031739B">
      <w:pPr>
        <w:spacing w:after="320"/>
        <w:textAlignment w:val="center"/>
      </w:pPr>
      <w:r>
        <w:tab/>
        <w:t xml:space="preserve">126.  </w:t>
      </w:r>
      <w:r>
        <w:rPr>
          <w:rFonts w:hint="eastAsia"/>
        </w:rPr>
        <w:t>关于监禁</w:t>
      </w:r>
      <w:r>
        <w:rPr>
          <w:rFonts w:hint="eastAsia"/>
        </w:rPr>
        <w:t>问题，为保护母亲，政府可暂停执行对怀孕</w:t>
      </w:r>
      <w:r>
        <w:t>150</w:t>
      </w:r>
      <w:r>
        <w:rPr>
          <w:rFonts w:hint="eastAsia"/>
        </w:rPr>
        <w:t>天以上和在过去</w:t>
      </w:r>
      <w:r>
        <w:t>60</w:t>
      </w:r>
      <w:r>
        <w:rPr>
          <w:rFonts w:hint="eastAsia"/>
        </w:rPr>
        <w:t>天内分娩的妇女的判刑。</w:t>
      </w:r>
    </w:p>
    <w:p w:rsidR="00000000" w:rsidRDefault="0031739B">
      <w:pPr>
        <w:pStyle w:val="Heading3"/>
      </w:pPr>
      <w:r>
        <w:rPr>
          <w:u w:val="none"/>
        </w:rPr>
        <w:t xml:space="preserve">3.  </w:t>
      </w:r>
      <w:r>
        <w:rPr>
          <w:rFonts w:hint="eastAsia"/>
        </w:rPr>
        <w:t>保护儿童</w:t>
      </w:r>
    </w:p>
    <w:p w:rsidR="00000000" w:rsidRDefault="0031739B">
      <w:r>
        <w:tab/>
        <w:t xml:space="preserve">127.  </w:t>
      </w:r>
      <w:r>
        <w:rPr>
          <w:rFonts w:hint="eastAsia"/>
        </w:rPr>
        <w:t>日本于</w:t>
      </w:r>
      <w:r>
        <w:t>1994</w:t>
      </w:r>
      <w:r>
        <w:rPr>
          <w:rFonts w:hint="eastAsia"/>
        </w:rPr>
        <w:t>年</w:t>
      </w:r>
      <w:r>
        <w:t>4</w:t>
      </w:r>
      <w:r>
        <w:rPr>
          <w:rFonts w:hint="eastAsia"/>
        </w:rPr>
        <w:t>月批准了《儿童权利公约》。请参考</w:t>
      </w:r>
      <w:r>
        <w:t>1996</w:t>
      </w:r>
      <w:r>
        <w:rPr>
          <w:rFonts w:hint="eastAsia"/>
        </w:rPr>
        <w:t>年提出的关于公约执行情况的初步报告。</w:t>
      </w:r>
    </w:p>
    <w:p w:rsidR="00000000" w:rsidRDefault="0031739B">
      <w:r>
        <w:tab/>
        <w:t xml:space="preserve">128.  </w:t>
      </w:r>
      <w:r>
        <w:rPr>
          <w:rFonts w:hint="eastAsia"/>
        </w:rPr>
        <w:t>政府正加强措施，预防、早期诊断和早期医疗护理精神或身体残疾，并执行各种措施，如将残疾儿童安置到精神残疾儿童机构、精神残疾儿童学校、身体残疾儿童机构、盲童机构、听觉</w:t>
      </w:r>
      <w:r>
        <w:t>/</w:t>
      </w:r>
      <w:r>
        <w:rPr>
          <w:rFonts w:hint="eastAsia"/>
        </w:rPr>
        <w:t>言语残疾儿童机构和有严重障碍儿童的机构，或能使他们转入转出这种机构。这些机构提供教育和照顾。此外，还积极促进家庭福利措施</w:t>
      </w:r>
      <w:r>
        <w:rPr>
          <w:rFonts w:hint="eastAsia"/>
        </w:rPr>
        <w:t>，如在儿童指导中心和福利办事处提供咨询和指导，以及派遣家庭助手。截至</w:t>
      </w:r>
      <w:r>
        <w:t>1996</w:t>
      </w:r>
      <w:r>
        <w:rPr>
          <w:rFonts w:hint="eastAsia"/>
        </w:rPr>
        <w:t>年</w:t>
      </w:r>
      <w:r>
        <w:t>10</w:t>
      </w:r>
      <w:r>
        <w:rPr>
          <w:rFonts w:hint="eastAsia"/>
        </w:rPr>
        <w:t>月，残疾儿童的设施有</w:t>
      </w:r>
      <w:r>
        <w:t>816</w:t>
      </w:r>
      <w:r>
        <w:rPr>
          <w:rFonts w:hint="eastAsia"/>
        </w:rPr>
        <w:t>所，使用这些设施的儿童约为</w:t>
      </w:r>
      <w:r>
        <w:t>38,000</w:t>
      </w:r>
      <w:r>
        <w:rPr>
          <w:rFonts w:hint="eastAsia"/>
        </w:rPr>
        <w:t>人。</w:t>
      </w:r>
    </w:p>
    <w:p w:rsidR="00000000" w:rsidRDefault="0031739B">
      <w:r>
        <w:tab/>
        <w:t xml:space="preserve">129.  </w:t>
      </w:r>
      <w:r>
        <w:rPr>
          <w:rFonts w:hint="eastAsia"/>
        </w:rPr>
        <w:t>因没有监护人、或监护人被认为未提供充分照顾而需要保护的儿童，获得集体</w:t>
      </w:r>
      <w:r>
        <w:t>(</w:t>
      </w:r>
      <w:r>
        <w:rPr>
          <w:rFonts w:hint="eastAsia"/>
        </w:rPr>
        <w:t>监护</w:t>
      </w:r>
      <w:r>
        <w:t>)</w:t>
      </w:r>
      <w:r>
        <w:rPr>
          <w:rFonts w:hint="eastAsia"/>
        </w:rPr>
        <w:t>保护性照顾或个别保护性照顾。提供集体保护性照顾是将这些儿童安置到诸如婴儿之家和儿童保护设施等机构，而个别保护性照顾是将他们交给领养孤儿的父母或“提供职业指导的领养孤儿的父母”。</w:t>
      </w:r>
    </w:p>
    <w:p w:rsidR="00000000" w:rsidRDefault="0031739B">
      <w:r>
        <w:tab/>
        <w:t xml:space="preserve">130.  </w:t>
      </w:r>
      <w:r>
        <w:rPr>
          <w:rFonts w:hint="eastAsia"/>
        </w:rPr>
        <w:t>儿童指导中心与有关组织合作努力向需要保护的失足儿童提供指导和促进健康发展。此外</w:t>
      </w:r>
      <w:r>
        <w:rPr>
          <w:rFonts w:hint="eastAsia"/>
        </w:rPr>
        <w:t>，促进未成年人重新融入社会之家收留犯有过失行为、或得不到适当监护的儿童，并帮助他们恢复正常。关于犯有罪行的少年犯</w:t>
      </w:r>
      <w:r>
        <w:t>(</w:t>
      </w:r>
      <w:r>
        <w:rPr>
          <w:rFonts w:hint="eastAsia"/>
        </w:rPr>
        <w:t>年龄在</w:t>
      </w:r>
      <w:r>
        <w:t>20</w:t>
      </w:r>
      <w:r>
        <w:rPr>
          <w:rFonts w:hint="eastAsia"/>
        </w:rPr>
        <w:t>岁以下</w:t>
      </w:r>
      <w:r>
        <w:t>)</w:t>
      </w:r>
      <w:r>
        <w:rPr>
          <w:rFonts w:hint="eastAsia"/>
        </w:rPr>
        <w:t>，少年法规定了将他们置于保护下的特别措施，以便纠正他们的品格和调整他们的环境。</w:t>
      </w:r>
    </w:p>
    <w:p w:rsidR="00000000" w:rsidRDefault="0031739B">
      <w:r>
        <w:tab/>
        <w:t xml:space="preserve">131.  </w:t>
      </w:r>
      <w:r>
        <w:rPr>
          <w:rFonts w:hint="eastAsia"/>
        </w:rPr>
        <w:t>劳工标准法原则上禁止雇用</w:t>
      </w:r>
      <w:r>
        <w:t>15</w:t>
      </w:r>
      <w:r>
        <w:rPr>
          <w:rFonts w:hint="eastAsia"/>
        </w:rPr>
        <w:t>岁以下的未成年人</w:t>
      </w:r>
      <w:r>
        <w:t>(</w:t>
      </w:r>
      <w:r>
        <w:rPr>
          <w:rFonts w:hint="eastAsia"/>
        </w:rPr>
        <w:t>第</w:t>
      </w:r>
      <w:r>
        <w:t>56</w:t>
      </w:r>
      <w:r>
        <w:rPr>
          <w:rFonts w:hint="eastAsia"/>
        </w:rPr>
        <w:t>条</w:t>
      </w:r>
      <w:r>
        <w:t>)</w:t>
      </w:r>
      <w:r>
        <w:rPr>
          <w:rFonts w:hint="eastAsia"/>
        </w:rPr>
        <w:t>。例外限于下列情况：</w:t>
      </w:r>
    </w:p>
    <w:p w:rsidR="00000000" w:rsidRDefault="0031739B" w:rsidP="0031739B">
      <w:pPr>
        <w:pStyle w:val="a0"/>
        <w:numPr>
          <w:ilvl w:val="0"/>
          <w:numId w:val="7"/>
        </w:numPr>
        <w:ind w:left="1531" w:hanging="510"/>
      </w:pPr>
      <w:r>
        <w:rPr>
          <w:rFonts w:hint="eastAsia"/>
        </w:rPr>
        <w:t>经适当行政部门许可雇用</w:t>
      </w:r>
      <w:r>
        <w:t>12</w:t>
      </w:r>
      <w:r>
        <w:rPr>
          <w:rFonts w:hint="eastAsia"/>
        </w:rPr>
        <w:t>岁以上的未成年人，从事的工作与制造业无关、被认为对儿童的健康和福利无害，和工作性质相对较易者；</w:t>
      </w:r>
    </w:p>
    <w:p w:rsidR="00000000" w:rsidRDefault="0031739B" w:rsidP="0031739B">
      <w:pPr>
        <w:pStyle w:val="a0"/>
        <w:numPr>
          <w:ilvl w:val="0"/>
          <w:numId w:val="7"/>
        </w:numPr>
        <w:ind w:left="1531" w:hanging="510"/>
      </w:pPr>
      <w:r>
        <w:rPr>
          <w:rFonts w:hint="eastAsia"/>
        </w:rPr>
        <w:t>得到适当行政部门许可，从事被认为对儿童健康和福利无害的制作电影或表演工作，相对而言该工</w:t>
      </w:r>
      <w:r>
        <w:rPr>
          <w:rFonts w:hint="eastAsia"/>
        </w:rPr>
        <w:t>作的性质较易者。</w:t>
      </w:r>
    </w:p>
    <w:p w:rsidR="00000000" w:rsidRDefault="0031739B">
      <w:r>
        <w:tab/>
        <w:t xml:space="preserve">132.  </w:t>
      </w:r>
      <w:r>
        <w:rPr>
          <w:rFonts w:hint="eastAsia"/>
        </w:rPr>
        <w:t>从</w:t>
      </w:r>
      <w:r>
        <w:t>1996</w:t>
      </w:r>
      <w:r>
        <w:rPr>
          <w:rFonts w:hint="eastAsia"/>
        </w:rPr>
        <w:t>年</w:t>
      </w:r>
      <w:r>
        <w:t>1</w:t>
      </w:r>
      <w:r>
        <w:rPr>
          <w:rFonts w:hint="eastAsia"/>
        </w:rPr>
        <w:t>月至</w:t>
      </w:r>
      <w:r>
        <w:t>12</w:t>
      </w:r>
      <w:r>
        <w:rPr>
          <w:rFonts w:hint="eastAsia"/>
        </w:rPr>
        <w:t>月，年龄在</w:t>
      </w:r>
      <w:r>
        <w:t>15</w:t>
      </w:r>
      <w:r>
        <w:rPr>
          <w:rFonts w:hint="eastAsia"/>
        </w:rPr>
        <w:t>岁以下获准工作的儿童为</w:t>
      </w:r>
      <w:r>
        <w:t>3,784</w:t>
      </w:r>
      <w:r>
        <w:rPr>
          <w:rFonts w:hint="eastAsia"/>
        </w:rPr>
        <w:t>人。</w:t>
      </w:r>
    </w:p>
    <w:p w:rsidR="00000000" w:rsidRDefault="0031739B">
      <w:r>
        <w:tab/>
        <w:t xml:space="preserve">133.  </w:t>
      </w:r>
      <w:r>
        <w:rPr>
          <w:rFonts w:hint="eastAsia"/>
        </w:rPr>
        <w:t>此外，劳工标准法禁止</w:t>
      </w:r>
      <w:r>
        <w:t>18</w:t>
      </w:r>
      <w:r>
        <w:rPr>
          <w:rFonts w:hint="eastAsia"/>
        </w:rPr>
        <w:t>岁以下未成年人从事危险或有害工作，以及地下工作</w:t>
      </w:r>
      <w:r>
        <w:t>(</w:t>
      </w:r>
      <w:r>
        <w:rPr>
          <w:rFonts w:hint="eastAsia"/>
        </w:rPr>
        <w:t>第</w:t>
      </w:r>
      <w:r>
        <w:t>62</w:t>
      </w:r>
      <w:r>
        <w:rPr>
          <w:rFonts w:hint="eastAsia"/>
        </w:rPr>
        <w:t>条和第</w:t>
      </w:r>
      <w:r>
        <w:t>63</w:t>
      </w:r>
      <w:r>
        <w:rPr>
          <w:rFonts w:hint="eastAsia"/>
        </w:rPr>
        <w:t>条</w:t>
      </w:r>
      <w:r>
        <w:t>)</w:t>
      </w:r>
      <w:r>
        <w:rPr>
          <w:rFonts w:hint="eastAsia"/>
        </w:rPr>
        <w:t>。</w:t>
      </w:r>
    </w:p>
    <w:p w:rsidR="00000000" w:rsidRDefault="0031739B">
      <w:r>
        <w:tab/>
        <w:t>134.  1987</w:t>
      </w:r>
      <w:r>
        <w:rPr>
          <w:rFonts w:hint="eastAsia"/>
        </w:rPr>
        <w:t>年</w:t>
      </w:r>
      <w:r>
        <w:t>9</w:t>
      </w:r>
      <w:r>
        <w:rPr>
          <w:rFonts w:hint="eastAsia"/>
        </w:rPr>
        <w:t>月修订后的劳工标准法，将</w:t>
      </w:r>
      <w:r>
        <w:t>15</w:t>
      </w:r>
      <w:r>
        <w:rPr>
          <w:rFonts w:hint="eastAsia"/>
        </w:rPr>
        <w:t>岁以下未成年人工作时间减少到每周“</w:t>
      </w:r>
      <w:r>
        <w:t>40</w:t>
      </w:r>
      <w:r>
        <w:rPr>
          <w:rFonts w:hint="eastAsia"/>
        </w:rPr>
        <w:t>小时、包括上课时间”</w:t>
      </w:r>
      <w:r>
        <w:t>(</w:t>
      </w:r>
      <w:r>
        <w:rPr>
          <w:rFonts w:hint="eastAsia"/>
        </w:rPr>
        <w:t>第</w:t>
      </w:r>
      <w:r>
        <w:t>60</w:t>
      </w:r>
      <w:r>
        <w:rPr>
          <w:rFonts w:hint="eastAsia"/>
        </w:rPr>
        <w:t>条，第</w:t>
      </w:r>
      <w:r>
        <w:t>2</w:t>
      </w:r>
      <w:r>
        <w:rPr>
          <w:rFonts w:hint="eastAsia"/>
        </w:rPr>
        <w:t>款</w:t>
      </w:r>
      <w:r>
        <w:t>)</w:t>
      </w:r>
      <w:r>
        <w:rPr>
          <w:rFonts w:hint="eastAsia"/>
        </w:rPr>
        <w:t>。</w:t>
      </w:r>
    </w:p>
    <w:p w:rsidR="00000000" w:rsidRDefault="0031739B">
      <w:r>
        <w:tab/>
        <w:t xml:space="preserve">135.  </w:t>
      </w:r>
      <w:r>
        <w:rPr>
          <w:rFonts w:hint="eastAsia"/>
        </w:rPr>
        <w:t>刑法典第</w:t>
      </w:r>
      <w:r>
        <w:t>224</w:t>
      </w:r>
      <w:r>
        <w:rPr>
          <w:rFonts w:hint="eastAsia"/>
        </w:rPr>
        <w:t>至</w:t>
      </w:r>
      <w:r>
        <w:t>228</w:t>
      </w:r>
      <w:r>
        <w:rPr>
          <w:rFonts w:hint="eastAsia"/>
        </w:rPr>
        <w:t>条和第</w:t>
      </w:r>
      <w:r>
        <w:t>228-3</w:t>
      </w:r>
      <w:r>
        <w:rPr>
          <w:rFonts w:hint="eastAsia"/>
        </w:rPr>
        <w:t>条禁止并惩罚各类绑架，包括为营利或赎金而用武力带走儿童或运往国外，以及为运往国外进行贩卖。此外，刑法典第</w:t>
      </w:r>
      <w:r>
        <w:t>21</w:t>
      </w:r>
      <w:r>
        <w:t>7</w:t>
      </w:r>
      <w:r>
        <w:rPr>
          <w:rFonts w:hint="eastAsia"/>
        </w:rPr>
        <w:t>条、</w:t>
      </w:r>
      <w:r>
        <w:t>218</w:t>
      </w:r>
      <w:r>
        <w:rPr>
          <w:rFonts w:hint="eastAsia"/>
        </w:rPr>
        <w:t>条和</w:t>
      </w:r>
      <w:r>
        <w:t>219</w:t>
      </w:r>
      <w:r>
        <w:rPr>
          <w:rFonts w:hint="eastAsia"/>
        </w:rPr>
        <w:t>条禁止并处罚抛弃需保护的未成年人的行为和不给未成年人必要保护的行为。</w:t>
      </w:r>
    </w:p>
    <w:p w:rsidR="00000000" w:rsidRDefault="0031739B">
      <w:r>
        <w:tab/>
        <w:t xml:space="preserve">136.  </w:t>
      </w:r>
      <w:r>
        <w:rPr>
          <w:rFonts w:hint="eastAsia"/>
        </w:rPr>
        <w:t>儿童福利法第</w:t>
      </w:r>
      <w:r>
        <w:t>34</w:t>
      </w:r>
      <w:r>
        <w:rPr>
          <w:rFonts w:hint="eastAsia"/>
        </w:rPr>
        <w:t>条禁止对儿童身心健康有害的任何行为</w:t>
      </w:r>
      <w:r>
        <w:t>(</w:t>
      </w:r>
      <w:r>
        <w:rPr>
          <w:rFonts w:hint="eastAsia"/>
        </w:rPr>
        <w:t>包括剥削儿童</w:t>
      </w:r>
      <w:r>
        <w:t>)</w:t>
      </w:r>
      <w:r>
        <w:rPr>
          <w:rFonts w:hint="eastAsia"/>
        </w:rPr>
        <w:t>；该法第</w:t>
      </w:r>
      <w:r>
        <w:t>60</w:t>
      </w:r>
      <w:r>
        <w:rPr>
          <w:rFonts w:hint="eastAsia"/>
        </w:rPr>
        <w:t>条对犯有此种行为的任何人进行处罚。</w:t>
      </w:r>
    </w:p>
    <w:p w:rsidR="00000000" w:rsidRDefault="0031739B">
      <w:pPr>
        <w:spacing w:after="320"/>
        <w:textAlignment w:val="center"/>
      </w:pPr>
      <w:r>
        <w:tab/>
        <w:t>137.  1994</w:t>
      </w:r>
      <w:r>
        <w:rPr>
          <w:rFonts w:hint="eastAsia"/>
        </w:rPr>
        <w:t>年，人权组织执行“促进儿童权利公民自由专员”制度，专门处理儿童的人权问题。专员监督儿童的人权；如果发现这些权利遭到侵犯，就立即采取适当措施予以补救。此外，专员开展提高认识活动，以确保儿童权利得到保护。</w:t>
      </w:r>
    </w:p>
    <w:p w:rsidR="00000000" w:rsidRDefault="0031739B">
      <w:pPr>
        <w:pStyle w:val="Heading3"/>
      </w:pPr>
      <w:r>
        <w:rPr>
          <w:u w:val="none"/>
        </w:rPr>
        <w:t xml:space="preserve">F.  </w:t>
      </w:r>
      <w:r>
        <w:rPr>
          <w:rFonts w:hint="eastAsia"/>
        </w:rPr>
        <w:t>第</w:t>
      </w:r>
      <w:r>
        <w:t xml:space="preserve"> 11 </w:t>
      </w:r>
      <w:r>
        <w:rPr>
          <w:rFonts w:hint="eastAsia"/>
        </w:rPr>
        <w:t>条</w:t>
      </w:r>
    </w:p>
    <w:p w:rsidR="00000000" w:rsidRDefault="0031739B">
      <w:pPr>
        <w:spacing w:after="320"/>
        <w:textAlignment w:val="center"/>
      </w:pPr>
      <w:r>
        <w:tab/>
        <w:t xml:space="preserve">138.  </w:t>
      </w:r>
      <w:r>
        <w:rPr>
          <w:rFonts w:hint="eastAsia"/>
        </w:rPr>
        <w:t>《宪法》第</w:t>
      </w:r>
      <w:r>
        <w:t>25</w:t>
      </w:r>
      <w:r>
        <w:rPr>
          <w:rFonts w:hint="eastAsia"/>
        </w:rPr>
        <w:t>条规定：“所有人都</w:t>
      </w:r>
      <w:r>
        <w:rPr>
          <w:rFonts w:hint="eastAsia"/>
        </w:rPr>
        <w:t>权享有最低标准的有益健康和文明的生活。”</w:t>
      </w:r>
    </w:p>
    <w:p w:rsidR="00000000" w:rsidRDefault="0031739B">
      <w:pPr>
        <w:pStyle w:val="Heading3"/>
      </w:pPr>
      <w:r>
        <w:rPr>
          <w:u w:val="none"/>
        </w:rPr>
        <w:t xml:space="preserve">1.  </w:t>
      </w:r>
      <w:r>
        <w:rPr>
          <w:rFonts w:hint="eastAsia"/>
        </w:rPr>
        <w:t>享有适当生活水平的权利</w:t>
      </w:r>
    </w:p>
    <w:p w:rsidR="00000000" w:rsidRDefault="0031739B">
      <w:pPr>
        <w:pStyle w:val="Heading4"/>
      </w:pPr>
      <w:r>
        <w:rPr>
          <w:u w:val="none"/>
        </w:rPr>
        <w:t xml:space="preserve">(a)  </w:t>
      </w:r>
      <w:r>
        <w:rPr>
          <w:rFonts w:hint="eastAsia"/>
        </w:rPr>
        <w:t>有关国民生活水平的统计数字</w:t>
      </w:r>
    </w:p>
    <w:p w:rsidR="00000000" w:rsidRDefault="0031739B">
      <w:pPr>
        <w:spacing w:after="320"/>
        <w:textAlignment w:val="center"/>
      </w:pPr>
      <w:r>
        <w:tab/>
        <w:t xml:space="preserve">139.  </w:t>
      </w:r>
      <w:r>
        <w:rPr>
          <w:rFonts w:hint="eastAsia"/>
        </w:rPr>
        <w:t>表</w:t>
      </w:r>
      <w:r>
        <w:t>12</w:t>
      </w:r>
      <w:r>
        <w:rPr>
          <w:rFonts w:hint="eastAsia"/>
        </w:rPr>
        <w:t>为家庭收入和支出全国调查显示的按年收入划分的收入和消费情况变化。根据这些数字，各收入类别的年收入和消费始终都在增加。</w:t>
      </w:r>
    </w:p>
    <w:p w:rsidR="00000000" w:rsidRDefault="0031739B">
      <w:pPr>
        <w:spacing w:after="320"/>
        <w:textAlignment w:val="center"/>
      </w:pPr>
    </w:p>
    <w:p w:rsidR="00000000" w:rsidRDefault="0031739B">
      <w:pPr>
        <w:pStyle w:val="Heading3"/>
      </w:pPr>
      <w:r>
        <w:rPr>
          <w:rFonts w:hint="eastAsia"/>
          <w:u w:val="none"/>
        </w:rPr>
        <w:t>表</w:t>
      </w:r>
      <w:r>
        <w:rPr>
          <w:u w:val="none"/>
        </w:rPr>
        <w:t xml:space="preserve"> 12.  </w:t>
      </w:r>
      <w:r>
        <w:rPr>
          <w:rFonts w:hint="eastAsia"/>
        </w:rPr>
        <w:t>按收入分类的年收入和消费变化</w:t>
      </w:r>
      <w:r>
        <w:br/>
      </w:r>
      <w:r>
        <w:rPr>
          <w:u w:val="none"/>
        </w:rPr>
        <w:t xml:space="preserve">    </w:t>
      </w:r>
      <w:r>
        <w:t>(</w:t>
      </w:r>
      <w:r>
        <w:rPr>
          <w:rFonts w:hint="eastAsia"/>
        </w:rPr>
        <w:t>全国所有家庭</w:t>
      </w:r>
      <w:r>
        <w:t>)(10,000</w:t>
      </w:r>
      <w:r>
        <w:rPr>
          <w:rFonts w:hint="eastAsia"/>
        </w:rPr>
        <w:t>日元</w:t>
      </w:r>
      <w:r>
        <w:t>)</w:t>
      </w:r>
    </w:p>
    <w:tbl>
      <w:tblPr>
        <w:tblW w:w="0" w:type="auto"/>
        <w:tblInd w:w="-26" w:type="dxa"/>
        <w:tblBorders>
          <w:top w:val="single" w:sz="6" w:space="0" w:color="auto"/>
          <w:left w:val="single" w:sz="6" w:space="0" w:color="auto"/>
          <w:bottom w:val="single" w:sz="6" w:space="0" w:color="auto"/>
          <w:right w:val="single" w:sz="6" w:space="0" w:color="auto"/>
        </w:tblBorders>
        <w:tblLayout w:type="fixed"/>
        <w:tblCellMar>
          <w:left w:w="28" w:type="dxa"/>
          <w:right w:w="28" w:type="dxa"/>
        </w:tblCellMar>
        <w:tblLook w:val="0000" w:firstRow="0" w:lastRow="0" w:firstColumn="0" w:lastColumn="0" w:noHBand="0" w:noVBand="0"/>
      </w:tblPr>
      <w:tblGrid>
        <w:gridCol w:w="1948"/>
        <w:gridCol w:w="1066"/>
        <w:gridCol w:w="1066"/>
        <w:gridCol w:w="1066"/>
        <w:gridCol w:w="1066"/>
        <w:gridCol w:w="1066"/>
        <w:gridCol w:w="1066"/>
        <w:gridCol w:w="1066"/>
      </w:tblGrid>
      <w:tr w:rsidR="00000000">
        <w:tblPrEx>
          <w:tblCellMar>
            <w:top w:w="0" w:type="dxa"/>
            <w:bottom w:w="0" w:type="dxa"/>
          </w:tblCellMar>
        </w:tblPrEx>
        <w:tc>
          <w:tcPr>
            <w:tcW w:w="1948" w:type="dxa"/>
            <w:tcBorders>
              <w:top w:val="single" w:sz="6" w:space="0" w:color="auto"/>
              <w:bottom w:val="single" w:sz="6" w:space="0" w:color="auto"/>
            </w:tcBorders>
          </w:tcPr>
          <w:p w:rsidR="00000000" w:rsidRDefault="0031739B">
            <w:pPr>
              <w:jc w:val="center"/>
              <w:rPr>
                <w:sz w:val="21"/>
              </w:rPr>
            </w:pPr>
          </w:p>
        </w:tc>
        <w:tc>
          <w:tcPr>
            <w:tcW w:w="1066" w:type="dxa"/>
            <w:tcBorders>
              <w:top w:val="single" w:sz="6" w:space="0" w:color="auto"/>
              <w:bottom w:val="single" w:sz="6" w:space="0" w:color="auto"/>
              <w:right w:val="nil"/>
            </w:tcBorders>
          </w:tcPr>
          <w:p w:rsidR="00000000" w:rsidRDefault="0031739B">
            <w:pPr>
              <w:jc w:val="center"/>
              <w:rPr>
                <w:sz w:val="21"/>
              </w:rPr>
            </w:pPr>
          </w:p>
        </w:tc>
        <w:tc>
          <w:tcPr>
            <w:tcW w:w="1066" w:type="dxa"/>
            <w:tcBorders>
              <w:top w:val="single" w:sz="6" w:space="0" w:color="auto"/>
              <w:left w:val="single" w:sz="6" w:space="0" w:color="auto"/>
              <w:bottom w:val="single" w:sz="6" w:space="0" w:color="auto"/>
              <w:right w:val="single" w:sz="6" w:space="0" w:color="auto"/>
            </w:tcBorders>
          </w:tcPr>
          <w:p w:rsidR="00000000" w:rsidRDefault="0031739B">
            <w:pPr>
              <w:jc w:val="center"/>
              <w:rPr>
                <w:sz w:val="21"/>
              </w:rPr>
            </w:pPr>
            <w:r>
              <w:rPr>
                <w:rFonts w:hint="eastAsia"/>
                <w:sz w:val="21"/>
              </w:rPr>
              <w:t>平</w:t>
            </w:r>
            <w:r>
              <w:rPr>
                <w:sz w:val="21"/>
              </w:rPr>
              <w:t xml:space="preserve">  </w:t>
            </w:r>
            <w:r>
              <w:rPr>
                <w:rFonts w:hint="eastAsia"/>
                <w:sz w:val="21"/>
              </w:rPr>
              <w:t>均</w:t>
            </w:r>
          </w:p>
        </w:tc>
        <w:tc>
          <w:tcPr>
            <w:tcW w:w="1066" w:type="dxa"/>
            <w:tcBorders>
              <w:top w:val="single" w:sz="6" w:space="0" w:color="auto"/>
              <w:left w:val="single" w:sz="6" w:space="0" w:color="auto"/>
              <w:bottom w:val="single" w:sz="6" w:space="0" w:color="auto"/>
              <w:right w:val="single" w:sz="6" w:space="0" w:color="auto"/>
            </w:tcBorders>
          </w:tcPr>
          <w:p w:rsidR="00000000" w:rsidRDefault="0031739B">
            <w:pPr>
              <w:jc w:val="center"/>
              <w:rPr>
                <w:sz w:val="21"/>
              </w:rPr>
            </w:pPr>
            <w:r>
              <w:rPr>
                <w:rFonts w:hint="eastAsia"/>
                <w:sz w:val="21"/>
              </w:rPr>
              <w:t>第</w:t>
            </w:r>
            <w:r>
              <w:rPr>
                <w:sz w:val="21"/>
              </w:rPr>
              <w:t xml:space="preserve">  </w:t>
            </w:r>
            <w:r>
              <w:rPr>
                <w:rFonts w:hint="eastAsia"/>
                <w:sz w:val="21"/>
              </w:rPr>
              <w:t>一</w:t>
            </w:r>
          </w:p>
        </w:tc>
        <w:tc>
          <w:tcPr>
            <w:tcW w:w="1066" w:type="dxa"/>
            <w:tcBorders>
              <w:top w:val="single" w:sz="6" w:space="0" w:color="auto"/>
              <w:left w:val="single" w:sz="6" w:space="0" w:color="auto"/>
              <w:bottom w:val="single" w:sz="6" w:space="0" w:color="auto"/>
              <w:right w:val="single" w:sz="6" w:space="0" w:color="auto"/>
            </w:tcBorders>
          </w:tcPr>
          <w:p w:rsidR="00000000" w:rsidRDefault="0031739B">
            <w:pPr>
              <w:jc w:val="center"/>
              <w:rPr>
                <w:sz w:val="21"/>
              </w:rPr>
            </w:pPr>
            <w:r>
              <w:rPr>
                <w:rFonts w:hint="eastAsia"/>
                <w:sz w:val="21"/>
              </w:rPr>
              <w:t>第</w:t>
            </w:r>
            <w:r>
              <w:rPr>
                <w:sz w:val="21"/>
              </w:rPr>
              <w:t xml:space="preserve">  </w:t>
            </w:r>
            <w:r>
              <w:rPr>
                <w:rFonts w:hint="eastAsia"/>
                <w:sz w:val="21"/>
              </w:rPr>
              <w:t>二</w:t>
            </w:r>
          </w:p>
        </w:tc>
        <w:tc>
          <w:tcPr>
            <w:tcW w:w="1066" w:type="dxa"/>
            <w:tcBorders>
              <w:top w:val="single" w:sz="6" w:space="0" w:color="auto"/>
              <w:left w:val="single" w:sz="6" w:space="0" w:color="auto"/>
              <w:bottom w:val="single" w:sz="6" w:space="0" w:color="auto"/>
              <w:right w:val="single" w:sz="6" w:space="0" w:color="auto"/>
            </w:tcBorders>
          </w:tcPr>
          <w:p w:rsidR="00000000" w:rsidRDefault="0031739B">
            <w:pPr>
              <w:jc w:val="center"/>
              <w:rPr>
                <w:sz w:val="21"/>
              </w:rPr>
            </w:pPr>
            <w:r>
              <w:rPr>
                <w:rFonts w:hint="eastAsia"/>
                <w:sz w:val="21"/>
              </w:rPr>
              <w:t>第</w:t>
            </w:r>
            <w:r>
              <w:rPr>
                <w:sz w:val="21"/>
              </w:rPr>
              <w:t xml:space="preserve">  </w:t>
            </w:r>
            <w:r>
              <w:rPr>
                <w:rFonts w:hint="eastAsia"/>
                <w:sz w:val="21"/>
              </w:rPr>
              <w:t>三</w:t>
            </w:r>
          </w:p>
        </w:tc>
        <w:tc>
          <w:tcPr>
            <w:tcW w:w="1066" w:type="dxa"/>
            <w:tcBorders>
              <w:top w:val="single" w:sz="6" w:space="0" w:color="auto"/>
              <w:left w:val="single" w:sz="6" w:space="0" w:color="auto"/>
              <w:bottom w:val="single" w:sz="6" w:space="0" w:color="auto"/>
              <w:right w:val="single" w:sz="6" w:space="0" w:color="auto"/>
            </w:tcBorders>
          </w:tcPr>
          <w:p w:rsidR="00000000" w:rsidRDefault="0031739B">
            <w:pPr>
              <w:jc w:val="center"/>
              <w:rPr>
                <w:sz w:val="21"/>
              </w:rPr>
            </w:pPr>
            <w:r>
              <w:rPr>
                <w:rFonts w:hint="eastAsia"/>
                <w:sz w:val="21"/>
              </w:rPr>
              <w:t>第</w:t>
            </w:r>
            <w:r>
              <w:rPr>
                <w:sz w:val="21"/>
              </w:rPr>
              <w:t xml:space="preserve">  </w:t>
            </w:r>
            <w:r>
              <w:rPr>
                <w:rFonts w:hint="eastAsia"/>
                <w:sz w:val="21"/>
              </w:rPr>
              <w:t>四</w:t>
            </w:r>
          </w:p>
        </w:tc>
        <w:tc>
          <w:tcPr>
            <w:tcW w:w="1066" w:type="dxa"/>
            <w:tcBorders>
              <w:top w:val="single" w:sz="6" w:space="0" w:color="auto"/>
              <w:left w:val="single" w:sz="6" w:space="0" w:color="auto"/>
              <w:bottom w:val="single" w:sz="6" w:space="0" w:color="auto"/>
            </w:tcBorders>
          </w:tcPr>
          <w:p w:rsidR="00000000" w:rsidRDefault="0031739B">
            <w:pPr>
              <w:jc w:val="center"/>
              <w:rPr>
                <w:sz w:val="21"/>
              </w:rPr>
            </w:pPr>
            <w:r>
              <w:rPr>
                <w:rFonts w:hint="eastAsia"/>
                <w:sz w:val="21"/>
              </w:rPr>
              <w:t>第</w:t>
            </w:r>
            <w:r>
              <w:rPr>
                <w:sz w:val="21"/>
              </w:rPr>
              <w:t xml:space="preserve">  </w:t>
            </w:r>
            <w:r>
              <w:rPr>
                <w:rFonts w:hint="eastAsia"/>
                <w:sz w:val="21"/>
              </w:rPr>
              <w:t>五</w:t>
            </w:r>
          </w:p>
        </w:tc>
      </w:tr>
      <w:tr w:rsidR="00000000">
        <w:tblPrEx>
          <w:tblCellMar>
            <w:top w:w="0" w:type="dxa"/>
            <w:bottom w:w="0" w:type="dxa"/>
          </w:tblCellMar>
        </w:tblPrEx>
        <w:tc>
          <w:tcPr>
            <w:tcW w:w="1948" w:type="dxa"/>
            <w:tcBorders>
              <w:top w:val="nil"/>
            </w:tcBorders>
          </w:tcPr>
          <w:p w:rsidR="00000000" w:rsidRDefault="0031739B">
            <w:pPr>
              <w:ind w:left="113"/>
              <w:rPr>
                <w:sz w:val="21"/>
              </w:rPr>
            </w:pPr>
            <w:r>
              <w:rPr>
                <w:rFonts w:hint="eastAsia"/>
                <w:sz w:val="21"/>
              </w:rPr>
              <w:t>年收入</w:t>
            </w:r>
          </w:p>
        </w:tc>
        <w:tc>
          <w:tcPr>
            <w:tcW w:w="1066" w:type="dxa"/>
            <w:tcBorders>
              <w:top w:val="nil"/>
              <w:right w:val="nil"/>
            </w:tcBorders>
          </w:tcPr>
          <w:p w:rsidR="00000000" w:rsidRDefault="0031739B">
            <w:pPr>
              <w:jc w:val="center"/>
              <w:rPr>
                <w:sz w:val="21"/>
              </w:rPr>
            </w:pPr>
          </w:p>
        </w:tc>
        <w:tc>
          <w:tcPr>
            <w:tcW w:w="1066" w:type="dxa"/>
            <w:tcBorders>
              <w:top w:val="single" w:sz="6" w:space="0" w:color="auto"/>
              <w:left w:val="single" w:sz="6" w:space="0" w:color="auto"/>
              <w:bottom w:val="nil"/>
              <w:right w:val="single" w:sz="6" w:space="0" w:color="auto"/>
            </w:tcBorders>
          </w:tcPr>
          <w:p w:rsidR="00000000" w:rsidRDefault="0031739B">
            <w:pPr>
              <w:jc w:val="center"/>
              <w:rPr>
                <w:sz w:val="21"/>
              </w:rPr>
            </w:pPr>
          </w:p>
        </w:tc>
        <w:tc>
          <w:tcPr>
            <w:tcW w:w="1066" w:type="dxa"/>
            <w:tcBorders>
              <w:top w:val="single" w:sz="6" w:space="0" w:color="auto"/>
              <w:left w:val="single" w:sz="6" w:space="0" w:color="auto"/>
              <w:bottom w:val="nil"/>
              <w:right w:val="single" w:sz="6" w:space="0" w:color="auto"/>
            </w:tcBorders>
          </w:tcPr>
          <w:p w:rsidR="00000000" w:rsidRDefault="0031739B">
            <w:pPr>
              <w:jc w:val="center"/>
              <w:rPr>
                <w:sz w:val="21"/>
              </w:rPr>
            </w:pPr>
          </w:p>
        </w:tc>
        <w:tc>
          <w:tcPr>
            <w:tcW w:w="1066" w:type="dxa"/>
            <w:tcBorders>
              <w:top w:val="single" w:sz="6" w:space="0" w:color="auto"/>
              <w:left w:val="single" w:sz="6" w:space="0" w:color="auto"/>
              <w:bottom w:val="nil"/>
              <w:right w:val="single" w:sz="6" w:space="0" w:color="auto"/>
            </w:tcBorders>
          </w:tcPr>
          <w:p w:rsidR="00000000" w:rsidRDefault="0031739B">
            <w:pPr>
              <w:jc w:val="center"/>
              <w:rPr>
                <w:sz w:val="21"/>
              </w:rPr>
            </w:pPr>
          </w:p>
        </w:tc>
        <w:tc>
          <w:tcPr>
            <w:tcW w:w="1066" w:type="dxa"/>
            <w:tcBorders>
              <w:top w:val="single" w:sz="6" w:space="0" w:color="auto"/>
              <w:left w:val="single" w:sz="6" w:space="0" w:color="auto"/>
              <w:bottom w:val="nil"/>
              <w:right w:val="single" w:sz="6" w:space="0" w:color="auto"/>
            </w:tcBorders>
          </w:tcPr>
          <w:p w:rsidR="00000000" w:rsidRDefault="0031739B">
            <w:pPr>
              <w:jc w:val="center"/>
              <w:rPr>
                <w:sz w:val="21"/>
              </w:rPr>
            </w:pPr>
          </w:p>
        </w:tc>
        <w:tc>
          <w:tcPr>
            <w:tcW w:w="1066" w:type="dxa"/>
            <w:tcBorders>
              <w:top w:val="single" w:sz="6" w:space="0" w:color="auto"/>
              <w:left w:val="single" w:sz="6" w:space="0" w:color="auto"/>
              <w:bottom w:val="nil"/>
              <w:right w:val="single" w:sz="6" w:space="0" w:color="auto"/>
            </w:tcBorders>
          </w:tcPr>
          <w:p w:rsidR="00000000" w:rsidRDefault="0031739B">
            <w:pPr>
              <w:jc w:val="center"/>
              <w:rPr>
                <w:sz w:val="21"/>
              </w:rPr>
            </w:pPr>
          </w:p>
        </w:tc>
        <w:tc>
          <w:tcPr>
            <w:tcW w:w="1066" w:type="dxa"/>
            <w:tcBorders>
              <w:top w:val="single" w:sz="6" w:space="0" w:color="auto"/>
              <w:left w:val="single" w:sz="6" w:space="0" w:color="auto"/>
              <w:bottom w:val="nil"/>
            </w:tcBorders>
          </w:tcPr>
          <w:p w:rsidR="00000000" w:rsidRDefault="0031739B">
            <w:pPr>
              <w:jc w:val="center"/>
              <w:rPr>
                <w:sz w:val="21"/>
              </w:rPr>
            </w:pPr>
          </w:p>
        </w:tc>
      </w:tr>
      <w:tr w:rsidR="00000000">
        <w:tblPrEx>
          <w:tblCellMar>
            <w:top w:w="0" w:type="dxa"/>
            <w:bottom w:w="0" w:type="dxa"/>
          </w:tblCellMar>
        </w:tblPrEx>
        <w:tc>
          <w:tcPr>
            <w:tcW w:w="1948" w:type="dxa"/>
          </w:tcPr>
          <w:p w:rsidR="00000000" w:rsidRDefault="0031739B">
            <w:pPr>
              <w:ind w:left="113"/>
              <w:rPr>
                <w:sz w:val="21"/>
              </w:rPr>
            </w:pPr>
          </w:p>
        </w:tc>
        <w:tc>
          <w:tcPr>
            <w:tcW w:w="1066" w:type="dxa"/>
            <w:tcBorders>
              <w:right w:val="nil"/>
            </w:tcBorders>
          </w:tcPr>
          <w:p w:rsidR="00000000" w:rsidRDefault="0031739B">
            <w:pPr>
              <w:jc w:val="center"/>
              <w:rPr>
                <w:sz w:val="21"/>
              </w:rPr>
            </w:pPr>
            <w:r>
              <w:rPr>
                <w:sz w:val="21"/>
              </w:rPr>
              <w:t>1984</w:t>
            </w:r>
          </w:p>
        </w:tc>
        <w:tc>
          <w:tcPr>
            <w:tcW w:w="1066" w:type="dxa"/>
            <w:tcBorders>
              <w:top w:val="nil"/>
              <w:left w:val="single" w:sz="6" w:space="0" w:color="auto"/>
              <w:bottom w:val="nil"/>
              <w:right w:val="single" w:sz="6" w:space="0" w:color="auto"/>
            </w:tcBorders>
          </w:tcPr>
          <w:p w:rsidR="00000000" w:rsidRDefault="0031739B">
            <w:pPr>
              <w:jc w:val="center"/>
              <w:rPr>
                <w:sz w:val="21"/>
              </w:rPr>
            </w:pPr>
            <w:r>
              <w:rPr>
                <w:sz w:val="21"/>
              </w:rPr>
              <w:t>548</w:t>
            </w:r>
          </w:p>
        </w:tc>
        <w:tc>
          <w:tcPr>
            <w:tcW w:w="1066" w:type="dxa"/>
            <w:tcBorders>
              <w:top w:val="nil"/>
              <w:left w:val="single" w:sz="6" w:space="0" w:color="auto"/>
              <w:bottom w:val="nil"/>
              <w:right w:val="nil"/>
            </w:tcBorders>
          </w:tcPr>
          <w:p w:rsidR="00000000" w:rsidRDefault="0031739B">
            <w:pPr>
              <w:jc w:val="center"/>
              <w:rPr>
                <w:sz w:val="21"/>
              </w:rPr>
            </w:pPr>
            <w:r>
              <w:rPr>
                <w:sz w:val="21"/>
              </w:rPr>
              <w:t>236</w:t>
            </w:r>
          </w:p>
        </w:tc>
        <w:tc>
          <w:tcPr>
            <w:tcW w:w="1066" w:type="dxa"/>
            <w:tcBorders>
              <w:top w:val="nil"/>
              <w:left w:val="single" w:sz="6" w:space="0" w:color="auto"/>
              <w:bottom w:val="nil"/>
              <w:right w:val="single" w:sz="6" w:space="0" w:color="auto"/>
            </w:tcBorders>
          </w:tcPr>
          <w:p w:rsidR="00000000" w:rsidRDefault="0031739B">
            <w:pPr>
              <w:jc w:val="center"/>
              <w:rPr>
                <w:sz w:val="21"/>
              </w:rPr>
            </w:pPr>
            <w:r>
              <w:rPr>
                <w:sz w:val="21"/>
              </w:rPr>
              <w:t>378</w:t>
            </w:r>
          </w:p>
        </w:tc>
        <w:tc>
          <w:tcPr>
            <w:tcW w:w="1066" w:type="dxa"/>
            <w:tcBorders>
              <w:top w:val="nil"/>
              <w:left w:val="nil"/>
              <w:bottom w:val="nil"/>
              <w:right w:val="nil"/>
            </w:tcBorders>
          </w:tcPr>
          <w:p w:rsidR="00000000" w:rsidRDefault="0031739B">
            <w:pPr>
              <w:jc w:val="center"/>
              <w:rPr>
                <w:sz w:val="21"/>
              </w:rPr>
            </w:pPr>
            <w:r>
              <w:rPr>
                <w:sz w:val="21"/>
              </w:rPr>
              <w:t>486</w:t>
            </w:r>
          </w:p>
        </w:tc>
        <w:tc>
          <w:tcPr>
            <w:tcW w:w="1066" w:type="dxa"/>
            <w:tcBorders>
              <w:top w:val="nil"/>
              <w:left w:val="single" w:sz="6" w:space="0" w:color="auto"/>
              <w:bottom w:val="nil"/>
              <w:right w:val="single" w:sz="6" w:space="0" w:color="auto"/>
            </w:tcBorders>
          </w:tcPr>
          <w:p w:rsidR="00000000" w:rsidRDefault="0031739B">
            <w:pPr>
              <w:jc w:val="center"/>
              <w:rPr>
                <w:sz w:val="21"/>
              </w:rPr>
            </w:pPr>
            <w:r>
              <w:rPr>
                <w:sz w:val="21"/>
              </w:rPr>
              <w:t>626</w:t>
            </w:r>
          </w:p>
        </w:tc>
        <w:tc>
          <w:tcPr>
            <w:tcW w:w="1066" w:type="dxa"/>
            <w:tcBorders>
              <w:top w:val="nil"/>
              <w:left w:val="nil"/>
              <w:bottom w:val="nil"/>
            </w:tcBorders>
          </w:tcPr>
          <w:p w:rsidR="00000000" w:rsidRDefault="0031739B">
            <w:pPr>
              <w:jc w:val="center"/>
              <w:rPr>
                <w:sz w:val="21"/>
              </w:rPr>
            </w:pPr>
            <w:r>
              <w:rPr>
                <w:sz w:val="21"/>
              </w:rPr>
              <w:t>1,012</w:t>
            </w:r>
          </w:p>
        </w:tc>
      </w:tr>
      <w:tr w:rsidR="00000000">
        <w:tblPrEx>
          <w:tblCellMar>
            <w:top w:w="0" w:type="dxa"/>
            <w:bottom w:w="0" w:type="dxa"/>
          </w:tblCellMar>
        </w:tblPrEx>
        <w:tc>
          <w:tcPr>
            <w:tcW w:w="1948" w:type="dxa"/>
          </w:tcPr>
          <w:p w:rsidR="00000000" w:rsidRDefault="0031739B">
            <w:pPr>
              <w:ind w:left="113"/>
              <w:rPr>
                <w:sz w:val="21"/>
              </w:rPr>
            </w:pPr>
          </w:p>
        </w:tc>
        <w:tc>
          <w:tcPr>
            <w:tcW w:w="1066" w:type="dxa"/>
            <w:tcBorders>
              <w:right w:val="nil"/>
            </w:tcBorders>
          </w:tcPr>
          <w:p w:rsidR="00000000" w:rsidRDefault="0031739B">
            <w:pPr>
              <w:jc w:val="center"/>
              <w:rPr>
                <w:sz w:val="21"/>
              </w:rPr>
            </w:pPr>
            <w:r>
              <w:rPr>
                <w:sz w:val="21"/>
              </w:rPr>
              <w:t>1989</w:t>
            </w:r>
          </w:p>
        </w:tc>
        <w:tc>
          <w:tcPr>
            <w:tcW w:w="1066" w:type="dxa"/>
            <w:tcBorders>
              <w:top w:val="nil"/>
              <w:left w:val="single" w:sz="6" w:space="0" w:color="auto"/>
              <w:bottom w:val="nil"/>
              <w:right w:val="single" w:sz="6" w:space="0" w:color="auto"/>
            </w:tcBorders>
          </w:tcPr>
          <w:p w:rsidR="00000000" w:rsidRDefault="0031739B">
            <w:pPr>
              <w:jc w:val="center"/>
              <w:rPr>
                <w:sz w:val="21"/>
              </w:rPr>
            </w:pPr>
            <w:r>
              <w:rPr>
                <w:sz w:val="21"/>
              </w:rPr>
              <w:t>6</w:t>
            </w:r>
            <w:r>
              <w:rPr>
                <w:sz w:val="21"/>
              </w:rPr>
              <w:t>65</w:t>
            </w:r>
          </w:p>
        </w:tc>
        <w:tc>
          <w:tcPr>
            <w:tcW w:w="1066" w:type="dxa"/>
            <w:tcBorders>
              <w:top w:val="nil"/>
              <w:left w:val="single" w:sz="6" w:space="0" w:color="auto"/>
              <w:bottom w:val="nil"/>
              <w:right w:val="nil"/>
            </w:tcBorders>
          </w:tcPr>
          <w:p w:rsidR="00000000" w:rsidRDefault="0031739B">
            <w:pPr>
              <w:jc w:val="center"/>
              <w:rPr>
                <w:sz w:val="21"/>
              </w:rPr>
            </w:pPr>
            <w:r>
              <w:rPr>
                <w:sz w:val="21"/>
              </w:rPr>
              <w:t>276</w:t>
            </w:r>
          </w:p>
        </w:tc>
        <w:tc>
          <w:tcPr>
            <w:tcW w:w="1066" w:type="dxa"/>
            <w:tcBorders>
              <w:top w:val="nil"/>
              <w:left w:val="single" w:sz="6" w:space="0" w:color="auto"/>
              <w:bottom w:val="nil"/>
              <w:right w:val="single" w:sz="6" w:space="0" w:color="auto"/>
            </w:tcBorders>
          </w:tcPr>
          <w:p w:rsidR="00000000" w:rsidRDefault="0031739B">
            <w:pPr>
              <w:jc w:val="center"/>
              <w:rPr>
                <w:sz w:val="21"/>
              </w:rPr>
            </w:pPr>
            <w:r>
              <w:rPr>
                <w:sz w:val="21"/>
              </w:rPr>
              <w:t>447</w:t>
            </w:r>
          </w:p>
        </w:tc>
        <w:tc>
          <w:tcPr>
            <w:tcW w:w="1066" w:type="dxa"/>
            <w:tcBorders>
              <w:top w:val="nil"/>
              <w:left w:val="nil"/>
              <w:bottom w:val="nil"/>
              <w:right w:val="nil"/>
            </w:tcBorders>
          </w:tcPr>
          <w:p w:rsidR="00000000" w:rsidRDefault="0031739B">
            <w:pPr>
              <w:jc w:val="center"/>
              <w:rPr>
                <w:sz w:val="21"/>
              </w:rPr>
            </w:pPr>
            <w:r>
              <w:rPr>
                <w:sz w:val="21"/>
              </w:rPr>
              <w:t>584</w:t>
            </w:r>
          </w:p>
        </w:tc>
        <w:tc>
          <w:tcPr>
            <w:tcW w:w="1066" w:type="dxa"/>
            <w:tcBorders>
              <w:top w:val="nil"/>
              <w:left w:val="single" w:sz="6" w:space="0" w:color="auto"/>
              <w:bottom w:val="nil"/>
              <w:right w:val="single" w:sz="6" w:space="0" w:color="auto"/>
            </w:tcBorders>
          </w:tcPr>
          <w:p w:rsidR="00000000" w:rsidRDefault="0031739B">
            <w:pPr>
              <w:jc w:val="center"/>
              <w:rPr>
                <w:sz w:val="21"/>
              </w:rPr>
            </w:pPr>
            <w:r>
              <w:rPr>
                <w:sz w:val="21"/>
              </w:rPr>
              <w:t>761</w:t>
            </w:r>
          </w:p>
        </w:tc>
        <w:tc>
          <w:tcPr>
            <w:tcW w:w="1066" w:type="dxa"/>
            <w:tcBorders>
              <w:top w:val="nil"/>
              <w:left w:val="nil"/>
              <w:bottom w:val="nil"/>
            </w:tcBorders>
          </w:tcPr>
          <w:p w:rsidR="00000000" w:rsidRDefault="0031739B">
            <w:pPr>
              <w:jc w:val="center"/>
              <w:rPr>
                <w:sz w:val="21"/>
              </w:rPr>
            </w:pPr>
            <w:r>
              <w:rPr>
                <w:sz w:val="21"/>
              </w:rPr>
              <w:t>1,258</w:t>
            </w:r>
          </w:p>
        </w:tc>
      </w:tr>
      <w:tr w:rsidR="00000000">
        <w:tblPrEx>
          <w:tblCellMar>
            <w:top w:w="0" w:type="dxa"/>
            <w:bottom w:w="0" w:type="dxa"/>
          </w:tblCellMar>
        </w:tblPrEx>
        <w:tc>
          <w:tcPr>
            <w:tcW w:w="1948" w:type="dxa"/>
          </w:tcPr>
          <w:p w:rsidR="00000000" w:rsidRDefault="0031739B">
            <w:pPr>
              <w:ind w:left="113"/>
              <w:rPr>
                <w:sz w:val="21"/>
              </w:rPr>
            </w:pPr>
          </w:p>
        </w:tc>
        <w:tc>
          <w:tcPr>
            <w:tcW w:w="1066" w:type="dxa"/>
            <w:tcBorders>
              <w:right w:val="nil"/>
            </w:tcBorders>
          </w:tcPr>
          <w:p w:rsidR="00000000" w:rsidRDefault="0031739B">
            <w:pPr>
              <w:jc w:val="center"/>
              <w:rPr>
                <w:sz w:val="21"/>
              </w:rPr>
            </w:pPr>
            <w:r>
              <w:rPr>
                <w:sz w:val="21"/>
              </w:rPr>
              <w:t>1994</w:t>
            </w:r>
          </w:p>
        </w:tc>
        <w:tc>
          <w:tcPr>
            <w:tcW w:w="1066" w:type="dxa"/>
            <w:tcBorders>
              <w:top w:val="nil"/>
              <w:left w:val="single" w:sz="6" w:space="0" w:color="auto"/>
              <w:bottom w:val="nil"/>
              <w:right w:val="single" w:sz="6" w:space="0" w:color="auto"/>
            </w:tcBorders>
          </w:tcPr>
          <w:p w:rsidR="00000000" w:rsidRDefault="0031739B">
            <w:pPr>
              <w:jc w:val="center"/>
              <w:rPr>
                <w:sz w:val="21"/>
              </w:rPr>
            </w:pPr>
            <w:r>
              <w:rPr>
                <w:sz w:val="21"/>
              </w:rPr>
              <w:t>784</w:t>
            </w:r>
          </w:p>
        </w:tc>
        <w:tc>
          <w:tcPr>
            <w:tcW w:w="1066" w:type="dxa"/>
            <w:tcBorders>
              <w:top w:val="nil"/>
              <w:left w:val="single" w:sz="6" w:space="0" w:color="auto"/>
              <w:bottom w:val="nil"/>
              <w:right w:val="nil"/>
            </w:tcBorders>
          </w:tcPr>
          <w:p w:rsidR="00000000" w:rsidRDefault="0031739B">
            <w:pPr>
              <w:jc w:val="center"/>
              <w:rPr>
                <w:sz w:val="21"/>
              </w:rPr>
            </w:pPr>
            <w:r>
              <w:rPr>
                <w:sz w:val="21"/>
              </w:rPr>
              <w:t>316</w:t>
            </w:r>
          </w:p>
        </w:tc>
        <w:tc>
          <w:tcPr>
            <w:tcW w:w="1066" w:type="dxa"/>
            <w:tcBorders>
              <w:top w:val="nil"/>
              <w:left w:val="single" w:sz="6" w:space="0" w:color="auto"/>
              <w:bottom w:val="nil"/>
              <w:right w:val="single" w:sz="6" w:space="0" w:color="auto"/>
            </w:tcBorders>
          </w:tcPr>
          <w:p w:rsidR="00000000" w:rsidRDefault="0031739B">
            <w:pPr>
              <w:jc w:val="center"/>
              <w:rPr>
                <w:sz w:val="21"/>
              </w:rPr>
            </w:pPr>
            <w:r>
              <w:rPr>
                <w:sz w:val="21"/>
              </w:rPr>
              <w:t>520</w:t>
            </w:r>
          </w:p>
        </w:tc>
        <w:tc>
          <w:tcPr>
            <w:tcW w:w="1066" w:type="dxa"/>
            <w:tcBorders>
              <w:top w:val="nil"/>
              <w:left w:val="nil"/>
              <w:bottom w:val="nil"/>
              <w:right w:val="nil"/>
            </w:tcBorders>
          </w:tcPr>
          <w:p w:rsidR="00000000" w:rsidRDefault="0031739B">
            <w:pPr>
              <w:jc w:val="center"/>
              <w:rPr>
                <w:sz w:val="21"/>
              </w:rPr>
            </w:pPr>
            <w:r>
              <w:rPr>
                <w:sz w:val="21"/>
              </w:rPr>
              <w:t>689</w:t>
            </w:r>
          </w:p>
        </w:tc>
        <w:tc>
          <w:tcPr>
            <w:tcW w:w="1066" w:type="dxa"/>
            <w:tcBorders>
              <w:top w:val="nil"/>
              <w:left w:val="single" w:sz="6" w:space="0" w:color="auto"/>
              <w:bottom w:val="nil"/>
              <w:right w:val="single" w:sz="6" w:space="0" w:color="auto"/>
            </w:tcBorders>
          </w:tcPr>
          <w:p w:rsidR="00000000" w:rsidRDefault="0031739B">
            <w:pPr>
              <w:jc w:val="center"/>
              <w:rPr>
                <w:sz w:val="21"/>
              </w:rPr>
            </w:pPr>
            <w:r>
              <w:rPr>
                <w:sz w:val="21"/>
              </w:rPr>
              <w:t>904</w:t>
            </w:r>
          </w:p>
        </w:tc>
        <w:tc>
          <w:tcPr>
            <w:tcW w:w="1066" w:type="dxa"/>
            <w:tcBorders>
              <w:top w:val="nil"/>
              <w:left w:val="nil"/>
              <w:bottom w:val="nil"/>
            </w:tcBorders>
          </w:tcPr>
          <w:p w:rsidR="00000000" w:rsidRDefault="0031739B">
            <w:pPr>
              <w:jc w:val="center"/>
              <w:rPr>
                <w:sz w:val="21"/>
              </w:rPr>
            </w:pPr>
            <w:r>
              <w:rPr>
                <w:sz w:val="21"/>
              </w:rPr>
              <w:t>1,490</w:t>
            </w:r>
          </w:p>
        </w:tc>
      </w:tr>
      <w:tr w:rsidR="00000000">
        <w:tblPrEx>
          <w:tblCellMar>
            <w:top w:w="0" w:type="dxa"/>
            <w:bottom w:w="0" w:type="dxa"/>
          </w:tblCellMar>
        </w:tblPrEx>
        <w:tc>
          <w:tcPr>
            <w:tcW w:w="1948" w:type="dxa"/>
          </w:tcPr>
          <w:p w:rsidR="00000000" w:rsidRDefault="0031739B">
            <w:pPr>
              <w:ind w:left="113"/>
              <w:rPr>
                <w:sz w:val="21"/>
              </w:rPr>
            </w:pPr>
            <w:r>
              <w:rPr>
                <w:rFonts w:hint="eastAsia"/>
                <w:sz w:val="21"/>
              </w:rPr>
              <w:t>年生活支出</w:t>
            </w:r>
          </w:p>
        </w:tc>
        <w:tc>
          <w:tcPr>
            <w:tcW w:w="1066" w:type="dxa"/>
            <w:tcBorders>
              <w:right w:val="nil"/>
            </w:tcBorders>
          </w:tcPr>
          <w:p w:rsidR="00000000" w:rsidRDefault="0031739B">
            <w:pPr>
              <w:jc w:val="center"/>
              <w:rPr>
                <w:sz w:val="21"/>
              </w:rPr>
            </w:pPr>
          </w:p>
        </w:tc>
        <w:tc>
          <w:tcPr>
            <w:tcW w:w="1066" w:type="dxa"/>
            <w:tcBorders>
              <w:top w:val="nil"/>
              <w:left w:val="single" w:sz="6" w:space="0" w:color="auto"/>
              <w:bottom w:val="nil"/>
              <w:right w:val="single" w:sz="6" w:space="0" w:color="auto"/>
            </w:tcBorders>
          </w:tcPr>
          <w:p w:rsidR="00000000" w:rsidRDefault="0031739B">
            <w:pPr>
              <w:jc w:val="center"/>
              <w:rPr>
                <w:sz w:val="21"/>
              </w:rPr>
            </w:pPr>
          </w:p>
        </w:tc>
        <w:tc>
          <w:tcPr>
            <w:tcW w:w="1066" w:type="dxa"/>
            <w:tcBorders>
              <w:top w:val="nil"/>
              <w:left w:val="single" w:sz="6" w:space="0" w:color="auto"/>
              <w:bottom w:val="nil"/>
              <w:right w:val="nil"/>
            </w:tcBorders>
          </w:tcPr>
          <w:p w:rsidR="00000000" w:rsidRDefault="0031739B">
            <w:pPr>
              <w:jc w:val="center"/>
              <w:rPr>
                <w:sz w:val="21"/>
              </w:rPr>
            </w:pPr>
          </w:p>
        </w:tc>
        <w:tc>
          <w:tcPr>
            <w:tcW w:w="1066" w:type="dxa"/>
            <w:tcBorders>
              <w:top w:val="nil"/>
              <w:left w:val="single" w:sz="6" w:space="0" w:color="auto"/>
              <w:bottom w:val="nil"/>
              <w:right w:val="single" w:sz="6" w:space="0" w:color="auto"/>
            </w:tcBorders>
          </w:tcPr>
          <w:p w:rsidR="00000000" w:rsidRDefault="0031739B">
            <w:pPr>
              <w:jc w:val="center"/>
              <w:rPr>
                <w:sz w:val="21"/>
              </w:rPr>
            </w:pPr>
          </w:p>
        </w:tc>
        <w:tc>
          <w:tcPr>
            <w:tcW w:w="1066" w:type="dxa"/>
            <w:tcBorders>
              <w:top w:val="nil"/>
              <w:left w:val="nil"/>
              <w:bottom w:val="nil"/>
              <w:right w:val="nil"/>
            </w:tcBorders>
          </w:tcPr>
          <w:p w:rsidR="00000000" w:rsidRDefault="0031739B">
            <w:pPr>
              <w:jc w:val="center"/>
              <w:rPr>
                <w:sz w:val="21"/>
              </w:rPr>
            </w:pPr>
          </w:p>
        </w:tc>
        <w:tc>
          <w:tcPr>
            <w:tcW w:w="1066" w:type="dxa"/>
            <w:tcBorders>
              <w:top w:val="nil"/>
              <w:left w:val="single" w:sz="6" w:space="0" w:color="auto"/>
              <w:bottom w:val="nil"/>
              <w:right w:val="single" w:sz="6" w:space="0" w:color="auto"/>
            </w:tcBorders>
          </w:tcPr>
          <w:p w:rsidR="00000000" w:rsidRDefault="0031739B">
            <w:pPr>
              <w:jc w:val="center"/>
              <w:rPr>
                <w:sz w:val="21"/>
              </w:rPr>
            </w:pPr>
          </w:p>
        </w:tc>
        <w:tc>
          <w:tcPr>
            <w:tcW w:w="1066" w:type="dxa"/>
            <w:tcBorders>
              <w:top w:val="nil"/>
              <w:left w:val="nil"/>
              <w:bottom w:val="nil"/>
            </w:tcBorders>
          </w:tcPr>
          <w:p w:rsidR="00000000" w:rsidRDefault="0031739B">
            <w:pPr>
              <w:jc w:val="center"/>
              <w:rPr>
                <w:sz w:val="21"/>
              </w:rPr>
            </w:pPr>
          </w:p>
        </w:tc>
      </w:tr>
      <w:tr w:rsidR="00000000">
        <w:tblPrEx>
          <w:tblCellMar>
            <w:top w:w="0" w:type="dxa"/>
            <w:bottom w:w="0" w:type="dxa"/>
          </w:tblCellMar>
        </w:tblPrEx>
        <w:tc>
          <w:tcPr>
            <w:tcW w:w="1948" w:type="dxa"/>
          </w:tcPr>
          <w:p w:rsidR="00000000" w:rsidRDefault="0031739B">
            <w:pPr>
              <w:ind w:left="113"/>
              <w:rPr>
                <w:sz w:val="21"/>
              </w:rPr>
            </w:pPr>
          </w:p>
        </w:tc>
        <w:tc>
          <w:tcPr>
            <w:tcW w:w="1066" w:type="dxa"/>
            <w:tcBorders>
              <w:right w:val="nil"/>
            </w:tcBorders>
          </w:tcPr>
          <w:p w:rsidR="00000000" w:rsidRDefault="0031739B">
            <w:pPr>
              <w:jc w:val="center"/>
              <w:rPr>
                <w:sz w:val="21"/>
              </w:rPr>
            </w:pPr>
            <w:r>
              <w:rPr>
                <w:sz w:val="21"/>
              </w:rPr>
              <w:t>1984</w:t>
            </w:r>
          </w:p>
        </w:tc>
        <w:tc>
          <w:tcPr>
            <w:tcW w:w="1066" w:type="dxa"/>
            <w:tcBorders>
              <w:top w:val="nil"/>
              <w:left w:val="single" w:sz="6" w:space="0" w:color="auto"/>
              <w:bottom w:val="nil"/>
              <w:right w:val="single" w:sz="6" w:space="0" w:color="auto"/>
            </w:tcBorders>
          </w:tcPr>
          <w:p w:rsidR="00000000" w:rsidRDefault="0031739B">
            <w:pPr>
              <w:jc w:val="center"/>
              <w:rPr>
                <w:sz w:val="21"/>
              </w:rPr>
            </w:pPr>
            <w:r>
              <w:rPr>
                <w:sz w:val="21"/>
              </w:rPr>
              <w:t>317</w:t>
            </w:r>
          </w:p>
        </w:tc>
        <w:tc>
          <w:tcPr>
            <w:tcW w:w="1066" w:type="dxa"/>
            <w:tcBorders>
              <w:top w:val="nil"/>
              <w:left w:val="single" w:sz="6" w:space="0" w:color="auto"/>
              <w:bottom w:val="nil"/>
              <w:right w:val="nil"/>
            </w:tcBorders>
          </w:tcPr>
          <w:p w:rsidR="00000000" w:rsidRDefault="0031739B">
            <w:pPr>
              <w:jc w:val="center"/>
              <w:rPr>
                <w:sz w:val="21"/>
              </w:rPr>
            </w:pPr>
            <w:r>
              <w:rPr>
                <w:sz w:val="21"/>
              </w:rPr>
              <w:t>205</w:t>
            </w:r>
          </w:p>
        </w:tc>
        <w:tc>
          <w:tcPr>
            <w:tcW w:w="1066" w:type="dxa"/>
            <w:tcBorders>
              <w:top w:val="nil"/>
              <w:left w:val="single" w:sz="6" w:space="0" w:color="auto"/>
              <w:bottom w:val="nil"/>
              <w:right w:val="single" w:sz="6" w:space="0" w:color="auto"/>
            </w:tcBorders>
          </w:tcPr>
          <w:p w:rsidR="00000000" w:rsidRDefault="0031739B">
            <w:pPr>
              <w:jc w:val="center"/>
              <w:rPr>
                <w:sz w:val="21"/>
              </w:rPr>
            </w:pPr>
            <w:r>
              <w:rPr>
                <w:sz w:val="21"/>
              </w:rPr>
              <w:t>263</w:t>
            </w:r>
          </w:p>
        </w:tc>
        <w:tc>
          <w:tcPr>
            <w:tcW w:w="1066" w:type="dxa"/>
            <w:tcBorders>
              <w:top w:val="nil"/>
              <w:left w:val="nil"/>
              <w:bottom w:val="nil"/>
              <w:right w:val="nil"/>
            </w:tcBorders>
          </w:tcPr>
          <w:p w:rsidR="00000000" w:rsidRDefault="0031739B">
            <w:pPr>
              <w:jc w:val="center"/>
              <w:rPr>
                <w:sz w:val="21"/>
              </w:rPr>
            </w:pPr>
            <w:r>
              <w:rPr>
                <w:sz w:val="21"/>
              </w:rPr>
              <w:t>302</w:t>
            </w:r>
          </w:p>
        </w:tc>
        <w:tc>
          <w:tcPr>
            <w:tcW w:w="1066" w:type="dxa"/>
            <w:tcBorders>
              <w:top w:val="nil"/>
              <w:left w:val="single" w:sz="6" w:space="0" w:color="auto"/>
              <w:bottom w:val="nil"/>
              <w:right w:val="single" w:sz="6" w:space="0" w:color="auto"/>
            </w:tcBorders>
          </w:tcPr>
          <w:p w:rsidR="00000000" w:rsidRDefault="0031739B">
            <w:pPr>
              <w:jc w:val="center"/>
              <w:rPr>
                <w:sz w:val="21"/>
              </w:rPr>
            </w:pPr>
            <w:r>
              <w:rPr>
                <w:sz w:val="21"/>
              </w:rPr>
              <w:t>352</w:t>
            </w:r>
          </w:p>
        </w:tc>
        <w:tc>
          <w:tcPr>
            <w:tcW w:w="1066" w:type="dxa"/>
            <w:tcBorders>
              <w:top w:val="nil"/>
              <w:left w:val="nil"/>
              <w:bottom w:val="nil"/>
            </w:tcBorders>
          </w:tcPr>
          <w:p w:rsidR="00000000" w:rsidRDefault="0031739B">
            <w:pPr>
              <w:jc w:val="center"/>
              <w:rPr>
                <w:sz w:val="21"/>
              </w:rPr>
            </w:pPr>
            <w:r>
              <w:rPr>
                <w:sz w:val="21"/>
              </w:rPr>
              <w:t>464</w:t>
            </w:r>
          </w:p>
        </w:tc>
      </w:tr>
      <w:tr w:rsidR="00000000">
        <w:tblPrEx>
          <w:tblCellMar>
            <w:top w:w="0" w:type="dxa"/>
            <w:bottom w:w="0" w:type="dxa"/>
          </w:tblCellMar>
        </w:tblPrEx>
        <w:tc>
          <w:tcPr>
            <w:tcW w:w="1948" w:type="dxa"/>
          </w:tcPr>
          <w:p w:rsidR="00000000" w:rsidRDefault="0031739B">
            <w:pPr>
              <w:ind w:left="113"/>
              <w:rPr>
                <w:sz w:val="21"/>
              </w:rPr>
            </w:pPr>
          </w:p>
        </w:tc>
        <w:tc>
          <w:tcPr>
            <w:tcW w:w="1066" w:type="dxa"/>
            <w:tcBorders>
              <w:right w:val="nil"/>
            </w:tcBorders>
          </w:tcPr>
          <w:p w:rsidR="00000000" w:rsidRDefault="0031739B">
            <w:pPr>
              <w:jc w:val="center"/>
              <w:rPr>
                <w:sz w:val="21"/>
              </w:rPr>
            </w:pPr>
            <w:r>
              <w:rPr>
                <w:sz w:val="21"/>
              </w:rPr>
              <w:t>1989</w:t>
            </w:r>
          </w:p>
        </w:tc>
        <w:tc>
          <w:tcPr>
            <w:tcW w:w="1066" w:type="dxa"/>
            <w:tcBorders>
              <w:top w:val="nil"/>
              <w:left w:val="single" w:sz="6" w:space="0" w:color="auto"/>
              <w:bottom w:val="nil"/>
              <w:right w:val="single" w:sz="6" w:space="0" w:color="auto"/>
            </w:tcBorders>
          </w:tcPr>
          <w:p w:rsidR="00000000" w:rsidRDefault="0031739B">
            <w:pPr>
              <w:jc w:val="center"/>
              <w:rPr>
                <w:sz w:val="21"/>
              </w:rPr>
            </w:pPr>
            <w:r>
              <w:rPr>
                <w:sz w:val="21"/>
              </w:rPr>
              <w:t>366</w:t>
            </w:r>
          </w:p>
        </w:tc>
        <w:tc>
          <w:tcPr>
            <w:tcW w:w="1066" w:type="dxa"/>
            <w:tcBorders>
              <w:top w:val="nil"/>
              <w:left w:val="single" w:sz="6" w:space="0" w:color="auto"/>
              <w:bottom w:val="nil"/>
              <w:right w:val="nil"/>
            </w:tcBorders>
          </w:tcPr>
          <w:p w:rsidR="00000000" w:rsidRDefault="0031739B">
            <w:pPr>
              <w:jc w:val="center"/>
              <w:rPr>
                <w:sz w:val="21"/>
              </w:rPr>
            </w:pPr>
            <w:r>
              <w:rPr>
                <w:sz w:val="21"/>
              </w:rPr>
              <w:t>233</w:t>
            </w:r>
          </w:p>
        </w:tc>
        <w:tc>
          <w:tcPr>
            <w:tcW w:w="1066" w:type="dxa"/>
            <w:tcBorders>
              <w:top w:val="nil"/>
              <w:left w:val="single" w:sz="6" w:space="0" w:color="auto"/>
              <w:bottom w:val="nil"/>
              <w:right w:val="single" w:sz="6" w:space="0" w:color="auto"/>
            </w:tcBorders>
          </w:tcPr>
          <w:p w:rsidR="00000000" w:rsidRDefault="0031739B">
            <w:pPr>
              <w:jc w:val="center"/>
              <w:rPr>
                <w:sz w:val="21"/>
              </w:rPr>
            </w:pPr>
            <w:r>
              <w:rPr>
                <w:sz w:val="21"/>
              </w:rPr>
              <w:t>302</w:t>
            </w:r>
          </w:p>
        </w:tc>
        <w:tc>
          <w:tcPr>
            <w:tcW w:w="1066" w:type="dxa"/>
            <w:tcBorders>
              <w:top w:val="nil"/>
              <w:left w:val="nil"/>
              <w:bottom w:val="nil"/>
              <w:right w:val="nil"/>
            </w:tcBorders>
          </w:tcPr>
          <w:p w:rsidR="00000000" w:rsidRDefault="0031739B">
            <w:pPr>
              <w:jc w:val="center"/>
              <w:rPr>
                <w:sz w:val="21"/>
              </w:rPr>
            </w:pPr>
            <w:r>
              <w:rPr>
                <w:sz w:val="21"/>
              </w:rPr>
              <w:t>347</w:t>
            </w:r>
          </w:p>
        </w:tc>
        <w:tc>
          <w:tcPr>
            <w:tcW w:w="1066" w:type="dxa"/>
            <w:tcBorders>
              <w:top w:val="nil"/>
              <w:left w:val="single" w:sz="6" w:space="0" w:color="auto"/>
              <w:bottom w:val="nil"/>
              <w:right w:val="single" w:sz="6" w:space="0" w:color="auto"/>
            </w:tcBorders>
          </w:tcPr>
          <w:p w:rsidR="00000000" w:rsidRDefault="0031739B">
            <w:pPr>
              <w:jc w:val="center"/>
              <w:rPr>
                <w:sz w:val="21"/>
              </w:rPr>
            </w:pPr>
            <w:r>
              <w:rPr>
                <w:sz w:val="21"/>
              </w:rPr>
              <w:t>412</w:t>
            </w:r>
          </w:p>
        </w:tc>
        <w:tc>
          <w:tcPr>
            <w:tcW w:w="1066" w:type="dxa"/>
            <w:tcBorders>
              <w:top w:val="nil"/>
              <w:left w:val="nil"/>
              <w:bottom w:val="nil"/>
            </w:tcBorders>
          </w:tcPr>
          <w:p w:rsidR="00000000" w:rsidRDefault="0031739B">
            <w:pPr>
              <w:jc w:val="center"/>
              <w:rPr>
                <w:sz w:val="21"/>
              </w:rPr>
            </w:pPr>
            <w:r>
              <w:rPr>
                <w:sz w:val="21"/>
              </w:rPr>
              <w:t>537</w:t>
            </w:r>
          </w:p>
        </w:tc>
      </w:tr>
      <w:tr w:rsidR="00000000">
        <w:tblPrEx>
          <w:tblCellMar>
            <w:top w:w="0" w:type="dxa"/>
            <w:bottom w:w="0" w:type="dxa"/>
          </w:tblCellMar>
        </w:tblPrEx>
        <w:tc>
          <w:tcPr>
            <w:tcW w:w="1948" w:type="dxa"/>
          </w:tcPr>
          <w:p w:rsidR="00000000" w:rsidRDefault="0031739B">
            <w:pPr>
              <w:ind w:left="113"/>
              <w:rPr>
                <w:sz w:val="21"/>
              </w:rPr>
            </w:pPr>
          </w:p>
        </w:tc>
        <w:tc>
          <w:tcPr>
            <w:tcW w:w="1066" w:type="dxa"/>
            <w:tcBorders>
              <w:right w:val="nil"/>
            </w:tcBorders>
          </w:tcPr>
          <w:p w:rsidR="00000000" w:rsidRDefault="0031739B">
            <w:pPr>
              <w:jc w:val="center"/>
              <w:rPr>
                <w:sz w:val="21"/>
              </w:rPr>
            </w:pPr>
            <w:r>
              <w:rPr>
                <w:sz w:val="21"/>
              </w:rPr>
              <w:t>1994</w:t>
            </w:r>
          </w:p>
        </w:tc>
        <w:tc>
          <w:tcPr>
            <w:tcW w:w="1066" w:type="dxa"/>
            <w:tcBorders>
              <w:top w:val="nil"/>
              <w:left w:val="single" w:sz="6" w:space="0" w:color="auto"/>
              <w:bottom w:val="single" w:sz="6" w:space="0" w:color="auto"/>
              <w:right w:val="single" w:sz="6" w:space="0" w:color="auto"/>
            </w:tcBorders>
          </w:tcPr>
          <w:p w:rsidR="00000000" w:rsidRDefault="0031739B">
            <w:pPr>
              <w:jc w:val="center"/>
              <w:rPr>
                <w:sz w:val="21"/>
              </w:rPr>
            </w:pPr>
            <w:r>
              <w:rPr>
                <w:sz w:val="21"/>
              </w:rPr>
              <w:t>413</w:t>
            </w:r>
          </w:p>
        </w:tc>
        <w:tc>
          <w:tcPr>
            <w:tcW w:w="1066" w:type="dxa"/>
            <w:tcBorders>
              <w:top w:val="nil"/>
              <w:left w:val="single" w:sz="6" w:space="0" w:color="auto"/>
              <w:bottom w:val="single" w:sz="6" w:space="0" w:color="auto"/>
              <w:right w:val="nil"/>
            </w:tcBorders>
          </w:tcPr>
          <w:p w:rsidR="00000000" w:rsidRDefault="0031739B">
            <w:pPr>
              <w:jc w:val="center"/>
              <w:rPr>
                <w:sz w:val="21"/>
              </w:rPr>
            </w:pPr>
            <w:r>
              <w:rPr>
                <w:sz w:val="21"/>
              </w:rPr>
              <w:t>268</w:t>
            </w:r>
          </w:p>
        </w:tc>
        <w:tc>
          <w:tcPr>
            <w:tcW w:w="1066" w:type="dxa"/>
            <w:tcBorders>
              <w:top w:val="nil"/>
              <w:left w:val="single" w:sz="6" w:space="0" w:color="auto"/>
              <w:bottom w:val="single" w:sz="6" w:space="0" w:color="auto"/>
              <w:right w:val="single" w:sz="6" w:space="0" w:color="auto"/>
            </w:tcBorders>
          </w:tcPr>
          <w:p w:rsidR="00000000" w:rsidRDefault="0031739B">
            <w:pPr>
              <w:jc w:val="center"/>
              <w:rPr>
                <w:sz w:val="21"/>
              </w:rPr>
            </w:pPr>
            <w:r>
              <w:rPr>
                <w:sz w:val="21"/>
              </w:rPr>
              <w:t>336</w:t>
            </w:r>
          </w:p>
        </w:tc>
        <w:tc>
          <w:tcPr>
            <w:tcW w:w="1066" w:type="dxa"/>
            <w:tcBorders>
              <w:top w:val="nil"/>
              <w:left w:val="nil"/>
              <w:bottom w:val="single" w:sz="6" w:space="0" w:color="auto"/>
              <w:right w:val="nil"/>
            </w:tcBorders>
          </w:tcPr>
          <w:p w:rsidR="00000000" w:rsidRDefault="0031739B">
            <w:pPr>
              <w:jc w:val="center"/>
              <w:rPr>
                <w:sz w:val="21"/>
              </w:rPr>
            </w:pPr>
            <w:r>
              <w:rPr>
                <w:sz w:val="21"/>
              </w:rPr>
              <w:t>389</w:t>
            </w:r>
          </w:p>
        </w:tc>
        <w:tc>
          <w:tcPr>
            <w:tcW w:w="1066" w:type="dxa"/>
            <w:tcBorders>
              <w:top w:val="nil"/>
              <w:left w:val="single" w:sz="6" w:space="0" w:color="auto"/>
              <w:bottom w:val="single" w:sz="6" w:space="0" w:color="auto"/>
              <w:right w:val="single" w:sz="6" w:space="0" w:color="auto"/>
            </w:tcBorders>
          </w:tcPr>
          <w:p w:rsidR="00000000" w:rsidRDefault="0031739B">
            <w:pPr>
              <w:jc w:val="center"/>
              <w:rPr>
                <w:sz w:val="21"/>
              </w:rPr>
            </w:pPr>
            <w:r>
              <w:rPr>
                <w:sz w:val="21"/>
              </w:rPr>
              <w:t>469</w:t>
            </w:r>
          </w:p>
        </w:tc>
        <w:tc>
          <w:tcPr>
            <w:tcW w:w="1066" w:type="dxa"/>
            <w:tcBorders>
              <w:top w:val="nil"/>
              <w:left w:val="nil"/>
              <w:bottom w:val="single" w:sz="6" w:space="0" w:color="auto"/>
            </w:tcBorders>
          </w:tcPr>
          <w:p w:rsidR="00000000" w:rsidRDefault="0031739B">
            <w:pPr>
              <w:jc w:val="center"/>
              <w:rPr>
                <w:sz w:val="21"/>
              </w:rPr>
            </w:pPr>
            <w:r>
              <w:rPr>
                <w:sz w:val="21"/>
              </w:rPr>
              <w:t>603</w:t>
            </w:r>
          </w:p>
        </w:tc>
      </w:tr>
    </w:tbl>
    <w:p w:rsidR="00000000" w:rsidRDefault="0031739B">
      <w:pPr>
        <w:pStyle w:val="FootnoteText"/>
        <w:spacing w:before="240" w:after="240" w:line="336" w:lineRule="auto"/>
        <w:textAlignment w:val="center"/>
      </w:pPr>
      <w:r>
        <w:rPr>
          <w:rFonts w:hint="eastAsia"/>
          <w:u w:val="single"/>
        </w:rPr>
        <w:t>注</w:t>
      </w:r>
      <w:r>
        <w:rPr>
          <w:u w:val="single"/>
        </w:rPr>
        <w:t xml:space="preserve">  1</w:t>
      </w:r>
      <w:r>
        <w:rPr>
          <w:rFonts w:hint="eastAsia"/>
        </w:rPr>
        <w:t>：根据管理和协调厅统计局的“家庭收入和支出全国调查”。</w:t>
      </w:r>
    </w:p>
    <w:p w:rsidR="00000000" w:rsidRDefault="0031739B">
      <w:pPr>
        <w:pStyle w:val="Heading4"/>
        <w:spacing w:after="160"/>
        <w:textAlignment w:val="center"/>
      </w:pPr>
      <w:r>
        <w:rPr>
          <w:u w:val="none"/>
        </w:rPr>
        <w:t xml:space="preserve">(b)  </w:t>
      </w:r>
      <w:r>
        <w:rPr>
          <w:rFonts w:hint="eastAsia"/>
        </w:rPr>
        <w:t>对穷人的帮助</w:t>
      </w:r>
    </w:p>
    <w:p w:rsidR="00000000" w:rsidRDefault="0031739B">
      <w:r>
        <w:tab/>
        <w:t xml:space="preserve">140.  </w:t>
      </w:r>
      <w:r>
        <w:rPr>
          <w:rFonts w:hint="eastAsia"/>
        </w:rPr>
        <w:t>由于不收集按收入划分的国民生产总值统计资料，因此没有最贫困的</w:t>
      </w:r>
      <w:r>
        <w:t>40%</w:t>
      </w:r>
      <w:r>
        <w:rPr>
          <w:rFonts w:hint="eastAsia"/>
        </w:rPr>
        <w:t>人口的人均数</w:t>
      </w:r>
      <w:r>
        <w:rPr>
          <w:rFonts w:hint="eastAsia"/>
        </w:rPr>
        <w:t>字。而且，日本没有规定“贫困线”。</w:t>
      </w:r>
    </w:p>
    <w:p w:rsidR="00000000" w:rsidRDefault="0031739B">
      <w:pPr>
        <w:spacing w:after="160"/>
        <w:textAlignment w:val="center"/>
      </w:pPr>
      <w:r>
        <w:tab/>
        <w:t xml:space="preserve">141.  </w:t>
      </w:r>
      <w:r>
        <w:rPr>
          <w:rFonts w:hint="eastAsia"/>
        </w:rPr>
        <w:t>《日常生活保障法》规定提供生活补助、教育补助、住房补助、医疗补助、产妇津贴、失业补助，和对困难户的殡葬补助。上述津贴的数额和标准，每年进行修订。在价格指数最高的地区</w:t>
      </w:r>
      <w:r>
        <w:t>(</w:t>
      </w:r>
      <w:r>
        <w:rPr>
          <w:rFonts w:hint="eastAsia"/>
        </w:rPr>
        <w:t>如东京和大阪等大城市</w:t>
      </w:r>
      <w:r>
        <w:t>)</w:t>
      </w:r>
      <w:r>
        <w:rPr>
          <w:rFonts w:hint="eastAsia"/>
        </w:rPr>
        <w:t>平均三口之家</w:t>
      </w:r>
      <w:r>
        <w:t>(</w:t>
      </w:r>
      <w:r>
        <w:rPr>
          <w:rFonts w:hint="eastAsia"/>
        </w:rPr>
        <w:t>夫妇加一个孩子</w:t>
      </w:r>
      <w:r>
        <w:t>)</w:t>
      </w:r>
      <w:r>
        <w:rPr>
          <w:rFonts w:hint="eastAsia"/>
        </w:rPr>
        <w:t>的补助金</w:t>
      </w:r>
      <w:r>
        <w:t>(</w:t>
      </w:r>
      <w:r>
        <w:rPr>
          <w:rFonts w:hint="eastAsia"/>
        </w:rPr>
        <w:t>每月数额</w:t>
      </w:r>
      <w:r>
        <w:t>)</w:t>
      </w:r>
      <w:r>
        <w:rPr>
          <w:rFonts w:hint="eastAsia"/>
        </w:rPr>
        <w:t>，</w:t>
      </w:r>
      <w:r>
        <w:t>1986</w:t>
      </w:r>
      <w:r>
        <w:rPr>
          <w:rFonts w:hint="eastAsia"/>
        </w:rPr>
        <w:t>至</w:t>
      </w:r>
      <w:r>
        <w:t>1996</w:t>
      </w:r>
      <w:r>
        <w:rPr>
          <w:rFonts w:hint="eastAsia"/>
        </w:rPr>
        <w:t>年的情况见表</w:t>
      </w:r>
      <w:r>
        <w:t>13</w:t>
      </w:r>
      <w:r>
        <w:rPr>
          <w:rFonts w:hint="eastAsia"/>
        </w:rPr>
        <w:t>。</w:t>
      </w:r>
    </w:p>
    <w:p w:rsidR="00000000" w:rsidRDefault="0031739B">
      <w:pPr>
        <w:pStyle w:val="Heading3"/>
        <w:spacing w:after="100"/>
        <w:textAlignment w:val="center"/>
      </w:pPr>
      <w:r>
        <w:rPr>
          <w:rFonts w:hint="eastAsia"/>
          <w:u w:val="none"/>
        </w:rPr>
        <w:t>表</w:t>
      </w:r>
      <w:r>
        <w:rPr>
          <w:u w:val="none"/>
        </w:rPr>
        <w:t xml:space="preserve"> 13.  </w:t>
      </w:r>
      <w:r>
        <w:rPr>
          <w:rFonts w:hint="eastAsia"/>
        </w:rPr>
        <w:t>标准生活补助额的变化</w:t>
      </w:r>
      <w:r>
        <w:t>(</w:t>
      </w:r>
      <w:r>
        <w:rPr>
          <w:rFonts w:hint="eastAsia"/>
        </w:rPr>
        <w:t>日元</w:t>
      </w:r>
      <w:r>
        <w:t>)</w:t>
      </w:r>
    </w:p>
    <w:tbl>
      <w:tblPr>
        <w:tblW w:w="0" w:type="auto"/>
        <w:tblInd w:w="1802" w:type="dxa"/>
        <w:tblLayout w:type="fixed"/>
        <w:tblCellMar>
          <w:left w:w="28" w:type="dxa"/>
          <w:right w:w="28" w:type="dxa"/>
        </w:tblCellMar>
        <w:tblLook w:val="0000" w:firstRow="0" w:lastRow="0" w:firstColumn="0" w:lastColumn="0" w:noHBand="0" w:noVBand="0"/>
      </w:tblPr>
      <w:tblGrid>
        <w:gridCol w:w="2709"/>
        <w:gridCol w:w="3051"/>
      </w:tblGrid>
      <w:tr w:rsidR="00000000">
        <w:tblPrEx>
          <w:tblCellMar>
            <w:top w:w="0" w:type="dxa"/>
            <w:bottom w:w="0" w:type="dxa"/>
          </w:tblCellMar>
        </w:tblPrEx>
        <w:tc>
          <w:tcPr>
            <w:tcW w:w="2709" w:type="dxa"/>
            <w:tcBorders>
              <w:top w:val="single" w:sz="6" w:space="0" w:color="auto"/>
              <w:left w:val="single" w:sz="6" w:space="0" w:color="auto"/>
              <w:bottom w:val="single" w:sz="6" w:space="0" w:color="auto"/>
            </w:tcBorders>
          </w:tcPr>
          <w:p w:rsidR="00000000" w:rsidRDefault="0031739B">
            <w:pPr>
              <w:spacing w:before="40" w:after="40" w:line="240" w:lineRule="auto"/>
              <w:jc w:val="center"/>
              <w:rPr>
                <w:sz w:val="21"/>
              </w:rPr>
            </w:pPr>
            <w:r>
              <w:rPr>
                <w:rFonts w:hint="eastAsia"/>
                <w:sz w:val="21"/>
              </w:rPr>
              <w:t>财</w:t>
            </w:r>
            <w:r>
              <w:rPr>
                <w:sz w:val="21"/>
              </w:rPr>
              <w:t xml:space="preserve"> </w:t>
            </w:r>
            <w:r>
              <w:rPr>
                <w:rFonts w:hint="eastAsia"/>
                <w:sz w:val="21"/>
              </w:rPr>
              <w:t>政</w:t>
            </w:r>
            <w:r>
              <w:rPr>
                <w:sz w:val="21"/>
              </w:rPr>
              <w:t xml:space="preserve"> </w:t>
            </w:r>
            <w:r>
              <w:rPr>
                <w:rFonts w:hint="eastAsia"/>
                <w:sz w:val="21"/>
              </w:rPr>
              <w:t>年</w:t>
            </w:r>
          </w:p>
        </w:tc>
        <w:tc>
          <w:tcPr>
            <w:tcW w:w="3051" w:type="dxa"/>
            <w:tcBorders>
              <w:top w:val="single" w:sz="6" w:space="0" w:color="auto"/>
              <w:left w:val="single" w:sz="6" w:space="0" w:color="auto"/>
              <w:bottom w:val="single" w:sz="6" w:space="0" w:color="auto"/>
              <w:right w:val="single" w:sz="6" w:space="0" w:color="auto"/>
            </w:tcBorders>
          </w:tcPr>
          <w:p w:rsidR="00000000" w:rsidRDefault="0031739B">
            <w:pPr>
              <w:spacing w:before="40" w:after="40" w:line="240" w:lineRule="auto"/>
              <w:jc w:val="center"/>
              <w:rPr>
                <w:sz w:val="21"/>
              </w:rPr>
            </w:pPr>
            <w:r>
              <w:rPr>
                <w:rFonts w:hint="eastAsia"/>
                <w:sz w:val="21"/>
              </w:rPr>
              <w:t>补</w:t>
            </w:r>
            <w:r>
              <w:rPr>
                <w:sz w:val="21"/>
              </w:rPr>
              <w:t xml:space="preserve"> </w:t>
            </w:r>
            <w:r>
              <w:rPr>
                <w:rFonts w:hint="eastAsia"/>
                <w:sz w:val="21"/>
              </w:rPr>
              <w:t>助</w:t>
            </w:r>
            <w:r>
              <w:rPr>
                <w:sz w:val="21"/>
              </w:rPr>
              <w:t xml:space="preserve"> </w:t>
            </w:r>
            <w:r>
              <w:rPr>
                <w:rFonts w:hint="eastAsia"/>
                <w:sz w:val="21"/>
              </w:rPr>
              <w:t>额</w:t>
            </w:r>
          </w:p>
        </w:tc>
      </w:tr>
      <w:tr w:rsidR="00000000">
        <w:tblPrEx>
          <w:tblCellMar>
            <w:top w:w="0" w:type="dxa"/>
            <w:bottom w:w="0" w:type="dxa"/>
          </w:tblCellMar>
        </w:tblPrEx>
        <w:tc>
          <w:tcPr>
            <w:tcW w:w="2709" w:type="dxa"/>
            <w:tcBorders>
              <w:left w:val="single" w:sz="6" w:space="0" w:color="auto"/>
            </w:tcBorders>
          </w:tcPr>
          <w:p w:rsidR="00000000" w:rsidRDefault="0031739B">
            <w:pPr>
              <w:tabs>
                <w:tab w:val="clear" w:pos="510"/>
                <w:tab w:val="clear" w:pos="1021"/>
                <w:tab w:val="clear" w:pos="1531"/>
                <w:tab w:val="clear" w:pos="2041"/>
              </w:tabs>
              <w:spacing w:line="240" w:lineRule="auto"/>
              <w:ind w:right="1134"/>
              <w:jc w:val="right"/>
              <w:rPr>
                <w:sz w:val="21"/>
              </w:rPr>
            </w:pPr>
            <w:r>
              <w:rPr>
                <w:sz w:val="21"/>
              </w:rPr>
              <w:t>1986</w:t>
            </w:r>
          </w:p>
        </w:tc>
        <w:tc>
          <w:tcPr>
            <w:tcW w:w="3051" w:type="dxa"/>
            <w:tcBorders>
              <w:left w:val="single" w:sz="6" w:space="0" w:color="auto"/>
              <w:right w:val="single" w:sz="6" w:space="0" w:color="auto"/>
            </w:tcBorders>
          </w:tcPr>
          <w:p w:rsidR="00000000" w:rsidRDefault="0031739B">
            <w:pPr>
              <w:spacing w:line="240" w:lineRule="auto"/>
              <w:ind w:right="1134"/>
              <w:jc w:val="right"/>
              <w:rPr>
                <w:sz w:val="21"/>
              </w:rPr>
            </w:pPr>
            <w:r>
              <w:rPr>
                <w:sz w:val="21"/>
              </w:rPr>
              <w:t>126,977</w:t>
            </w:r>
          </w:p>
        </w:tc>
      </w:tr>
      <w:tr w:rsidR="00000000">
        <w:tblPrEx>
          <w:tblCellMar>
            <w:top w:w="0" w:type="dxa"/>
            <w:bottom w:w="0" w:type="dxa"/>
          </w:tblCellMar>
        </w:tblPrEx>
        <w:tc>
          <w:tcPr>
            <w:tcW w:w="2709" w:type="dxa"/>
            <w:tcBorders>
              <w:left w:val="single" w:sz="6" w:space="0" w:color="auto"/>
            </w:tcBorders>
          </w:tcPr>
          <w:p w:rsidR="00000000" w:rsidRDefault="0031739B">
            <w:pPr>
              <w:tabs>
                <w:tab w:val="clear" w:pos="510"/>
                <w:tab w:val="clear" w:pos="1021"/>
                <w:tab w:val="clear" w:pos="1531"/>
                <w:tab w:val="clear" w:pos="2041"/>
              </w:tabs>
              <w:spacing w:line="240" w:lineRule="auto"/>
              <w:ind w:right="1134"/>
              <w:jc w:val="right"/>
              <w:rPr>
                <w:sz w:val="21"/>
              </w:rPr>
            </w:pPr>
            <w:r>
              <w:rPr>
                <w:sz w:val="21"/>
              </w:rPr>
              <w:t>1987</w:t>
            </w:r>
          </w:p>
        </w:tc>
        <w:tc>
          <w:tcPr>
            <w:tcW w:w="3051" w:type="dxa"/>
            <w:tcBorders>
              <w:left w:val="single" w:sz="6" w:space="0" w:color="auto"/>
              <w:right w:val="single" w:sz="6" w:space="0" w:color="auto"/>
            </w:tcBorders>
          </w:tcPr>
          <w:p w:rsidR="00000000" w:rsidRDefault="0031739B">
            <w:pPr>
              <w:spacing w:line="240" w:lineRule="auto"/>
              <w:ind w:right="1134"/>
              <w:jc w:val="right"/>
              <w:rPr>
                <w:sz w:val="21"/>
              </w:rPr>
            </w:pPr>
            <w:r>
              <w:rPr>
                <w:sz w:val="21"/>
              </w:rPr>
              <w:t>129,136</w:t>
            </w:r>
          </w:p>
        </w:tc>
      </w:tr>
      <w:tr w:rsidR="00000000">
        <w:tblPrEx>
          <w:tblCellMar>
            <w:top w:w="0" w:type="dxa"/>
            <w:bottom w:w="0" w:type="dxa"/>
          </w:tblCellMar>
        </w:tblPrEx>
        <w:tc>
          <w:tcPr>
            <w:tcW w:w="2709" w:type="dxa"/>
            <w:tcBorders>
              <w:left w:val="single" w:sz="6" w:space="0" w:color="auto"/>
            </w:tcBorders>
          </w:tcPr>
          <w:p w:rsidR="00000000" w:rsidRDefault="0031739B">
            <w:pPr>
              <w:tabs>
                <w:tab w:val="clear" w:pos="510"/>
                <w:tab w:val="clear" w:pos="1021"/>
                <w:tab w:val="clear" w:pos="1531"/>
                <w:tab w:val="clear" w:pos="2041"/>
              </w:tabs>
              <w:spacing w:line="240" w:lineRule="auto"/>
              <w:ind w:right="1134"/>
              <w:jc w:val="right"/>
              <w:rPr>
                <w:sz w:val="21"/>
              </w:rPr>
            </w:pPr>
            <w:r>
              <w:rPr>
                <w:sz w:val="21"/>
              </w:rPr>
              <w:t>1988</w:t>
            </w:r>
          </w:p>
        </w:tc>
        <w:tc>
          <w:tcPr>
            <w:tcW w:w="3051" w:type="dxa"/>
            <w:tcBorders>
              <w:left w:val="single" w:sz="6" w:space="0" w:color="auto"/>
              <w:right w:val="single" w:sz="6" w:space="0" w:color="auto"/>
            </w:tcBorders>
          </w:tcPr>
          <w:p w:rsidR="00000000" w:rsidRDefault="0031739B">
            <w:pPr>
              <w:spacing w:line="240" w:lineRule="auto"/>
              <w:ind w:right="1134"/>
              <w:jc w:val="right"/>
              <w:rPr>
                <w:sz w:val="21"/>
              </w:rPr>
            </w:pPr>
            <w:r>
              <w:rPr>
                <w:sz w:val="21"/>
              </w:rPr>
              <w:t>130,944</w:t>
            </w:r>
          </w:p>
        </w:tc>
      </w:tr>
      <w:tr w:rsidR="00000000">
        <w:tblPrEx>
          <w:tblCellMar>
            <w:top w:w="0" w:type="dxa"/>
            <w:bottom w:w="0" w:type="dxa"/>
          </w:tblCellMar>
        </w:tblPrEx>
        <w:tc>
          <w:tcPr>
            <w:tcW w:w="2709" w:type="dxa"/>
            <w:tcBorders>
              <w:left w:val="single" w:sz="6" w:space="0" w:color="auto"/>
            </w:tcBorders>
          </w:tcPr>
          <w:p w:rsidR="00000000" w:rsidRDefault="0031739B">
            <w:pPr>
              <w:tabs>
                <w:tab w:val="clear" w:pos="510"/>
                <w:tab w:val="clear" w:pos="1021"/>
                <w:tab w:val="clear" w:pos="1531"/>
                <w:tab w:val="clear" w:pos="2041"/>
              </w:tabs>
              <w:spacing w:line="240" w:lineRule="auto"/>
              <w:ind w:right="1134"/>
              <w:jc w:val="right"/>
              <w:rPr>
                <w:sz w:val="21"/>
              </w:rPr>
            </w:pPr>
            <w:r>
              <w:rPr>
                <w:sz w:val="21"/>
              </w:rPr>
              <w:t>1989</w:t>
            </w:r>
          </w:p>
        </w:tc>
        <w:tc>
          <w:tcPr>
            <w:tcW w:w="3051" w:type="dxa"/>
            <w:tcBorders>
              <w:left w:val="single" w:sz="6" w:space="0" w:color="auto"/>
              <w:right w:val="single" w:sz="6" w:space="0" w:color="auto"/>
            </w:tcBorders>
          </w:tcPr>
          <w:p w:rsidR="00000000" w:rsidRDefault="0031739B">
            <w:pPr>
              <w:spacing w:line="240" w:lineRule="auto"/>
              <w:ind w:right="1134"/>
              <w:jc w:val="right"/>
              <w:rPr>
                <w:sz w:val="21"/>
              </w:rPr>
            </w:pPr>
            <w:r>
              <w:rPr>
                <w:sz w:val="21"/>
              </w:rPr>
              <w:t>136,444</w:t>
            </w:r>
          </w:p>
        </w:tc>
      </w:tr>
      <w:tr w:rsidR="00000000">
        <w:tblPrEx>
          <w:tblCellMar>
            <w:top w:w="0" w:type="dxa"/>
            <w:bottom w:w="0" w:type="dxa"/>
          </w:tblCellMar>
        </w:tblPrEx>
        <w:tc>
          <w:tcPr>
            <w:tcW w:w="2709" w:type="dxa"/>
            <w:tcBorders>
              <w:left w:val="single" w:sz="6" w:space="0" w:color="auto"/>
            </w:tcBorders>
          </w:tcPr>
          <w:p w:rsidR="00000000" w:rsidRDefault="0031739B">
            <w:pPr>
              <w:tabs>
                <w:tab w:val="clear" w:pos="510"/>
                <w:tab w:val="clear" w:pos="1021"/>
                <w:tab w:val="clear" w:pos="1531"/>
                <w:tab w:val="clear" w:pos="2041"/>
              </w:tabs>
              <w:spacing w:line="240" w:lineRule="auto"/>
              <w:ind w:right="1134"/>
              <w:jc w:val="right"/>
              <w:rPr>
                <w:sz w:val="21"/>
              </w:rPr>
            </w:pPr>
            <w:r>
              <w:rPr>
                <w:sz w:val="21"/>
              </w:rPr>
              <w:t>1</w:t>
            </w:r>
            <w:r>
              <w:rPr>
                <w:sz w:val="21"/>
              </w:rPr>
              <w:t>990</w:t>
            </w:r>
          </w:p>
        </w:tc>
        <w:tc>
          <w:tcPr>
            <w:tcW w:w="3051" w:type="dxa"/>
            <w:tcBorders>
              <w:left w:val="single" w:sz="6" w:space="0" w:color="auto"/>
              <w:right w:val="single" w:sz="6" w:space="0" w:color="auto"/>
            </w:tcBorders>
          </w:tcPr>
          <w:p w:rsidR="00000000" w:rsidRDefault="0031739B">
            <w:pPr>
              <w:spacing w:line="240" w:lineRule="auto"/>
              <w:ind w:right="1134"/>
              <w:jc w:val="right"/>
              <w:rPr>
                <w:sz w:val="21"/>
              </w:rPr>
            </w:pPr>
            <w:r>
              <w:rPr>
                <w:sz w:val="21"/>
              </w:rPr>
              <w:t>140,674</w:t>
            </w:r>
          </w:p>
        </w:tc>
      </w:tr>
      <w:tr w:rsidR="00000000">
        <w:tblPrEx>
          <w:tblCellMar>
            <w:top w:w="0" w:type="dxa"/>
            <w:bottom w:w="0" w:type="dxa"/>
          </w:tblCellMar>
        </w:tblPrEx>
        <w:tc>
          <w:tcPr>
            <w:tcW w:w="2709" w:type="dxa"/>
            <w:tcBorders>
              <w:left w:val="single" w:sz="6" w:space="0" w:color="auto"/>
            </w:tcBorders>
          </w:tcPr>
          <w:p w:rsidR="00000000" w:rsidRDefault="0031739B">
            <w:pPr>
              <w:tabs>
                <w:tab w:val="clear" w:pos="510"/>
                <w:tab w:val="clear" w:pos="1021"/>
                <w:tab w:val="clear" w:pos="1531"/>
                <w:tab w:val="clear" w:pos="2041"/>
              </w:tabs>
              <w:spacing w:line="240" w:lineRule="auto"/>
              <w:ind w:right="1134"/>
              <w:jc w:val="right"/>
              <w:rPr>
                <w:sz w:val="21"/>
              </w:rPr>
            </w:pPr>
            <w:r>
              <w:rPr>
                <w:sz w:val="21"/>
              </w:rPr>
              <w:t>1991</w:t>
            </w:r>
          </w:p>
        </w:tc>
        <w:tc>
          <w:tcPr>
            <w:tcW w:w="3051" w:type="dxa"/>
            <w:tcBorders>
              <w:left w:val="single" w:sz="6" w:space="0" w:color="auto"/>
              <w:right w:val="single" w:sz="6" w:space="0" w:color="auto"/>
            </w:tcBorders>
          </w:tcPr>
          <w:p w:rsidR="00000000" w:rsidRDefault="0031739B">
            <w:pPr>
              <w:spacing w:line="240" w:lineRule="auto"/>
              <w:ind w:right="1134"/>
              <w:jc w:val="right"/>
              <w:rPr>
                <w:sz w:val="21"/>
              </w:rPr>
            </w:pPr>
            <w:r>
              <w:rPr>
                <w:sz w:val="21"/>
              </w:rPr>
              <w:t>145,457</w:t>
            </w:r>
          </w:p>
        </w:tc>
      </w:tr>
      <w:tr w:rsidR="00000000">
        <w:tblPrEx>
          <w:tblCellMar>
            <w:top w:w="0" w:type="dxa"/>
            <w:bottom w:w="0" w:type="dxa"/>
          </w:tblCellMar>
        </w:tblPrEx>
        <w:tc>
          <w:tcPr>
            <w:tcW w:w="2709" w:type="dxa"/>
            <w:tcBorders>
              <w:left w:val="single" w:sz="6" w:space="0" w:color="auto"/>
            </w:tcBorders>
          </w:tcPr>
          <w:p w:rsidR="00000000" w:rsidRDefault="0031739B">
            <w:pPr>
              <w:tabs>
                <w:tab w:val="clear" w:pos="510"/>
                <w:tab w:val="clear" w:pos="1021"/>
                <w:tab w:val="clear" w:pos="1531"/>
                <w:tab w:val="clear" w:pos="2041"/>
              </w:tabs>
              <w:spacing w:line="240" w:lineRule="auto"/>
              <w:ind w:right="1134"/>
              <w:jc w:val="right"/>
              <w:rPr>
                <w:sz w:val="21"/>
              </w:rPr>
            </w:pPr>
            <w:r>
              <w:rPr>
                <w:sz w:val="21"/>
              </w:rPr>
              <w:t>1992</w:t>
            </w:r>
          </w:p>
        </w:tc>
        <w:tc>
          <w:tcPr>
            <w:tcW w:w="3051" w:type="dxa"/>
            <w:tcBorders>
              <w:left w:val="single" w:sz="6" w:space="0" w:color="auto"/>
              <w:right w:val="single" w:sz="6" w:space="0" w:color="auto"/>
            </w:tcBorders>
          </w:tcPr>
          <w:p w:rsidR="00000000" w:rsidRDefault="0031739B">
            <w:pPr>
              <w:spacing w:line="240" w:lineRule="auto"/>
              <w:ind w:right="1134"/>
              <w:jc w:val="right"/>
              <w:rPr>
                <w:sz w:val="21"/>
              </w:rPr>
            </w:pPr>
            <w:r>
              <w:rPr>
                <w:sz w:val="21"/>
              </w:rPr>
              <w:t>149,966</w:t>
            </w:r>
          </w:p>
        </w:tc>
      </w:tr>
      <w:tr w:rsidR="00000000">
        <w:tblPrEx>
          <w:tblCellMar>
            <w:top w:w="0" w:type="dxa"/>
            <w:bottom w:w="0" w:type="dxa"/>
          </w:tblCellMar>
        </w:tblPrEx>
        <w:tc>
          <w:tcPr>
            <w:tcW w:w="2709" w:type="dxa"/>
            <w:tcBorders>
              <w:left w:val="single" w:sz="6" w:space="0" w:color="auto"/>
            </w:tcBorders>
          </w:tcPr>
          <w:p w:rsidR="00000000" w:rsidRDefault="0031739B">
            <w:pPr>
              <w:tabs>
                <w:tab w:val="clear" w:pos="510"/>
                <w:tab w:val="clear" w:pos="1021"/>
                <w:tab w:val="clear" w:pos="1531"/>
                <w:tab w:val="clear" w:pos="2041"/>
              </w:tabs>
              <w:spacing w:line="240" w:lineRule="auto"/>
              <w:ind w:right="1134"/>
              <w:jc w:val="right"/>
              <w:rPr>
                <w:sz w:val="21"/>
              </w:rPr>
            </w:pPr>
            <w:r>
              <w:rPr>
                <w:sz w:val="21"/>
              </w:rPr>
              <w:t>1993</w:t>
            </w:r>
          </w:p>
        </w:tc>
        <w:tc>
          <w:tcPr>
            <w:tcW w:w="3051" w:type="dxa"/>
            <w:tcBorders>
              <w:left w:val="single" w:sz="6" w:space="0" w:color="auto"/>
              <w:right w:val="single" w:sz="6" w:space="0" w:color="auto"/>
            </w:tcBorders>
          </w:tcPr>
          <w:p w:rsidR="00000000" w:rsidRDefault="0031739B">
            <w:pPr>
              <w:spacing w:line="240" w:lineRule="auto"/>
              <w:ind w:right="1134"/>
              <w:jc w:val="right"/>
              <w:rPr>
                <w:sz w:val="21"/>
              </w:rPr>
            </w:pPr>
            <w:r>
              <w:rPr>
                <w:sz w:val="21"/>
              </w:rPr>
              <w:t>153,265</w:t>
            </w:r>
          </w:p>
        </w:tc>
      </w:tr>
      <w:tr w:rsidR="00000000">
        <w:tblPrEx>
          <w:tblCellMar>
            <w:top w:w="0" w:type="dxa"/>
            <w:bottom w:w="0" w:type="dxa"/>
          </w:tblCellMar>
        </w:tblPrEx>
        <w:tc>
          <w:tcPr>
            <w:tcW w:w="2709" w:type="dxa"/>
            <w:tcBorders>
              <w:left w:val="single" w:sz="6" w:space="0" w:color="auto"/>
            </w:tcBorders>
          </w:tcPr>
          <w:p w:rsidR="00000000" w:rsidRDefault="0031739B">
            <w:pPr>
              <w:tabs>
                <w:tab w:val="clear" w:pos="510"/>
                <w:tab w:val="clear" w:pos="1021"/>
                <w:tab w:val="clear" w:pos="1531"/>
                <w:tab w:val="clear" w:pos="2041"/>
              </w:tabs>
              <w:spacing w:line="240" w:lineRule="auto"/>
              <w:ind w:right="1134"/>
              <w:jc w:val="right"/>
              <w:rPr>
                <w:sz w:val="21"/>
              </w:rPr>
            </w:pPr>
            <w:r>
              <w:rPr>
                <w:sz w:val="21"/>
              </w:rPr>
              <w:t>1994</w:t>
            </w:r>
          </w:p>
        </w:tc>
        <w:tc>
          <w:tcPr>
            <w:tcW w:w="3051" w:type="dxa"/>
            <w:tcBorders>
              <w:left w:val="single" w:sz="6" w:space="0" w:color="auto"/>
              <w:right w:val="single" w:sz="6" w:space="0" w:color="auto"/>
            </w:tcBorders>
          </w:tcPr>
          <w:p w:rsidR="00000000" w:rsidRDefault="0031739B">
            <w:pPr>
              <w:spacing w:line="240" w:lineRule="auto"/>
              <w:ind w:right="1134"/>
              <w:jc w:val="right"/>
              <w:rPr>
                <w:sz w:val="21"/>
              </w:rPr>
            </w:pPr>
            <w:r>
              <w:rPr>
                <w:sz w:val="21"/>
              </w:rPr>
              <w:t>155,717</w:t>
            </w:r>
          </w:p>
        </w:tc>
      </w:tr>
      <w:tr w:rsidR="00000000">
        <w:tblPrEx>
          <w:tblCellMar>
            <w:top w:w="0" w:type="dxa"/>
            <w:bottom w:w="0" w:type="dxa"/>
          </w:tblCellMar>
        </w:tblPrEx>
        <w:tc>
          <w:tcPr>
            <w:tcW w:w="2709" w:type="dxa"/>
            <w:tcBorders>
              <w:left w:val="single" w:sz="6" w:space="0" w:color="auto"/>
            </w:tcBorders>
          </w:tcPr>
          <w:p w:rsidR="00000000" w:rsidRDefault="0031739B">
            <w:pPr>
              <w:tabs>
                <w:tab w:val="clear" w:pos="510"/>
                <w:tab w:val="clear" w:pos="1021"/>
                <w:tab w:val="clear" w:pos="1531"/>
                <w:tab w:val="clear" w:pos="2041"/>
              </w:tabs>
              <w:spacing w:line="240" w:lineRule="auto"/>
              <w:ind w:right="1134"/>
              <w:jc w:val="right"/>
              <w:rPr>
                <w:sz w:val="21"/>
              </w:rPr>
            </w:pPr>
            <w:r>
              <w:rPr>
                <w:sz w:val="21"/>
              </w:rPr>
              <w:t>1995</w:t>
            </w:r>
          </w:p>
        </w:tc>
        <w:tc>
          <w:tcPr>
            <w:tcW w:w="3051" w:type="dxa"/>
            <w:tcBorders>
              <w:left w:val="single" w:sz="6" w:space="0" w:color="auto"/>
              <w:right w:val="single" w:sz="6" w:space="0" w:color="auto"/>
            </w:tcBorders>
          </w:tcPr>
          <w:p w:rsidR="00000000" w:rsidRDefault="0031739B">
            <w:pPr>
              <w:spacing w:line="240" w:lineRule="auto"/>
              <w:ind w:right="1134"/>
              <w:jc w:val="right"/>
              <w:rPr>
                <w:sz w:val="21"/>
              </w:rPr>
            </w:pPr>
            <w:r>
              <w:rPr>
                <w:sz w:val="21"/>
              </w:rPr>
              <w:t>157,274</w:t>
            </w:r>
          </w:p>
        </w:tc>
      </w:tr>
      <w:tr w:rsidR="00000000">
        <w:tblPrEx>
          <w:tblCellMar>
            <w:top w:w="0" w:type="dxa"/>
            <w:bottom w:w="0" w:type="dxa"/>
          </w:tblCellMar>
        </w:tblPrEx>
        <w:tc>
          <w:tcPr>
            <w:tcW w:w="2709" w:type="dxa"/>
            <w:tcBorders>
              <w:left w:val="single" w:sz="6" w:space="0" w:color="auto"/>
            </w:tcBorders>
          </w:tcPr>
          <w:p w:rsidR="00000000" w:rsidRDefault="0031739B">
            <w:pPr>
              <w:tabs>
                <w:tab w:val="clear" w:pos="510"/>
                <w:tab w:val="clear" w:pos="1021"/>
                <w:tab w:val="clear" w:pos="1531"/>
                <w:tab w:val="clear" w:pos="2041"/>
              </w:tabs>
              <w:spacing w:line="240" w:lineRule="auto"/>
              <w:ind w:right="1134"/>
              <w:jc w:val="right"/>
              <w:rPr>
                <w:sz w:val="21"/>
              </w:rPr>
            </w:pPr>
            <w:r>
              <w:rPr>
                <w:sz w:val="21"/>
              </w:rPr>
              <w:t>1996</w:t>
            </w:r>
          </w:p>
        </w:tc>
        <w:tc>
          <w:tcPr>
            <w:tcW w:w="3051" w:type="dxa"/>
            <w:tcBorders>
              <w:left w:val="single" w:sz="6" w:space="0" w:color="auto"/>
              <w:right w:val="single" w:sz="6" w:space="0" w:color="auto"/>
            </w:tcBorders>
          </w:tcPr>
          <w:p w:rsidR="00000000" w:rsidRDefault="0031739B">
            <w:pPr>
              <w:spacing w:line="240" w:lineRule="auto"/>
              <w:ind w:right="1134"/>
              <w:jc w:val="right"/>
              <w:rPr>
                <w:sz w:val="21"/>
              </w:rPr>
            </w:pPr>
            <w:r>
              <w:rPr>
                <w:sz w:val="21"/>
              </w:rPr>
              <w:t>158,375</w:t>
            </w:r>
          </w:p>
        </w:tc>
      </w:tr>
      <w:tr w:rsidR="00000000">
        <w:tblPrEx>
          <w:tblCellMar>
            <w:top w:w="0" w:type="dxa"/>
            <w:bottom w:w="0" w:type="dxa"/>
          </w:tblCellMar>
        </w:tblPrEx>
        <w:tc>
          <w:tcPr>
            <w:tcW w:w="2709" w:type="dxa"/>
            <w:tcBorders>
              <w:left w:val="single" w:sz="6" w:space="0" w:color="auto"/>
              <w:bottom w:val="single" w:sz="6" w:space="0" w:color="auto"/>
            </w:tcBorders>
          </w:tcPr>
          <w:p w:rsidR="00000000" w:rsidRDefault="0031739B">
            <w:pPr>
              <w:tabs>
                <w:tab w:val="clear" w:pos="510"/>
                <w:tab w:val="clear" w:pos="1021"/>
                <w:tab w:val="clear" w:pos="1531"/>
                <w:tab w:val="clear" w:pos="2041"/>
              </w:tabs>
              <w:spacing w:line="240" w:lineRule="auto"/>
              <w:ind w:right="1134"/>
              <w:jc w:val="right"/>
              <w:rPr>
                <w:sz w:val="21"/>
              </w:rPr>
            </w:pPr>
            <w:r>
              <w:rPr>
                <w:sz w:val="21"/>
              </w:rPr>
              <w:t>1997</w:t>
            </w:r>
          </w:p>
        </w:tc>
        <w:tc>
          <w:tcPr>
            <w:tcW w:w="3051" w:type="dxa"/>
            <w:tcBorders>
              <w:left w:val="single" w:sz="6" w:space="0" w:color="auto"/>
              <w:bottom w:val="single" w:sz="6" w:space="0" w:color="auto"/>
              <w:right w:val="single" w:sz="6" w:space="0" w:color="auto"/>
            </w:tcBorders>
          </w:tcPr>
          <w:p w:rsidR="00000000" w:rsidRDefault="0031739B">
            <w:pPr>
              <w:spacing w:line="240" w:lineRule="auto"/>
              <w:ind w:right="1134"/>
              <w:jc w:val="right"/>
              <w:rPr>
                <w:sz w:val="21"/>
              </w:rPr>
            </w:pPr>
            <w:r>
              <w:rPr>
                <w:sz w:val="21"/>
              </w:rPr>
              <w:t>161,859</w:t>
            </w:r>
          </w:p>
        </w:tc>
      </w:tr>
    </w:tbl>
    <w:p w:rsidR="00000000" w:rsidRDefault="0031739B">
      <w:pPr>
        <w:pStyle w:val="Heading4"/>
        <w:spacing w:before="320"/>
      </w:pPr>
      <w:r>
        <w:rPr>
          <w:u w:val="none"/>
        </w:rPr>
        <w:t xml:space="preserve">(c)  </w:t>
      </w:r>
      <w:r>
        <w:rPr>
          <w:rFonts w:hint="eastAsia"/>
        </w:rPr>
        <w:t>物质生活标准指数</w:t>
      </w:r>
    </w:p>
    <w:p w:rsidR="00000000" w:rsidRDefault="0031739B">
      <w:pPr>
        <w:spacing w:after="320"/>
        <w:textAlignment w:val="center"/>
      </w:pPr>
      <w:r>
        <w:tab/>
        <w:t xml:space="preserve">142.  </w:t>
      </w:r>
      <w:r>
        <w:rPr>
          <w:rFonts w:hint="eastAsia"/>
        </w:rPr>
        <w:t>表</w:t>
      </w:r>
      <w:r>
        <w:t>14</w:t>
      </w:r>
      <w:r>
        <w:rPr>
          <w:rFonts w:hint="eastAsia"/>
        </w:rPr>
        <w:t>为消费者每户每月的支出，按一定的家庭人口数</w:t>
      </w:r>
      <w:r>
        <w:t>(</w:t>
      </w:r>
      <w:r>
        <w:rPr>
          <w:rFonts w:hint="eastAsia"/>
        </w:rPr>
        <w:t>四口</w:t>
      </w:r>
      <w:r>
        <w:t>)</w:t>
      </w:r>
      <w:r>
        <w:rPr>
          <w:rFonts w:hint="eastAsia"/>
        </w:rPr>
        <w:t>和天数</w:t>
      </w:r>
      <w:r>
        <w:t>(</w:t>
      </w:r>
      <w:r>
        <w:rPr>
          <w:rFonts w:hint="eastAsia"/>
        </w:rPr>
        <w:t>每月</w:t>
      </w:r>
      <w:r>
        <w:t>30.4</w:t>
      </w:r>
      <w:r>
        <w:rPr>
          <w:rFonts w:hint="eastAsia"/>
        </w:rPr>
        <w:t>天</w:t>
      </w:r>
      <w:r>
        <w:t>)</w:t>
      </w:r>
      <w:r>
        <w:rPr>
          <w:rFonts w:hint="eastAsia"/>
        </w:rPr>
        <w:t>折算支出，再按</w:t>
      </w:r>
      <w:r>
        <w:t>1995</w:t>
      </w:r>
      <w:r>
        <w:rPr>
          <w:rFonts w:hint="eastAsia"/>
        </w:rPr>
        <w:t>年的标准折算为指数，除以消费价格指数</w:t>
      </w:r>
      <w:r>
        <w:t>(</w:t>
      </w:r>
      <w:r>
        <w:rPr>
          <w:rFonts w:hint="eastAsia"/>
        </w:rPr>
        <w:t>支出标准指数</w:t>
      </w:r>
      <w:r>
        <w:t>)</w:t>
      </w:r>
      <w:r>
        <w:rPr>
          <w:rFonts w:hint="eastAsia"/>
        </w:rPr>
        <w:t>。</w:t>
      </w:r>
    </w:p>
    <w:p w:rsidR="00000000" w:rsidRDefault="0031739B">
      <w:pPr>
        <w:pStyle w:val="Heading3"/>
      </w:pPr>
      <w:r>
        <w:rPr>
          <w:rFonts w:hint="eastAsia"/>
          <w:u w:val="none"/>
        </w:rPr>
        <w:t>表</w:t>
      </w:r>
      <w:r>
        <w:rPr>
          <w:u w:val="none"/>
        </w:rPr>
        <w:t xml:space="preserve"> 14.  </w:t>
      </w:r>
      <w:r>
        <w:rPr>
          <w:rFonts w:hint="eastAsia"/>
        </w:rPr>
        <w:t>生活支出指数</w:t>
      </w:r>
      <w:r>
        <w:t>(1995 = 100)</w:t>
      </w:r>
    </w:p>
    <w:tbl>
      <w:tblPr>
        <w:tblW w:w="0" w:type="auto"/>
        <w:tblInd w:w="1452" w:type="dxa"/>
        <w:tblBorders>
          <w:top w:val="single" w:sz="6" w:space="0" w:color="auto"/>
          <w:left w:val="single" w:sz="6" w:space="0" w:color="auto"/>
          <w:bottom w:val="single" w:sz="6" w:space="0" w:color="auto"/>
          <w:right w:val="single" w:sz="6" w:space="0" w:color="auto"/>
        </w:tblBorders>
        <w:tblLayout w:type="fixed"/>
        <w:tblCellMar>
          <w:left w:w="28" w:type="dxa"/>
          <w:right w:w="28" w:type="dxa"/>
        </w:tblCellMar>
        <w:tblLook w:val="0000" w:firstRow="0" w:lastRow="0" w:firstColumn="0" w:lastColumn="0" w:noHBand="0" w:noVBand="0"/>
      </w:tblPr>
      <w:tblGrid>
        <w:gridCol w:w="2893"/>
        <w:gridCol w:w="3107"/>
      </w:tblGrid>
      <w:tr w:rsidR="00000000">
        <w:tblPrEx>
          <w:tblCellMar>
            <w:top w:w="0" w:type="dxa"/>
            <w:bottom w:w="0" w:type="dxa"/>
          </w:tblCellMar>
        </w:tblPrEx>
        <w:tc>
          <w:tcPr>
            <w:tcW w:w="2893" w:type="dxa"/>
            <w:tcBorders>
              <w:top w:val="single" w:sz="6" w:space="0" w:color="auto"/>
              <w:bottom w:val="single" w:sz="6" w:space="0" w:color="auto"/>
              <w:right w:val="single" w:sz="6" w:space="0" w:color="auto"/>
            </w:tcBorders>
          </w:tcPr>
          <w:p w:rsidR="00000000" w:rsidRDefault="0031739B">
            <w:pPr>
              <w:spacing w:line="240" w:lineRule="auto"/>
              <w:jc w:val="center"/>
              <w:rPr>
                <w:sz w:val="21"/>
              </w:rPr>
            </w:pPr>
            <w:r>
              <w:rPr>
                <w:rFonts w:hint="eastAsia"/>
                <w:sz w:val="21"/>
              </w:rPr>
              <w:t>年</w:t>
            </w:r>
          </w:p>
        </w:tc>
        <w:tc>
          <w:tcPr>
            <w:tcW w:w="3107" w:type="dxa"/>
            <w:tcBorders>
              <w:top w:val="single" w:sz="6" w:space="0" w:color="auto"/>
              <w:left w:val="nil"/>
              <w:bottom w:val="single" w:sz="6" w:space="0" w:color="auto"/>
            </w:tcBorders>
          </w:tcPr>
          <w:p w:rsidR="00000000" w:rsidRDefault="0031739B">
            <w:pPr>
              <w:spacing w:line="240" w:lineRule="auto"/>
              <w:jc w:val="center"/>
              <w:rPr>
                <w:sz w:val="21"/>
              </w:rPr>
            </w:pPr>
            <w:r>
              <w:rPr>
                <w:rFonts w:hint="eastAsia"/>
                <w:sz w:val="21"/>
              </w:rPr>
              <w:t>指</w:t>
            </w:r>
            <w:r>
              <w:rPr>
                <w:sz w:val="21"/>
              </w:rPr>
              <w:t xml:space="preserve">  </w:t>
            </w:r>
            <w:r>
              <w:rPr>
                <w:rFonts w:hint="eastAsia"/>
                <w:sz w:val="21"/>
              </w:rPr>
              <w:t>数</w:t>
            </w:r>
          </w:p>
        </w:tc>
      </w:tr>
      <w:tr w:rsidR="00000000">
        <w:tblPrEx>
          <w:tblCellMar>
            <w:top w:w="0" w:type="dxa"/>
            <w:bottom w:w="0" w:type="dxa"/>
          </w:tblCellMar>
        </w:tblPrEx>
        <w:tc>
          <w:tcPr>
            <w:tcW w:w="2893" w:type="dxa"/>
            <w:tcBorders>
              <w:top w:val="nil"/>
              <w:bottom w:val="nil"/>
              <w:right w:val="single" w:sz="6" w:space="0" w:color="auto"/>
            </w:tcBorders>
          </w:tcPr>
          <w:p w:rsidR="00000000" w:rsidRDefault="0031739B">
            <w:pPr>
              <w:spacing w:line="240" w:lineRule="auto"/>
              <w:jc w:val="center"/>
            </w:pPr>
            <w:r>
              <w:t>1985</w:t>
            </w:r>
          </w:p>
        </w:tc>
        <w:tc>
          <w:tcPr>
            <w:tcW w:w="3107" w:type="dxa"/>
            <w:tcBorders>
              <w:top w:val="nil"/>
              <w:left w:val="nil"/>
            </w:tcBorders>
          </w:tcPr>
          <w:p w:rsidR="00000000" w:rsidRDefault="0031739B">
            <w:pPr>
              <w:spacing w:line="240" w:lineRule="auto"/>
              <w:ind w:right="1361"/>
              <w:jc w:val="right"/>
            </w:pPr>
            <w:r>
              <w:t>91.1</w:t>
            </w:r>
          </w:p>
        </w:tc>
      </w:tr>
      <w:tr w:rsidR="00000000">
        <w:tblPrEx>
          <w:tblCellMar>
            <w:top w:w="0" w:type="dxa"/>
            <w:bottom w:w="0" w:type="dxa"/>
          </w:tblCellMar>
        </w:tblPrEx>
        <w:tc>
          <w:tcPr>
            <w:tcW w:w="2893" w:type="dxa"/>
            <w:tcBorders>
              <w:top w:val="nil"/>
              <w:bottom w:val="nil"/>
              <w:right w:val="single" w:sz="6" w:space="0" w:color="auto"/>
            </w:tcBorders>
          </w:tcPr>
          <w:p w:rsidR="00000000" w:rsidRDefault="0031739B">
            <w:pPr>
              <w:spacing w:line="240" w:lineRule="auto"/>
              <w:jc w:val="center"/>
            </w:pPr>
            <w:r>
              <w:t>1986</w:t>
            </w:r>
          </w:p>
        </w:tc>
        <w:tc>
          <w:tcPr>
            <w:tcW w:w="3107" w:type="dxa"/>
            <w:tcBorders>
              <w:left w:val="nil"/>
            </w:tcBorders>
          </w:tcPr>
          <w:p w:rsidR="00000000" w:rsidRDefault="0031739B">
            <w:pPr>
              <w:spacing w:line="240" w:lineRule="auto"/>
              <w:ind w:right="1361"/>
              <w:jc w:val="right"/>
            </w:pPr>
            <w:r>
              <w:t>91.9</w:t>
            </w:r>
          </w:p>
        </w:tc>
      </w:tr>
      <w:tr w:rsidR="00000000">
        <w:tblPrEx>
          <w:tblCellMar>
            <w:top w:w="0" w:type="dxa"/>
            <w:bottom w:w="0" w:type="dxa"/>
          </w:tblCellMar>
        </w:tblPrEx>
        <w:tc>
          <w:tcPr>
            <w:tcW w:w="2893" w:type="dxa"/>
            <w:tcBorders>
              <w:top w:val="nil"/>
              <w:bottom w:val="nil"/>
              <w:right w:val="single" w:sz="6" w:space="0" w:color="auto"/>
            </w:tcBorders>
          </w:tcPr>
          <w:p w:rsidR="00000000" w:rsidRDefault="0031739B">
            <w:pPr>
              <w:spacing w:line="240" w:lineRule="auto"/>
              <w:jc w:val="center"/>
            </w:pPr>
            <w:r>
              <w:t>1987</w:t>
            </w:r>
          </w:p>
        </w:tc>
        <w:tc>
          <w:tcPr>
            <w:tcW w:w="3107" w:type="dxa"/>
            <w:tcBorders>
              <w:left w:val="nil"/>
            </w:tcBorders>
          </w:tcPr>
          <w:p w:rsidR="00000000" w:rsidRDefault="0031739B">
            <w:pPr>
              <w:spacing w:line="240" w:lineRule="auto"/>
              <w:ind w:right="1361"/>
              <w:jc w:val="right"/>
            </w:pPr>
            <w:r>
              <w:t>93.8</w:t>
            </w:r>
          </w:p>
        </w:tc>
      </w:tr>
      <w:tr w:rsidR="00000000">
        <w:tblPrEx>
          <w:tblCellMar>
            <w:top w:w="0" w:type="dxa"/>
            <w:bottom w:w="0" w:type="dxa"/>
          </w:tblCellMar>
        </w:tblPrEx>
        <w:tc>
          <w:tcPr>
            <w:tcW w:w="2893" w:type="dxa"/>
            <w:tcBorders>
              <w:top w:val="nil"/>
              <w:bottom w:val="nil"/>
              <w:right w:val="single" w:sz="6" w:space="0" w:color="auto"/>
            </w:tcBorders>
          </w:tcPr>
          <w:p w:rsidR="00000000" w:rsidRDefault="0031739B">
            <w:pPr>
              <w:spacing w:line="240" w:lineRule="auto"/>
              <w:jc w:val="center"/>
            </w:pPr>
            <w:r>
              <w:t>1988</w:t>
            </w:r>
          </w:p>
        </w:tc>
        <w:tc>
          <w:tcPr>
            <w:tcW w:w="3107" w:type="dxa"/>
            <w:tcBorders>
              <w:left w:val="nil"/>
            </w:tcBorders>
          </w:tcPr>
          <w:p w:rsidR="00000000" w:rsidRDefault="0031739B">
            <w:pPr>
              <w:spacing w:line="240" w:lineRule="auto"/>
              <w:ind w:right="1361"/>
              <w:jc w:val="right"/>
            </w:pPr>
            <w:r>
              <w:t>96.7</w:t>
            </w:r>
          </w:p>
        </w:tc>
      </w:tr>
      <w:tr w:rsidR="00000000">
        <w:tblPrEx>
          <w:tblCellMar>
            <w:top w:w="0" w:type="dxa"/>
            <w:bottom w:w="0" w:type="dxa"/>
          </w:tblCellMar>
        </w:tblPrEx>
        <w:tc>
          <w:tcPr>
            <w:tcW w:w="2893" w:type="dxa"/>
            <w:tcBorders>
              <w:top w:val="nil"/>
              <w:bottom w:val="nil"/>
              <w:right w:val="single" w:sz="6" w:space="0" w:color="auto"/>
            </w:tcBorders>
          </w:tcPr>
          <w:p w:rsidR="00000000" w:rsidRDefault="0031739B">
            <w:pPr>
              <w:spacing w:line="240" w:lineRule="auto"/>
              <w:jc w:val="center"/>
            </w:pPr>
            <w:r>
              <w:t>1989</w:t>
            </w:r>
          </w:p>
        </w:tc>
        <w:tc>
          <w:tcPr>
            <w:tcW w:w="3107" w:type="dxa"/>
            <w:tcBorders>
              <w:left w:val="nil"/>
            </w:tcBorders>
          </w:tcPr>
          <w:p w:rsidR="00000000" w:rsidRDefault="0031739B">
            <w:pPr>
              <w:spacing w:line="240" w:lineRule="auto"/>
              <w:ind w:right="1361"/>
              <w:jc w:val="right"/>
            </w:pPr>
            <w:r>
              <w:t>97.7</w:t>
            </w:r>
          </w:p>
        </w:tc>
      </w:tr>
      <w:tr w:rsidR="00000000">
        <w:tblPrEx>
          <w:tblCellMar>
            <w:top w:w="0" w:type="dxa"/>
            <w:bottom w:w="0" w:type="dxa"/>
          </w:tblCellMar>
        </w:tblPrEx>
        <w:tc>
          <w:tcPr>
            <w:tcW w:w="2893" w:type="dxa"/>
            <w:tcBorders>
              <w:top w:val="nil"/>
              <w:bottom w:val="nil"/>
              <w:right w:val="single" w:sz="6" w:space="0" w:color="auto"/>
            </w:tcBorders>
          </w:tcPr>
          <w:p w:rsidR="00000000" w:rsidRDefault="0031739B">
            <w:pPr>
              <w:spacing w:line="240" w:lineRule="auto"/>
              <w:jc w:val="center"/>
            </w:pPr>
            <w:r>
              <w:t>1990</w:t>
            </w:r>
          </w:p>
        </w:tc>
        <w:tc>
          <w:tcPr>
            <w:tcW w:w="3107" w:type="dxa"/>
            <w:tcBorders>
              <w:left w:val="nil"/>
            </w:tcBorders>
          </w:tcPr>
          <w:p w:rsidR="00000000" w:rsidRDefault="0031739B">
            <w:pPr>
              <w:spacing w:line="240" w:lineRule="auto"/>
              <w:ind w:right="1361"/>
              <w:jc w:val="right"/>
            </w:pPr>
            <w:r>
              <w:t>98.9</w:t>
            </w:r>
          </w:p>
        </w:tc>
      </w:tr>
      <w:tr w:rsidR="00000000">
        <w:tblPrEx>
          <w:tblCellMar>
            <w:top w:w="0" w:type="dxa"/>
            <w:bottom w:w="0" w:type="dxa"/>
          </w:tblCellMar>
        </w:tblPrEx>
        <w:tc>
          <w:tcPr>
            <w:tcW w:w="2893" w:type="dxa"/>
            <w:tcBorders>
              <w:top w:val="nil"/>
              <w:bottom w:val="nil"/>
              <w:right w:val="single" w:sz="6" w:space="0" w:color="auto"/>
            </w:tcBorders>
          </w:tcPr>
          <w:p w:rsidR="00000000" w:rsidRDefault="0031739B">
            <w:pPr>
              <w:spacing w:line="240" w:lineRule="auto"/>
              <w:jc w:val="center"/>
            </w:pPr>
            <w:r>
              <w:t>1991</w:t>
            </w:r>
          </w:p>
        </w:tc>
        <w:tc>
          <w:tcPr>
            <w:tcW w:w="3107" w:type="dxa"/>
            <w:tcBorders>
              <w:left w:val="nil"/>
            </w:tcBorders>
          </w:tcPr>
          <w:p w:rsidR="00000000" w:rsidRDefault="0031739B">
            <w:pPr>
              <w:spacing w:line="240" w:lineRule="auto"/>
              <w:ind w:right="1361"/>
              <w:jc w:val="right"/>
            </w:pPr>
            <w:r>
              <w:t>100.6</w:t>
            </w:r>
          </w:p>
        </w:tc>
      </w:tr>
      <w:tr w:rsidR="00000000">
        <w:tblPrEx>
          <w:tblCellMar>
            <w:top w:w="0" w:type="dxa"/>
            <w:bottom w:w="0" w:type="dxa"/>
          </w:tblCellMar>
        </w:tblPrEx>
        <w:tc>
          <w:tcPr>
            <w:tcW w:w="2893" w:type="dxa"/>
            <w:tcBorders>
              <w:top w:val="nil"/>
              <w:bottom w:val="nil"/>
              <w:right w:val="single" w:sz="6" w:space="0" w:color="auto"/>
            </w:tcBorders>
          </w:tcPr>
          <w:p w:rsidR="00000000" w:rsidRDefault="0031739B">
            <w:pPr>
              <w:spacing w:line="240" w:lineRule="auto"/>
              <w:jc w:val="center"/>
            </w:pPr>
            <w:r>
              <w:t>1992</w:t>
            </w:r>
          </w:p>
        </w:tc>
        <w:tc>
          <w:tcPr>
            <w:tcW w:w="3107" w:type="dxa"/>
            <w:tcBorders>
              <w:left w:val="nil"/>
            </w:tcBorders>
          </w:tcPr>
          <w:p w:rsidR="00000000" w:rsidRDefault="0031739B">
            <w:pPr>
              <w:spacing w:line="240" w:lineRule="auto"/>
              <w:ind w:right="1361"/>
              <w:jc w:val="right"/>
            </w:pPr>
            <w:r>
              <w:t>101.2</w:t>
            </w:r>
          </w:p>
        </w:tc>
      </w:tr>
      <w:tr w:rsidR="00000000">
        <w:tblPrEx>
          <w:tblCellMar>
            <w:top w:w="0" w:type="dxa"/>
            <w:bottom w:w="0" w:type="dxa"/>
          </w:tblCellMar>
        </w:tblPrEx>
        <w:tc>
          <w:tcPr>
            <w:tcW w:w="2893" w:type="dxa"/>
            <w:tcBorders>
              <w:top w:val="nil"/>
              <w:bottom w:val="nil"/>
              <w:right w:val="single" w:sz="6" w:space="0" w:color="auto"/>
            </w:tcBorders>
          </w:tcPr>
          <w:p w:rsidR="00000000" w:rsidRDefault="0031739B">
            <w:pPr>
              <w:spacing w:line="240" w:lineRule="auto"/>
              <w:jc w:val="center"/>
            </w:pPr>
            <w:r>
              <w:t>1993</w:t>
            </w:r>
          </w:p>
        </w:tc>
        <w:tc>
          <w:tcPr>
            <w:tcW w:w="3107" w:type="dxa"/>
            <w:tcBorders>
              <w:left w:val="nil"/>
            </w:tcBorders>
          </w:tcPr>
          <w:p w:rsidR="00000000" w:rsidRDefault="0031739B">
            <w:pPr>
              <w:spacing w:line="240" w:lineRule="auto"/>
              <w:ind w:right="1361"/>
              <w:jc w:val="right"/>
            </w:pPr>
            <w:r>
              <w:t>101.3</w:t>
            </w:r>
          </w:p>
        </w:tc>
      </w:tr>
      <w:tr w:rsidR="00000000">
        <w:tblPrEx>
          <w:tblCellMar>
            <w:top w:w="0" w:type="dxa"/>
            <w:bottom w:w="0" w:type="dxa"/>
          </w:tblCellMar>
        </w:tblPrEx>
        <w:tc>
          <w:tcPr>
            <w:tcW w:w="2893" w:type="dxa"/>
            <w:tcBorders>
              <w:top w:val="nil"/>
              <w:bottom w:val="nil"/>
              <w:right w:val="single" w:sz="6" w:space="0" w:color="auto"/>
            </w:tcBorders>
          </w:tcPr>
          <w:p w:rsidR="00000000" w:rsidRDefault="0031739B">
            <w:pPr>
              <w:spacing w:line="240" w:lineRule="auto"/>
              <w:jc w:val="center"/>
            </w:pPr>
            <w:r>
              <w:t>1994</w:t>
            </w:r>
          </w:p>
        </w:tc>
        <w:tc>
          <w:tcPr>
            <w:tcW w:w="3107" w:type="dxa"/>
            <w:tcBorders>
              <w:left w:val="nil"/>
            </w:tcBorders>
          </w:tcPr>
          <w:p w:rsidR="00000000" w:rsidRDefault="0031739B">
            <w:pPr>
              <w:spacing w:line="240" w:lineRule="auto"/>
              <w:ind w:right="1361"/>
              <w:jc w:val="right"/>
            </w:pPr>
            <w:r>
              <w:t>100.6</w:t>
            </w:r>
          </w:p>
        </w:tc>
      </w:tr>
      <w:tr w:rsidR="00000000">
        <w:tblPrEx>
          <w:tblCellMar>
            <w:top w:w="0" w:type="dxa"/>
            <w:bottom w:w="0" w:type="dxa"/>
          </w:tblCellMar>
        </w:tblPrEx>
        <w:tc>
          <w:tcPr>
            <w:tcW w:w="2893" w:type="dxa"/>
            <w:tcBorders>
              <w:top w:val="nil"/>
              <w:bottom w:val="nil"/>
              <w:right w:val="single" w:sz="6" w:space="0" w:color="auto"/>
            </w:tcBorders>
          </w:tcPr>
          <w:p w:rsidR="00000000" w:rsidRDefault="0031739B">
            <w:pPr>
              <w:spacing w:line="240" w:lineRule="auto"/>
              <w:jc w:val="center"/>
            </w:pPr>
            <w:r>
              <w:t>1995</w:t>
            </w:r>
          </w:p>
        </w:tc>
        <w:tc>
          <w:tcPr>
            <w:tcW w:w="3107" w:type="dxa"/>
            <w:tcBorders>
              <w:left w:val="nil"/>
            </w:tcBorders>
          </w:tcPr>
          <w:p w:rsidR="00000000" w:rsidRDefault="0031739B">
            <w:pPr>
              <w:spacing w:line="240" w:lineRule="auto"/>
              <w:ind w:right="1361"/>
              <w:jc w:val="right"/>
            </w:pPr>
            <w:r>
              <w:t>100.0</w:t>
            </w:r>
          </w:p>
        </w:tc>
      </w:tr>
      <w:tr w:rsidR="00000000">
        <w:tblPrEx>
          <w:tblCellMar>
            <w:top w:w="0" w:type="dxa"/>
            <w:bottom w:w="0" w:type="dxa"/>
          </w:tblCellMar>
        </w:tblPrEx>
        <w:tc>
          <w:tcPr>
            <w:tcW w:w="2893" w:type="dxa"/>
            <w:tcBorders>
              <w:top w:val="nil"/>
              <w:bottom w:val="single" w:sz="6" w:space="0" w:color="auto"/>
              <w:right w:val="single" w:sz="6" w:space="0" w:color="auto"/>
            </w:tcBorders>
          </w:tcPr>
          <w:p w:rsidR="00000000" w:rsidRDefault="0031739B">
            <w:pPr>
              <w:spacing w:line="240" w:lineRule="auto"/>
              <w:jc w:val="center"/>
            </w:pPr>
            <w:r>
              <w:t>1996</w:t>
            </w:r>
          </w:p>
        </w:tc>
        <w:tc>
          <w:tcPr>
            <w:tcW w:w="3107" w:type="dxa"/>
            <w:tcBorders>
              <w:left w:val="nil"/>
            </w:tcBorders>
          </w:tcPr>
          <w:p w:rsidR="00000000" w:rsidRDefault="0031739B">
            <w:pPr>
              <w:spacing w:line="240" w:lineRule="auto"/>
              <w:ind w:right="1361"/>
              <w:jc w:val="right"/>
            </w:pPr>
            <w:r>
              <w:t>100.6</w:t>
            </w:r>
          </w:p>
        </w:tc>
      </w:tr>
    </w:tbl>
    <w:p w:rsidR="00000000" w:rsidRDefault="0031739B">
      <w:pPr>
        <w:pStyle w:val="FootnoteText"/>
        <w:spacing w:before="320" w:after="320"/>
        <w:textAlignment w:val="center"/>
      </w:pPr>
      <w:r>
        <w:tab/>
      </w:r>
      <w:r>
        <w:rPr>
          <w:rFonts w:hint="eastAsia"/>
          <w:u w:val="single"/>
        </w:rPr>
        <w:t>注</w:t>
      </w:r>
      <w:r>
        <w:rPr>
          <w:rFonts w:hint="eastAsia"/>
        </w:rPr>
        <w:t>：根据管理和协调厅统计局的“家庭经济情况调查年度报告”列出。</w:t>
      </w:r>
    </w:p>
    <w:p w:rsidR="00000000" w:rsidRDefault="0031739B">
      <w:pPr>
        <w:pStyle w:val="Heading3"/>
      </w:pPr>
      <w:r>
        <w:rPr>
          <w:u w:val="none"/>
        </w:rPr>
        <w:t xml:space="preserve">2.  </w:t>
      </w:r>
      <w:r>
        <w:rPr>
          <w:rFonts w:hint="eastAsia"/>
        </w:rPr>
        <w:t>享有足够食物的权利</w:t>
      </w:r>
    </w:p>
    <w:p w:rsidR="00000000" w:rsidRDefault="0031739B">
      <w:r>
        <w:tab/>
        <w:t xml:space="preserve">143.  </w:t>
      </w:r>
      <w:r>
        <w:rPr>
          <w:rFonts w:hint="eastAsia"/>
        </w:rPr>
        <w:t>食物是人最基本的商品，保证稳定的食品供应和食品安全，是国家政策具有根本重要意义的目标。因此，政府采取了全面的必要措施，提高农业生产力，改善农业结构，合</w:t>
      </w:r>
      <w:r>
        <w:rPr>
          <w:rFonts w:hint="eastAsia"/>
        </w:rPr>
        <w:t>理分配和加工农产品并稳定农产品价格，保证稳定的食品供应，并采取措施保证日本依靠海外来源的农产品进口供应稳定。此外，政府还储备了食物，应付紧急情况。而且，政府还采取了各种消费方面的措施，提倡有益健康和平衡的膳食结构。因此，日本实现了适当的食品供应。</w:t>
      </w:r>
    </w:p>
    <w:p w:rsidR="00000000" w:rsidRDefault="0031739B">
      <w:r>
        <w:tab/>
        <w:t xml:space="preserve">144.  </w:t>
      </w:r>
      <w:r>
        <w:rPr>
          <w:rFonts w:hint="eastAsia"/>
        </w:rPr>
        <w:t>为了在一个土地资源有限的国家保证稳定的食品供应，政府采取各种措施，开发和改进高质量的农用土地，作为农业生产的基础，并采取措施促进土地有效使用。</w:t>
      </w:r>
    </w:p>
    <w:p w:rsidR="00000000" w:rsidRDefault="0031739B">
      <w:r>
        <w:tab/>
        <w:t xml:space="preserve">145.  </w:t>
      </w:r>
      <w:r>
        <w:rPr>
          <w:rFonts w:hint="eastAsia"/>
        </w:rPr>
        <w:t>根据《土壤改良法》，政府努力保持并提高土壤的生产力，对提高农业生产力和保证稳定的食品供应发挥</w:t>
      </w:r>
      <w:r>
        <w:rPr>
          <w:rFonts w:hint="eastAsia"/>
        </w:rPr>
        <w:t>了重要作用。</w:t>
      </w:r>
    </w:p>
    <w:p w:rsidR="00000000" w:rsidRDefault="0031739B">
      <w:r>
        <w:tab/>
        <w:t xml:space="preserve">146.  </w:t>
      </w:r>
      <w:r>
        <w:rPr>
          <w:rFonts w:hint="eastAsia"/>
        </w:rPr>
        <w:t>政府还采取措施，通过农业自动化、保持肥料质量，并适当使用农用化肥，提高农业生产力，保证安全的食品供应。</w:t>
      </w:r>
    </w:p>
    <w:p w:rsidR="00000000" w:rsidRDefault="0031739B">
      <w:r>
        <w:tab/>
        <w:t xml:space="preserve">147.  </w:t>
      </w:r>
      <w:r>
        <w:rPr>
          <w:rFonts w:hint="eastAsia"/>
        </w:rPr>
        <w:t>政府通过大量开展农业研究，促进技术发展，并通过迅速和适当传播农业技术，努力提高农业生产力和农产品质量。</w:t>
      </w:r>
    </w:p>
    <w:p w:rsidR="00000000" w:rsidRDefault="0031739B">
      <w:r>
        <w:tab/>
        <w:t xml:space="preserve">148.  </w:t>
      </w:r>
      <w:r>
        <w:rPr>
          <w:rFonts w:hint="eastAsia"/>
        </w:rPr>
        <w:t>政府通过适当的食品标签办法，建设易腐烂食品的批发市场，并推动分销部门的结构改革，促进提高食品的质量，及平稳和适当的分销。</w:t>
      </w:r>
    </w:p>
    <w:p w:rsidR="00000000" w:rsidRDefault="0031739B">
      <w:r>
        <w:tab/>
        <w:t xml:space="preserve">149.  </w:t>
      </w:r>
      <w:r>
        <w:rPr>
          <w:rFonts w:hint="eastAsia"/>
        </w:rPr>
        <w:t>政府通过对供需的控制，并借助《食品控制法》稳定价格，实现了主要食物如大米和小麦的稳定供应。日本政府在</w:t>
      </w:r>
      <w:r>
        <w:t>1994</w:t>
      </w:r>
      <w:r>
        <w:rPr>
          <w:rFonts w:hint="eastAsia"/>
        </w:rPr>
        <w:t>年</w:t>
      </w:r>
      <w:r>
        <w:t>1</w:t>
      </w:r>
      <w:r>
        <w:t>2</w:t>
      </w:r>
      <w:r>
        <w:rPr>
          <w:rFonts w:hint="eastAsia"/>
        </w:rPr>
        <w:t>月颁布了《稳定主要食品的供需和价格法》</w:t>
      </w:r>
      <w:r>
        <w:t>(</w:t>
      </w:r>
      <w:r>
        <w:rPr>
          <w:rFonts w:hint="eastAsia"/>
        </w:rPr>
        <w:t>以下简称“主食法”</w:t>
      </w:r>
      <w:r>
        <w:t>)</w:t>
      </w:r>
      <w:r>
        <w:rPr>
          <w:rFonts w:hint="eastAsia"/>
        </w:rPr>
        <w:t>，并废除《食品控制法》，作为执行建立世界贸易组织的《马拉喀什协定》而在国内制度方面的改革。根据“主食法”，政府努力稳定主食，如大米和小麦的供应。</w:t>
      </w:r>
    </w:p>
    <w:p w:rsidR="00000000" w:rsidRDefault="0031739B">
      <w:r>
        <w:tab/>
        <w:t xml:space="preserve">150.  </w:t>
      </w:r>
      <w:r>
        <w:rPr>
          <w:rFonts w:hint="eastAsia"/>
        </w:rPr>
        <w:t>为了保护国民生计，免受农产品价格过度变化造成的不利影响，政府根据每种产品的特点对农产品实行价格稳定政策，从而实现了食品的稳定供应和稳定价格。</w:t>
      </w:r>
    </w:p>
    <w:p w:rsidR="00000000" w:rsidRDefault="0031739B">
      <w:pPr>
        <w:spacing w:after="320"/>
        <w:textAlignment w:val="center"/>
      </w:pPr>
      <w:r>
        <w:tab/>
        <w:t xml:space="preserve">151.  </w:t>
      </w:r>
      <w:r>
        <w:rPr>
          <w:rFonts w:hint="eastAsia"/>
        </w:rPr>
        <w:t>日本政府通过消灭植物虫害的爆发和防止疾病传播，促进安全和提高农业生产力，通过防止传染病的爆发和传播，促进发展牲畜饲养。</w:t>
      </w:r>
    </w:p>
    <w:p w:rsidR="00000000" w:rsidRDefault="0031739B">
      <w:pPr>
        <w:pStyle w:val="Heading4"/>
      </w:pPr>
      <w:r>
        <w:rPr>
          <w:u w:val="none"/>
        </w:rPr>
        <w:t xml:space="preserve">(c)  </w:t>
      </w:r>
      <w:r>
        <w:rPr>
          <w:rFonts w:hint="eastAsia"/>
        </w:rPr>
        <w:t>环境</w:t>
      </w:r>
      <w:r>
        <w:rPr>
          <w:rFonts w:hint="eastAsia"/>
        </w:rPr>
        <w:t>和食物生产资源对上述措施的影响</w:t>
      </w:r>
    </w:p>
    <w:p w:rsidR="00000000" w:rsidRDefault="0031739B">
      <w:r>
        <w:tab/>
        <w:t xml:space="preserve">152.  </w:t>
      </w:r>
      <w:r>
        <w:rPr>
          <w:rFonts w:hint="eastAsia"/>
        </w:rPr>
        <w:t>稻田一向是日本农用土地的基础，起着保护环境的作用。增加在稻田使用材料和机器对环境有何影响，目前尚不清楚。尽管在高增长期更多使用机器和化肥及农用化学剂等材料提高了农业生产力，但如使用过度，其对环境的有害影响也会增加。例如，曾发生过氮和磷从农田流入湖泊和池塘的情况，造成水质恶化。</w:t>
      </w:r>
    </w:p>
    <w:p w:rsidR="00000000" w:rsidRDefault="0031739B">
      <w:r>
        <w:tab/>
        <w:t xml:space="preserve">153.  </w:t>
      </w:r>
      <w:r>
        <w:rPr>
          <w:rFonts w:hint="eastAsia"/>
        </w:rPr>
        <w:t>改良农用土地的项目，如对土地的重新调整和发展农业灌溉设施，促进了农业的保持和环境保护，提高了劳动生产力和农用土地的继续使用。此外，正在研究虑及农业生态系统的项目。</w:t>
      </w:r>
    </w:p>
    <w:p w:rsidR="00000000" w:rsidRDefault="0031739B">
      <w:pPr>
        <w:spacing w:after="320"/>
        <w:textAlignment w:val="center"/>
      </w:pPr>
      <w:r>
        <w:tab/>
        <w:t>154.</w:t>
      </w:r>
      <w:r>
        <w:t xml:space="preserve">  </w:t>
      </w:r>
      <w:r>
        <w:rPr>
          <w:rFonts w:hint="eastAsia"/>
        </w:rPr>
        <w:t>为保证农业生产的继续和稳定，在保持和提高农业环境保护作用的同时，日本已认识到必须建立一套协调的环境保护型农业政策</w:t>
      </w:r>
      <w:r>
        <w:t>(</w:t>
      </w:r>
      <w:r>
        <w:rPr>
          <w:rFonts w:hint="eastAsia"/>
        </w:rPr>
        <w:t>可持续农业</w:t>
      </w:r>
      <w:r>
        <w:t>)</w:t>
      </w:r>
      <w:r>
        <w:rPr>
          <w:rFonts w:hint="eastAsia"/>
        </w:rPr>
        <w:t>。在农业部门尽量减小环境的负担和促进再循环，可有助于实现这项目标。</w:t>
      </w:r>
    </w:p>
    <w:p w:rsidR="00000000" w:rsidRDefault="0031739B">
      <w:pPr>
        <w:pStyle w:val="Heading4"/>
      </w:pPr>
      <w:r>
        <w:rPr>
          <w:u w:val="none"/>
        </w:rPr>
        <w:t xml:space="preserve">(d)  </w:t>
      </w:r>
      <w:r>
        <w:rPr>
          <w:rFonts w:hint="eastAsia"/>
        </w:rPr>
        <w:t>改革农用土地制度</w:t>
      </w:r>
    </w:p>
    <w:p w:rsidR="00000000" w:rsidRDefault="0031739B">
      <w:r>
        <w:tab/>
        <w:t xml:space="preserve">155.  </w:t>
      </w:r>
      <w:r>
        <w:rPr>
          <w:rFonts w:hint="eastAsia"/>
        </w:rPr>
        <w:t>第二次世界大战后，</w:t>
      </w:r>
      <w:r>
        <w:t>1945</w:t>
      </w:r>
      <w:r>
        <w:rPr>
          <w:rFonts w:hint="eastAsia"/>
        </w:rPr>
        <w:t>和</w:t>
      </w:r>
      <w:r>
        <w:t>1946</w:t>
      </w:r>
      <w:r>
        <w:rPr>
          <w:rFonts w:hint="eastAsia"/>
        </w:rPr>
        <w:t>年期间，日本实行了《农用土地调整法》，提高农业生产力和进行耕作的民主改革，迅速扩大拥有土地的农户数。</w:t>
      </w:r>
      <w:r>
        <w:t>1946</w:t>
      </w:r>
      <w:r>
        <w:rPr>
          <w:rFonts w:hint="eastAsia"/>
        </w:rPr>
        <w:t>年，日本颁布了《关于增加有土地农户的特别措施法》，从而全面执行了农业土地改革。</w:t>
      </w:r>
    </w:p>
    <w:p w:rsidR="00000000" w:rsidRDefault="0031739B">
      <w:r>
        <w:tab/>
        <w:t xml:space="preserve">156.  </w:t>
      </w:r>
      <w:r>
        <w:rPr>
          <w:rFonts w:hint="eastAsia"/>
        </w:rPr>
        <w:t>根据上述法，政府征用了大地主所有的</w:t>
      </w:r>
      <w:r>
        <w:rPr>
          <w:rFonts w:hint="eastAsia"/>
        </w:rPr>
        <w:t>由佃户经营的大部分农场，再将土地卖给佃户。还实行了农场租金的现金支付。政府增强了佃户的权利，允许勾销租赁契约，并承认有权要求减租。对市和县农业委员会制度也作了修订，这些委员会作为主要管理机构，在农业土地改革方面起了关键作用。修订后，改变了由官僚机构选定委员会委员的作法，实行了选举制度，对委员会的组织结构也作了改革，使佃户的意见得到反映。这样就进行了农业的民主改革。</w:t>
      </w:r>
    </w:p>
    <w:p w:rsidR="00000000" w:rsidRDefault="0031739B">
      <w:r>
        <w:tab/>
        <w:t xml:space="preserve">157.  </w:t>
      </w:r>
      <w:r>
        <w:rPr>
          <w:rFonts w:hint="eastAsia"/>
        </w:rPr>
        <w:t>由于所有这些措施，少数土地所有者垄断大量土地的情况结束。例如，到</w:t>
      </w:r>
      <w:r>
        <w:t>1950</w:t>
      </w:r>
      <w:r>
        <w:rPr>
          <w:rFonts w:hint="eastAsia"/>
        </w:rPr>
        <w:t>年大约</w:t>
      </w:r>
      <w:r>
        <w:t>190</w:t>
      </w:r>
      <w:r>
        <w:rPr>
          <w:rFonts w:hint="eastAsia"/>
        </w:rPr>
        <w:t>万公顷的农用土地摆脱了控制，佃农耕种土地的比例</w:t>
      </w:r>
      <w:r>
        <w:rPr>
          <w:rFonts w:hint="eastAsia"/>
        </w:rPr>
        <w:t>在农用土地改革前为</w:t>
      </w:r>
      <w:r>
        <w:t>46%</w:t>
      </w:r>
      <w:r>
        <w:rPr>
          <w:rFonts w:hint="eastAsia"/>
        </w:rPr>
        <w:t>，后下降到</w:t>
      </w:r>
      <w:r>
        <w:t>10%</w:t>
      </w:r>
      <w:r>
        <w:rPr>
          <w:rFonts w:hint="eastAsia"/>
        </w:rPr>
        <w:t>以下。</w:t>
      </w:r>
    </w:p>
    <w:p w:rsidR="00000000" w:rsidRDefault="0031739B">
      <w:pPr>
        <w:spacing w:after="320"/>
        <w:textAlignment w:val="center"/>
      </w:pPr>
      <w:r>
        <w:tab/>
        <w:t>158.  1952</w:t>
      </w:r>
      <w:r>
        <w:rPr>
          <w:rFonts w:hint="eastAsia"/>
        </w:rPr>
        <w:t>年，日本颁布了《农用土地法》，目的是保持农用土地改革的成果。根据该法，日本力求稳定农民的地位和提高农业生产力，限制将农用土地转为他用或雇人耕种的权利，还实行一套稳定农用土地租用人地位的制度。</w:t>
      </w:r>
    </w:p>
    <w:p w:rsidR="00000000" w:rsidRDefault="0031739B">
      <w:pPr>
        <w:pStyle w:val="Heading4"/>
      </w:pPr>
      <w:r>
        <w:rPr>
          <w:u w:val="none"/>
        </w:rPr>
        <w:t xml:space="preserve">(e)  </w:t>
      </w:r>
      <w:r>
        <w:rPr>
          <w:rFonts w:hint="eastAsia"/>
        </w:rPr>
        <w:t>保证食品安全</w:t>
      </w:r>
    </w:p>
    <w:p w:rsidR="00000000" w:rsidRDefault="0031739B">
      <w:r>
        <w:tab/>
        <w:t xml:space="preserve">159.  </w:t>
      </w:r>
      <w:r>
        <w:rPr>
          <w:rFonts w:hint="eastAsia"/>
        </w:rPr>
        <w:t>为保证食品安全，根据《食品卫生法》采取了以下措施：</w:t>
      </w:r>
    </w:p>
    <w:p w:rsidR="00000000" w:rsidRDefault="0031739B" w:rsidP="0031739B">
      <w:pPr>
        <w:pStyle w:val="a0"/>
        <w:numPr>
          <w:ilvl w:val="0"/>
          <w:numId w:val="8"/>
        </w:numPr>
        <w:ind w:left="1531" w:hanging="510"/>
      </w:pPr>
      <w:r>
        <w:rPr>
          <w:rFonts w:hint="eastAsia"/>
        </w:rPr>
        <w:t>确定食品、添加剂、设备和包装标准；</w:t>
      </w:r>
    </w:p>
    <w:p w:rsidR="00000000" w:rsidRDefault="0031739B" w:rsidP="0031739B">
      <w:pPr>
        <w:pStyle w:val="a0"/>
        <w:numPr>
          <w:ilvl w:val="0"/>
          <w:numId w:val="8"/>
        </w:numPr>
        <w:ind w:left="1531" w:hanging="510"/>
      </w:pPr>
      <w:r>
        <w:rPr>
          <w:rFonts w:hint="eastAsia"/>
        </w:rPr>
        <w:t>食品卫生检查员的检查和指导；</w:t>
      </w:r>
    </w:p>
    <w:p w:rsidR="00000000" w:rsidRDefault="0031739B" w:rsidP="0031739B">
      <w:pPr>
        <w:pStyle w:val="a0"/>
        <w:numPr>
          <w:ilvl w:val="0"/>
          <w:numId w:val="8"/>
        </w:numPr>
        <w:ind w:left="1531" w:hanging="510"/>
      </w:pPr>
      <w:r>
        <w:rPr>
          <w:rFonts w:hint="eastAsia"/>
        </w:rPr>
        <w:t>通过食品卫生监督员加强自我管理制度；以及</w:t>
      </w:r>
    </w:p>
    <w:p w:rsidR="00000000" w:rsidRDefault="0031739B" w:rsidP="0031739B">
      <w:pPr>
        <w:pStyle w:val="a0"/>
        <w:numPr>
          <w:ilvl w:val="0"/>
          <w:numId w:val="8"/>
        </w:numPr>
        <w:spacing w:after="320"/>
        <w:ind w:left="1531" w:hanging="510"/>
        <w:textAlignment w:val="center"/>
      </w:pPr>
      <w:r>
        <w:rPr>
          <w:rFonts w:hint="eastAsia"/>
        </w:rPr>
        <w:t>对</w:t>
      </w:r>
      <w:r>
        <w:t>34</w:t>
      </w:r>
      <w:r>
        <w:rPr>
          <w:rFonts w:hint="eastAsia"/>
        </w:rPr>
        <w:t>种与食品有关的行业</w:t>
      </w:r>
      <w:r>
        <w:t>(</w:t>
      </w:r>
      <w:r>
        <w:rPr>
          <w:rFonts w:hint="eastAsia"/>
        </w:rPr>
        <w:t>如餐馆等</w:t>
      </w:r>
      <w:r>
        <w:t>)</w:t>
      </w:r>
      <w:r>
        <w:rPr>
          <w:rFonts w:hint="eastAsia"/>
        </w:rPr>
        <w:t>实行许可证制度。</w:t>
      </w:r>
    </w:p>
    <w:p w:rsidR="00000000" w:rsidRDefault="0031739B">
      <w:pPr>
        <w:pStyle w:val="Heading4"/>
      </w:pPr>
      <w:r>
        <w:rPr>
          <w:u w:val="none"/>
        </w:rPr>
        <w:t xml:space="preserve">(f)  </w:t>
      </w:r>
      <w:r>
        <w:rPr>
          <w:rFonts w:hint="eastAsia"/>
        </w:rPr>
        <w:t>国民营养问题</w:t>
      </w:r>
    </w:p>
    <w:p w:rsidR="00000000" w:rsidRDefault="0031739B">
      <w:r>
        <w:tab/>
        <w:t xml:space="preserve">160.  </w:t>
      </w:r>
      <w:r>
        <w:rPr>
          <w:rFonts w:hint="eastAsia"/>
        </w:rPr>
        <w:t>与传统的以大米、鱼和蔬菜为主的饮食习惯相比，如今日本的膳食习惯已经多样化，增加了各种食物，如肉类、奶、其他奶制品和水果等，总体上是平衡的。但脂肪量今后可能会超出建议的卡路里水平，一些个人和年龄组已发现营养不平衡问题。因此，政府在</w:t>
      </w:r>
      <w:r>
        <w:t>1990</w:t>
      </w:r>
      <w:r>
        <w:rPr>
          <w:rFonts w:hint="eastAsia"/>
        </w:rPr>
        <w:t>年提出了日本式新膳食标准，促进平衡的饮食，并一直努力推广该套标准。</w:t>
      </w:r>
    </w:p>
    <w:p w:rsidR="00000000" w:rsidRDefault="0031739B">
      <w:r>
        <w:tab/>
        <w:t xml:space="preserve">161.  </w:t>
      </w:r>
      <w:r>
        <w:rPr>
          <w:rFonts w:hint="eastAsia"/>
        </w:rPr>
        <w:t>为改善国民营养，政府根据《改善营养状况法》，每年进行一次全国普查，确定饮食摄入情况，然后每五年修订一次建议的饮食摄入。另外，还在公共卫生中心安排适当的营养</w:t>
      </w:r>
      <w:r>
        <w:rPr>
          <w:rFonts w:hint="eastAsia"/>
        </w:rPr>
        <w:t>学家，为个人和大众餐饮设施提供指导。营养指导也列入卫生教育和卫生咨询计划，那些计划是地方政府根据《老年人卫生和医疗服务法》为</w:t>
      </w:r>
      <w:r>
        <w:t>40</w:t>
      </w:r>
      <w:r>
        <w:rPr>
          <w:rFonts w:hint="eastAsia"/>
        </w:rPr>
        <w:t>岁以上者开设的。</w:t>
      </w:r>
    </w:p>
    <w:p w:rsidR="00000000" w:rsidRDefault="0031739B">
      <w:pPr>
        <w:spacing w:after="320"/>
        <w:textAlignment w:val="center"/>
      </w:pPr>
      <w:r>
        <w:tab/>
        <w:t xml:space="preserve">162.  </w:t>
      </w:r>
      <w:r>
        <w:rPr>
          <w:rFonts w:hint="eastAsia"/>
        </w:rPr>
        <w:t>为传播营养原则方面的信息，以便于国人理解的形式编写了一份“健康生活的饮食原则”。另外，为应付外出就餐增加和使用加工食品，政府推动餐馆和食品加工单位自愿标注营养成份。</w:t>
      </w:r>
    </w:p>
    <w:p w:rsidR="00000000" w:rsidRDefault="0031739B">
      <w:pPr>
        <w:pStyle w:val="Heading4"/>
      </w:pPr>
      <w:r>
        <w:rPr>
          <w:u w:val="none"/>
        </w:rPr>
        <w:t xml:space="preserve">(g)  </w:t>
      </w:r>
      <w:r>
        <w:rPr>
          <w:rFonts w:hint="eastAsia"/>
        </w:rPr>
        <w:t>保证大体公平的食品分销措施</w:t>
      </w:r>
    </w:p>
    <w:p w:rsidR="00000000" w:rsidRDefault="0031739B">
      <w:r>
        <w:tab/>
        <w:t xml:space="preserve">163.  </w:t>
      </w:r>
      <w:r>
        <w:rPr>
          <w:rFonts w:hint="eastAsia"/>
        </w:rPr>
        <w:t>在发展中世界的部分地区、特别是在低收入国家，有较严重的居民营养不良的问题。为解决这一问题，日本积极推动国际合作，保证发展中国家安全和稳</w:t>
      </w:r>
      <w:r>
        <w:rPr>
          <w:rFonts w:hint="eastAsia"/>
        </w:rPr>
        <w:t>定的食品供应，特别是在农业部门。日本对改善和稳定占人口半数以上的农民的生活、也对减少发展中国家食物短缺，都作出过贡献。</w:t>
      </w:r>
    </w:p>
    <w:p w:rsidR="00000000" w:rsidRDefault="0031739B">
      <w:pPr>
        <w:spacing w:after="320"/>
        <w:textAlignment w:val="center"/>
      </w:pPr>
      <w:r>
        <w:tab/>
        <w:t xml:space="preserve">164.  </w:t>
      </w:r>
      <w:r>
        <w:rPr>
          <w:rFonts w:hint="eastAsia"/>
        </w:rPr>
        <w:t>日本建立了“日本农业科学国际研究中心”</w:t>
      </w:r>
      <w:r>
        <w:t>(JIRCAS)</w:t>
      </w:r>
      <w:r>
        <w:rPr>
          <w:rFonts w:hint="eastAsia"/>
        </w:rPr>
        <w:t>，这是一个进行发展中国家农业、林业和渔业研究的国家机构，也通过派遣和邀请研究人员进行国际研究的合作。</w:t>
      </w:r>
    </w:p>
    <w:p w:rsidR="00000000" w:rsidRDefault="0031739B">
      <w:pPr>
        <w:pStyle w:val="Heading3"/>
      </w:pPr>
      <w:r>
        <w:rPr>
          <w:u w:val="none"/>
        </w:rPr>
        <w:t xml:space="preserve">3.  </w:t>
      </w:r>
      <w:r>
        <w:rPr>
          <w:rFonts w:hint="eastAsia"/>
        </w:rPr>
        <w:t>享有适当住房的权利</w:t>
      </w:r>
    </w:p>
    <w:p w:rsidR="00000000" w:rsidRDefault="0031739B">
      <w:pPr>
        <w:spacing w:after="320"/>
        <w:textAlignment w:val="center"/>
      </w:pPr>
      <w:r>
        <w:tab/>
        <w:t xml:space="preserve">165.  </w:t>
      </w:r>
      <w:r>
        <w:rPr>
          <w:rFonts w:hint="eastAsia"/>
        </w:rPr>
        <w:t>下表载有住房方面的统计数字：</w:t>
      </w:r>
    </w:p>
    <w:p w:rsidR="00000000" w:rsidRDefault="0031739B">
      <w:pPr>
        <w:pStyle w:val="Heading3"/>
      </w:pPr>
      <w:r>
        <w:rPr>
          <w:rFonts w:hint="eastAsia"/>
          <w:u w:val="none"/>
        </w:rPr>
        <w:t>表</w:t>
      </w:r>
      <w:r>
        <w:rPr>
          <w:u w:val="none"/>
        </w:rPr>
        <w:t xml:space="preserve">15.  </w:t>
      </w:r>
      <w:r>
        <w:rPr>
          <w:rFonts w:hint="eastAsia"/>
        </w:rPr>
        <w:t>住房数量、住房拥有率和空房率的变化</w:t>
      </w:r>
    </w:p>
    <w:tbl>
      <w:tblPr>
        <w:tblW w:w="0" w:type="auto"/>
        <w:tblInd w:w="12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3120"/>
        <w:gridCol w:w="1024"/>
        <w:gridCol w:w="1024"/>
        <w:gridCol w:w="1024"/>
        <w:gridCol w:w="1024"/>
        <w:gridCol w:w="1024"/>
        <w:gridCol w:w="1024"/>
      </w:tblGrid>
      <w:tr w:rsidR="00000000">
        <w:tblPrEx>
          <w:tblCellMar>
            <w:top w:w="0" w:type="dxa"/>
            <w:bottom w:w="0" w:type="dxa"/>
          </w:tblCellMar>
        </w:tblPrEx>
        <w:tc>
          <w:tcPr>
            <w:tcW w:w="3120" w:type="dxa"/>
            <w:tcBorders>
              <w:bottom w:val="nil"/>
            </w:tcBorders>
          </w:tcPr>
          <w:p w:rsidR="00000000" w:rsidRDefault="0031739B">
            <w:pPr>
              <w:spacing w:before="120" w:line="240" w:lineRule="auto"/>
              <w:rPr>
                <w:sz w:val="21"/>
              </w:rPr>
            </w:pPr>
          </w:p>
        </w:tc>
        <w:tc>
          <w:tcPr>
            <w:tcW w:w="1024" w:type="dxa"/>
          </w:tcPr>
          <w:p w:rsidR="00000000" w:rsidRDefault="0031739B">
            <w:pPr>
              <w:spacing w:before="120" w:line="240" w:lineRule="auto"/>
              <w:jc w:val="center"/>
              <w:rPr>
                <w:sz w:val="21"/>
              </w:rPr>
            </w:pPr>
            <w:r>
              <w:rPr>
                <w:sz w:val="21"/>
              </w:rPr>
              <w:t>1968</w:t>
            </w:r>
          </w:p>
        </w:tc>
        <w:tc>
          <w:tcPr>
            <w:tcW w:w="1024" w:type="dxa"/>
          </w:tcPr>
          <w:p w:rsidR="00000000" w:rsidRDefault="0031739B">
            <w:pPr>
              <w:spacing w:before="120" w:line="240" w:lineRule="auto"/>
              <w:jc w:val="center"/>
              <w:rPr>
                <w:sz w:val="21"/>
              </w:rPr>
            </w:pPr>
            <w:r>
              <w:rPr>
                <w:sz w:val="21"/>
              </w:rPr>
              <w:t>1973</w:t>
            </w:r>
          </w:p>
        </w:tc>
        <w:tc>
          <w:tcPr>
            <w:tcW w:w="1024" w:type="dxa"/>
          </w:tcPr>
          <w:p w:rsidR="00000000" w:rsidRDefault="0031739B">
            <w:pPr>
              <w:spacing w:before="120" w:line="240" w:lineRule="auto"/>
              <w:jc w:val="center"/>
              <w:rPr>
                <w:sz w:val="21"/>
              </w:rPr>
            </w:pPr>
            <w:r>
              <w:rPr>
                <w:sz w:val="21"/>
              </w:rPr>
              <w:t>1978</w:t>
            </w:r>
          </w:p>
        </w:tc>
        <w:tc>
          <w:tcPr>
            <w:tcW w:w="1024" w:type="dxa"/>
          </w:tcPr>
          <w:p w:rsidR="00000000" w:rsidRDefault="0031739B">
            <w:pPr>
              <w:spacing w:before="120" w:line="240" w:lineRule="auto"/>
              <w:jc w:val="center"/>
              <w:rPr>
                <w:sz w:val="21"/>
              </w:rPr>
            </w:pPr>
            <w:r>
              <w:rPr>
                <w:sz w:val="21"/>
              </w:rPr>
              <w:t>1983</w:t>
            </w:r>
          </w:p>
        </w:tc>
        <w:tc>
          <w:tcPr>
            <w:tcW w:w="1024" w:type="dxa"/>
          </w:tcPr>
          <w:p w:rsidR="00000000" w:rsidRDefault="0031739B">
            <w:pPr>
              <w:spacing w:before="120" w:line="240" w:lineRule="auto"/>
              <w:jc w:val="center"/>
              <w:rPr>
                <w:sz w:val="21"/>
              </w:rPr>
            </w:pPr>
            <w:r>
              <w:rPr>
                <w:sz w:val="21"/>
              </w:rPr>
              <w:t>1988</w:t>
            </w:r>
          </w:p>
        </w:tc>
        <w:tc>
          <w:tcPr>
            <w:tcW w:w="1024" w:type="dxa"/>
          </w:tcPr>
          <w:p w:rsidR="00000000" w:rsidRDefault="0031739B">
            <w:pPr>
              <w:spacing w:before="120" w:line="240" w:lineRule="auto"/>
              <w:jc w:val="center"/>
              <w:rPr>
                <w:sz w:val="21"/>
              </w:rPr>
            </w:pPr>
            <w:r>
              <w:rPr>
                <w:sz w:val="21"/>
              </w:rPr>
              <w:t>1993</w:t>
            </w:r>
          </w:p>
        </w:tc>
      </w:tr>
      <w:tr w:rsidR="00000000">
        <w:tblPrEx>
          <w:tblCellMar>
            <w:top w:w="0" w:type="dxa"/>
            <w:bottom w:w="0" w:type="dxa"/>
          </w:tblCellMar>
        </w:tblPrEx>
        <w:tc>
          <w:tcPr>
            <w:tcW w:w="3120" w:type="dxa"/>
            <w:tcBorders>
              <w:bottom w:val="nil"/>
            </w:tcBorders>
          </w:tcPr>
          <w:p w:rsidR="00000000" w:rsidRDefault="0031739B">
            <w:pPr>
              <w:spacing w:before="120" w:line="240" w:lineRule="auto"/>
              <w:ind w:left="57"/>
              <w:rPr>
                <w:sz w:val="21"/>
              </w:rPr>
            </w:pPr>
            <w:r>
              <w:rPr>
                <w:rFonts w:hint="eastAsia"/>
                <w:sz w:val="21"/>
              </w:rPr>
              <w:t>总住房数</w:t>
            </w:r>
            <w:r>
              <w:rPr>
                <w:sz w:val="21"/>
              </w:rPr>
              <w:t>(1,000)</w:t>
            </w:r>
          </w:p>
        </w:tc>
        <w:tc>
          <w:tcPr>
            <w:tcW w:w="1024" w:type="dxa"/>
            <w:tcBorders>
              <w:bottom w:val="nil"/>
            </w:tcBorders>
          </w:tcPr>
          <w:p w:rsidR="00000000" w:rsidRDefault="0031739B">
            <w:pPr>
              <w:spacing w:before="120" w:line="240" w:lineRule="auto"/>
              <w:ind w:right="57"/>
              <w:jc w:val="right"/>
              <w:rPr>
                <w:sz w:val="21"/>
              </w:rPr>
            </w:pPr>
            <w:r>
              <w:rPr>
                <w:sz w:val="21"/>
              </w:rPr>
              <w:t>25,591</w:t>
            </w:r>
          </w:p>
        </w:tc>
        <w:tc>
          <w:tcPr>
            <w:tcW w:w="1024" w:type="dxa"/>
            <w:tcBorders>
              <w:bottom w:val="nil"/>
            </w:tcBorders>
          </w:tcPr>
          <w:p w:rsidR="00000000" w:rsidRDefault="0031739B">
            <w:pPr>
              <w:spacing w:before="120" w:line="240" w:lineRule="auto"/>
              <w:ind w:right="57"/>
              <w:jc w:val="right"/>
              <w:rPr>
                <w:sz w:val="21"/>
              </w:rPr>
            </w:pPr>
            <w:r>
              <w:rPr>
                <w:sz w:val="21"/>
              </w:rPr>
              <w:t>31,059</w:t>
            </w:r>
          </w:p>
        </w:tc>
        <w:tc>
          <w:tcPr>
            <w:tcW w:w="1024" w:type="dxa"/>
            <w:tcBorders>
              <w:bottom w:val="nil"/>
            </w:tcBorders>
          </w:tcPr>
          <w:p w:rsidR="00000000" w:rsidRDefault="0031739B">
            <w:pPr>
              <w:spacing w:before="120" w:line="240" w:lineRule="auto"/>
              <w:ind w:right="57"/>
              <w:jc w:val="right"/>
              <w:rPr>
                <w:sz w:val="21"/>
              </w:rPr>
            </w:pPr>
            <w:r>
              <w:rPr>
                <w:sz w:val="21"/>
              </w:rPr>
              <w:t>35,451</w:t>
            </w:r>
          </w:p>
        </w:tc>
        <w:tc>
          <w:tcPr>
            <w:tcW w:w="1024" w:type="dxa"/>
            <w:tcBorders>
              <w:bottom w:val="nil"/>
            </w:tcBorders>
          </w:tcPr>
          <w:p w:rsidR="00000000" w:rsidRDefault="0031739B">
            <w:pPr>
              <w:spacing w:before="120" w:line="240" w:lineRule="auto"/>
              <w:ind w:right="57"/>
              <w:jc w:val="right"/>
              <w:rPr>
                <w:sz w:val="21"/>
              </w:rPr>
            </w:pPr>
            <w:r>
              <w:rPr>
                <w:sz w:val="21"/>
              </w:rPr>
              <w:t>38,607</w:t>
            </w:r>
          </w:p>
        </w:tc>
        <w:tc>
          <w:tcPr>
            <w:tcW w:w="1024" w:type="dxa"/>
            <w:tcBorders>
              <w:bottom w:val="nil"/>
            </w:tcBorders>
          </w:tcPr>
          <w:p w:rsidR="00000000" w:rsidRDefault="0031739B">
            <w:pPr>
              <w:spacing w:before="120" w:line="240" w:lineRule="auto"/>
              <w:ind w:right="57"/>
              <w:jc w:val="right"/>
              <w:rPr>
                <w:sz w:val="21"/>
              </w:rPr>
            </w:pPr>
            <w:r>
              <w:rPr>
                <w:sz w:val="21"/>
              </w:rPr>
              <w:t>42,007</w:t>
            </w:r>
          </w:p>
        </w:tc>
        <w:tc>
          <w:tcPr>
            <w:tcW w:w="1024" w:type="dxa"/>
            <w:tcBorders>
              <w:bottom w:val="nil"/>
            </w:tcBorders>
          </w:tcPr>
          <w:p w:rsidR="00000000" w:rsidRDefault="0031739B">
            <w:pPr>
              <w:spacing w:before="120" w:line="240" w:lineRule="auto"/>
              <w:ind w:right="57"/>
              <w:jc w:val="right"/>
              <w:rPr>
                <w:sz w:val="21"/>
              </w:rPr>
            </w:pPr>
            <w:r>
              <w:rPr>
                <w:sz w:val="21"/>
              </w:rPr>
              <w:t>45,879</w:t>
            </w:r>
          </w:p>
        </w:tc>
      </w:tr>
      <w:tr w:rsidR="00000000">
        <w:tblPrEx>
          <w:tblCellMar>
            <w:top w:w="0" w:type="dxa"/>
            <w:bottom w:w="0" w:type="dxa"/>
          </w:tblCellMar>
        </w:tblPrEx>
        <w:tc>
          <w:tcPr>
            <w:tcW w:w="3120" w:type="dxa"/>
            <w:tcBorders>
              <w:top w:val="nil"/>
              <w:bottom w:val="nil"/>
            </w:tcBorders>
          </w:tcPr>
          <w:p w:rsidR="00000000" w:rsidRDefault="0031739B">
            <w:pPr>
              <w:spacing w:before="120" w:line="240" w:lineRule="auto"/>
              <w:ind w:left="57"/>
              <w:rPr>
                <w:sz w:val="21"/>
              </w:rPr>
            </w:pPr>
            <w:r>
              <w:rPr>
                <w:rFonts w:hint="eastAsia"/>
                <w:sz w:val="21"/>
              </w:rPr>
              <w:t>总户数</w:t>
            </w:r>
            <w:r>
              <w:rPr>
                <w:sz w:val="21"/>
              </w:rPr>
              <w:t>(1,000)</w:t>
            </w:r>
          </w:p>
        </w:tc>
        <w:tc>
          <w:tcPr>
            <w:tcW w:w="1024" w:type="dxa"/>
            <w:tcBorders>
              <w:top w:val="nil"/>
              <w:bottom w:val="nil"/>
              <w:right w:val="nil"/>
            </w:tcBorders>
          </w:tcPr>
          <w:p w:rsidR="00000000" w:rsidRDefault="0031739B">
            <w:pPr>
              <w:spacing w:before="120" w:line="240" w:lineRule="auto"/>
              <w:ind w:right="57"/>
              <w:jc w:val="right"/>
              <w:rPr>
                <w:sz w:val="21"/>
              </w:rPr>
            </w:pPr>
            <w:r>
              <w:rPr>
                <w:sz w:val="21"/>
              </w:rPr>
              <w:t>25,320</w:t>
            </w:r>
          </w:p>
        </w:tc>
        <w:tc>
          <w:tcPr>
            <w:tcW w:w="1024" w:type="dxa"/>
            <w:tcBorders>
              <w:top w:val="nil"/>
              <w:left w:val="single" w:sz="6" w:space="0" w:color="auto"/>
              <w:bottom w:val="nil"/>
              <w:right w:val="nil"/>
            </w:tcBorders>
          </w:tcPr>
          <w:p w:rsidR="00000000" w:rsidRDefault="0031739B">
            <w:pPr>
              <w:spacing w:before="120" w:line="240" w:lineRule="auto"/>
              <w:ind w:right="57"/>
              <w:jc w:val="right"/>
              <w:rPr>
                <w:sz w:val="21"/>
              </w:rPr>
            </w:pPr>
            <w:r>
              <w:rPr>
                <w:sz w:val="21"/>
              </w:rPr>
              <w:t>29,651</w:t>
            </w:r>
          </w:p>
        </w:tc>
        <w:tc>
          <w:tcPr>
            <w:tcW w:w="1024" w:type="dxa"/>
            <w:tcBorders>
              <w:top w:val="nil"/>
              <w:left w:val="single" w:sz="6" w:space="0" w:color="auto"/>
              <w:bottom w:val="nil"/>
              <w:right w:val="single" w:sz="6" w:space="0" w:color="auto"/>
            </w:tcBorders>
          </w:tcPr>
          <w:p w:rsidR="00000000" w:rsidRDefault="0031739B">
            <w:pPr>
              <w:spacing w:before="120" w:line="240" w:lineRule="auto"/>
              <w:ind w:right="57"/>
              <w:jc w:val="right"/>
              <w:rPr>
                <w:sz w:val="21"/>
              </w:rPr>
            </w:pPr>
            <w:r>
              <w:rPr>
                <w:sz w:val="21"/>
              </w:rPr>
              <w:t>32,835</w:t>
            </w:r>
          </w:p>
        </w:tc>
        <w:tc>
          <w:tcPr>
            <w:tcW w:w="1024" w:type="dxa"/>
            <w:tcBorders>
              <w:top w:val="nil"/>
              <w:left w:val="nil"/>
              <w:bottom w:val="nil"/>
              <w:right w:val="single" w:sz="6" w:space="0" w:color="auto"/>
            </w:tcBorders>
          </w:tcPr>
          <w:p w:rsidR="00000000" w:rsidRDefault="0031739B">
            <w:pPr>
              <w:spacing w:before="120" w:line="240" w:lineRule="auto"/>
              <w:ind w:right="57"/>
              <w:jc w:val="right"/>
              <w:rPr>
                <w:sz w:val="21"/>
              </w:rPr>
            </w:pPr>
            <w:r>
              <w:rPr>
                <w:sz w:val="21"/>
              </w:rPr>
              <w:t>35,197</w:t>
            </w:r>
          </w:p>
        </w:tc>
        <w:tc>
          <w:tcPr>
            <w:tcW w:w="1024" w:type="dxa"/>
            <w:tcBorders>
              <w:top w:val="nil"/>
              <w:left w:val="nil"/>
              <w:bottom w:val="nil"/>
              <w:right w:val="single" w:sz="6" w:space="0" w:color="auto"/>
            </w:tcBorders>
          </w:tcPr>
          <w:p w:rsidR="00000000" w:rsidRDefault="0031739B">
            <w:pPr>
              <w:spacing w:before="120" w:line="240" w:lineRule="auto"/>
              <w:ind w:right="57"/>
              <w:jc w:val="right"/>
              <w:rPr>
                <w:sz w:val="21"/>
              </w:rPr>
            </w:pPr>
            <w:r>
              <w:rPr>
                <w:sz w:val="21"/>
              </w:rPr>
              <w:t>37,812</w:t>
            </w:r>
          </w:p>
        </w:tc>
        <w:tc>
          <w:tcPr>
            <w:tcW w:w="1024" w:type="dxa"/>
            <w:tcBorders>
              <w:top w:val="nil"/>
              <w:left w:val="nil"/>
              <w:bottom w:val="nil"/>
            </w:tcBorders>
          </w:tcPr>
          <w:p w:rsidR="00000000" w:rsidRDefault="0031739B">
            <w:pPr>
              <w:spacing w:before="120" w:line="240" w:lineRule="auto"/>
              <w:ind w:right="57"/>
              <w:jc w:val="right"/>
              <w:rPr>
                <w:sz w:val="21"/>
              </w:rPr>
            </w:pPr>
            <w:r>
              <w:rPr>
                <w:sz w:val="21"/>
              </w:rPr>
              <w:t>41,159</w:t>
            </w:r>
          </w:p>
        </w:tc>
      </w:tr>
      <w:tr w:rsidR="00000000">
        <w:tblPrEx>
          <w:tblCellMar>
            <w:top w:w="0" w:type="dxa"/>
            <w:bottom w:w="0" w:type="dxa"/>
          </w:tblCellMar>
        </w:tblPrEx>
        <w:tc>
          <w:tcPr>
            <w:tcW w:w="3120" w:type="dxa"/>
            <w:tcBorders>
              <w:top w:val="nil"/>
              <w:bottom w:val="nil"/>
            </w:tcBorders>
          </w:tcPr>
          <w:p w:rsidR="00000000" w:rsidRDefault="0031739B">
            <w:pPr>
              <w:spacing w:before="120" w:line="240" w:lineRule="auto"/>
              <w:ind w:left="57"/>
              <w:rPr>
                <w:sz w:val="21"/>
              </w:rPr>
            </w:pPr>
          </w:p>
        </w:tc>
        <w:tc>
          <w:tcPr>
            <w:tcW w:w="1024" w:type="dxa"/>
            <w:tcBorders>
              <w:top w:val="nil"/>
              <w:bottom w:val="nil"/>
              <w:right w:val="nil"/>
            </w:tcBorders>
          </w:tcPr>
          <w:p w:rsidR="00000000" w:rsidRDefault="0031739B">
            <w:pPr>
              <w:spacing w:before="120" w:line="240" w:lineRule="auto"/>
              <w:ind w:right="57"/>
              <w:jc w:val="right"/>
              <w:rPr>
                <w:sz w:val="21"/>
              </w:rPr>
            </w:pPr>
          </w:p>
        </w:tc>
        <w:tc>
          <w:tcPr>
            <w:tcW w:w="1024" w:type="dxa"/>
            <w:tcBorders>
              <w:top w:val="nil"/>
              <w:left w:val="single" w:sz="6" w:space="0" w:color="auto"/>
              <w:bottom w:val="nil"/>
              <w:right w:val="nil"/>
            </w:tcBorders>
          </w:tcPr>
          <w:p w:rsidR="00000000" w:rsidRDefault="0031739B">
            <w:pPr>
              <w:spacing w:before="120" w:line="240" w:lineRule="auto"/>
              <w:ind w:right="57"/>
              <w:jc w:val="right"/>
              <w:rPr>
                <w:sz w:val="21"/>
              </w:rPr>
            </w:pPr>
          </w:p>
        </w:tc>
        <w:tc>
          <w:tcPr>
            <w:tcW w:w="1024" w:type="dxa"/>
            <w:tcBorders>
              <w:top w:val="nil"/>
              <w:left w:val="single" w:sz="6" w:space="0" w:color="auto"/>
              <w:bottom w:val="nil"/>
              <w:right w:val="single" w:sz="6" w:space="0" w:color="auto"/>
            </w:tcBorders>
          </w:tcPr>
          <w:p w:rsidR="00000000" w:rsidRDefault="0031739B">
            <w:pPr>
              <w:spacing w:before="120" w:line="240" w:lineRule="auto"/>
              <w:ind w:right="57"/>
              <w:jc w:val="right"/>
              <w:rPr>
                <w:sz w:val="21"/>
              </w:rPr>
            </w:pPr>
          </w:p>
        </w:tc>
        <w:tc>
          <w:tcPr>
            <w:tcW w:w="1024" w:type="dxa"/>
            <w:tcBorders>
              <w:top w:val="nil"/>
              <w:left w:val="nil"/>
              <w:bottom w:val="nil"/>
              <w:right w:val="single" w:sz="6" w:space="0" w:color="auto"/>
            </w:tcBorders>
          </w:tcPr>
          <w:p w:rsidR="00000000" w:rsidRDefault="0031739B">
            <w:pPr>
              <w:spacing w:before="120" w:line="240" w:lineRule="auto"/>
              <w:ind w:right="57"/>
              <w:jc w:val="right"/>
              <w:rPr>
                <w:sz w:val="21"/>
              </w:rPr>
            </w:pPr>
          </w:p>
        </w:tc>
        <w:tc>
          <w:tcPr>
            <w:tcW w:w="1024" w:type="dxa"/>
            <w:tcBorders>
              <w:top w:val="nil"/>
              <w:left w:val="nil"/>
              <w:bottom w:val="nil"/>
              <w:right w:val="single" w:sz="6" w:space="0" w:color="auto"/>
            </w:tcBorders>
          </w:tcPr>
          <w:p w:rsidR="00000000" w:rsidRDefault="0031739B">
            <w:pPr>
              <w:spacing w:before="120" w:line="240" w:lineRule="auto"/>
              <w:ind w:right="57"/>
              <w:jc w:val="right"/>
              <w:rPr>
                <w:sz w:val="21"/>
              </w:rPr>
            </w:pPr>
          </w:p>
        </w:tc>
        <w:tc>
          <w:tcPr>
            <w:tcW w:w="1024" w:type="dxa"/>
            <w:tcBorders>
              <w:top w:val="nil"/>
              <w:left w:val="nil"/>
              <w:bottom w:val="nil"/>
            </w:tcBorders>
          </w:tcPr>
          <w:p w:rsidR="00000000" w:rsidRDefault="0031739B">
            <w:pPr>
              <w:spacing w:before="120" w:line="240" w:lineRule="auto"/>
              <w:ind w:right="57"/>
              <w:jc w:val="right"/>
              <w:rPr>
                <w:sz w:val="21"/>
              </w:rPr>
            </w:pPr>
          </w:p>
        </w:tc>
      </w:tr>
      <w:tr w:rsidR="00000000">
        <w:tblPrEx>
          <w:tblCellMar>
            <w:top w:w="0" w:type="dxa"/>
            <w:bottom w:w="0" w:type="dxa"/>
          </w:tblCellMar>
        </w:tblPrEx>
        <w:tc>
          <w:tcPr>
            <w:tcW w:w="3120" w:type="dxa"/>
            <w:tcBorders>
              <w:top w:val="nil"/>
              <w:bottom w:val="nil"/>
            </w:tcBorders>
          </w:tcPr>
          <w:p w:rsidR="00000000" w:rsidRDefault="0031739B">
            <w:pPr>
              <w:spacing w:before="120" w:line="240" w:lineRule="auto"/>
              <w:ind w:left="57"/>
              <w:rPr>
                <w:sz w:val="21"/>
              </w:rPr>
            </w:pPr>
            <w:r>
              <w:rPr>
                <w:rFonts w:hint="eastAsia"/>
                <w:sz w:val="21"/>
              </w:rPr>
              <w:t>每户拥有的住房数</w:t>
            </w:r>
          </w:p>
        </w:tc>
        <w:tc>
          <w:tcPr>
            <w:tcW w:w="1024" w:type="dxa"/>
            <w:tcBorders>
              <w:top w:val="nil"/>
              <w:bottom w:val="nil"/>
              <w:right w:val="nil"/>
            </w:tcBorders>
          </w:tcPr>
          <w:p w:rsidR="00000000" w:rsidRDefault="0031739B">
            <w:pPr>
              <w:spacing w:before="120" w:line="240" w:lineRule="auto"/>
              <w:ind w:right="57"/>
              <w:jc w:val="right"/>
              <w:rPr>
                <w:sz w:val="21"/>
              </w:rPr>
            </w:pPr>
            <w:r>
              <w:rPr>
                <w:sz w:val="21"/>
              </w:rPr>
              <w:t>1.01</w:t>
            </w:r>
          </w:p>
        </w:tc>
        <w:tc>
          <w:tcPr>
            <w:tcW w:w="1024" w:type="dxa"/>
            <w:tcBorders>
              <w:top w:val="nil"/>
              <w:left w:val="single" w:sz="6" w:space="0" w:color="auto"/>
              <w:bottom w:val="nil"/>
              <w:right w:val="nil"/>
            </w:tcBorders>
          </w:tcPr>
          <w:p w:rsidR="00000000" w:rsidRDefault="0031739B">
            <w:pPr>
              <w:spacing w:before="120" w:line="240" w:lineRule="auto"/>
              <w:ind w:right="57"/>
              <w:jc w:val="right"/>
              <w:rPr>
                <w:sz w:val="21"/>
              </w:rPr>
            </w:pPr>
            <w:r>
              <w:rPr>
                <w:sz w:val="21"/>
              </w:rPr>
              <w:t>1.05</w:t>
            </w:r>
          </w:p>
        </w:tc>
        <w:tc>
          <w:tcPr>
            <w:tcW w:w="1024" w:type="dxa"/>
            <w:tcBorders>
              <w:top w:val="nil"/>
              <w:left w:val="single" w:sz="6" w:space="0" w:color="auto"/>
              <w:bottom w:val="nil"/>
              <w:right w:val="single" w:sz="6" w:space="0" w:color="auto"/>
            </w:tcBorders>
          </w:tcPr>
          <w:p w:rsidR="00000000" w:rsidRDefault="0031739B">
            <w:pPr>
              <w:spacing w:before="120" w:line="240" w:lineRule="auto"/>
              <w:ind w:right="57"/>
              <w:jc w:val="right"/>
              <w:rPr>
                <w:sz w:val="21"/>
              </w:rPr>
            </w:pPr>
            <w:r>
              <w:rPr>
                <w:sz w:val="21"/>
              </w:rPr>
              <w:t>1.08</w:t>
            </w:r>
          </w:p>
        </w:tc>
        <w:tc>
          <w:tcPr>
            <w:tcW w:w="1024" w:type="dxa"/>
            <w:tcBorders>
              <w:top w:val="nil"/>
              <w:left w:val="nil"/>
              <w:bottom w:val="nil"/>
              <w:right w:val="single" w:sz="6" w:space="0" w:color="auto"/>
            </w:tcBorders>
          </w:tcPr>
          <w:p w:rsidR="00000000" w:rsidRDefault="0031739B">
            <w:pPr>
              <w:spacing w:before="120" w:line="240" w:lineRule="auto"/>
              <w:ind w:right="57"/>
              <w:jc w:val="right"/>
              <w:rPr>
                <w:sz w:val="21"/>
              </w:rPr>
            </w:pPr>
            <w:r>
              <w:rPr>
                <w:sz w:val="21"/>
              </w:rPr>
              <w:t>1.10</w:t>
            </w:r>
          </w:p>
        </w:tc>
        <w:tc>
          <w:tcPr>
            <w:tcW w:w="1024" w:type="dxa"/>
            <w:tcBorders>
              <w:top w:val="nil"/>
              <w:left w:val="nil"/>
              <w:bottom w:val="nil"/>
              <w:right w:val="single" w:sz="6" w:space="0" w:color="auto"/>
            </w:tcBorders>
          </w:tcPr>
          <w:p w:rsidR="00000000" w:rsidRDefault="0031739B">
            <w:pPr>
              <w:spacing w:before="120" w:line="240" w:lineRule="auto"/>
              <w:ind w:right="57"/>
              <w:jc w:val="right"/>
              <w:rPr>
                <w:sz w:val="21"/>
              </w:rPr>
            </w:pPr>
            <w:r>
              <w:rPr>
                <w:sz w:val="21"/>
              </w:rPr>
              <w:t>1.11</w:t>
            </w:r>
          </w:p>
        </w:tc>
        <w:tc>
          <w:tcPr>
            <w:tcW w:w="1024" w:type="dxa"/>
            <w:tcBorders>
              <w:top w:val="nil"/>
              <w:left w:val="nil"/>
              <w:bottom w:val="nil"/>
            </w:tcBorders>
          </w:tcPr>
          <w:p w:rsidR="00000000" w:rsidRDefault="0031739B">
            <w:pPr>
              <w:spacing w:before="120" w:line="240" w:lineRule="auto"/>
              <w:ind w:right="57"/>
              <w:jc w:val="right"/>
              <w:rPr>
                <w:sz w:val="21"/>
              </w:rPr>
            </w:pPr>
            <w:r>
              <w:rPr>
                <w:sz w:val="21"/>
              </w:rPr>
              <w:t>1.11</w:t>
            </w:r>
          </w:p>
        </w:tc>
      </w:tr>
      <w:tr w:rsidR="00000000">
        <w:tblPrEx>
          <w:tblCellMar>
            <w:top w:w="0" w:type="dxa"/>
            <w:bottom w:w="0" w:type="dxa"/>
          </w:tblCellMar>
        </w:tblPrEx>
        <w:tc>
          <w:tcPr>
            <w:tcW w:w="3120" w:type="dxa"/>
            <w:tcBorders>
              <w:top w:val="nil"/>
              <w:bottom w:val="nil"/>
            </w:tcBorders>
          </w:tcPr>
          <w:p w:rsidR="00000000" w:rsidRDefault="0031739B">
            <w:pPr>
              <w:spacing w:before="120" w:line="240" w:lineRule="auto"/>
              <w:ind w:left="57"/>
              <w:rPr>
                <w:sz w:val="21"/>
              </w:rPr>
            </w:pPr>
            <w:r>
              <w:rPr>
                <w:rFonts w:hint="eastAsia"/>
                <w:sz w:val="21"/>
              </w:rPr>
              <w:t>住房拥有率</w:t>
            </w:r>
          </w:p>
        </w:tc>
        <w:tc>
          <w:tcPr>
            <w:tcW w:w="1024" w:type="dxa"/>
            <w:tcBorders>
              <w:top w:val="nil"/>
              <w:bottom w:val="nil"/>
              <w:right w:val="nil"/>
            </w:tcBorders>
          </w:tcPr>
          <w:p w:rsidR="00000000" w:rsidRDefault="0031739B">
            <w:pPr>
              <w:spacing w:before="120" w:line="240" w:lineRule="auto"/>
              <w:ind w:right="57"/>
              <w:jc w:val="right"/>
              <w:rPr>
                <w:sz w:val="21"/>
              </w:rPr>
            </w:pPr>
            <w:r>
              <w:rPr>
                <w:sz w:val="21"/>
              </w:rPr>
              <w:t>60.3%</w:t>
            </w:r>
          </w:p>
        </w:tc>
        <w:tc>
          <w:tcPr>
            <w:tcW w:w="1024" w:type="dxa"/>
            <w:tcBorders>
              <w:top w:val="nil"/>
              <w:left w:val="single" w:sz="6" w:space="0" w:color="auto"/>
              <w:bottom w:val="nil"/>
              <w:right w:val="nil"/>
            </w:tcBorders>
          </w:tcPr>
          <w:p w:rsidR="00000000" w:rsidRDefault="0031739B">
            <w:pPr>
              <w:spacing w:before="120" w:line="240" w:lineRule="auto"/>
              <w:ind w:right="57"/>
              <w:jc w:val="right"/>
              <w:rPr>
                <w:sz w:val="21"/>
              </w:rPr>
            </w:pPr>
            <w:r>
              <w:rPr>
                <w:sz w:val="21"/>
              </w:rPr>
              <w:t>59.2%</w:t>
            </w:r>
          </w:p>
        </w:tc>
        <w:tc>
          <w:tcPr>
            <w:tcW w:w="1024" w:type="dxa"/>
            <w:tcBorders>
              <w:top w:val="nil"/>
              <w:left w:val="single" w:sz="6" w:space="0" w:color="auto"/>
              <w:bottom w:val="nil"/>
              <w:right w:val="single" w:sz="6" w:space="0" w:color="auto"/>
            </w:tcBorders>
          </w:tcPr>
          <w:p w:rsidR="00000000" w:rsidRDefault="0031739B">
            <w:pPr>
              <w:spacing w:before="120" w:line="240" w:lineRule="auto"/>
              <w:ind w:right="57"/>
              <w:jc w:val="right"/>
              <w:rPr>
                <w:sz w:val="21"/>
              </w:rPr>
            </w:pPr>
            <w:r>
              <w:rPr>
                <w:sz w:val="21"/>
              </w:rPr>
              <w:t>60.4%</w:t>
            </w:r>
          </w:p>
        </w:tc>
        <w:tc>
          <w:tcPr>
            <w:tcW w:w="1024" w:type="dxa"/>
            <w:tcBorders>
              <w:top w:val="nil"/>
              <w:left w:val="nil"/>
              <w:bottom w:val="nil"/>
              <w:right w:val="single" w:sz="6" w:space="0" w:color="auto"/>
            </w:tcBorders>
          </w:tcPr>
          <w:p w:rsidR="00000000" w:rsidRDefault="0031739B">
            <w:pPr>
              <w:spacing w:before="120" w:line="240" w:lineRule="auto"/>
              <w:ind w:right="57"/>
              <w:jc w:val="right"/>
              <w:rPr>
                <w:sz w:val="21"/>
              </w:rPr>
            </w:pPr>
            <w:r>
              <w:rPr>
                <w:sz w:val="21"/>
              </w:rPr>
              <w:t>62.4%</w:t>
            </w:r>
          </w:p>
        </w:tc>
        <w:tc>
          <w:tcPr>
            <w:tcW w:w="1024" w:type="dxa"/>
            <w:tcBorders>
              <w:top w:val="nil"/>
              <w:left w:val="nil"/>
              <w:bottom w:val="nil"/>
              <w:right w:val="single" w:sz="6" w:space="0" w:color="auto"/>
            </w:tcBorders>
          </w:tcPr>
          <w:p w:rsidR="00000000" w:rsidRDefault="0031739B">
            <w:pPr>
              <w:spacing w:before="120" w:line="240" w:lineRule="auto"/>
              <w:ind w:right="57"/>
              <w:jc w:val="right"/>
              <w:rPr>
                <w:sz w:val="21"/>
              </w:rPr>
            </w:pPr>
            <w:r>
              <w:rPr>
                <w:sz w:val="21"/>
              </w:rPr>
              <w:t>61.3%</w:t>
            </w:r>
          </w:p>
        </w:tc>
        <w:tc>
          <w:tcPr>
            <w:tcW w:w="1024" w:type="dxa"/>
            <w:tcBorders>
              <w:top w:val="nil"/>
              <w:left w:val="nil"/>
              <w:bottom w:val="nil"/>
            </w:tcBorders>
          </w:tcPr>
          <w:p w:rsidR="00000000" w:rsidRDefault="0031739B">
            <w:pPr>
              <w:spacing w:before="120" w:line="240" w:lineRule="auto"/>
              <w:ind w:right="57"/>
              <w:jc w:val="right"/>
              <w:rPr>
                <w:sz w:val="21"/>
              </w:rPr>
            </w:pPr>
            <w:r>
              <w:rPr>
                <w:sz w:val="21"/>
              </w:rPr>
              <w:t>59.8%</w:t>
            </w:r>
          </w:p>
        </w:tc>
      </w:tr>
      <w:tr w:rsidR="00000000">
        <w:tblPrEx>
          <w:tblCellMar>
            <w:top w:w="0" w:type="dxa"/>
            <w:bottom w:w="0" w:type="dxa"/>
          </w:tblCellMar>
        </w:tblPrEx>
        <w:tc>
          <w:tcPr>
            <w:tcW w:w="3120" w:type="dxa"/>
            <w:tcBorders>
              <w:top w:val="nil"/>
              <w:bottom w:val="nil"/>
            </w:tcBorders>
          </w:tcPr>
          <w:p w:rsidR="00000000" w:rsidRDefault="0031739B">
            <w:pPr>
              <w:spacing w:before="120" w:line="240" w:lineRule="auto"/>
              <w:ind w:left="57"/>
              <w:rPr>
                <w:sz w:val="21"/>
              </w:rPr>
            </w:pPr>
          </w:p>
        </w:tc>
        <w:tc>
          <w:tcPr>
            <w:tcW w:w="1024" w:type="dxa"/>
            <w:tcBorders>
              <w:top w:val="nil"/>
              <w:bottom w:val="nil"/>
              <w:right w:val="nil"/>
            </w:tcBorders>
          </w:tcPr>
          <w:p w:rsidR="00000000" w:rsidRDefault="0031739B">
            <w:pPr>
              <w:spacing w:before="120" w:line="240" w:lineRule="auto"/>
              <w:ind w:right="57"/>
              <w:jc w:val="right"/>
              <w:rPr>
                <w:sz w:val="21"/>
              </w:rPr>
            </w:pPr>
          </w:p>
        </w:tc>
        <w:tc>
          <w:tcPr>
            <w:tcW w:w="1024" w:type="dxa"/>
            <w:tcBorders>
              <w:top w:val="nil"/>
              <w:left w:val="single" w:sz="6" w:space="0" w:color="auto"/>
              <w:bottom w:val="nil"/>
              <w:right w:val="nil"/>
            </w:tcBorders>
          </w:tcPr>
          <w:p w:rsidR="00000000" w:rsidRDefault="0031739B">
            <w:pPr>
              <w:spacing w:before="120" w:line="240" w:lineRule="auto"/>
              <w:ind w:right="57"/>
              <w:jc w:val="right"/>
              <w:rPr>
                <w:sz w:val="21"/>
              </w:rPr>
            </w:pPr>
          </w:p>
        </w:tc>
        <w:tc>
          <w:tcPr>
            <w:tcW w:w="1024" w:type="dxa"/>
            <w:tcBorders>
              <w:top w:val="nil"/>
              <w:left w:val="single" w:sz="6" w:space="0" w:color="auto"/>
              <w:bottom w:val="nil"/>
              <w:right w:val="single" w:sz="6" w:space="0" w:color="auto"/>
            </w:tcBorders>
          </w:tcPr>
          <w:p w:rsidR="00000000" w:rsidRDefault="0031739B">
            <w:pPr>
              <w:spacing w:before="120" w:line="240" w:lineRule="auto"/>
              <w:ind w:right="57"/>
              <w:jc w:val="right"/>
              <w:rPr>
                <w:sz w:val="21"/>
              </w:rPr>
            </w:pPr>
          </w:p>
        </w:tc>
        <w:tc>
          <w:tcPr>
            <w:tcW w:w="1024" w:type="dxa"/>
            <w:tcBorders>
              <w:top w:val="nil"/>
              <w:left w:val="nil"/>
              <w:bottom w:val="nil"/>
              <w:right w:val="single" w:sz="6" w:space="0" w:color="auto"/>
            </w:tcBorders>
          </w:tcPr>
          <w:p w:rsidR="00000000" w:rsidRDefault="0031739B">
            <w:pPr>
              <w:spacing w:before="120" w:line="240" w:lineRule="auto"/>
              <w:ind w:right="57"/>
              <w:jc w:val="right"/>
              <w:rPr>
                <w:sz w:val="21"/>
              </w:rPr>
            </w:pPr>
          </w:p>
        </w:tc>
        <w:tc>
          <w:tcPr>
            <w:tcW w:w="1024" w:type="dxa"/>
            <w:tcBorders>
              <w:top w:val="nil"/>
              <w:left w:val="nil"/>
              <w:bottom w:val="nil"/>
              <w:right w:val="single" w:sz="6" w:space="0" w:color="auto"/>
            </w:tcBorders>
          </w:tcPr>
          <w:p w:rsidR="00000000" w:rsidRDefault="0031739B">
            <w:pPr>
              <w:spacing w:before="120" w:line="240" w:lineRule="auto"/>
              <w:ind w:right="57"/>
              <w:jc w:val="right"/>
              <w:rPr>
                <w:sz w:val="21"/>
              </w:rPr>
            </w:pPr>
          </w:p>
        </w:tc>
        <w:tc>
          <w:tcPr>
            <w:tcW w:w="1024" w:type="dxa"/>
            <w:tcBorders>
              <w:top w:val="nil"/>
              <w:left w:val="nil"/>
              <w:bottom w:val="nil"/>
            </w:tcBorders>
          </w:tcPr>
          <w:p w:rsidR="00000000" w:rsidRDefault="0031739B">
            <w:pPr>
              <w:spacing w:before="120" w:line="240" w:lineRule="auto"/>
              <w:ind w:right="57"/>
              <w:jc w:val="right"/>
              <w:rPr>
                <w:sz w:val="21"/>
              </w:rPr>
            </w:pPr>
          </w:p>
        </w:tc>
      </w:tr>
      <w:tr w:rsidR="00000000">
        <w:tblPrEx>
          <w:tblCellMar>
            <w:top w:w="0" w:type="dxa"/>
            <w:bottom w:w="0" w:type="dxa"/>
          </w:tblCellMar>
        </w:tblPrEx>
        <w:tc>
          <w:tcPr>
            <w:tcW w:w="3120" w:type="dxa"/>
            <w:tcBorders>
              <w:top w:val="nil"/>
              <w:bottom w:val="nil"/>
            </w:tcBorders>
          </w:tcPr>
          <w:p w:rsidR="00000000" w:rsidRDefault="0031739B">
            <w:pPr>
              <w:spacing w:before="120" w:line="240" w:lineRule="auto"/>
              <w:ind w:left="57"/>
              <w:rPr>
                <w:sz w:val="21"/>
              </w:rPr>
            </w:pPr>
            <w:r>
              <w:rPr>
                <w:rFonts w:hint="eastAsia"/>
                <w:sz w:val="21"/>
              </w:rPr>
              <w:t>有人居住的住房数</w:t>
            </w:r>
            <w:r>
              <w:rPr>
                <w:sz w:val="21"/>
              </w:rPr>
              <w:t>(1,000)</w:t>
            </w:r>
          </w:p>
        </w:tc>
        <w:tc>
          <w:tcPr>
            <w:tcW w:w="1024" w:type="dxa"/>
            <w:tcBorders>
              <w:top w:val="nil"/>
              <w:bottom w:val="nil"/>
              <w:right w:val="nil"/>
            </w:tcBorders>
          </w:tcPr>
          <w:p w:rsidR="00000000" w:rsidRDefault="0031739B">
            <w:pPr>
              <w:spacing w:before="120" w:line="240" w:lineRule="auto"/>
              <w:ind w:right="57"/>
              <w:jc w:val="right"/>
              <w:rPr>
                <w:sz w:val="21"/>
              </w:rPr>
            </w:pPr>
            <w:r>
              <w:rPr>
                <w:sz w:val="21"/>
              </w:rPr>
              <w:t>24,198</w:t>
            </w:r>
          </w:p>
        </w:tc>
        <w:tc>
          <w:tcPr>
            <w:tcW w:w="1024" w:type="dxa"/>
            <w:tcBorders>
              <w:top w:val="nil"/>
              <w:left w:val="single" w:sz="6" w:space="0" w:color="auto"/>
              <w:bottom w:val="nil"/>
              <w:right w:val="nil"/>
            </w:tcBorders>
          </w:tcPr>
          <w:p w:rsidR="00000000" w:rsidRDefault="0031739B">
            <w:pPr>
              <w:spacing w:before="120" w:line="240" w:lineRule="auto"/>
              <w:ind w:right="57"/>
              <w:jc w:val="right"/>
              <w:rPr>
                <w:sz w:val="21"/>
              </w:rPr>
            </w:pPr>
            <w:r>
              <w:rPr>
                <w:sz w:val="21"/>
              </w:rPr>
              <w:t>28,731</w:t>
            </w:r>
          </w:p>
        </w:tc>
        <w:tc>
          <w:tcPr>
            <w:tcW w:w="1024" w:type="dxa"/>
            <w:tcBorders>
              <w:top w:val="nil"/>
              <w:left w:val="single" w:sz="6" w:space="0" w:color="auto"/>
              <w:bottom w:val="nil"/>
              <w:right w:val="single" w:sz="6" w:space="0" w:color="auto"/>
            </w:tcBorders>
          </w:tcPr>
          <w:p w:rsidR="00000000" w:rsidRDefault="0031739B">
            <w:pPr>
              <w:spacing w:before="120" w:line="240" w:lineRule="auto"/>
              <w:ind w:right="57"/>
              <w:jc w:val="right"/>
              <w:rPr>
                <w:sz w:val="21"/>
              </w:rPr>
            </w:pPr>
            <w:r>
              <w:rPr>
                <w:sz w:val="21"/>
              </w:rPr>
              <w:t>32,189</w:t>
            </w:r>
          </w:p>
        </w:tc>
        <w:tc>
          <w:tcPr>
            <w:tcW w:w="1024" w:type="dxa"/>
            <w:tcBorders>
              <w:top w:val="nil"/>
              <w:left w:val="nil"/>
              <w:bottom w:val="nil"/>
              <w:right w:val="single" w:sz="6" w:space="0" w:color="auto"/>
            </w:tcBorders>
          </w:tcPr>
          <w:p w:rsidR="00000000" w:rsidRDefault="0031739B">
            <w:pPr>
              <w:spacing w:before="120" w:line="240" w:lineRule="auto"/>
              <w:ind w:right="57"/>
              <w:jc w:val="right"/>
              <w:rPr>
                <w:sz w:val="21"/>
              </w:rPr>
            </w:pPr>
            <w:r>
              <w:rPr>
                <w:sz w:val="21"/>
              </w:rPr>
              <w:t>34,705</w:t>
            </w:r>
          </w:p>
        </w:tc>
        <w:tc>
          <w:tcPr>
            <w:tcW w:w="1024" w:type="dxa"/>
            <w:tcBorders>
              <w:top w:val="nil"/>
              <w:left w:val="nil"/>
              <w:bottom w:val="nil"/>
              <w:right w:val="single" w:sz="6" w:space="0" w:color="auto"/>
            </w:tcBorders>
          </w:tcPr>
          <w:p w:rsidR="00000000" w:rsidRDefault="0031739B">
            <w:pPr>
              <w:spacing w:before="120" w:line="240" w:lineRule="auto"/>
              <w:ind w:right="57"/>
              <w:jc w:val="right"/>
              <w:rPr>
                <w:sz w:val="21"/>
              </w:rPr>
            </w:pPr>
            <w:r>
              <w:rPr>
                <w:sz w:val="21"/>
              </w:rPr>
              <w:t>37,413</w:t>
            </w:r>
          </w:p>
        </w:tc>
        <w:tc>
          <w:tcPr>
            <w:tcW w:w="1024" w:type="dxa"/>
            <w:tcBorders>
              <w:top w:val="nil"/>
              <w:left w:val="nil"/>
              <w:bottom w:val="nil"/>
            </w:tcBorders>
          </w:tcPr>
          <w:p w:rsidR="00000000" w:rsidRDefault="0031739B">
            <w:pPr>
              <w:spacing w:before="120" w:line="240" w:lineRule="auto"/>
              <w:ind w:right="57"/>
              <w:jc w:val="right"/>
              <w:rPr>
                <w:sz w:val="21"/>
              </w:rPr>
            </w:pPr>
            <w:r>
              <w:rPr>
                <w:sz w:val="21"/>
              </w:rPr>
              <w:t>40,773</w:t>
            </w:r>
          </w:p>
        </w:tc>
      </w:tr>
      <w:tr w:rsidR="00000000">
        <w:tblPrEx>
          <w:tblCellMar>
            <w:top w:w="0" w:type="dxa"/>
            <w:bottom w:w="0" w:type="dxa"/>
          </w:tblCellMar>
        </w:tblPrEx>
        <w:tc>
          <w:tcPr>
            <w:tcW w:w="3120" w:type="dxa"/>
            <w:tcBorders>
              <w:top w:val="nil"/>
              <w:bottom w:val="nil"/>
            </w:tcBorders>
          </w:tcPr>
          <w:p w:rsidR="00000000" w:rsidRDefault="0031739B">
            <w:pPr>
              <w:spacing w:before="120" w:line="240" w:lineRule="auto"/>
              <w:ind w:left="57"/>
              <w:rPr>
                <w:sz w:val="21"/>
              </w:rPr>
            </w:pPr>
            <w:r>
              <w:rPr>
                <w:rFonts w:hint="eastAsia"/>
                <w:sz w:val="21"/>
              </w:rPr>
              <w:t>空房</w:t>
            </w:r>
            <w:r>
              <w:rPr>
                <w:sz w:val="21"/>
              </w:rPr>
              <w:t>(1,000</w:t>
            </w:r>
            <w:r>
              <w:rPr>
                <w:sz w:val="21"/>
              </w:rPr>
              <w:t>)</w:t>
            </w:r>
          </w:p>
        </w:tc>
        <w:tc>
          <w:tcPr>
            <w:tcW w:w="1024" w:type="dxa"/>
            <w:tcBorders>
              <w:top w:val="nil"/>
              <w:bottom w:val="nil"/>
              <w:right w:val="nil"/>
            </w:tcBorders>
          </w:tcPr>
          <w:p w:rsidR="00000000" w:rsidRDefault="0031739B">
            <w:pPr>
              <w:spacing w:before="120" w:line="240" w:lineRule="auto"/>
              <w:ind w:right="57"/>
              <w:jc w:val="right"/>
              <w:rPr>
                <w:sz w:val="21"/>
              </w:rPr>
            </w:pPr>
            <w:r>
              <w:rPr>
                <w:sz w:val="21"/>
              </w:rPr>
              <w:t>1,034</w:t>
            </w:r>
          </w:p>
        </w:tc>
        <w:tc>
          <w:tcPr>
            <w:tcW w:w="1024" w:type="dxa"/>
            <w:tcBorders>
              <w:top w:val="nil"/>
              <w:left w:val="single" w:sz="6" w:space="0" w:color="auto"/>
              <w:bottom w:val="nil"/>
              <w:right w:val="nil"/>
            </w:tcBorders>
          </w:tcPr>
          <w:p w:rsidR="00000000" w:rsidRDefault="0031739B">
            <w:pPr>
              <w:spacing w:before="120" w:line="240" w:lineRule="auto"/>
              <w:ind w:right="57"/>
              <w:jc w:val="right"/>
              <w:rPr>
                <w:sz w:val="21"/>
              </w:rPr>
            </w:pPr>
            <w:r>
              <w:rPr>
                <w:sz w:val="21"/>
              </w:rPr>
              <w:t>1,720</w:t>
            </w:r>
          </w:p>
        </w:tc>
        <w:tc>
          <w:tcPr>
            <w:tcW w:w="1024" w:type="dxa"/>
            <w:tcBorders>
              <w:top w:val="nil"/>
              <w:left w:val="single" w:sz="6" w:space="0" w:color="auto"/>
              <w:bottom w:val="nil"/>
              <w:right w:val="single" w:sz="6" w:space="0" w:color="auto"/>
            </w:tcBorders>
          </w:tcPr>
          <w:p w:rsidR="00000000" w:rsidRDefault="0031739B">
            <w:pPr>
              <w:spacing w:before="120" w:line="240" w:lineRule="auto"/>
              <w:ind w:right="57"/>
              <w:jc w:val="right"/>
              <w:rPr>
                <w:sz w:val="21"/>
              </w:rPr>
            </w:pPr>
            <w:r>
              <w:rPr>
                <w:sz w:val="21"/>
              </w:rPr>
              <w:t>2,679</w:t>
            </w:r>
          </w:p>
        </w:tc>
        <w:tc>
          <w:tcPr>
            <w:tcW w:w="1024" w:type="dxa"/>
            <w:tcBorders>
              <w:top w:val="nil"/>
              <w:left w:val="nil"/>
              <w:bottom w:val="nil"/>
              <w:right w:val="single" w:sz="6" w:space="0" w:color="auto"/>
            </w:tcBorders>
          </w:tcPr>
          <w:p w:rsidR="00000000" w:rsidRDefault="0031739B">
            <w:pPr>
              <w:spacing w:before="120" w:line="240" w:lineRule="auto"/>
              <w:ind w:right="57"/>
              <w:jc w:val="right"/>
              <w:rPr>
                <w:sz w:val="21"/>
              </w:rPr>
            </w:pPr>
            <w:r>
              <w:rPr>
                <w:sz w:val="21"/>
              </w:rPr>
              <w:t>3,302</w:t>
            </w:r>
          </w:p>
        </w:tc>
        <w:tc>
          <w:tcPr>
            <w:tcW w:w="1024" w:type="dxa"/>
            <w:tcBorders>
              <w:top w:val="nil"/>
              <w:left w:val="nil"/>
              <w:bottom w:val="nil"/>
              <w:right w:val="single" w:sz="6" w:space="0" w:color="auto"/>
            </w:tcBorders>
          </w:tcPr>
          <w:p w:rsidR="00000000" w:rsidRDefault="0031739B">
            <w:pPr>
              <w:spacing w:before="120" w:line="240" w:lineRule="auto"/>
              <w:ind w:right="57"/>
              <w:jc w:val="right"/>
              <w:rPr>
                <w:sz w:val="21"/>
              </w:rPr>
            </w:pPr>
            <w:r>
              <w:rPr>
                <w:sz w:val="21"/>
              </w:rPr>
              <w:t>3,940</w:t>
            </w:r>
          </w:p>
        </w:tc>
        <w:tc>
          <w:tcPr>
            <w:tcW w:w="1024" w:type="dxa"/>
            <w:tcBorders>
              <w:top w:val="nil"/>
              <w:left w:val="nil"/>
              <w:bottom w:val="nil"/>
            </w:tcBorders>
          </w:tcPr>
          <w:p w:rsidR="00000000" w:rsidRDefault="0031739B">
            <w:pPr>
              <w:spacing w:before="120" w:line="240" w:lineRule="auto"/>
              <w:ind w:right="57"/>
              <w:jc w:val="right"/>
              <w:rPr>
                <w:sz w:val="21"/>
              </w:rPr>
            </w:pPr>
            <w:r>
              <w:rPr>
                <w:sz w:val="21"/>
              </w:rPr>
              <w:t>4,476</w:t>
            </w:r>
          </w:p>
        </w:tc>
      </w:tr>
      <w:tr w:rsidR="00000000">
        <w:tblPrEx>
          <w:tblCellMar>
            <w:top w:w="0" w:type="dxa"/>
            <w:bottom w:w="0" w:type="dxa"/>
          </w:tblCellMar>
        </w:tblPrEx>
        <w:tc>
          <w:tcPr>
            <w:tcW w:w="3120" w:type="dxa"/>
            <w:tcBorders>
              <w:top w:val="nil"/>
            </w:tcBorders>
          </w:tcPr>
          <w:p w:rsidR="00000000" w:rsidRDefault="0031739B">
            <w:pPr>
              <w:spacing w:before="120" w:line="240" w:lineRule="auto"/>
              <w:ind w:left="57"/>
              <w:rPr>
                <w:sz w:val="21"/>
              </w:rPr>
            </w:pPr>
            <w:r>
              <w:rPr>
                <w:rFonts w:hint="eastAsia"/>
                <w:sz w:val="21"/>
              </w:rPr>
              <w:t>空房率</w:t>
            </w:r>
          </w:p>
        </w:tc>
        <w:tc>
          <w:tcPr>
            <w:tcW w:w="1024" w:type="dxa"/>
            <w:tcBorders>
              <w:top w:val="nil"/>
              <w:right w:val="single" w:sz="6" w:space="0" w:color="auto"/>
            </w:tcBorders>
          </w:tcPr>
          <w:p w:rsidR="00000000" w:rsidRDefault="0031739B">
            <w:pPr>
              <w:spacing w:before="120" w:line="240" w:lineRule="auto"/>
              <w:ind w:right="57"/>
              <w:jc w:val="right"/>
              <w:rPr>
                <w:sz w:val="21"/>
              </w:rPr>
            </w:pPr>
            <w:r>
              <w:rPr>
                <w:sz w:val="21"/>
              </w:rPr>
              <w:t>4.0%</w:t>
            </w:r>
          </w:p>
        </w:tc>
        <w:tc>
          <w:tcPr>
            <w:tcW w:w="1024" w:type="dxa"/>
            <w:tcBorders>
              <w:top w:val="nil"/>
              <w:left w:val="nil"/>
              <w:right w:val="nil"/>
            </w:tcBorders>
          </w:tcPr>
          <w:p w:rsidR="00000000" w:rsidRDefault="0031739B">
            <w:pPr>
              <w:spacing w:before="120" w:line="240" w:lineRule="auto"/>
              <w:ind w:right="57"/>
              <w:jc w:val="right"/>
              <w:rPr>
                <w:sz w:val="21"/>
              </w:rPr>
            </w:pPr>
            <w:r>
              <w:rPr>
                <w:sz w:val="21"/>
              </w:rPr>
              <w:t>5.5%</w:t>
            </w:r>
          </w:p>
        </w:tc>
        <w:tc>
          <w:tcPr>
            <w:tcW w:w="1024" w:type="dxa"/>
            <w:tcBorders>
              <w:top w:val="nil"/>
              <w:left w:val="single" w:sz="6" w:space="0" w:color="auto"/>
              <w:right w:val="single" w:sz="6" w:space="0" w:color="auto"/>
            </w:tcBorders>
          </w:tcPr>
          <w:p w:rsidR="00000000" w:rsidRDefault="0031739B">
            <w:pPr>
              <w:spacing w:before="120" w:line="240" w:lineRule="auto"/>
              <w:ind w:right="57"/>
              <w:jc w:val="right"/>
              <w:rPr>
                <w:sz w:val="21"/>
              </w:rPr>
            </w:pPr>
            <w:r>
              <w:rPr>
                <w:sz w:val="21"/>
              </w:rPr>
              <w:t>7.6%</w:t>
            </w:r>
          </w:p>
        </w:tc>
        <w:tc>
          <w:tcPr>
            <w:tcW w:w="1024" w:type="dxa"/>
            <w:tcBorders>
              <w:top w:val="nil"/>
              <w:left w:val="nil"/>
              <w:right w:val="single" w:sz="6" w:space="0" w:color="auto"/>
            </w:tcBorders>
          </w:tcPr>
          <w:p w:rsidR="00000000" w:rsidRDefault="0031739B">
            <w:pPr>
              <w:spacing w:before="120" w:line="240" w:lineRule="auto"/>
              <w:ind w:right="57"/>
              <w:jc w:val="right"/>
              <w:rPr>
                <w:sz w:val="21"/>
              </w:rPr>
            </w:pPr>
            <w:r>
              <w:rPr>
                <w:sz w:val="21"/>
              </w:rPr>
              <w:t>8.6%</w:t>
            </w:r>
          </w:p>
        </w:tc>
        <w:tc>
          <w:tcPr>
            <w:tcW w:w="1024" w:type="dxa"/>
            <w:tcBorders>
              <w:top w:val="nil"/>
              <w:left w:val="nil"/>
              <w:right w:val="single" w:sz="6" w:space="0" w:color="auto"/>
            </w:tcBorders>
          </w:tcPr>
          <w:p w:rsidR="00000000" w:rsidRDefault="0031739B">
            <w:pPr>
              <w:spacing w:before="120" w:line="240" w:lineRule="auto"/>
              <w:ind w:right="57"/>
              <w:jc w:val="right"/>
              <w:rPr>
                <w:sz w:val="21"/>
              </w:rPr>
            </w:pPr>
            <w:r>
              <w:rPr>
                <w:sz w:val="21"/>
              </w:rPr>
              <w:t>9.4%</w:t>
            </w:r>
          </w:p>
        </w:tc>
        <w:tc>
          <w:tcPr>
            <w:tcW w:w="1024" w:type="dxa"/>
            <w:tcBorders>
              <w:top w:val="nil"/>
              <w:left w:val="nil"/>
            </w:tcBorders>
          </w:tcPr>
          <w:p w:rsidR="00000000" w:rsidRDefault="0031739B">
            <w:pPr>
              <w:spacing w:before="120" w:line="240" w:lineRule="auto"/>
              <w:ind w:right="57"/>
              <w:jc w:val="right"/>
              <w:rPr>
                <w:sz w:val="21"/>
              </w:rPr>
            </w:pPr>
            <w:r>
              <w:rPr>
                <w:sz w:val="21"/>
              </w:rPr>
              <w:t>9.8%</w:t>
            </w:r>
          </w:p>
        </w:tc>
      </w:tr>
    </w:tbl>
    <w:p w:rsidR="00000000" w:rsidRDefault="0031739B">
      <w:pPr>
        <w:pStyle w:val="FootnoteText"/>
        <w:spacing w:before="320"/>
      </w:pPr>
      <w:r>
        <w:rPr>
          <w:rFonts w:hint="eastAsia"/>
          <w:u w:val="single"/>
        </w:rPr>
        <w:t>注</w:t>
      </w:r>
      <w:r>
        <w:rPr>
          <w:u w:val="single"/>
        </w:rPr>
        <w:t>1</w:t>
      </w:r>
      <w:r>
        <w:rPr>
          <w:rFonts w:hint="eastAsia"/>
        </w:rPr>
        <w:t>：根据管理和协调厅统计局的住房统计调查。</w:t>
      </w:r>
    </w:p>
    <w:p w:rsidR="00000000" w:rsidRDefault="0031739B">
      <w:pPr>
        <w:pStyle w:val="FootnoteText"/>
        <w:spacing w:after="320"/>
        <w:textAlignment w:val="center"/>
      </w:pPr>
      <w:r>
        <w:rPr>
          <w:rFonts w:hint="eastAsia"/>
          <w:u w:val="single"/>
        </w:rPr>
        <w:t>注</w:t>
      </w:r>
      <w:r>
        <w:rPr>
          <w:u w:val="single"/>
        </w:rPr>
        <w:t>2</w:t>
      </w:r>
      <w:r>
        <w:rPr>
          <w:rFonts w:hint="eastAsia"/>
        </w:rPr>
        <w:t>：</w:t>
      </w:r>
      <w:r>
        <w:t>1968</w:t>
      </w:r>
      <w:r>
        <w:rPr>
          <w:rFonts w:hint="eastAsia"/>
        </w:rPr>
        <w:t>年的数字不包括冲绳县。</w:t>
      </w:r>
    </w:p>
    <w:p w:rsidR="00000000" w:rsidRDefault="0031739B">
      <w:pPr>
        <w:spacing w:after="240"/>
        <w:jc w:val="center"/>
        <w:textAlignment w:val="center"/>
      </w:pPr>
      <w:r>
        <w:rPr>
          <w:rFonts w:hint="eastAsia"/>
        </w:rPr>
        <w:t>表</w:t>
      </w:r>
      <w:r>
        <w:t xml:space="preserve"> 16.  </w:t>
      </w:r>
      <w:r>
        <w:rPr>
          <w:rFonts w:hint="eastAsia"/>
          <w:u w:val="single"/>
        </w:rPr>
        <w:t>按住房类型划分，每个住房总面积的变化</w:t>
      </w:r>
      <w:r>
        <w:rPr>
          <w:u w:val="single"/>
        </w:rPr>
        <w:t>(</w:t>
      </w:r>
      <w:r>
        <w:rPr>
          <w:rFonts w:hint="eastAsia"/>
          <w:u w:val="single"/>
        </w:rPr>
        <w:t>平方米</w:t>
      </w:r>
      <w:r>
        <w:rPr>
          <w:u w:val="single"/>
        </w:rPr>
        <w:t>)</w:t>
      </w:r>
    </w:p>
    <w:tbl>
      <w:tblPr>
        <w:tblW w:w="0" w:type="auto"/>
        <w:tblInd w:w="-26" w:type="dxa"/>
        <w:tblBorders>
          <w:top w:val="single" w:sz="6" w:space="0" w:color="auto"/>
          <w:left w:val="single" w:sz="6" w:space="0" w:color="auto"/>
          <w:bottom w:val="single" w:sz="6" w:space="0" w:color="auto"/>
          <w:right w:val="single" w:sz="6" w:space="0" w:color="auto"/>
        </w:tblBorders>
        <w:tblLayout w:type="fixed"/>
        <w:tblCellMar>
          <w:left w:w="28" w:type="dxa"/>
          <w:right w:w="28" w:type="dxa"/>
        </w:tblCellMar>
        <w:tblLook w:val="0000" w:firstRow="0" w:lastRow="0" w:firstColumn="0" w:lastColumn="0" w:noHBand="0" w:noVBand="0"/>
      </w:tblPr>
      <w:tblGrid>
        <w:gridCol w:w="988"/>
        <w:gridCol w:w="1320"/>
        <w:gridCol w:w="1534"/>
        <w:gridCol w:w="1391"/>
        <w:gridCol w:w="1395"/>
        <w:gridCol w:w="1268"/>
        <w:gridCol w:w="1511"/>
      </w:tblGrid>
      <w:tr w:rsidR="00000000">
        <w:tblPrEx>
          <w:tblCellMar>
            <w:top w:w="0" w:type="dxa"/>
            <w:bottom w:w="0" w:type="dxa"/>
          </w:tblCellMar>
        </w:tblPrEx>
        <w:tc>
          <w:tcPr>
            <w:tcW w:w="988" w:type="dxa"/>
            <w:tcBorders>
              <w:top w:val="single" w:sz="6" w:space="0" w:color="auto"/>
              <w:bottom w:val="nil"/>
              <w:right w:val="nil"/>
            </w:tcBorders>
          </w:tcPr>
          <w:p w:rsidR="00000000" w:rsidRDefault="0031739B">
            <w:pPr>
              <w:spacing w:before="120" w:line="240" w:lineRule="auto"/>
              <w:rPr>
                <w:sz w:val="21"/>
              </w:rPr>
            </w:pPr>
          </w:p>
        </w:tc>
        <w:tc>
          <w:tcPr>
            <w:tcW w:w="1320" w:type="dxa"/>
            <w:tcBorders>
              <w:top w:val="single" w:sz="6" w:space="0" w:color="auto"/>
              <w:left w:val="single" w:sz="6" w:space="0" w:color="auto"/>
              <w:bottom w:val="nil"/>
              <w:right w:val="single" w:sz="6" w:space="0" w:color="auto"/>
            </w:tcBorders>
          </w:tcPr>
          <w:p w:rsidR="00000000" w:rsidRDefault="0031739B">
            <w:pPr>
              <w:spacing w:before="120" w:line="240" w:lineRule="auto"/>
              <w:jc w:val="center"/>
              <w:rPr>
                <w:sz w:val="21"/>
              </w:rPr>
            </w:pPr>
            <w:r>
              <w:rPr>
                <w:rFonts w:hint="eastAsia"/>
                <w:sz w:val="21"/>
              </w:rPr>
              <w:t>总体情况</w:t>
            </w:r>
          </w:p>
        </w:tc>
        <w:tc>
          <w:tcPr>
            <w:tcW w:w="1534" w:type="dxa"/>
            <w:tcBorders>
              <w:top w:val="single" w:sz="6" w:space="0" w:color="auto"/>
              <w:left w:val="nil"/>
              <w:bottom w:val="nil"/>
              <w:right w:val="nil"/>
            </w:tcBorders>
          </w:tcPr>
          <w:p w:rsidR="00000000" w:rsidRDefault="0031739B">
            <w:pPr>
              <w:spacing w:before="120" w:line="240" w:lineRule="auto"/>
              <w:jc w:val="center"/>
              <w:rPr>
                <w:sz w:val="21"/>
              </w:rPr>
            </w:pPr>
            <w:r>
              <w:rPr>
                <w:rFonts w:hint="eastAsia"/>
                <w:sz w:val="21"/>
              </w:rPr>
              <w:t>自有房</w:t>
            </w:r>
          </w:p>
        </w:tc>
        <w:tc>
          <w:tcPr>
            <w:tcW w:w="1391" w:type="dxa"/>
            <w:tcBorders>
              <w:top w:val="single" w:sz="6" w:space="0" w:color="auto"/>
              <w:left w:val="single" w:sz="6" w:space="0" w:color="auto"/>
              <w:bottom w:val="single" w:sz="6" w:space="0" w:color="auto"/>
              <w:right w:val="nil"/>
            </w:tcBorders>
          </w:tcPr>
          <w:p w:rsidR="00000000" w:rsidRDefault="0031739B">
            <w:pPr>
              <w:spacing w:before="120" w:line="240" w:lineRule="auto"/>
              <w:jc w:val="center"/>
              <w:rPr>
                <w:sz w:val="21"/>
              </w:rPr>
            </w:pPr>
          </w:p>
        </w:tc>
        <w:tc>
          <w:tcPr>
            <w:tcW w:w="1395" w:type="dxa"/>
            <w:tcBorders>
              <w:top w:val="single" w:sz="6" w:space="0" w:color="auto"/>
              <w:left w:val="nil"/>
              <w:bottom w:val="nil"/>
              <w:right w:val="nil"/>
            </w:tcBorders>
          </w:tcPr>
          <w:p w:rsidR="00000000" w:rsidRDefault="0031739B">
            <w:pPr>
              <w:spacing w:before="120" w:line="240" w:lineRule="auto"/>
              <w:jc w:val="center"/>
              <w:rPr>
                <w:sz w:val="21"/>
              </w:rPr>
            </w:pPr>
            <w:r>
              <w:rPr>
                <w:rFonts w:hint="eastAsia"/>
                <w:sz w:val="21"/>
              </w:rPr>
              <w:t>租</w:t>
            </w:r>
          </w:p>
        </w:tc>
        <w:tc>
          <w:tcPr>
            <w:tcW w:w="1268" w:type="dxa"/>
            <w:tcBorders>
              <w:top w:val="single" w:sz="6" w:space="0" w:color="auto"/>
              <w:left w:val="nil"/>
              <w:bottom w:val="nil"/>
              <w:right w:val="nil"/>
            </w:tcBorders>
          </w:tcPr>
          <w:p w:rsidR="00000000" w:rsidRDefault="0031739B">
            <w:pPr>
              <w:spacing w:before="120" w:line="240" w:lineRule="auto"/>
              <w:jc w:val="center"/>
              <w:rPr>
                <w:sz w:val="21"/>
              </w:rPr>
            </w:pPr>
            <w:r>
              <w:rPr>
                <w:rFonts w:hint="eastAsia"/>
                <w:sz w:val="21"/>
              </w:rPr>
              <w:t>住</w:t>
            </w:r>
          </w:p>
        </w:tc>
        <w:tc>
          <w:tcPr>
            <w:tcW w:w="1511" w:type="dxa"/>
            <w:tcBorders>
              <w:top w:val="single" w:sz="6" w:space="0" w:color="auto"/>
              <w:left w:val="nil"/>
              <w:bottom w:val="nil"/>
            </w:tcBorders>
          </w:tcPr>
          <w:p w:rsidR="00000000" w:rsidRDefault="0031739B">
            <w:pPr>
              <w:spacing w:before="120" w:line="240" w:lineRule="auto"/>
              <w:rPr>
                <w:sz w:val="21"/>
              </w:rPr>
            </w:pPr>
          </w:p>
        </w:tc>
      </w:tr>
      <w:tr w:rsidR="00000000">
        <w:tblPrEx>
          <w:tblCellMar>
            <w:top w:w="0" w:type="dxa"/>
            <w:bottom w:w="0" w:type="dxa"/>
          </w:tblCellMar>
        </w:tblPrEx>
        <w:tc>
          <w:tcPr>
            <w:tcW w:w="988" w:type="dxa"/>
            <w:tcBorders>
              <w:top w:val="nil"/>
              <w:bottom w:val="single" w:sz="6" w:space="0" w:color="auto"/>
              <w:right w:val="nil"/>
            </w:tcBorders>
          </w:tcPr>
          <w:p w:rsidR="00000000" w:rsidRDefault="0031739B">
            <w:pPr>
              <w:spacing w:before="120" w:line="240" w:lineRule="auto"/>
              <w:rPr>
                <w:sz w:val="21"/>
              </w:rPr>
            </w:pPr>
          </w:p>
        </w:tc>
        <w:tc>
          <w:tcPr>
            <w:tcW w:w="1320" w:type="dxa"/>
            <w:tcBorders>
              <w:top w:val="nil"/>
              <w:left w:val="single" w:sz="6" w:space="0" w:color="auto"/>
              <w:bottom w:val="single" w:sz="6" w:space="0" w:color="auto"/>
              <w:right w:val="single" w:sz="6" w:space="0" w:color="auto"/>
            </w:tcBorders>
          </w:tcPr>
          <w:p w:rsidR="00000000" w:rsidRDefault="0031739B">
            <w:pPr>
              <w:spacing w:before="120" w:line="240" w:lineRule="auto"/>
              <w:rPr>
                <w:sz w:val="21"/>
              </w:rPr>
            </w:pPr>
          </w:p>
        </w:tc>
        <w:tc>
          <w:tcPr>
            <w:tcW w:w="1534" w:type="dxa"/>
            <w:tcBorders>
              <w:top w:val="nil"/>
              <w:left w:val="nil"/>
              <w:bottom w:val="single" w:sz="6" w:space="0" w:color="auto"/>
              <w:right w:val="nil"/>
            </w:tcBorders>
          </w:tcPr>
          <w:p w:rsidR="00000000" w:rsidRDefault="0031739B">
            <w:pPr>
              <w:spacing w:before="120" w:line="240" w:lineRule="auto"/>
              <w:jc w:val="center"/>
              <w:rPr>
                <w:sz w:val="21"/>
              </w:rPr>
            </w:pPr>
          </w:p>
        </w:tc>
        <w:tc>
          <w:tcPr>
            <w:tcW w:w="1391" w:type="dxa"/>
            <w:tcBorders>
              <w:top w:val="nil"/>
              <w:left w:val="single" w:sz="6" w:space="0" w:color="auto"/>
              <w:bottom w:val="nil"/>
              <w:right w:val="single" w:sz="6" w:space="0" w:color="auto"/>
            </w:tcBorders>
          </w:tcPr>
          <w:p w:rsidR="00000000" w:rsidRDefault="0031739B">
            <w:pPr>
              <w:spacing w:before="120" w:line="240" w:lineRule="auto"/>
              <w:jc w:val="center"/>
              <w:rPr>
                <w:sz w:val="21"/>
              </w:rPr>
            </w:pPr>
            <w:r>
              <w:rPr>
                <w:rFonts w:hint="eastAsia"/>
                <w:sz w:val="21"/>
              </w:rPr>
              <w:t>公</w:t>
            </w:r>
            <w:r>
              <w:rPr>
                <w:sz w:val="21"/>
              </w:rPr>
              <w:t xml:space="preserve">  </w:t>
            </w:r>
            <w:r>
              <w:rPr>
                <w:rFonts w:hint="eastAsia"/>
                <w:sz w:val="21"/>
              </w:rPr>
              <w:t>地</w:t>
            </w:r>
          </w:p>
        </w:tc>
        <w:tc>
          <w:tcPr>
            <w:tcW w:w="1395" w:type="dxa"/>
            <w:tcBorders>
              <w:top w:val="single" w:sz="6" w:space="0" w:color="auto"/>
              <w:left w:val="nil"/>
              <w:bottom w:val="single" w:sz="6" w:space="0" w:color="auto"/>
              <w:right w:val="nil"/>
            </w:tcBorders>
          </w:tcPr>
          <w:p w:rsidR="00000000" w:rsidRDefault="0031739B">
            <w:pPr>
              <w:spacing w:before="120" w:line="240" w:lineRule="auto"/>
              <w:jc w:val="center"/>
              <w:rPr>
                <w:sz w:val="21"/>
              </w:rPr>
            </w:pPr>
            <w:r>
              <w:rPr>
                <w:rFonts w:hint="eastAsia"/>
                <w:sz w:val="21"/>
              </w:rPr>
              <w:t>国有公司</w:t>
            </w:r>
          </w:p>
        </w:tc>
        <w:tc>
          <w:tcPr>
            <w:tcW w:w="1268" w:type="dxa"/>
            <w:tcBorders>
              <w:top w:val="single" w:sz="6" w:space="0" w:color="auto"/>
              <w:left w:val="single" w:sz="6" w:space="0" w:color="auto"/>
              <w:bottom w:val="single" w:sz="6" w:space="0" w:color="auto"/>
              <w:right w:val="single" w:sz="6" w:space="0" w:color="auto"/>
            </w:tcBorders>
          </w:tcPr>
          <w:p w:rsidR="00000000" w:rsidRDefault="0031739B">
            <w:pPr>
              <w:spacing w:before="120" w:line="240" w:lineRule="auto"/>
              <w:jc w:val="center"/>
              <w:rPr>
                <w:sz w:val="21"/>
              </w:rPr>
            </w:pPr>
            <w:r>
              <w:rPr>
                <w:rFonts w:hint="eastAsia"/>
                <w:sz w:val="21"/>
              </w:rPr>
              <w:t>私</w:t>
            </w:r>
            <w:r>
              <w:rPr>
                <w:sz w:val="21"/>
              </w:rPr>
              <w:t xml:space="preserve">  </w:t>
            </w:r>
            <w:r>
              <w:rPr>
                <w:rFonts w:hint="eastAsia"/>
                <w:sz w:val="21"/>
              </w:rPr>
              <w:t>有</w:t>
            </w:r>
          </w:p>
        </w:tc>
        <w:tc>
          <w:tcPr>
            <w:tcW w:w="1511" w:type="dxa"/>
            <w:tcBorders>
              <w:top w:val="single" w:sz="6" w:space="0" w:color="auto"/>
              <w:left w:val="nil"/>
              <w:bottom w:val="single" w:sz="6" w:space="0" w:color="auto"/>
            </w:tcBorders>
          </w:tcPr>
          <w:p w:rsidR="00000000" w:rsidRDefault="0031739B">
            <w:pPr>
              <w:spacing w:before="120" w:line="240" w:lineRule="auto"/>
              <w:jc w:val="center"/>
              <w:rPr>
                <w:sz w:val="21"/>
              </w:rPr>
            </w:pPr>
            <w:r>
              <w:rPr>
                <w:rFonts w:hint="eastAsia"/>
                <w:sz w:val="21"/>
              </w:rPr>
              <w:t>公司住宅房</w:t>
            </w:r>
          </w:p>
        </w:tc>
      </w:tr>
      <w:tr w:rsidR="00000000">
        <w:tblPrEx>
          <w:tblCellMar>
            <w:top w:w="0" w:type="dxa"/>
            <w:bottom w:w="0" w:type="dxa"/>
          </w:tblCellMar>
        </w:tblPrEx>
        <w:tc>
          <w:tcPr>
            <w:tcW w:w="988" w:type="dxa"/>
            <w:tcBorders>
              <w:right w:val="nil"/>
            </w:tcBorders>
          </w:tcPr>
          <w:p w:rsidR="00000000" w:rsidRDefault="0031739B">
            <w:pPr>
              <w:spacing w:before="120" w:after="60" w:line="240" w:lineRule="auto"/>
              <w:ind w:right="57"/>
              <w:jc w:val="center"/>
              <w:rPr>
                <w:sz w:val="21"/>
              </w:rPr>
            </w:pPr>
            <w:r>
              <w:rPr>
                <w:sz w:val="21"/>
              </w:rPr>
              <w:t>1968</w:t>
            </w:r>
          </w:p>
        </w:tc>
        <w:tc>
          <w:tcPr>
            <w:tcW w:w="1320" w:type="dxa"/>
            <w:tcBorders>
              <w:left w:val="single" w:sz="6" w:space="0" w:color="auto"/>
              <w:right w:val="single" w:sz="6" w:space="0" w:color="auto"/>
            </w:tcBorders>
          </w:tcPr>
          <w:p w:rsidR="00000000" w:rsidRDefault="0031739B">
            <w:pPr>
              <w:spacing w:before="120" w:after="60" w:line="240" w:lineRule="auto"/>
              <w:ind w:right="57"/>
              <w:jc w:val="center"/>
              <w:rPr>
                <w:sz w:val="21"/>
              </w:rPr>
            </w:pPr>
            <w:r>
              <w:rPr>
                <w:sz w:val="21"/>
              </w:rPr>
              <w:t>73.86</w:t>
            </w:r>
          </w:p>
        </w:tc>
        <w:tc>
          <w:tcPr>
            <w:tcW w:w="1534" w:type="dxa"/>
            <w:tcBorders>
              <w:left w:val="nil"/>
              <w:right w:val="nil"/>
            </w:tcBorders>
          </w:tcPr>
          <w:p w:rsidR="00000000" w:rsidRDefault="0031739B">
            <w:pPr>
              <w:tabs>
                <w:tab w:val="clear" w:pos="510"/>
                <w:tab w:val="clear" w:pos="1021"/>
                <w:tab w:val="clear" w:pos="1531"/>
                <w:tab w:val="clear" w:pos="2041"/>
              </w:tabs>
              <w:spacing w:before="120" w:after="60" w:line="240" w:lineRule="auto"/>
              <w:ind w:right="397"/>
              <w:jc w:val="right"/>
              <w:rPr>
                <w:sz w:val="21"/>
              </w:rPr>
            </w:pPr>
            <w:r>
              <w:rPr>
                <w:sz w:val="21"/>
              </w:rPr>
              <w:t>97.42</w:t>
            </w:r>
          </w:p>
        </w:tc>
        <w:tc>
          <w:tcPr>
            <w:tcW w:w="2786" w:type="dxa"/>
            <w:gridSpan w:val="2"/>
            <w:tcBorders>
              <w:top w:val="single" w:sz="6" w:space="0" w:color="auto"/>
              <w:left w:val="single" w:sz="6" w:space="0" w:color="auto"/>
              <w:bottom w:val="nil"/>
              <w:right w:val="nil"/>
            </w:tcBorders>
          </w:tcPr>
          <w:p w:rsidR="00000000" w:rsidRDefault="0031739B">
            <w:pPr>
              <w:spacing w:before="120" w:after="60" w:line="240" w:lineRule="auto"/>
              <w:ind w:right="57"/>
              <w:jc w:val="center"/>
              <w:rPr>
                <w:sz w:val="21"/>
              </w:rPr>
            </w:pPr>
            <w:r>
              <w:rPr>
                <w:sz w:val="21"/>
              </w:rPr>
              <w:t>37.78</w:t>
            </w:r>
          </w:p>
        </w:tc>
        <w:tc>
          <w:tcPr>
            <w:tcW w:w="1268" w:type="dxa"/>
            <w:tcBorders>
              <w:left w:val="single" w:sz="6" w:space="0" w:color="auto"/>
              <w:right w:val="single" w:sz="6" w:space="0" w:color="auto"/>
            </w:tcBorders>
          </w:tcPr>
          <w:p w:rsidR="00000000" w:rsidRDefault="0031739B">
            <w:pPr>
              <w:spacing w:before="120" w:after="60" w:line="240" w:lineRule="auto"/>
              <w:ind w:right="57"/>
              <w:jc w:val="center"/>
              <w:rPr>
                <w:sz w:val="21"/>
              </w:rPr>
            </w:pPr>
            <w:r>
              <w:rPr>
                <w:sz w:val="21"/>
              </w:rPr>
              <w:t>34.13</w:t>
            </w:r>
          </w:p>
        </w:tc>
        <w:tc>
          <w:tcPr>
            <w:tcW w:w="1511" w:type="dxa"/>
            <w:tcBorders>
              <w:left w:val="nil"/>
            </w:tcBorders>
          </w:tcPr>
          <w:p w:rsidR="00000000" w:rsidRDefault="0031739B">
            <w:pPr>
              <w:spacing w:before="120" w:after="60" w:line="240" w:lineRule="auto"/>
              <w:ind w:right="57"/>
              <w:jc w:val="center"/>
              <w:rPr>
                <w:sz w:val="21"/>
              </w:rPr>
            </w:pPr>
            <w:r>
              <w:rPr>
                <w:sz w:val="21"/>
              </w:rPr>
              <w:t>53.56</w:t>
            </w:r>
          </w:p>
        </w:tc>
      </w:tr>
      <w:tr w:rsidR="00000000">
        <w:tblPrEx>
          <w:tblCellMar>
            <w:top w:w="0" w:type="dxa"/>
            <w:bottom w:w="0" w:type="dxa"/>
          </w:tblCellMar>
        </w:tblPrEx>
        <w:tc>
          <w:tcPr>
            <w:tcW w:w="988" w:type="dxa"/>
            <w:tcBorders>
              <w:right w:val="nil"/>
            </w:tcBorders>
          </w:tcPr>
          <w:p w:rsidR="00000000" w:rsidRDefault="0031739B">
            <w:pPr>
              <w:spacing w:before="120" w:after="60" w:line="240" w:lineRule="auto"/>
              <w:ind w:right="57"/>
              <w:jc w:val="center"/>
              <w:rPr>
                <w:sz w:val="21"/>
              </w:rPr>
            </w:pPr>
            <w:r>
              <w:rPr>
                <w:sz w:val="21"/>
              </w:rPr>
              <w:t>1973</w:t>
            </w:r>
          </w:p>
        </w:tc>
        <w:tc>
          <w:tcPr>
            <w:tcW w:w="1320" w:type="dxa"/>
            <w:tcBorders>
              <w:left w:val="single" w:sz="6" w:space="0" w:color="auto"/>
              <w:right w:val="single" w:sz="6" w:space="0" w:color="auto"/>
            </w:tcBorders>
          </w:tcPr>
          <w:p w:rsidR="00000000" w:rsidRDefault="0031739B">
            <w:pPr>
              <w:spacing w:before="120" w:after="60" w:line="240" w:lineRule="auto"/>
              <w:ind w:right="57"/>
              <w:jc w:val="center"/>
              <w:rPr>
                <w:sz w:val="21"/>
              </w:rPr>
            </w:pPr>
            <w:r>
              <w:rPr>
                <w:sz w:val="21"/>
              </w:rPr>
              <w:t>77.14</w:t>
            </w:r>
          </w:p>
        </w:tc>
        <w:tc>
          <w:tcPr>
            <w:tcW w:w="1534" w:type="dxa"/>
            <w:tcBorders>
              <w:left w:val="nil"/>
              <w:right w:val="nil"/>
            </w:tcBorders>
          </w:tcPr>
          <w:p w:rsidR="00000000" w:rsidRDefault="0031739B">
            <w:pPr>
              <w:tabs>
                <w:tab w:val="clear" w:pos="510"/>
                <w:tab w:val="clear" w:pos="1021"/>
                <w:tab w:val="clear" w:pos="1531"/>
                <w:tab w:val="clear" w:pos="2041"/>
              </w:tabs>
              <w:spacing w:before="120" w:after="60" w:line="240" w:lineRule="auto"/>
              <w:ind w:right="397"/>
              <w:jc w:val="right"/>
              <w:rPr>
                <w:sz w:val="21"/>
              </w:rPr>
            </w:pPr>
            <w:r>
              <w:rPr>
                <w:sz w:val="21"/>
              </w:rPr>
              <w:t>103.09</w:t>
            </w:r>
          </w:p>
        </w:tc>
        <w:tc>
          <w:tcPr>
            <w:tcW w:w="2786" w:type="dxa"/>
            <w:gridSpan w:val="2"/>
            <w:tcBorders>
              <w:top w:val="nil"/>
              <w:left w:val="single" w:sz="6" w:space="0" w:color="auto"/>
              <w:bottom w:val="nil"/>
              <w:right w:val="nil"/>
            </w:tcBorders>
          </w:tcPr>
          <w:p w:rsidR="00000000" w:rsidRDefault="0031739B">
            <w:pPr>
              <w:spacing w:before="120" w:after="60" w:line="240" w:lineRule="auto"/>
              <w:ind w:right="57"/>
              <w:jc w:val="center"/>
              <w:rPr>
                <w:sz w:val="21"/>
              </w:rPr>
            </w:pPr>
            <w:r>
              <w:rPr>
                <w:sz w:val="21"/>
              </w:rPr>
              <w:t>39.49</w:t>
            </w:r>
          </w:p>
        </w:tc>
        <w:tc>
          <w:tcPr>
            <w:tcW w:w="1268" w:type="dxa"/>
            <w:tcBorders>
              <w:left w:val="single" w:sz="6" w:space="0" w:color="auto"/>
              <w:right w:val="single" w:sz="6" w:space="0" w:color="auto"/>
            </w:tcBorders>
          </w:tcPr>
          <w:p w:rsidR="00000000" w:rsidRDefault="0031739B">
            <w:pPr>
              <w:spacing w:before="120" w:after="60" w:line="240" w:lineRule="auto"/>
              <w:ind w:right="57"/>
              <w:jc w:val="center"/>
              <w:rPr>
                <w:sz w:val="21"/>
              </w:rPr>
            </w:pPr>
            <w:r>
              <w:rPr>
                <w:sz w:val="21"/>
              </w:rPr>
              <w:t>36.01</w:t>
            </w:r>
          </w:p>
        </w:tc>
        <w:tc>
          <w:tcPr>
            <w:tcW w:w="1511" w:type="dxa"/>
            <w:tcBorders>
              <w:left w:val="nil"/>
            </w:tcBorders>
          </w:tcPr>
          <w:p w:rsidR="00000000" w:rsidRDefault="0031739B">
            <w:pPr>
              <w:spacing w:before="120" w:after="60" w:line="240" w:lineRule="auto"/>
              <w:ind w:right="57"/>
              <w:jc w:val="center"/>
              <w:rPr>
                <w:sz w:val="21"/>
              </w:rPr>
            </w:pPr>
            <w:r>
              <w:rPr>
                <w:sz w:val="21"/>
              </w:rPr>
              <w:t>5</w:t>
            </w:r>
            <w:r>
              <w:rPr>
                <w:sz w:val="21"/>
              </w:rPr>
              <w:t>3.86</w:t>
            </w:r>
          </w:p>
        </w:tc>
      </w:tr>
      <w:tr w:rsidR="00000000">
        <w:tblPrEx>
          <w:tblCellMar>
            <w:top w:w="0" w:type="dxa"/>
            <w:bottom w:w="0" w:type="dxa"/>
          </w:tblCellMar>
        </w:tblPrEx>
        <w:tc>
          <w:tcPr>
            <w:tcW w:w="988" w:type="dxa"/>
            <w:tcBorders>
              <w:right w:val="nil"/>
            </w:tcBorders>
          </w:tcPr>
          <w:p w:rsidR="00000000" w:rsidRDefault="0031739B">
            <w:pPr>
              <w:spacing w:before="120" w:after="60" w:line="240" w:lineRule="auto"/>
              <w:ind w:right="57"/>
              <w:jc w:val="center"/>
              <w:rPr>
                <w:sz w:val="21"/>
              </w:rPr>
            </w:pPr>
            <w:r>
              <w:rPr>
                <w:sz w:val="21"/>
              </w:rPr>
              <w:t>1978</w:t>
            </w:r>
          </w:p>
        </w:tc>
        <w:tc>
          <w:tcPr>
            <w:tcW w:w="1320" w:type="dxa"/>
            <w:tcBorders>
              <w:left w:val="single" w:sz="6" w:space="0" w:color="auto"/>
              <w:right w:val="single" w:sz="6" w:space="0" w:color="auto"/>
            </w:tcBorders>
          </w:tcPr>
          <w:p w:rsidR="00000000" w:rsidRDefault="0031739B">
            <w:pPr>
              <w:spacing w:before="120" w:after="60" w:line="240" w:lineRule="auto"/>
              <w:ind w:right="57"/>
              <w:jc w:val="center"/>
              <w:rPr>
                <w:sz w:val="21"/>
              </w:rPr>
            </w:pPr>
            <w:r>
              <w:rPr>
                <w:sz w:val="21"/>
              </w:rPr>
              <w:t>80.28</w:t>
            </w:r>
          </w:p>
        </w:tc>
        <w:tc>
          <w:tcPr>
            <w:tcW w:w="1534" w:type="dxa"/>
            <w:tcBorders>
              <w:left w:val="nil"/>
              <w:right w:val="nil"/>
            </w:tcBorders>
          </w:tcPr>
          <w:p w:rsidR="00000000" w:rsidRDefault="0031739B">
            <w:pPr>
              <w:tabs>
                <w:tab w:val="clear" w:pos="510"/>
                <w:tab w:val="clear" w:pos="1021"/>
                <w:tab w:val="clear" w:pos="1531"/>
                <w:tab w:val="clear" w:pos="2041"/>
              </w:tabs>
              <w:spacing w:before="120" w:after="60" w:line="240" w:lineRule="auto"/>
              <w:ind w:right="397"/>
              <w:jc w:val="right"/>
              <w:rPr>
                <w:sz w:val="21"/>
              </w:rPr>
            </w:pPr>
            <w:r>
              <w:rPr>
                <w:sz w:val="21"/>
              </w:rPr>
              <w:t>106.16</w:t>
            </w:r>
          </w:p>
        </w:tc>
        <w:tc>
          <w:tcPr>
            <w:tcW w:w="1391" w:type="dxa"/>
            <w:tcBorders>
              <w:left w:val="single" w:sz="6" w:space="0" w:color="auto"/>
              <w:right w:val="single" w:sz="6" w:space="0" w:color="auto"/>
            </w:tcBorders>
          </w:tcPr>
          <w:p w:rsidR="00000000" w:rsidRDefault="0031739B">
            <w:pPr>
              <w:spacing w:before="120" w:after="60" w:line="240" w:lineRule="auto"/>
              <w:ind w:right="57"/>
              <w:jc w:val="center"/>
              <w:rPr>
                <w:sz w:val="21"/>
              </w:rPr>
            </w:pPr>
            <w:r>
              <w:rPr>
                <w:sz w:val="21"/>
              </w:rPr>
              <w:t>41.52</w:t>
            </w:r>
          </w:p>
        </w:tc>
        <w:tc>
          <w:tcPr>
            <w:tcW w:w="1395" w:type="dxa"/>
            <w:tcBorders>
              <w:left w:val="nil"/>
              <w:right w:val="nil"/>
            </w:tcBorders>
          </w:tcPr>
          <w:p w:rsidR="00000000" w:rsidRDefault="0031739B">
            <w:pPr>
              <w:spacing w:before="120" w:after="60" w:line="240" w:lineRule="auto"/>
              <w:ind w:right="57"/>
              <w:jc w:val="center"/>
              <w:rPr>
                <w:sz w:val="21"/>
              </w:rPr>
            </w:pPr>
            <w:r>
              <w:rPr>
                <w:sz w:val="21"/>
              </w:rPr>
              <w:t>43.32</w:t>
            </w:r>
          </w:p>
        </w:tc>
        <w:tc>
          <w:tcPr>
            <w:tcW w:w="1268" w:type="dxa"/>
            <w:tcBorders>
              <w:left w:val="single" w:sz="6" w:space="0" w:color="auto"/>
              <w:right w:val="single" w:sz="6" w:space="0" w:color="auto"/>
            </w:tcBorders>
          </w:tcPr>
          <w:p w:rsidR="00000000" w:rsidRDefault="0031739B">
            <w:pPr>
              <w:spacing w:before="120" w:after="60" w:line="240" w:lineRule="auto"/>
              <w:ind w:right="57"/>
              <w:jc w:val="center"/>
              <w:rPr>
                <w:sz w:val="21"/>
              </w:rPr>
            </w:pPr>
            <w:r>
              <w:rPr>
                <w:sz w:val="21"/>
              </w:rPr>
              <w:t>37.02</w:t>
            </w:r>
          </w:p>
        </w:tc>
        <w:tc>
          <w:tcPr>
            <w:tcW w:w="1511" w:type="dxa"/>
            <w:tcBorders>
              <w:left w:val="nil"/>
            </w:tcBorders>
          </w:tcPr>
          <w:p w:rsidR="00000000" w:rsidRDefault="0031739B">
            <w:pPr>
              <w:spacing w:before="120" w:after="60" w:line="240" w:lineRule="auto"/>
              <w:ind w:right="57"/>
              <w:jc w:val="center"/>
              <w:rPr>
                <w:sz w:val="21"/>
              </w:rPr>
            </w:pPr>
            <w:r>
              <w:rPr>
                <w:sz w:val="21"/>
              </w:rPr>
              <w:t>55.33</w:t>
            </w:r>
          </w:p>
        </w:tc>
      </w:tr>
      <w:tr w:rsidR="00000000">
        <w:tblPrEx>
          <w:tblCellMar>
            <w:top w:w="0" w:type="dxa"/>
            <w:bottom w:w="0" w:type="dxa"/>
          </w:tblCellMar>
        </w:tblPrEx>
        <w:tc>
          <w:tcPr>
            <w:tcW w:w="988" w:type="dxa"/>
            <w:tcBorders>
              <w:right w:val="nil"/>
            </w:tcBorders>
          </w:tcPr>
          <w:p w:rsidR="00000000" w:rsidRDefault="0031739B">
            <w:pPr>
              <w:spacing w:before="120" w:after="60" w:line="240" w:lineRule="auto"/>
              <w:ind w:right="57"/>
              <w:jc w:val="center"/>
              <w:rPr>
                <w:sz w:val="21"/>
              </w:rPr>
            </w:pPr>
            <w:r>
              <w:rPr>
                <w:sz w:val="21"/>
              </w:rPr>
              <w:t>1983</w:t>
            </w:r>
          </w:p>
        </w:tc>
        <w:tc>
          <w:tcPr>
            <w:tcW w:w="1320" w:type="dxa"/>
            <w:tcBorders>
              <w:left w:val="single" w:sz="6" w:space="0" w:color="auto"/>
              <w:right w:val="single" w:sz="6" w:space="0" w:color="auto"/>
            </w:tcBorders>
          </w:tcPr>
          <w:p w:rsidR="00000000" w:rsidRDefault="0031739B">
            <w:pPr>
              <w:spacing w:before="120" w:after="60" w:line="240" w:lineRule="auto"/>
              <w:ind w:right="57"/>
              <w:jc w:val="center"/>
              <w:rPr>
                <w:sz w:val="21"/>
              </w:rPr>
            </w:pPr>
            <w:r>
              <w:rPr>
                <w:sz w:val="21"/>
              </w:rPr>
              <w:t>85.92</w:t>
            </w:r>
          </w:p>
        </w:tc>
        <w:tc>
          <w:tcPr>
            <w:tcW w:w="1534" w:type="dxa"/>
            <w:tcBorders>
              <w:left w:val="nil"/>
              <w:right w:val="nil"/>
            </w:tcBorders>
          </w:tcPr>
          <w:p w:rsidR="00000000" w:rsidRDefault="0031739B">
            <w:pPr>
              <w:tabs>
                <w:tab w:val="clear" w:pos="510"/>
                <w:tab w:val="clear" w:pos="1021"/>
                <w:tab w:val="clear" w:pos="1531"/>
                <w:tab w:val="clear" w:pos="2041"/>
              </w:tabs>
              <w:spacing w:before="120" w:after="60" w:line="240" w:lineRule="auto"/>
              <w:ind w:right="397"/>
              <w:jc w:val="right"/>
              <w:rPr>
                <w:sz w:val="21"/>
              </w:rPr>
            </w:pPr>
            <w:r>
              <w:rPr>
                <w:sz w:val="21"/>
              </w:rPr>
              <w:t>111.67</w:t>
            </w:r>
          </w:p>
        </w:tc>
        <w:tc>
          <w:tcPr>
            <w:tcW w:w="1391" w:type="dxa"/>
            <w:tcBorders>
              <w:left w:val="single" w:sz="6" w:space="0" w:color="auto"/>
              <w:right w:val="single" w:sz="6" w:space="0" w:color="auto"/>
            </w:tcBorders>
          </w:tcPr>
          <w:p w:rsidR="00000000" w:rsidRDefault="0031739B">
            <w:pPr>
              <w:spacing w:before="120" w:after="60" w:line="240" w:lineRule="auto"/>
              <w:ind w:right="57"/>
              <w:jc w:val="center"/>
              <w:rPr>
                <w:sz w:val="21"/>
              </w:rPr>
            </w:pPr>
            <w:r>
              <w:rPr>
                <w:sz w:val="21"/>
              </w:rPr>
              <w:t>44.90</w:t>
            </w:r>
          </w:p>
        </w:tc>
        <w:tc>
          <w:tcPr>
            <w:tcW w:w="1395" w:type="dxa"/>
            <w:tcBorders>
              <w:left w:val="nil"/>
              <w:right w:val="nil"/>
            </w:tcBorders>
          </w:tcPr>
          <w:p w:rsidR="00000000" w:rsidRDefault="0031739B">
            <w:pPr>
              <w:spacing w:before="120" w:after="60" w:line="240" w:lineRule="auto"/>
              <w:ind w:right="57"/>
              <w:jc w:val="center"/>
              <w:rPr>
                <w:sz w:val="21"/>
              </w:rPr>
            </w:pPr>
            <w:r>
              <w:rPr>
                <w:sz w:val="21"/>
              </w:rPr>
              <w:t>44.67</w:t>
            </w:r>
          </w:p>
        </w:tc>
        <w:tc>
          <w:tcPr>
            <w:tcW w:w="1268" w:type="dxa"/>
            <w:tcBorders>
              <w:left w:val="single" w:sz="6" w:space="0" w:color="auto"/>
              <w:right w:val="single" w:sz="6" w:space="0" w:color="auto"/>
            </w:tcBorders>
          </w:tcPr>
          <w:p w:rsidR="00000000" w:rsidRDefault="0031739B">
            <w:pPr>
              <w:spacing w:before="120" w:after="60" w:line="240" w:lineRule="auto"/>
              <w:ind w:right="57"/>
              <w:jc w:val="center"/>
              <w:rPr>
                <w:sz w:val="21"/>
              </w:rPr>
            </w:pPr>
            <w:r>
              <w:rPr>
                <w:sz w:val="21"/>
              </w:rPr>
              <w:t>39.19</w:t>
            </w:r>
          </w:p>
        </w:tc>
        <w:tc>
          <w:tcPr>
            <w:tcW w:w="1511" w:type="dxa"/>
            <w:tcBorders>
              <w:left w:val="nil"/>
            </w:tcBorders>
          </w:tcPr>
          <w:p w:rsidR="00000000" w:rsidRDefault="0031739B">
            <w:pPr>
              <w:spacing w:before="120" w:after="60" w:line="240" w:lineRule="auto"/>
              <w:ind w:right="57"/>
              <w:jc w:val="center"/>
              <w:rPr>
                <w:sz w:val="21"/>
              </w:rPr>
            </w:pPr>
            <w:r>
              <w:rPr>
                <w:sz w:val="21"/>
              </w:rPr>
              <w:t>57.28</w:t>
            </w:r>
          </w:p>
        </w:tc>
      </w:tr>
      <w:tr w:rsidR="00000000">
        <w:tblPrEx>
          <w:tblCellMar>
            <w:top w:w="0" w:type="dxa"/>
            <w:bottom w:w="0" w:type="dxa"/>
          </w:tblCellMar>
        </w:tblPrEx>
        <w:tc>
          <w:tcPr>
            <w:tcW w:w="988" w:type="dxa"/>
            <w:tcBorders>
              <w:right w:val="nil"/>
            </w:tcBorders>
          </w:tcPr>
          <w:p w:rsidR="00000000" w:rsidRDefault="0031739B">
            <w:pPr>
              <w:spacing w:before="120" w:after="60" w:line="240" w:lineRule="auto"/>
              <w:ind w:right="57"/>
              <w:jc w:val="center"/>
              <w:rPr>
                <w:sz w:val="21"/>
              </w:rPr>
            </w:pPr>
            <w:r>
              <w:rPr>
                <w:sz w:val="21"/>
              </w:rPr>
              <w:t>1988</w:t>
            </w:r>
          </w:p>
        </w:tc>
        <w:tc>
          <w:tcPr>
            <w:tcW w:w="1320" w:type="dxa"/>
            <w:tcBorders>
              <w:left w:val="single" w:sz="6" w:space="0" w:color="auto"/>
              <w:right w:val="single" w:sz="6" w:space="0" w:color="auto"/>
            </w:tcBorders>
          </w:tcPr>
          <w:p w:rsidR="00000000" w:rsidRDefault="0031739B">
            <w:pPr>
              <w:spacing w:before="120" w:after="60" w:line="240" w:lineRule="auto"/>
              <w:ind w:right="57"/>
              <w:jc w:val="center"/>
              <w:rPr>
                <w:sz w:val="21"/>
              </w:rPr>
            </w:pPr>
            <w:r>
              <w:rPr>
                <w:sz w:val="21"/>
              </w:rPr>
              <w:t>89.29</w:t>
            </w:r>
          </w:p>
        </w:tc>
        <w:tc>
          <w:tcPr>
            <w:tcW w:w="1534" w:type="dxa"/>
            <w:tcBorders>
              <w:left w:val="nil"/>
              <w:right w:val="nil"/>
            </w:tcBorders>
          </w:tcPr>
          <w:p w:rsidR="00000000" w:rsidRDefault="0031739B">
            <w:pPr>
              <w:tabs>
                <w:tab w:val="clear" w:pos="510"/>
                <w:tab w:val="clear" w:pos="1021"/>
                <w:tab w:val="clear" w:pos="1531"/>
                <w:tab w:val="clear" w:pos="2041"/>
              </w:tabs>
              <w:spacing w:before="120" w:after="60" w:line="240" w:lineRule="auto"/>
              <w:ind w:right="397"/>
              <w:jc w:val="right"/>
              <w:rPr>
                <w:sz w:val="21"/>
              </w:rPr>
            </w:pPr>
            <w:r>
              <w:rPr>
                <w:sz w:val="21"/>
              </w:rPr>
              <w:t>116.78</w:t>
            </w:r>
          </w:p>
        </w:tc>
        <w:tc>
          <w:tcPr>
            <w:tcW w:w="1391" w:type="dxa"/>
            <w:tcBorders>
              <w:left w:val="single" w:sz="6" w:space="0" w:color="auto"/>
              <w:right w:val="single" w:sz="6" w:space="0" w:color="auto"/>
            </w:tcBorders>
          </w:tcPr>
          <w:p w:rsidR="00000000" w:rsidRDefault="0031739B">
            <w:pPr>
              <w:spacing w:before="120" w:after="60" w:line="240" w:lineRule="auto"/>
              <w:ind w:right="57"/>
              <w:jc w:val="center"/>
              <w:rPr>
                <w:sz w:val="21"/>
              </w:rPr>
            </w:pPr>
            <w:r>
              <w:rPr>
                <w:sz w:val="21"/>
              </w:rPr>
              <w:t>47.00</w:t>
            </w:r>
          </w:p>
        </w:tc>
        <w:tc>
          <w:tcPr>
            <w:tcW w:w="1395" w:type="dxa"/>
            <w:tcBorders>
              <w:left w:val="nil"/>
              <w:right w:val="nil"/>
            </w:tcBorders>
          </w:tcPr>
          <w:p w:rsidR="00000000" w:rsidRDefault="0031739B">
            <w:pPr>
              <w:spacing w:before="120" w:after="60" w:line="240" w:lineRule="auto"/>
              <w:ind w:right="57"/>
              <w:jc w:val="center"/>
              <w:rPr>
                <w:sz w:val="21"/>
              </w:rPr>
            </w:pPr>
            <w:r>
              <w:rPr>
                <w:sz w:val="21"/>
              </w:rPr>
              <w:t>44.84</w:t>
            </w:r>
          </w:p>
        </w:tc>
        <w:tc>
          <w:tcPr>
            <w:tcW w:w="1268" w:type="dxa"/>
            <w:tcBorders>
              <w:left w:val="single" w:sz="6" w:space="0" w:color="auto"/>
              <w:right w:val="single" w:sz="6" w:space="0" w:color="auto"/>
            </w:tcBorders>
          </w:tcPr>
          <w:p w:rsidR="00000000" w:rsidRDefault="0031739B">
            <w:pPr>
              <w:spacing w:before="120" w:after="60" w:line="240" w:lineRule="auto"/>
              <w:ind w:right="57"/>
              <w:jc w:val="center"/>
              <w:rPr>
                <w:sz w:val="21"/>
              </w:rPr>
            </w:pPr>
            <w:r>
              <w:rPr>
                <w:sz w:val="21"/>
              </w:rPr>
              <w:t>41.77</w:t>
            </w:r>
          </w:p>
        </w:tc>
        <w:tc>
          <w:tcPr>
            <w:tcW w:w="1511" w:type="dxa"/>
            <w:tcBorders>
              <w:left w:val="nil"/>
            </w:tcBorders>
          </w:tcPr>
          <w:p w:rsidR="00000000" w:rsidRDefault="0031739B">
            <w:pPr>
              <w:spacing w:before="120" w:after="60" w:line="240" w:lineRule="auto"/>
              <w:ind w:right="57"/>
              <w:jc w:val="center"/>
              <w:rPr>
                <w:sz w:val="21"/>
              </w:rPr>
            </w:pPr>
            <w:r>
              <w:rPr>
                <w:sz w:val="21"/>
              </w:rPr>
              <w:t>56.07</w:t>
            </w:r>
          </w:p>
        </w:tc>
      </w:tr>
      <w:tr w:rsidR="00000000">
        <w:tblPrEx>
          <w:tblCellMar>
            <w:top w:w="0" w:type="dxa"/>
            <w:bottom w:w="0" w:type="dxa"/>
          </w:tblCellMar>
        </w:tblPrEx>
        <w:tc>
          <w:tcPr>
            <w:tcW w:w="988" w:type="dxa"/>
            <w:tcBorders>
              <w:right w:val="nil"/>
            </w:tcBorders>
          </w:tcPr>
          <w:p w:rsidR="00000000" w:rsidRDefault="0031739B">
            <w:pPr>
              <w:spacing w:before="120" w:after="60" w:line="240" w:lineRule="auto"/>
              <w:ind w:right="57"/>
              <w:jc w:val="center"/>
              <w:rPr>
                <w:sz w:val="21"/>
              </w:rPr>
            </w:pPr>
            <w:r>
              <w:rPr>
                <w:sz w:val="21"/>
              </w:rPr>
              <w:t>1993</w:t>
            </w:r>
          </w:p>
        </w:tc>
        <w:tc>
          <w:tcPr>
            <w:tcW w:w="1320" w:type="dxa"/>
            <w:tcBorders>
              <w:left w:val="single" w:sz="6" w:space="0" w:color="auto"/>
              <w:bottom w:val="single" w:sz="6" w:space="0" w:color="auto"/>
              <w:right w:val="single" w:sz="6" w:space="0" w:color="auto"/>
            </w:tcBorders>
          </w:tcPr>
          <w:p w:rsidR="00000000" w:rsidRDefault="0031739B">
            <w:pPr>
              <w:spacing w:before="120" w:after="60" w:line="240" w:lineRule="auto"/>
              <w:ind w:right="57"/>
              <w:jc w:val="center"/>
              <w:rPr>
                <w:sz w:val="21"/>
              </w:rPr>
            </w:pPr>
            <w:r>
              <w:rPr>
                <w:sz w:val="21"/>
              </w:rPr>
              <w:t>91.92</w:t>
            </w:r>
          </w:p>
        </w:tc>
        <w:tc>
          <w:tcPr>
            <w:tcW w:w="1534" w:type="dxa"/>
            <w:tcBorders>
              <w:left w:val="nil"/>
              <w:right w:val="nil"/>
            </w:tcBorders>
          </w:tcPr>
          <w:p w:rsidR="00000000" w:rsidRDefault="0031739B">
            <w:pPr>
              <w:tabs>
                <w:tab w:val="clear" w:pos="510"/>
                <w:tab w:val="clear" w:pos="1021"/>
                <w:tab w:val="clear" w:pos="1531"/>
                <w:tab w:val="clear" w:pos="2041"/>
              </w:tabs>
              <w:spacing w:before="120" w:after="60" w:line="240" w:lineRule="auto"/>
              <w:ind w:right="397"/>
              <w:jc w:val="right"/>
              <w:rPr>
                <w:sz w:val="21"/>
              </w:rPr>
            </w:pPr>
            <w:r>
              <w:rPr>
                <w:sz w:val="21"/>
              </w:rPr>
              <w:t>122.08</w:t>
            </w:r>
          </w:p>
        </w:tc>
        <w:tc>
          <w:tcPr>
            <w:tcW w:w="1391" w:type="dxa"/>
            <w:tcBorders>
              <w:left w:val="single" w:sz="6" w:space="0" w:color="auto"/>
              <w:bottom w:val="single" w:sz="6" w:space="0" w:color="auto"/>
              <w:right w:val="single" w:sz="6" w:space="0" w:color="auto"/>
            </w:tcBorders>
          </w:tcPr>
          <w:p w:rsidR="00000000" w:rsidRDefault="0031739B">
            <w:pPr>
              <w:spacing w:before="120" w:after="60" w:line="240" w:lineRule="auto"/>
              <w:ind w:right="57"/>
              <w:jc w:val="center"/>
              <w:rPr>
                <w:sz w:val="21"/>
              </w:rPr>
            </w:pPr>
            <w:r>
              <w:rPr>
                <w:sz w:val="21"/>
              </w:rPr>
              <w:t>49.44</w:t>
            </w:r>
          </w:p>
        </w:tc>
        <w:tc>
          <w:tcPr>
            <w:tcW w:w="1395" w:type="dxa"/>
            <w:tcBorders>
              <w:left w:val="nil"/>
              <w:right w:val="nil"/>
            </w:tcBorders>
          </w:tcPr>
          <w:p w:rsidR="00000000" w:rsidRDefault="0031739B">
            <w:pPr>
              <w:spacing w:before="120" w:after="60" w:line="240" w:lineRule="auto"/>
              <w:ind w:right="57"/>
              <w:jc w:val="center"/>
              <w:rPr>
                <w:sz w:val="21"/>
              </w:rPr>
            </w:pPr>
            <w:r>
              <w:rPr>
                <w:sz w:val="21"/>
              </w:rPr>
              <w:t>46.66</w:t>
            </w:r>
          </w:p>
        </w:tc>
        <w:tc>
          <w:tcPr>
            <w:tcW w:w="1268" w:type="dxa"/>
            <w:tcBorders>
              <w:left w:val="single" w:sz="6" w:space="0" w:color="auto"/>
              <w:bottom w:val="single" w:sz="6" w:space="0" w:color="auto"/>
              <w:right w:val="single" w:sz="6" w:space="0" w:color="auto"/>
            </w:tcBorders>
          </w:tcPr>
          <w:p w:rsidR="00000000" w:rsidRDefault="0031739B">
            <w:pPr>
              <w:spacing w:before="120" w:after="60" w:line="240" w:lineRule="auto"/>
              <w:ind w:right="57"/>
              <w:jc w:val="center"/>
              <w:rPr>
                <w:sz w:val="21"/>
              </w:rPr>
            </w:pPr>
            <w:r>
              <w:rPr>
                <w:sz w:val="21"/>
              </w:rPr>
              <w:t>41.99</w:t>
            </w:r>
          </w:p>
        </w:tc>
        <w:tc>
          <w:tcPr>
            <w:tcW w:w="1511" w:type="dxa"/>
            <w:tcBorders>
              <w:left w:val="nil"/>
            </w:tcBorders>
          </w:tcPr>
          <w:p w:rsidR="00000000" w:rsidRDefault="0031739B">
            <w:pPr>
              <w:spacing w:before="120" w:after="60" w:line="240" w:lineRule="auto"/>
              <w:ind w:right="57"/>
              <w:jc w:val="center"/>
              <w:rPr>
                <w:sz w:val="21"/>
              </w:rPr>
            </w:pPr>
            <w:r>
              <w:rPr>
                <w:sz w:val="21"/>
              </w:rPr>
              <w:t>56.35</w:t>
            </w:r>
          </w:p>
        </w:tc>
      </w:tr>
    </w:tbl>
    <w:p w:rsidR="00000000" w:rsidRDefault="0031739B">
      <w:pPr>
        <w:pStyle w:val="FootnoteText"/>
        <w:spacing w:before="320" w:after="320" w:line="336" w:lineRule="auto"/>
        <w:textAlignment w:val="center"/>
      </w:pPr>
      <w:r>
        <w:rPr>
          <w:rFonts w:hint="eastAsia"/>
          <w:u w:val="single"/>
        </w:rPr>
        <w:t>注</w:t>
      </w:r>
      <w:r>
        <w:rPr>
          <w:rFonts w:hint="eastAsia"/>
        </w:rPr>
        <w:t>：根据管理协调厅统计局的住房统计调查。</w:t>
      </w:r>
    </w:p>
    <w:p w:rsidR="00000000" w:rsidRDefault="0031739B">
      <w:pPr>
        <w:pStyle w:val="Heading3"/>
      </w:pPr>
      <w:r>
        <w:rPr>
          <w:u w:val="none"/>
        </w:rPr>
        <w:br w:type="page"/>
      </w:r>
      <w:r>
        <w:rPr>
          <w:rFonts w:hint="eastAsia"/>
          <w:u w:val="none"/>
        </w:rPr>
        <w:t>表</w:t>
      </w:r>
      <w:r>
        <w:rPr>
          <w:u w:val="none"/>
        </w:rPr>
        <w:t xml:space="preserve"> 17.  </w:t>
      </w:r>
      <w:r>
        <w:rPr>
          <w:rFonts w:hint="eastAsia"/>
        </w:rPr>
        <w:t>卫生设施和住房的折旧</w:t>
      </w:r>
    </w:p>
    <w:tbl>
      <w:tblPr>
        <w:tblW w:w="0" w:type="auto"/>
        <w:tblInd w:w="-26" w:type="dxa"/>
        <w:tblBorders>
          <w:top w:val="single" w:sz="6" w:space="0" w:color="auto"/>
          <w:left w:val="single" w:sz="6" w:space="0" w:color="auto"/>
          <w:bottom w:val="single" w:sz="6" w:space="0" w:color="auto"/>
          <w:right w:val="single" w:sz="6" w:space="0" w:color="auto"/>
        </w:tblBorders>
        <w:tblLayout w:type="fixed"/>
        <w:tblCellMar>
          <w:left w:w="28" w:type="dxa"/>
          <w:right w:w="28" w:type="dxa"/>
        </w:tblCellMar>
        <w:tblLook w:val="0000" w:firstRow="0" w:lastRow="0" w:firstColumn="0" w:lastColumn="0" w:noHBand="0" w:noVBand="0"/>
      </w:tblPr>
      <w:tblGrid>
        <w:gridCol w:w="3137"/>
        <w:gridCol w:w="3137"/>
        <w:gridCol w:w="3137"/>
      </w:tblGrid>
      <w:tr w:rsidR="00000000">
        <w:tblPrEx>
          <w:tblCellMar>
            <w:top w:w="0" w:type="dxa"/>
            <w:bottom w:w="0" w:type="dxa"/>
          </w:tblCellMar>
        </w:tblPrEx>
        <w:tc>
          <w:tcPr>
            <w:tcW w:w="3137" w:type="dxa"/>
            <w:tcBorders>
              <w:top w:val="single" w:sz="6" w:space="0" w:color="auto"/>
              <w:bottom w:val="single" w:sz="6" w:space="0" w:color="auto"/>
              <w:right w:val="nil"/>
            </w:tcBorders>
          </w:tcPr>
          <w:p w:rsidR="00000000" w:rsidRDefault="0031739B">
            <w:pPr>
              <w:jc w:val="center"/>
              <w:rPr>
                <w:sz w:val="21"/>
              </w:rPr>
            </w:pPr>
          </w:p>
        </w:tc>
        <w:tc>
          <w:tcPr>
            <w:tcW w:w="3137" w:type="dxa"/>
            <w:tcBorders>
              <w:top w:val="single" w:sz="6" w:space="0" w:color="auto"/>
              <w:left w:val="single" w:sz="6" w:space="0" w:color="auto"/>
              <w:bottom w:val="single" w:sz="6" w:space="0" w:color="auto"/>
              <w:right w:val="single" w:sz="6" w:space="0" w:color="auto"/>
            </w:tcBorders>
          </w:tcPr>
          <w:p w:rsidR="00000000" w:rsidRDefault="0031739B">
            <w:pPr>
              <w:spacing w:before="120"/>
              <w:jc w:val="center"/>
              <w:rPr>
                <w:sz w:val="21"/>
              </w:rPr>
            </w:pPr>
            <w:r>
              <w:rPr>
                <w:rFonts w:hint="eastAsia"/>
                <w:sz w:val="21"/>
              </w:rPr>
              <w:t>住房数</w:t>
            </w:r>
            <w:r>
              <w:rPr>
                <w:sz w:val="21"/>
              </w:rPr>
              <w:t>(1988</w:t>
            </w:r>
            <w:r>
              <w:rPr>
                <w:rFonts w:hint="eastAsia"/>
                <w:sz w:val="21"/>
              </w:rPr>
              <w:t>年</w:t>
            </w:r>
            <w:r>
              <w:rPr>
                <w:sz w:val="21"/>
              </w:rPr>
              <w:t>)</w:t>
            </w:r>
          </w:p>
        </w:tc>
        <w:tc>
          <w:tcPr>
            <w:tcW w:w="3137" w:type="dxa"/>
            <w:tcBorders>
              <w:top w:val="single" w:sz="6" w:space="0" w:color="auto"/>
              <w:left w:val="nil"/>
              <w:bottom w:val="single" w:sz="6" w:space="0" w:color="auto"/>
            </w:tcBorders>
          </w:tcPr>
          <w:p w:rsidR="00000000" w:rsidRDefault="0031739B">
            <w:pPr>
              <w:spacing w:before="120"/>
              <w:jc w:val="center"/>
              <w:rPr>
                <w:sz w:val="21"/>
              </w:rPr>
            </w:pPr>
            <w:r>
              <w:rPr>
                <w:rFonts w:hint="eastAsia"/>
                <w:sz w:val="21"/>
              </w:rPr>
              <w:t>住房数</w:t>
            </w:r>
            <w:r>
              <w:rPr>
                <w:sz w:val="21"/>
              </w:rPr>
              <w:t>(1993</w:t>
            </w:r>
            <w:r>
              <w:rPr>
                <w:rFonts w:hint="eastAsia"/>
                <w:sz w:val="21"/>
              </w:rPr>
              <w:t>年</w:t>
            </w:r>
            <w:r>
              <w:rPr>
                <w:sz w:val="21"/>
              </w:rPr>
              <w:t>)</w:t>
            </w:r>
          </w:p>
        </w:tc>
      </w:tr>
      <w:tr w:rsidR="00000000">
        <w:tblPrEx>
          <w:tblCellMar>
            <w:top w:w="0" w:type="dxa"/>
            <w:bottom w:w="0" w:type="dxa"/>
          </w:tblCellMar>
        </w:tblPrEx>
        <w:tc>
          <w:tcPr>
            <w:tcW w:w="3137" w:type="dxa"/>
            <w:tcBorders>
              <w:top w:val="nil"/>
              <w:right w:val="nil"/>
            </w:tcBorders>
          </w:tcPr>
          <w:p w:rsidR="00000000" w:rsidRDefault="0031739B">
            <w:pPr>
              <w:spacing w:before="60"/>
              <w:rPr>
                <w:sz w:val="21"/>
              </w:rPr>
            </w:pPr>
            <w:r>
              <w:rPr>
                <w:rFonts w:hint="eastAsia"/>
                <w:sz w:val="21"/>
              </w:rPr>
              <w:t>住房总数</w:t>
            </w:r>
          </w:p>
        </w:tc>
        <w:tc>
          <w:tcPr>
            <w:tcW w:w="3137" w:type="dxa"/>
            <w:tcBorders>
              <w:top w:val="nil"/>
              <w:left w:val="single" w:sz="6" w:space="0" w:color="auto"/>
              <w:bottom w:val="nil"/>
              <w:right w:val="single" w:sz="6" w:space="0" w:color="auto"/>
            </w:tcBorders>
          </w:tcPr>
          <w:p w:rsidR="00000000" w:rsidRDefault="0031739B">
            <w:pPr>
              <w:tabs>
                <w:tab w:val="clear" w:pos="510"/>
                <w:tab w:val="clear" w:pos="1021"/>
                <w:tab w:val="clear" w:pos="1531"/>
                <w:tab w:val="clear" w:pos="2041"/>
                <w:tab w:val="decimal" w:pos="1543"/>
              </w:tabs>
              <w:spacing w:before="60"/>
              <w:rPr>
                <w:sz w:val="21"/>
              </w:rPr>
            </w:pPr>
            <w:r>
              <w:rPr>
                <w:sz w:val="21"/>
              </w:rPr>
              <w:t>37,413,00</w:t>
            </w:r>
            <w:r>
              <w:rPr>
                <w:sz w:val="21"/>
              </w:rPr>
              <w:t>0 (100.0%)</w:t>
            </w:r>
          </w:p>
        </w:tc>
        <w:tc>
          <w:tcPr>
            <w:tcW w:w="3137" w:type="dxa"/>
            <w:tcBorders>
              <w:top w:val="nil"/>
              <w:left w:val="nil"/>
            </w:tcBorders>
          </w:tcPr>
          <w:p w:rsidR="00000000" w:rsidRDefault="0031739B">
            <w:pPr>
              <w:tabs>
                <w:tab w:val="clear" w:pos="510"/>
                <w:tab w:val="clear" w:pos="1021"/>
                <w:tab w:val="clear" w:pos="1531"/>
                <w:tab w:val="clear" w:pos="2041"/>
                <w:tab w:val="decimal" w:pos="1646"/>
              </w:tabs>
              <w:spacing w:before="60"/>
              <w:rPr>
                <w:sz w:val="21"/>
              </w:rPr>
            </w:pPr>
            <w:r>
              <w:rPr>
                <w:sz w:val="21"/>
              </w:rPr>
              <w:t>40,773,000 (100.0%)</w:t>
            </w:r>
          </w:p>
        </w:tc>
      </w:tr>
      <w:tr w:rsidR="00000000">
        <w:tblPrEx>
          <w:tblCellMar>
            <w:top w:w="0" w:type="dxa"/>
            <w:bottom w:w="0" w:type="dxa"/>
          </w:tblCellMar>
        </w:tblPrEx>
        <w:tc>
          <w:tcPr>
            <w:tcW w:w="3137" w:type="dxa"/>
            <w:tcBorders>
              <w:right w:val="nil"/>
            </w:tcBorders>
          </w:tcPr>
          <w:p w:rsidR="00000000" w:rsidRDefault="0031739B">
            <w:pPr>
              <w:spacing w:before="60"/>
              <w:rPr>
                <w:sz w:val="21"/>
              </w:rPr>
            </w:pPr>
            <w:r>
              <w:rPr>
                <w:rFonts w:hint="eastAsia"/>
                <w:sz w:val="21"/>
              </w:rPr>
              <w:t>无洗澡间的住房</w:t>
            </w:r>
          </w:p>
        </w:tc>
        <w:tc>
          <w:tcPr>
            <w:tcW w:w="3137" w:type="dxa"/>
            <w:tcBorders>
              <w:top w:val="nil"/>
              <w:left w:val="single" w:sz="6" w:space="0" w:color="auto"/>
              <w:bottom w:val="nil"/>
              <w:right w:val="single" w:sz="6" w:space="0" w:color="auto"/>
            </w:tcBorders>
          </w:tcPr>
          <w:p w:rsidR="00000000" w:rsidRDefault="0031739B">
            <w:pPr>
              <w:tabs>
                <w:tab w:val="clear" w:pos="510"/>
                <w:tab w:val="clear" w:pos="1021"/>
                <w:tab w:val="clear" w:pos="1531"/>
                <w:tab w:val="clear" w:pos="2041"/>
                <w:tab w:val="decimal" w:pos="1543"/>
              </w:tabs>
              <w:spacing w:before="60"/>
              <w:ind w:right="227"/>
              <w:rPr>
                <w:sz w:val="21"/>
              </w:rPr>
            </w:pPr>
            <w:r>
              <w:rPr>
                <w:sz w:val="21"/>
              </w:rPr>
              <w:t>2,837,000 (7.6%)</w:t>
            </w:r>
          </w:p>
        </w:tc>
        <w:tc>
          <w:tcPr>
            <w:tcW w:w="3137" w:type="dxa"/>
            <w:tcBorders>
              <w:left w:val="nil"/>
            </w:tcBorders>
          </w:tcPr>
          <w:p w:rsidR="00000000" w:rsidRDefault="0031739B">
            <w:pPr>
              <w:tabs>
                <w:tab w:val="clear" w:pos="510"/>
                <w:tab w:val="clear" w:pos="1021"/>
                <w:tab w:val="clear" w:pos="1531"/>
                <w:tab w:val="clear" w:pos="2041"/>
                <w:tab w:val="decimal" w:pos="1646"/>
              </w:tabs>
              <w:spacing w:before="60"/>
              <w:ind w:right="227"/>
              <w:rPr>
                <w:sz w:val="21"/>
              </w:rPr>
            </w:pPr>
            <w:r>
              <w:rPr>
                <w:sz w:val="21"/>
              </w:rPr>
              <w:t>1,936,000 (4.7%)</w:t>
            </w:r>
          </w:p>
        </w:tc>
      </w:tr>
      <w:tr w:rsidR="00000000">
        <w:tblPrEx>
          <w:tblCellMar>
            <w:top w:w="0" w:type="dxa"/>
            <w:bottom w:w="0" w:type="dxa"/>
          </w:tblCellMar>
        </w:tblPrEx>
        <w:tc>
          <w:tcPr>
            <w:tcW w:w="3137" w:type="dxa"/>
            <w:tcBorders>
              <w:right w:val="nil"/>
            </w:tcBorders>
          </w:tcPr>
          <w:p w:rsidR="00000000" w:rsidRDefault="0031739B">
            <w:pPr>
              <w:spacing w:before="60"/>
              <w:rPr>
                <w:sz w:val="21"/>
              </w:rPr>
            </w:pPr>
            <w:r>
              <w:rPr>
                <w:rFonts w:hint="eastAsia"/>
                <w:sz w:val="21"/>
              </w:rPr>
              <w:t>危险或无法修复的住房</w:t>
            </w:r>
          </w:p>
        </w:tc>
        <w:tc>
          <w:tcPr>
            <w:tcW w:w="3137" w:type="dxa"/>
            <w:tcBorders>
              <w:top w:val="nil"/>
              <w:left w:val="single" w:sz="6" w:space="0" w:color="auto"/>
              <w:bottom w:val="single" w:sz="6" w:space="0" w:color="auto"/>
              <w:right w:val="single" w:sz="6" w:space="0" w:color="auto"/>
            </w:tcBorders>
          </w:tcPr>
          <w:p w:rsidR="00000000" w:rsidRDefault="0031739B">
            <w:pPr>
              <w:tabs>
                <w:tab w:val="clear" w:pos="510"/>
                <w:tab w:val="clear" w:pos="1021"/>
                <w:tab w:val="clear" w:pos="1531"/>
                <w:tab w:val="clear" w:pos="2041"/>
                <w:tab w:val="decimal" w:pos="1543"/>
              </w:tabs>
              <w:spacing w:before="60"/>
              <w:ind w:right="227"/>
              <w:rPr>
                <w:sz w:val="21"/>
              </w:rPr>
            </w:pPr>
            <w:r>
              <w:rPr>
                <w:sz w:val="21"/>
              </w:rPr>
              <w:t>133,000 (0.4%)</w:t>
            </w:r>
          </w:p>
        </w:tc>
        <w:tc>
          <w:tcPr>
            <w:tcW w:w="3137" w:type="dxa"/>
            <w:tcBorders>
              <w:left w:val="nil"/>
            </w:tcBorders>
          </w:tcPr>
          <w:p w:rsidR="00000000" w:rsidRDefault="0031739B">
            <w:pPr>
              <w:tabs>
                <w:tab w:val="clear" w:pos="510"/>
                <w:tab w:val="clear" w:pos="1021"/>
                <w:tab w:val="clear" w:pos="1531"/>
                <w:tab w:val="clear" w:pos="2041"/>
                <w:tab w:val="decimal" w:pos="1646"/>
              </w:tabs>
              <w:spacing w:before="60"/>
              <w:ind w:right="227"/>
              <w:rPr>
                <w:sz w:val="21"/>
              </w:rPr>
            </w:pPr>
            <w:r>
              <w:rPr>
                <w:sz w:val="21"/>
              </w:rPr>
              <w:t>153,000 (0.4%)</w:t>
            </w:r>
          </w:p>
        </w:tc>
      </w:tr>
    </w:tbl>
    <w:p w:rsidR="00000000" w:rsidRDefault="0031739B">
      <w:pPr>
        <w:pStyle w:val="FootnoteText"/>
        <w:spacing w:before="320" w:line="336" w:lineRule="auto"/>
      </w:pPr>
      <w:r>
        <w:rPr>
          <w:rFonts w:hint="eastAsia"/>
          <w:u w:val="single"/>
        </w:rPr>
        <w:t>注</w:t>
      </w:r>
      <w:r>
        <w:rPr>
          <w:u w:val="single"/>
        </w:rPr>
        <w:t>1</w:t>
      </w:r>
      <w:r>
        <w:rPr>
          <w:rFonts w:hint="eastAsia"/>
        </w:rPr>
        <w:t>：根据管理协调厅统计局的住房统计调查</w:t>
      </w:r>
      <w:r>
        <w:rPr>
          <w:rFonts w:eastAsia="SimSun" w:hint="eastAsia"/>
        </w:rPr>
        <w:t>。</w:t>
      </w:r>
    </w:p>
    <w:p w:rsidR="00000000" w:rsidRDefault="0031739B">
      <w:pPr>
        <w:pStyle w:val="FootnoteText"/>
        <w:spacing w:after="320"/>
        <w:textAlignment w:val="center"/>
      </w:pPr>
      <w:r>
        <w:rPr>
          <w:rFonts w:hint="eastAsia"/>
          <w:u w:val="single"/>
        </w:rPr>
        <w:t>注</w:t>
      </w:r>
      <w:r>
        <w:rPr>
          <w:u w:val="single"/>
        </w:rPr>
        <w:t>2</w:t>
      </w:r>
      <w:r>
        <w:rPr>
          <w:rFonts w:hint="eastAsia"/>
        </w:rPr>
        <w:t>：</w:t>
      </w:r>
      <w:r>
        <w:t>1993</w:t>
      </w:r>
      <w:r>
        <w:rPr>
          <w:rFonts w:hint="eastAsia"/>
        </w:rPr>
        <w:t>年的数字为初步数字。</w:t>
      </w:r>
    </w:p>
    <w:p w:rsidR="00000000" w:rsidRDefault="0031739B">
      <w:pPr>
        <w:spacing w:after="240"/>
        <w:jc w:val="center"/>
        <w:textAlignment w:val="center"/>
      </w:pPr>
      <w:r>
        <w:rPr>
          <w:rFonts w:hint="eastAsia"/>
        </w:rPr>
        <w:t>表</w:t>
      </w:r>
      <w:r>
        <w:t xml:space="preserve"> 18.  </w:t>
      </w:r>
      <w:r>
        <w:rPr>
          <w:rFonts w:hint="eastAsia"/>
          <w:u w:val="single"/>
        </w:rPr>
        <w:t>根据住房建造时间划分的使用情况</w:t>
      </w:r>
    </w:p>
    <w:tbl>
      <w:tblPr>
        <w:tblW w:w="0" w:type="auto"/>
        <w:tblInd w:w="-26" w:type="dxa"/>
        <w:tblLayout w:type="fixed"/>
        <w:tblCellMar>
          <w:left w:w="28" w:type="dxa"/>
          <w:right w:w="28" w:type="dxa"/>
        </w:tblCellMar>
        <w:tblLook w:val="0000" w:firstRow="0" w:lastRow="0" w:firstColumn="0" w:lastColumn="0" w:noHBand="0" w:noVBand="0"/>
      </w:tblPr>
      <w:tblGrid>
        <w:gridCol w:w="1708"/>
        <w:gridCol w:w="1463"/>
        <w:gridCol w:w="1341"/>
        <w:gridCol w:w="1156"/>
        <w:gridCol w:w="1200"/>
        <w:gridCol w:w="1320"/>
        <w:gridCol w:w="1216"/>
      </w:tblGrid>
      <w:tr w:rsidR="00000000">
        <w:tblPrEx>
          <w:tblCellMar>
            <w:top w:w="0" w:type="dxa"/>
            <w:bottom w:w="0" w:type="dxa"/>
          </w:tblCellMar>
        </w:tblPrEx>
        <w:tc>
          <w:tcPr>
            <w:tcW w:w="1708" w:type="dxa"/>
            <w:tcBorders>
              <w:top w:val="single" w:sz="6" w:space="0" w:color="auto"/>
              <w:left w:val="single" w:sz="6" w:space="0" w:color="auto"/>
            </w:tcBorders>
          </w:tcPr>
          <w:p w:rsidR="00000000" w:rsidRDefault="0031739B">
            <w:pPr>
              <w:spacing w:before="120" w:line="240" w:lineRule="auto"/>
              <w:jc w:val="center"/>
              <w:rPr>
                <w:sz w:val="21"/>
              </w:rPr>
            </w:pPr>
            <w:r>
              <w:rPr>
                <w:rFonts w:hint="eastAsia"/>
                <w:sz w:val="21"/>
              </w:rPr>
              <w:t>建造时间</w:t>
            </w:r>
          </w:p>
        </w:tc>
        <w:tc>
          <w:tcPr>
            <w:tcW w:w="1463" w:type="dxa"/>
            <w:tcBorders>
              <w:top w:val="single" w:sz="6" w:space="0" w:color="auto"/>
              <w:left w:val="single" w:sz="6" w:space="0" w:color="auto"/>
              <w:right w:val="single" w:sz="6" w:space="0" w:color="auto"/>
            </w:tcBorders>
          </w:tcPr>
          <w:p w:rsidR="00000000" w:rsidRDefault="0031739B">
            <w:pPr>
              <w:spacing w:before="120" w:line="240" w:lineRule="auto"/>
              <w:jc w:val="center"/>
              <w:rPr>
                <w:sz w:val="21"/>
              </w:rPr>
            </w:pPr>
            <w:r>
              <w:rPr>
                <w:rFonts w:hint="eastAsia"/>
                <w:sz w:val="21"/>
              </w:rPr>
              <w:t>总</w:t>
            </w:r>
            <w:r>
              <w:rPr>
                <w:sz w:val="21"/>
              </w:rPr>
              <w:t xml:space="preserve">  </w:t>
            </w:r>
            <w:r>
              <w:rPr>
                <w:rFonts w:hint="eastAsia"/>
                <w:sz w:val="21"/>
              </w:rPr>
              <w:t>数</w:t>
            </w:r>
          </w:p>
        </w:tc>
        <w:tc>
          <w:tcPr>
            <w:tcW w:w="1341" w:type="dxa"/>
            <w:tcBorders>
              <w:top w:val="single" w:sz="6" w:space="0" w:color="auto"/>
              <w:left w:val="nil"/>
            </w:tcBorders>
          </w:tcPr>
          <w:p w:rsidR="00000000" w:rsidRDefault="0031739B">
            <w:pPr>
              <w:spacing w:before="120" w:line="240" w:lineRule="auto"/>
              <w:jc w:val="center"/>
              <w:rPr>
                <w:sz w:val="21"/>
              </w:rPr>
            </w:pPr>
            <w:r>
              <w:rPr>
                <w:rFonts w:hint="eastAsia"/>
                <w:sz w:val="21"/>
              </w:rPr>
              <w:t>自有房</w:t>
            </w:r>
          </w:p>
        </w:tc>
        <w:tc>
          <w:tcPr>
            <w:tcW w:w="1156" w:type="dxa"/>
            <w:tcBorders>
              <w:top w:val="single" w:sz="6" w:space="0" w:color="auto"/>
              <w:left w:val="single" w:sz="6" w:space="0" w:color="auto"/>
              <w:bottom w:val="single" w:sz="6" w:space="0" w:color="auto"/>
            </w:tcBorders>
          </w:tcPr>
          <w:p w:rsidR="00000000" w:rsidRDefault="0031739B">
            <w:pPr>
              <w:spacing w:before="120" w:line="240" w:lineRule="auto"/>
              <w:jc w:val="center"/>
              <w:rPr>
                <w:sz w:val="21"/>
              </w:rPr>
            </w:pPr>
          </w:p>
        </w:tc>
        <w:tc>
          <w:tcPr>
            <w:tcW w:w="1200" w:type="dxa"/>
            <w:tcBorders>
              <w:top w:val="single" w:sz="6" w:space="0" w:color="auto"/>
              <w:bottom w:val="single" w:sz="6" w:space="0" w:color="auto"/>
            </w:tcBorders>
          </w:tcPr>
          <w:p w:rsidR="00000000" w:rsidRDefault="0031739B">
            <w:pPr>
              <w:spacing w:before="120" w:line="240" w:lineRule="auto"/>
              <w:jc w:val="center"/>
              <w:rPr>
                <w:sz w:val="21"/>
              </w:rPr>
            </w:pPr>
            <w:r>
              <w:rPr>
                <w:rFonts w:hint="eastAsia"/>
                <w:sz w:val="21"/>
              </w:rPr>
              <w:t>租</w:t>
            </w:r>
          </w:p>
        </w:tc>
        <w:tc>
          <w:tcPr>
            <w:tcW w:w="1320" w:type="dxa"/>
            <w:tcBorders>
              <w:top w:val="single" w:sz="6" w:space="0" w:color="auto"/>
            </w:tcBorders>
          </w:tcPr>
          <w:p w:rsidR="00000000" w:rsidRDefault="0031739B">
            <w:pPr>
              <w:spacing w:before="120" w:line="240" w:lineRule="auto"/>
              <w:jc w:val="center"/>
              <w:rPr>
                <w:sz w:val="21"/>
              </w:rPr>
            </w:pPr>
            <w:r>
              <w:rPr>
                <w:rFonts w:hint="eastAsia"/>
                <w:sz w:val="21"/>
              </w:rPr>
              <w:t>住</w:t>
            </w:r>
          </w:p>
        </w:tc>
        <w:tc>
          <w:tcPr>
            <w:tcW w:w="1216" w:type="dxa"/>
            <w:tcBorders>
              <w:top w:val="single" w:sz="6" w:space="0" w:color="auto"/>
              <w:bottom w:val="single" w:sz="6" w:space="0" w:color="auto"/>
              <w:right w:val="single" w:sz="6" w:space="0" w:color="auto"/>
            </w:tcBorders>
          </w:tcPr>
          <w:p w:rsidR="00000000" w:rsidRDefault="0031739B">
            <w:pPr>
              <w:spacing w:before="120" w:line="240" w:lineRule="auto"/>
              <w:jc w:val="center"/>
              <w:rPr>
                <w:sz w:val="21"/>
              </w:rPr>
            </w:pPr>
          </w:p>
        </w:tc>
      </w:tr>
      <w:tr w:rsidR="00000000">
        <w:tblPrEx>
          <w:tblCellMar>
            <w:top w:w="0" w:type="dxa"/>
            <w:bottom w:w="0" w:type="dxa"/>
          </w:tblCellMar>
        </w:tblPrEx>
        <w:tc>
          <w:tcPr>
            <w:tcW w:w="1708" w:type="dxa"/>
            <w:tcBorders>
              <w:left w:val="single" w:sz="6" w:space="0" w:color="auto"/>
            </w:tcBorders>
          </w:tcPr>
          <w:p w:rsidR="00000000" w:rsidRDefault="0031739B">
            <w:pPr>
              <w:spacing w:before="120" w:line="240" w:lineRule="auto"/>
              <w:jc w:val="center"/>
              <w:rPr>
                <w:sz w:val="21"/>
              </w:rPr>
            </w:pPr>
          </w:p>
        </w:tc>
        <w:tc>
          <w:tcPr>
            <w:tcW w:w="1463" w:type="dxa"/>
            <w:tcBorders>
              <w:left w:val="single" w:sz="6" w:space="0" w:color="auto"/>
              <w:right w:val="single" w:sz="6" w:space="0" w:color="auto"/>
            </w:tcBorders>
          </w:tcPr>
          <w:p w:rsidR="00000000" w:rsidRDefault="0031739B">
            <w:pPr>
              <w:spacing w:before="120" w:line="240" w:lineRule="auto"/>
              <w:jc w:val="center"/>
              <w:rPr>
                <w:sz w:val="21"/>
              </w:rPr>
            </w:pPr>
          </w:p>
        </w:tc>
        <w:tc>
          <w:tcPr>
            <w:tcW w:w="1341" w:type="dxa"/>
            <w:tcBorders>
              <w:left w:val="nil"/>
            </w:tcBorders>
          </w:tcPr>
          <w:p w:rsidR="00000000" w:rsidRDefault="0031739B">
            <w:pPr>
              <w:spacing w:before="120" w:line="240" w:lineRule="auto"/>
              <w:jc w:val="center"/>
              <w:rPr>
                <w:sz w:val="21"/>
              </w:rPr>
            </w:pPr>
          </w:p>
        </w:tc>
        <w:tc>
          <w:tcPr>
            <w:tcW w:w="1156" w:type="dxa"/>
            <w:tcBorders>
              <w:left w:val="single" w:sz="6" w:space="0" w:color="auto"/>
              <w:right w:val="single" w:sz="6" w:space="0" w:color="auto"/>
            </w:tcBorders>
          </w:tcPr>
          <w:p w:rsidR="00000000" w:rsidRDefault="0031739B">
            <w:pPr>
              <w:spacing w:before="120" w:line="240" w:lineRule="auto"/>
              <w:jc w:val="center"/>
              <w:rPr>
                <w:sz w:val="21"/>
              </w:rPr>
            </w:pPr>
            <w:r>
              <w:rPr>
                <w:rFonts w:hint="eastAsia"/>
                <w:sz w:val="21"/>
              </w:rPr>
              <w:t>公</w:t>
            </w:r>
            <w:r>
              <w:rPr>
                <w:sz w:val="21"/>
              </w:rPr>
              <w:t xml:space="preserve"> </w:t>
            </w:r>
            <w:r>
              <w:rPr>
                <w:rFonts w:hint="eastAsia"/>
                <w:sz w:val="21"/>
              </w:rPr>
              <w:t>地</w:t>
            </w:r>
          </w:p>
        </w:tc>
        <w:tc>
          <w:tcPr>
            <w:tcW w:w="1200" w:type="dxa"/>
            <w:tcBorders>
              <w:left w:val="nil"/>
            </w:tcBorders>
          </w:tcPr>
          <w:p w:rsidR="00000000" w:rsidRDefault="0031739B">
            <w:pPr>
              <w:spacing w:before="120" w:line="240" w:lineRule="auto"/>
              <w:jc w:val="center"/>
              <w:rPr>
                <w:sz w:val="21"/>
              </w:rPr>
            </w:pPr>
            <w:r>
              <w:rPr>
                <w:rFonts w:hint="eastAsia"/>
                <w:sz w:val="21"/>
              </w:rPr>
              <w:t>国有公司</w:t>
            </w:r>
          </w:p>
        </w:tc>
        <w:tc>
          <w:tcPr>
            <w:tcW w:w="1320" w:type="dxa"/>
            <w:tcBorders>
              <w:top w:val="single" w:sz="6" w:space="0" w:color="auto"/>
              <w:left w:val="single" w:sz="6" w:space="0" w:color="auto"/>
              <w:right w:val="single" w:sz="6" w:space="0" w:color="auto"/>
            </w:tcBorders>
          </w:tcPr>
          <w:p w:rsidR="00000000" w:rsidRDefault="0031739B">
            <w:pPr>
              <w:spacing w:before="120" w:line="240" w:lineRule="auto"/>
              <w:jc w:val="center"/>
              <w:rPr>
                <w:sz w:val="21"/>
              </w:rPr>
            </w:pPr>
            <w:r>
              <w:rPr>
                <w:rFonts w:hint="eastAsia"/>
                <w:sz w:val="21"/>
              </w:rPr>
              <w:t>私</w:t>
            </w:r>
            <w:r>
              <w:rPr>
                <w:sz w:val="21"/>
              </w:rPr>
              <w:t xml:space="preserve"> </w:t>
            </w:r>
            <w:r>
              <w:rPr>
                <w:rFonts w:hint="eastAsia"/>
                <w:sz w:val="21"/>
              </w:rPr>
              <w:t>有</w:t>
            </w:r>
          </w:p>
        </w:tc>
        <w:tc>
          <w:tcPr>
            <w:tcW w:w="1216" w:type="dxa"/>
            <w:tcBorders>
              <w:left w:val="nil"/>
              <w:right w:val="single" w:sz="6" w:space="0" w:color="auto"/>
            </w:tcBorders>
          </w:tcPr>
          <w:p w:rsidR="00000000" w:rsidRDefault="0031739B">
            <w:pPr>
              <w:spacing w:before="120" w:line="240" w:lineRule="auto"/>
              <w:jc w:val="center"/>
              <w:rPr>
                <w:sz w:val="21"/>
              </w:rPr>
            </w:pPr>
            <w:r>
              <w:rPr>
                <w:rFonts w:hint="eastAsia"/>
                <w:sz w:val="21"/>
              </w:rPr>
              <w:t>公司住宅房</w:t>
            </w:r>
          </w:p>
        </w:tc>
      </w:tr>
      <w:tr w:rsidR="00000000">
        <w:tblPrEx>
          <w:tblCellMar>
            <w:top w:w="0" w:type="dxa"/>
            <w:bottom w:w="0" w:type="dxa"/>
          </w:tblCellMar>
        </w:tblPrEx>
        <w:tc>
          <w:tcPr>
            <w:tcW w:w="1708" w:type="dxa"/>
            <w:tcBorders>
              <w:top w:val="single" w:sz="6" w:space="0" w:color="auto"/>
              <w:left w:val="single" w:sz="6" w:space="0" w:color="auto"/>
            </w:tcBorders>
          </w:tcPr>
          <w:p w:rsidR="00000000" w:rsidRDefault="0031739B">
            <w:pPr>
              <w:spacing w:before="120"/>
              <w:jc w:val="center"/>
              <w:rPr>
                <w:sz w:val="21"/>
              </w:rPr>
            </w:pPr>
            <w:r>
              <w:rPr>
                <w:sz w:val="21"/>
              </w:rPr>
              <w:t>-1944</w:t>
            </w:r>
          </w:p>
        </w:tc>
        <w:tc>
          <w:tcPr>
            <w:tcW w:w="1463" w:type="dxa"/>
            <w:tcBorders>
              <w:top w:val="single" w:sz="6" w:space="0" w:color="auto"/>
              <w:left w:val="single" w:sz="6" w:space="0" w:color="auto"/>
              <w:right w:val="single" w:sz="6" w:space="0" w:color="auto"/>
            </w:tcBorders>
          </w:tcPr>
          <w:p w:rsidR="00000000" w:rsidRDefault="0031739B">
            <w:pPr>
              <w:tabs>
                <w:tab w:val="clear" w:pos="510"/>
                <w:tab w:val="clear" w:pos="1021"/>
                <w:tab w:val="clear" w:pos="1531"/>
                <w:tab w:val="clear" w:pos="2041"/>
                <w:tab w:val="decimal" w:pos="1172"/>
              </w:tabs>
              <w:spacing w:before="120"/>
              <w:ind w:right="-5"/>
              <w:rPr>
                <w:sz w:val="21"/>
              </w:rPr>
            </w:pPr>
            <w:r>
              <w:rPr>
                <w:sz w:val="21"/>
              </w:rPr>
              <w:t>2,144,300</w:t>
            </w:r>
          </w:p>
        </w:tc>
        <w:tc>
          <w:tcPr>
            <w:tcW w:w="1341" w:type="dxa"/>
            <w:tcBorders>
              <w:top w:val="single" w:sz="6" w:space="0" w:color="auto"/>
              <w:left w:val="nil"/>
            </w:tcBorders>
          </w:tcPr>
          <w:p w:rsidR="00000000" w:rsidRDefault="0031739B">
            <w:pPr>
              <w:tabs>
                <w:tab w:val="clear" w:pos="510"/>
                <w:tab w:val="clear" w:pos="1021"/>
                <w:tab w:val="clear" w:pos="1531"/>
                <w:tab w:val="clear" w:pos="2041"/>
                <w:tab w:val="decimal" w:pos="1029"/>
              </w:tabs>
              <w:spacing w:before="120"/>
              <w:ind w:right="-5"/>
              <w:rPr>
                <w:sz w:val="21"/>
              </w:rPr>
            </w:pPr>
            <w:r>
              <w:rPr>
                <w:sz w:val="21"/>
              </w:rPr>
              <w:t>1,798,300</w:t>
            </w:r>
          </w:p>
        </w:tc>
        <w:tc>
          <w:tcPr>
            <w:tcW w:w="1156" w:type="dxa"/>
            <w:tcBorders>
              <w:top w:val="single" w:sz="6" w:space="0" w:color="auto"/>
              <w:left w:val="single" w:sz="6" w:space="0" w:color="auto"/>
              <w:right w:val="single" w:sz="6" w:space="0" w:color="auto"/>
            </w:tcBorders>
          </w:tcPr>
          <w:p w:rsidR="00000000" w:rsidRDefault="0031739B">
            <w:pPr>
              <w:tabs>
                <w:tab w:val="clear" w:pos="510"/>
                <w:tab w:val="clear" w:pos="1021"/>
                <w:tab w:val="clear" w:pos="1531"/>
                <w:tab w:val="clear" w:pos="2041"/>
                <w:tab w:val="decimal" w:pos="888"/>
              </w:tabs>
              <w:spacing w:before="120"/>
              <w:ind w:right="-5"/>
              <w:rPr>
                <w:sz w:val="21"/>
              </w:rPr>
            </w:pPr>
            <w:r>
              <w:rPr>
                <w:sz w:val="21"/>
              </w:rPr>
              <w:t>2,600</w:t>
            </w:r>
          </w:p>
        </w:tc>
        <w:tc>
          <w:tcPr>
            <w:tcW w:w="1200" w:type="dxa"/>
            <w:tcBorders>
              <w:top w:val="single" w:sz="6" w:space="0" w:color="auto"/>
              <w:left w:val="nil"/>
            </w:tcBorders>
          </w:tcPr>
          <w:p w:rsidR="00000000" w:rsidRDefault="0031739B">
            <w:pPr>
              <w:tabs>
                <w:tab w:val="clear" w:pos="510"/>
                <w:tab w:val="clear" w:pos="1021"/>
                <w:tab w:val="clear" w:pos="1531"/>
                <w:tab w:val="clear" w:pos="2041"/>
                <w:tab w:val="decimal" w:pos="932"/>
              </w:tabs>
              <w:spacing w:before="120"/>
              <w:ind w:right="-5"/>
              <w:rPr>
                <w:sz w:val="21"/>
              </w:rPr>
            </w:pPr>
            <w:r>
              <w:rPr>
                <w:sz w:val="21"/>
              </w:rPr>
              <w:t>---</w:t>
            </w:r>
          </w:p>
        </w:tc>
        <w:tc>
          <w:tcPr>
            <w:tcW w:w="1320" w:type="dxa"/>
            <w:tcBorders>
              <w:top w:val="single" w:sz="6" w:space="0" w:color="auto"/>
              <w:left w:val="single" w:sz="6" w:space="0" w:color="auto"/>
              <w:right w:val="single" w:sz="6" w:space="0" w:color="auto"/>
            </w:tcBorders>
          </w:tcPr>
          <w:p w:rsidR="00000000" w:rsidRDefault="0031739B">
            <w:pPr>
              <w:tabs>
                <w:tab w:val="clear" w:pos="510"/>
                <w:tab w:val="clear" w:pos="1021"/>
                <w:tab w:val="clear" w:pos="1531"/>
                <w:tab w:val="clear" w:pos="2041"/>
                <w:tab w:val="decimal" w:pos="1052"/>
              </w:tabs>
              <w:spacing w:before="120"/>
              <w:ind w:right="-5"/>
              <w:rPr>
                <w:sz w:val="21"/>
              </w:rPr>
            </w:pPr>
            <w:r>
              <w:rPr>
                <w:sz w:val="21"/>
              </w:rPr>
              <w:t>325,100</w:t>
            </w:r>
          </w:p>
        </w:tc>
        <w:tc>
          <w:tcPr>
            <w:tcW w:w="1216" w:type="dxa"/>
            <w:tcBorders>
              <w:top w:val="single" w:sz="6" w:space="0" w:color="auto"/>
              <w:left w:val="nil"/>
              <w:right w:val="single" w:sz="6" w:space="0" w:color="auto"/>
            </w:tcBorders>
          </w:tcPr>
          <w:p w:rsidR="00000000" w:rsidRDefault="0031739B">
            <w:pPr>
              <w:tabs>
                <w:tab w:val="clear" w:pos="510"/>
                <w:tab w:val="clear" w:pos="1021"/>
                <w:tab w:val="clear" w:pos="1531"/>
                <w:tab w:val="clear" w:pos="2041"/>
                <w:tab w:val="decimal" w:pos="932"/>
              </w:tabs>
              <w:spacing w:before="120"/>
              <w:ind w:right="-5"/>
              <w:rPr>
                <w:sz w:val="21"/>
              </w:rPr>
            </w:pPr>
            <w:r>
              <w:rPr>
                <w:sz w:val="21"/>
              </w:rPr>
              <w:t>18,200</w:t>
            </w:r>
          </w:p>
        </w:tc>
      </w:tr>
      <w:tr w:rsidR="00000000">
        <w:tblPrEx>
          <w:tblCellMar>
            <w:top w:w="0" w:type="dxa"/>
            <w:bottom w:w="0" w:type="dxa"/>
          </w:tblCellMar>
        </w:tblPrEx>
        <w:tc>
          <w:tcPr>
            <w:tcW w:w="1708" w:type="dxa"/>
            <w:tcBorders>
              <w:left w:val="single" w:sz="6" w:space="0" w:color="auto"/>
            </w:tcBorders>
          </w:tcPr>
          <w:p w:rsidR="00000000" w:rsidRDefault="0031739B">
            <w:pPr>
              <w:jc w:val="center"/>
              <w:rPr>
                <w:sz w:val="21"/>
              </w:rPr>
            </w:pPr>
            <w:r>
              <w:rPr>
                <w:sz w:val="21"/>
              </w:rPr>
              <w:t>1945-1950</w:t>
            </w:r>
          </w:p>
        </w:tc>
        <w:tc>
          <w:tcPr>
            <w:tcW w:w="1463" w:type="dxa"/>
            <w:tcBorders>
              <w:left w:val="single" w:sz="6" w:space="0" w:color="auto"/>
              <w:right w:val="single" w:sz="6" w:space="0" w:color="auto"/>
            </w:tcBorders>
          </w:tcPr>
          <w:p w:rsidR="00000000" w:rsidRDefault="0031739B">
            <w:pPr>
              <w:tabs>
                <w:tab w:val="clear" w:pos="510"/>
                <w:tab w:val="clear" w:pos="1021"/>
                <w:tab w:val="clear" w:pos="1531"/>
                <w:tab w:val="clear" w:pos="2041"/>
                <w:tab w:val="decimal" w:pos="1172"/>
              </w:tabs>
              <w:ind w:right="-5"/>
              <w:rPr>
                <w:sz w:val="21"/>
              </w:rPr>
            </w:pPr>
            <w:r>
              <w:rPr>
                <w:sz w:val="21"/>
              </w:rPr>
              <w:t>824,500</w:t>
            </w:r>
          </w:p>
        </w:tc>
        <w:tc>
          <w:tcPr>
            <w:tcW w:w="1341" w:type="dxa"/>
            <w:tcBorders>
              <w:left w:val="nil"/>
            </w:tcBorders>
          </w:tcPr>
          <w:p w:rsidR="00000000" w:rsidRDefault="0031739B">
            <w:pPr>
              <w:tabs>
                <w:tab w:val="clear" w:pos="510"/>
                <w:tab w:val="clear" w:pos="1021"/>
                <w:tab w:val="clear" w:pos="1531"/>
                <w:tab w:val="clear" w:pos="2041"/>
                <w:tab w:val="decimal" w:pos="1029"/>
              </w:tabs>
              <w:ind w:right="-5"/>
              <w:rPr>
                <w:sz w:val="21"/>
              </w:rPr>
            </w:pPr>
            <w:r>
              <w:rPr>
                <w:sz w:val="21"/>
              </w:rPr>
              <w:t>629,600</w:t>
            </w:r>
          </w:p>
        </w:tc>
        <w:tc>
          <w:tcPr>
            <w:tcW w:w="1156" w:type="dxa"/>
            <w:tcBorders>
              <w:left w:val="single" w:sz="6" w:space="0" w:color="auto"/>
              <w:right w:val="single" w:sz="6" w:space="0" w:color="auto"/>
            </w:tcBorders>
          </w:tcPr>
          <w:p w:rsidR="00000000" w:rsidRDefault="0031739B">
            <w:pPr>
              <w:tabs>
                <w:tab w:val="clear" w:pos="510"/>
                <w:tab w:val="clear" w:pos="1021"/>
                <w:tab w:val="clear" w:pos="1531"/>
                <w:tab w:val="clear" w:pos="2041"/>
                <w:tab w:val="decimal" w:pos="888"/>
              </w:tabs>
              <w:ind w:right="-5"/>
              <w:rPr>
                <w:sz w:val="21"/>
              </w:rPr>
            </w:pPr>
            <w:r>
              <w:rPr>
                <w:sz w:val="21"/>
              </w:rPr>
              <w:t>9,300</w:t>
            </w:r>
          </w:p>
        </w:tc>
        <w:tc>
          <w:tcPr>
            <w:tcW w:w="1200" w:type="dxa"/>
            <w:tcBorders>
              <w:left w:val="nil"/>
            </w:tcBorders>
          </w:tcPr>
          <w:p w:rsidR="00000000" w:rsidRDefault="0031739B">
            <w:pPr>
              <w:tabs>
                <w:tab w:val="clear" w:pos="510"/>
                <w:tab w:val="clear" w:pos="1021"/>
                <w:tab w:val="clear" w:pos="1531"/>
                <w:tab w:val="clear" w:pos="2041"/>
                <w:tab w:val="decimal" w:pos="932"/>
              </w:tabs>
              <w:ind w:right="-5"/>
              <w:rPr>
                <w:sz w:val="21"/>
              </w:rPr>
            </w:pPr>
            <w:r>
              <w:rPr>
                <w:sz w:val="21"/>
              </w:rPr>
              <w:t>---</w:t>
            </w:r>
          </w:p>
        </w:tc>
        <w:tc>
          <w:tcPr>
            <w:tcW w:w="1320" w:type="dxa"/>
            <w:tcBorders>
              <w:left w:val="single" w:sz="6" w:space="0" w:color="auto"/>
              <w:right w:val="single" w:sz="6" w:space="0" w:color="auto"/>
            </w:tcBorders>
          </w:tcPr>
          <w:p w:rsidR="00000000" w:rsidRDefault="0031739B">
            <w:pPr>
              <w:tabs>
                <w:tab w:val="clear" w:pos="510"/>
                <w:tab w:val="clear" w:pos="1021"/>
                <w:tab w:val="clear" w:pos="1531"/>
                <w:tab w:val="clear" w:pos="2041"/>
                <w:tab w:val="decimal" w:pos="1052"/>
              </w:tabs>
              <w:ind w:right="-5"/>
              <w:rPr>
                <w:sz w:val="21"/>
              </w:rPr>
            </w:pPr>
            <w:r>
              <w:rPr>
                <w:sz w:val="21"/>
              </w:rPr>
              <w:t>173,400</w:t>
            </w:r>
          </w:p>
        </w:tc>
        <w:tc>
          <w:tcPr>
            <w:tcW w:w="1216" w:type="dxa"/>
            <w:tcBorders>
              <w:left w:val="nil"/>
              <w:right w:val="single" w:sz="6" w:space="0" w:color="auto"/>
            </w:tcBorders>
          </w:tcPr>
          <w:p w:rsidR="00000000" w:rsidRDefault="0031739B">
            <w:pPr>
              <w:tabs>
                <w:tab w:val="clear" w:pos="510"/>
                <w:tab w:val="clear" w:pos="1021"/>
                <w:tab w:val="clear" w:pos="1531"/>
                <w:tab w:val="clear" w:pos="2041"/>
                <w:tab w:val="decimal" w:pos="932"/>
              </w:tabs>
              <w:ind w:right="-5"/>
              <w:rPr>
                <w:sz w:val="21"/>
              </w:rPr>
            </w:pPr>
            <w:r>
              <w:rPr>
                <w:sz w:val="21"/>
              </w:rPr>
              <w:t>12,100</w:t>
            </w:r>
          </w:p>
        </w:tc>
      </w:tr>
      <w:tr w:rsidR="00000000">
        <w:tblPrEx>
          <w:tblCellMar>
            <w:top w:w="0" w:type="dxa"/>
            <w:bottom w:w="0" w:type="dxa"/>
          </w:tblCellMar>
        </w:tblPrEx>
        <w:tc>
          <w:tcPr>
            <w:tcW w:w="1708" w:type="dxa"/>
            <w:tcBorders>
              <w:left w:val="single" w:sz="6" w:space="0" w:color="auto"/>
            </w:tcBorders>
          </w:tcPr>
          <w:p w:rsidR="00000000" w:rsidRDefault="0031739B">
            <w:pPr>
              <w:jc w:val="center"/>
              <w:rPr>
                <w:sz w:val="21"/>
              </w:rPr>
            </w:pPr>
            <w:r>
              <w:rPr>
                <w:sz w:val="21"/>
              </w:rPr>
              <w:t>1951-1960</w:t>
            </w:r>
          </w:p>
        </w:tc>
        <w:tc>
          <w:tcPr>
            <w:tcW w:w="1463" w:type="dxa"/>
            <w:tcBorders>
              <w:left w:val="single" w:sz="6" w:space="0" w:color="auto"/>
              <w:right w:val="single" w:sz="6" w:space="0" w:color="auto"/>
            </w:tcBorders>
          </w:tcPr>
          <w:p w:rsidR="00000000" w:rsidRDefault="0031739B">
            <w:pPr>
              <w:tabs>
                <w:tab w:val="clear" w:pos="510"/>
                <w:tab w:val="clear" w:pos="1021"/>
                <w:tab w:val="clear" w:pos="1531"/>
                <w:tab w:val="clear" w:pos="2041"/>
                <w:tab w:val="decimal" w:pos="1172"/>
              </w:tabs>
              <w:ind w:right="-5"/>
              <w:rPr>
                <w:sz w:val="21"/>
              </w:rPr>
            </w:pPr>
            <w:r>
              <w:rPr>
                <w:sz w:val="21"/>
              </w:rPr>
              <w:t>2,373,100</w:t>
            </w:r>
          </w:p>
        </w:tc>
        <w:tc>
          <w:tcPr>
            <w:tcW w:w="1341" w:type="dxa"/>
            <w:tcBorders>
              <w:left w:val="nil"/>
            </w:tcBorders>
          </w:tcPr>
          <w:p w:rsidR="00000000" w:rsidRDefault="0031739B">
            <w:pPr>
              <w:tabs>
                <w:tab w:val="clear" w:pos="510"/>
                <w:tab w:val="clear" w:pos="1021"/>
                <w:tab w:val="clear" w:pos="1531"/>
                <w:tab w:val="clear" w:pos="2041"/>
                <w:tab w:val="decimal" w:pos="1029"/>
              </w:tabs>
              <w:ind w:right="-5"/>
              <w:rPr>
                <w:sz w:val="21"/>
              </w:rPr>
            </w:pPr>
            <w:r>
              <w:rPr>
                <w:sz w:val="21"/>
              </w:rPr>
              <w:t>1,542,900</w:t>
            </w:r>
          </w:p>
        </w:tc>
        <w:tc>
          <w:tcPr>
            <w:tcW w:w="1156" w:type="dxa"/>
            <w:tcBorders>
              <w:left w:val="single" w:sz="6" w:space="0" w:color="auto"/>
              <w:right w:val="single" w:sz="6" w:space="0" w:color="auto"/>
            </w:tcBorders>
          </w:tcPr>
          <w:p w:rsidR="00000000" w:rsidRDefault="0031739B">
            <w:pPr>
              <w:tabs>
                <w:tab w:val="clear" w:pos="510"/>
                <w:tab w:val="clear" w:pos="1021"/>
                <w:tab w:val="clear" w:pos="1531"/>
                <w:tab w:val="clear" w:pos="2041"/>
                <w:tab w:val="decimal" w:pos="888"/>
              </w:tabs>
              <w:ind w:right="-5"/>
              <w:rPr>
                <w:sz w:val="21"/>
              </w:rPr>
            </w:pPr>
            <w:r>
              <w:rPr>
                <w:sz w:val="21"/>
              </w:rPr>
              <w:t>144,100</w:t>
            </w:r>
          </w:p>
        </w:tc>
        <w:tc>
          <w:tcPr>
            <w:tcW w:w="1200" w:type="dxa"/>
            <w:tcBorders>
              <w:left w:val="nil"/>
            </w:tcBorders>
          </w:tcPr>
          <w:p w:rsidR="00000000" w:rsidRDefault="0031739B">
            <w:pPr>
              <w:tabs>
                <w:tab w:val="clear" w:pos="510"/>
                <w:tab w:val="clear" w:pos="1021"/>
                <w:tab w:val="clear" w:pos="1531"/>
                <w:tab w:val="clear" w:pos="2041"/>
                <w:tab w:val="decimal" w:pos="932"/>
              </w:tabs>
              <w:ind w:right="-5"/>
              <w:rPr>
                <w:sz w:val="21"/>
              </w:rPr>
            </w:pPr>
            <w:r>
              <w:rPr>
                <w:sz w:val="21"/>
              </w:rPr>
              <w:t>73,700</w:t>
            </w:r>
          </w:p>
        </w:tc>
        <w:tc>
          <w:tcPr>
            <w:tcW w:w="1320" w:type="dxa"/>
            <w:tcBorders>
              <w:left w:val="single" w:sz="6" w:space="0" w:color="auto"/>
              <w:right w:val="single" w:sz="6" w:space="0" w:color="auto"/>
            </w:tcBorders>
          </w:tcPr>
          <w:p w:rsidR="00000000" w:rsidRDefault="0031739B">
            <w:pPr>
              <w:tabs>
                <w:tab w:val="clear" w:pos="510"/>
                <w:tab w:val="clear" w:pos="1021"/>
                <w:tab w:val="clear" w:pos="1531"/>
                <w:tab w:val="clear" w:pos="2041"/>
                <w:tab w:val="decimal" w:pos="1052"/>
              </w:tabs>
              <w:ind w:right="-5"/>
              <w:rPr>
                <w:sz w:val="21"/>
              </w:rPr>
            </w:pPr>
            <w:r>
              <w:rPr>
                <w:sz w:val="21"/>
              </w:rPr>
              <w:t>515,000</w:t>
            </w:r>
          </w:p>
        </w:tc>
        <w:tc>
          <w:tcPr>
            <w:tcW w:w="1216" w:type="dxa"/>
            <w:tcBorders>
              <w:left w:val="nil"/>
              <w:right w:val="single" w:sz="6" w:space="0" w:color="auto"/>
            </w:tcBorders>
          </w:tcPr>
          <w:p w:rsidR="00000000" w:rsidRDefault="0031739B">
            <w:pPr>
              <w:tabs>
                <w:tab w:val="clear" w:pos="510"/>
                <w:tab w:val="clear" w:pos="1021"/>
                <w:tab w:val="clear" w:pos="1531"/>
                <w:tab w:val="clear" w:pos="2041"/>
                <w:tab w:val="decimal" w:pos="932"/>
              </w:tabs>
              <w:ind w:right="-5"/>
              <w:rPr>
                <w:sz w:val="21"/>
              </w:rPr>
            </w:pPr>
            <w:r>
              <w:rPr>
                <w:sz w:val="21"/>
              </w:rPr>
              <w:t>97,400</w:t>
            </w:r>
          </w:p>
        </w:tc>
      </w:tr>
      <w:tr w:rsidR="00000000">
        <w:tblPrEx>
          <w:tblCellMar>
            <w:top w:w="0" w:type="dxa"/>
            <w:bottom w:w="0" w:type="dxa"/>
          </w:tblCellMar>
        </w:tblPrEx>
        <w:tc>
          <w:tcPr>
            <w:tcW w:w="1708" w:type="dxa"/>
            <w:tcBorders>
              <w:left w:val="single" w:sz="6" w:space="0" w:color="auto"/>
            </w:tcBorders>
          </w:tcPr>
          <w:p w:rsidR="00000000" w:rsidRDefault="0031739B">
            <w:pPr>
              <w:jc w:val="center"/>
              <w:rPr>
                <w:sz w:val="21"/>
              </w:rPr>
            </w:pPr>
            <w:r>
              <w:rPr>
                <w:sz w:val="21"/>
              </w:rPr>
              <w:t>1961-1970</w:t>
            </w:r>
          </w:p>
        </w:tc>
        <w:tc>
          <w:tcPr>
            <w:tcW w:w="1463" w:type="dxa"/>
            <w:tcBorders>
              <w:left w:val="single" w:sz="6" w:space="0" w:color="auto"/>
              <w:right w:val="single" w:sz="6" w:space="0" w:color="auto"/>
            </w:tcBorders>
          </w:tcPr>
          <w:p w:rsidR="00000000" w:rsidRDefault="0031739B">
            <w:pPr>
              <w:tabs>
                <w:tab w:val="clear" w:pos="510"/>
                <w:tab w:val="clear" w:pos="1021"/>
                <w:tab w:val="clear" w:pos="1531"/>
                <w:tab w:val="clear" w:pos="2041"/>
                <w:tab w:val="decimal" w:pos="1172"/>
              </w:tabs>
              <w:ind w:right="-5"/>
              <w:rPr>
                <w:sz w:val="21"/>
              </w:rPr>
            </w:pPr>
            <w:r>
              <w:rPr>
                <w:sz w:val="21"/>
              </w:rPr>
              <w:t>6,489,000</w:t>
            </w:r>
          </w:p>
        </w:tc>
        <w:tc>
          <w:tcPr>
            <w:tcW w:w="1341" w:type="dxa"/>
            <w:tcBorders>
              <w:left w:val="nil"/>
            </w:tcBorders>
          </w:tcPr>
          <w:p w:rsidR="00000000" w:rsidRDefault="0031739B">
            <w:pPr>
              <w:tabs>
                <w:tab w:val="clear" w:pos="510"/>
                <w:tab w:val="clear" w:pos="1021"/>
                <w:tab w:val="clear" w:pos="1531"/>
                <w:tab w:val="clear" w:pos="2041"/>
                <w:tab w:val="decimal" w:pos="1029"/>
              </w:tabs>
              <w:ind w:right="-5"/>
              <w:rPr>
                <w:sz w:val="21"/>
              </w:rPr>
            </w:pPr>
            <w:r>
              <w:rPr>
                <w:sz w:val="21"/>
              </w:rPr>
              <w:t>3,705,600</w:t>
            </w:r>
          </w:p>
        </w:tc>
        <w:tc>
          <w:tcPr>
            <w:tcW w:w="1156" w:type="dxa"/>
            <w:tcBorders>
              <w:left w:val="single" w:sz="6" w:space="0" w:color="auto"/>
              <w:right w:val="single" w:sz="6" w:space="0" w:color="auto"/>
            </w:tcBorders>
          </w:tcPr>
          <w:p w:rsidR="00000000" w:rsidRDefault="0031739B">
            <w:pPr>
              <w:tabs>
                <w:tab w:val="clear" w:pos="510"/>
                <w:tab w:val="clear" w:pos="1021"/>
                <w:tab w:val="clear" w:pos="1531"/>
                <w:tab w:val="clear" w:pos="2041"/>
                <w:tab w:val="decimal" w:pos="888"/>
              </w:tabs>
              <w:ind w:right="-5"/>
              <w:rPr>
                <w:sz w:val="21"/>
              </w:rPr>
            </w:pPr>
            <w:r>
              <w:rPr>
                <w:sz w:val="21"/>
              </w:rPr>
              <w:t>533,800</w:t>
            </w:r>
          </w:p>
        </w:tc>
        <w:tc>
          <w:tcPr>
            <w:tcW w:w="1200" w:type="dxa"/>
            <w:tcBorders>
              <w:left w:val="nil"/>
            </w:tcBorders>
          </w:tcPr>
          <w:p w:rsidR="00000000" w:rsidRDefault="0031739B">
            <w:pPr>
              <w:tabs>
                <w:tab w:val="clear" w:pos="510"/>
                <w:tab w:val="clear" w:pos="1021"/>
                <w:tab w:val="clear" w:pos="1531"/>
                <w:tab w:val="clear" w:pos="2041"/>
                <w:tab w:val="decimal" w:pos="932"/>
              </w:tabs>
              <w:ind w:right="-5"/>
              <w:rPr>
                <w:sz w:val="21"/>
              </w:rPr>
            </w:pPr>
            <w:r>
              <w:rPr>
                <w:sz w:val="21"/>
              </w:rPr>
              <w:t>318,900</w:t>
            </w:r>
          </w:p>
        </w:tc>
        <w:tc>
          <w:tcPr>
            <w:tcW w:w="1320" w:type="dxa"/>
            <w:tcBorders>
              <w:left w:val="single" w:sz="6" w:space="0" w:color="auto"/>
              <w:right w:val="single" w:sz="6" w:space="0" w:color="auto"/>
            </w:tcBorders>
          </w:tcPr>
          <w:p w:rsidR="00000000" w:rsidRDefault="0031739B">
            <w:pPr>
              <w:tabs>
                <w:tab w:val="clear" w:pos="510"/>
                <w:tab w:val="clear" w:pos="1021"/>
                <w:tab w:val="clear" w:pos="1531"/>
                <w:tab w:val="clear" w:pos="2041"/>
                <w:tab w:val="decimal" w:pos="1052"/>
              </w:tabs>
              <w:ind w:right="-5"/>
              <w:rPr>
                <w:sz w:val="21"/>
              </w:rPr>
            </w:pPr>
            <w:r>
              <w:rPr>
                <w:sz w:val="21"/>
              </w:rPr>
              <w:t>1,491,000</w:t>
            </w:r>
          </w:p>
        </w:tc>
        <w:tc>
          <w:tcPr>
            <w:tcW w:w="1216" w:type="dxa"/>
            <w:tcBorders>
              <w:left w:val="nil"/>
              <w:right w:val="single" w:sz="6" w:space="0" w:color="auto"/>
            </w:tcBorders>
          </w:tcPr>
          <w:p w:rsidR="00000000" w:rsidRDefault="0031739B">
            <w:pPr>
              <w:tabs>
                <w:tab w:val="clear" w:pos="510"/>
                <w:tab w:val="clear" w:pos="1021"/>
                <w:tab w:val="clear" w:pos="1531"/>
                <w:tab w:val="clear" w:pos="2041"/>
                <w:tab w:val="decimal" w:pos="932"/>
              </w:tabs>
              <w:ind w:right="-5"/>
              <w:rPr>
                <w:sz w:val="21"/>
              </w:rPr>
            </w:pPr>
            <w:r>
              <w:rPr>
                <w:sz w:val="21"/>
              </w:rPr>
              <w:t>439,700</w:t>
            </w:r>
          </w:p>
        </w:tc>
      </w:tr>
      <w:tr w:rsidR="00000000">
        <w:tblPrEx>
          <w:tblCellMar>
            <w:top w:w="0" w:type="dxa"/>
            <w:bottom w:w="0" w:type="dxa"/>
          </w:tblCellMar>
        </w:tblPrEx>
        <w:tc>
          <w:tcPr>
            <w:tcW w:w="1708" w:type="dxa"/>
            <w:tcBorders>
              <w:left w:val="single" w:sz="6" w:space="0" w:color="auto"/>
            </w:tcBorders>
          </w:tcPr>
          <w:p w:rsidR="00000000" w:rsidRDefault="0031739B">
            <w:pPr>
              <w:jc w:val="center"/>
              <w:rPr>
                <w:sz w:val="21"/>
              </w:rPr>
            </w:pPr>
            <w:r>
              <w:rPr>
                <w:sz w:val="21"/>
              </w:rPr>
              <w:t>1971-1975</w:t>
            </w:r>
          </w:p>
        </w:tc>
        <w:tc>
          <w:tcPr>
            <w:tcW w:w="1463" w:type="dxa"/>
            <w:tcBorders>
              <w:left w:val="single" w:sz="6" w:space="0" w:color="auto"/>
              <w:right w:val="single" w:sz="6" w:space="0" w:color="auto"/>
            </w:tcBorders>
          </w:tcPr>
          <w:p w:rsidR="00000000" w:rsidRDefault="0031739B">
            <w:pPr>
              <w:tabs>
                <w:tab w:val="clear" w:pos="510"/>
                <w:tab w:val="clear" w:pos="1021"/>
                <w:tab w:val="clear" w:pos="1531"/>
                <w:tab w:val="clear" w:pos="2041"/>
                <w:tab w:val="decimal" w:pos="1172"/>
              </w:tabs>
              <w:ind w:right="-5"/>
              <w:rPr>
                <w:sz w:val="21"/>
              </w:rPr>
            </w:pPr>
            <w:r>
              <w:rPr>
                <w:sz w:val="21"/>
              </w:rPr>
              <w:t>6,236,600</w:t>
            </w:r>
          </w:p>
        </w:tc>
        <w:tc>
          <w:tcPr>
            <w:tcW w:w="1341" w:type="dxa"/>
            <w:tcBorders>
              <w:left w:val="nil"/>
            </w:tcBorders>
          </w:tcPr>
          <w:p w:rsidR="00000000" w:rsidRDefault="0031739B">
            <w:pPr>
              <w:tabs>
                <w:tab w:val="clear" w:pos="510"/>
                <w:tab w:val="clear" w:pos="1021"/>
                <w:tab w:val="clear" w:pos="1531"/>
                <w:tab w:val="clear" w:pos="2041"/>
                <w:tab w:val="decimal" w:pos="1029"/>
              </w:tabs>
              <w:ind w:right="-5"/>
              <w:rPr>
                <w:sz w:val="21"/>
              </w:rPr>
            </w:pPr>
            <w:r>
              <w:rPr>
                <w:sz w:val="21"/>
              </w:rPr>
              <w:t>3,815,400</w:t>
            </w:r>
          </w:p>
        </w:tc>
        <w:tc>
          <w:tcPr>
            <w:tcW w:w="1156" w:type="dxa"/>
            <w:tcBorders>
              <w:left w:val="single" w:sz="6" w:space="0" w:color="auto"/>
              <w:right w:val="single" w:sz="6" w:space="0" w:color="auto"/>
            </w:tcBorders>
          </w:tcPr>
          <w:p w:rsidR="00000000" w:rsidRDefault="0031739B">
            <w:pPr>
              <w:tabs>
                <w:tab w:val="clear" w:pos="510"/>
                <w:tab w:val="clear" w:pos="1021"/>
                <w:tab w:val="clear" w:pos="1531"/>
                <w:tab w:val="clear" w:pos="2041"/>
                <w:tab w:val="decimal" w:pos="888"/>
              </w:tabs>
              <w:ind w:right="-5"/>
              <w:rPr>
                <w:sz w:val="21"/>
              </w:rPr>
            </w:pPr>
            <w:r>
              <w:rPr>
                <w:sz w:val="21"/>
              </w:rPr>
              <w:t>442,200</w:t>
            </w:r>
          </w:p>
        </w:tc>
        <w:tc>
          <w:tcPr>
            <w:tcW w:w="1200" w:type="dxa"/>
            <w:tcBorders>
              <w:left w:val="nil"/>
            </w:tcBorders>
          </w:tcPr>
          <w:p w:rsidR="00000000" w:rsidRDefault="0031739B">
            <w:pPr>
              <w:tabs>
                <w:tab w:val="clear" w:pos="510"/>
                <w:tab w:val="clear" w:pos="1021"/>
                <w:tab w:val="clear" w:pos="1531"/>
                <w:tab w:val="clear" w:pos="2041"/>
                <w:tab w:val="decimal" w:pos="932"/>
              </w:tabs>
              <w:ind w:right="-5"/>
              <w:rPr>
                <w:sz w:val="21"/>
              </w:rPr>
            </w:pPr>
            <w:r>
              <w:rPr>
                <w:sz w:val="21"/>
              </w:rPr>
              <w:t>203,700</w:t>
            </w:r>
          </w:p>
        </w:tc>
        <w:tc>
          <w:tcPr>
            <w:tcW w:w="1320" w:type="dxa"/>
            <w:tcBorders>
              <w:left w:val="single" w:sz="6" w:space="0" w:color="auto"/>
              <w:right w:val="single" w:sz="6" w:space="0" w:color="auto"/>
            </w:tcBorders>
          </w:tcPr>
          <w:p w:rsidR="00000000" w:rsidRDefault="0031739B">
            <w:pPr>
              <w:tabs>
                <w:tab w:val="clear" w:pos="510"/>
                <w:tab w:val="clear" w:pos="1021"/>
                <w:tab w:val="clear" w:pos="1531"/>
                <w:tab w:val="clear" w:pos="2041"/>
                <w:tab w:val="decimal" w:pos="1052"/>
              </w:tabs>
              <w:ind w:right="-5"/>
              <w:rPr>
                <w:sz w:val="21"/>
              </w:rPr>
            </w:pPr>
            <w:r>
              <w:rPr>
                <w:sz w:val="21"/>
              </w:rPr>
              <w:t>1,432,400</w:t>
            </w:r>
          </w:p>
        </w:tc>
        <w:tc>
          <w:tcPr>
            <w:tcW w:w="1216" w:type="dxa"/>
            <w:tcBorders>
              <w:left w:val="nil"/>
              <w:right w:val="single" w:sz="6" w:space="0" w:color="auto"/>
            </w:tcBorders>
          </w:tcPr>
          <w:p w:rsidR="00000000" w:rsidRDefault="0031739B">
            <w:pPr>
              <w:tabs>
                <w:tab w:val="clear" w:pos="510"/>
                <w:tab w:val="clear" w:pos="1021"/>
                <w:tab w:val="clear" w:pos="1531"/>
                <w:tab w:val="clear" w:pos="2041"/>
                <w:tab w:val="decimal" w:pos="932"/>
              </w:tabs>
              <w:ind w:right="-5"/>
              <w:rPr>
                <w:sz w:val="21"/>
              </w:rPr>
            </w:pPr>
            <w:r>
              <w:rPr>
                <w:sz w:val="21"/>
              </w:rPr>
              <w:t>34</w:t>
            </w:r>
            <w:r>
              <w:rPr>
                <w:sz w:val="21"/>
              </w:rPr>
              <w:t>2,900</w:t>
            </w:r>
          </w:p>
        </w:tc>
      </w:tr>
      <w:tr w:rsidR="00000000">
        <w:tblPrEx>
          <w:tblCellMar>
            <w:top w:w="0" w:type="dxa"/>
            <w:bottom w:w="0" w:type="dxa"/>
          </w:tblCellMar>
        </w:tblPrEx>
        <w:tc>
          <w:tcPr>
            <w:tcW w:w="1708" w:type="dxa"/>
            <w:tcBorders>
              <w:left w:val="single" w:sz="6" w:space="0" w:color="auto"/>
            </w:tcBorders>
          </w:tcPr>
          <w:p w:rsidR="00000000" w:rsidRDefault="0031739B">
            <w:pPr>
              <w:jc w:val="center"/>
              <w:rPr>
                <w:sz w:val="21"/>
              </w:rPr>
            </w:pPr>
            <w:r>
              <w:rPr>
                <w:sz w:val="21"/>
              </w:rPr>
              <w:t>1976-1980</w:t>
            </w:r>
          </w:p>
        </w:tc>
        <w:tc>
          <w:tcPr>
            <w:tcW w:w="1463" w:type="dxa"/>
            <w:tcBorders>
              <w:left w:val="single" w:sz="6" w:space="0" w:color="auto"/>
              <w:right w:val="single" w:sz="6" w:space="0" w:color="auto"/>
            </w:tcBorders>
          </w:tcPr>
          <w:p w:rsidR="00000000" w:rsidRDefault="0031739B">
            <w:pPr>
              <w:tabs>
                <w:tab w:val="clear" w:pos="510"/>
                <w:tab w:val="clear" w:pos="1021"/>
                <w:tab w:val="clear" w:pos="1531"/>
                <w:tab w:val="clear" w:pos="2041"/>
                <w:tab w:val="decimal" w:pos="1172"/>
              </w:tabs>
              <w:ind w:right="-5"/>
              <w:rPr>
                <w:sz w:val="21"/>
              </w:rPr>
            </w:pPr>
            <w:r>
              <w:rPr>
                <w:sz w:val="21"/>
              </w:rPr>
              <w:t>6,293,900</w:t>
            </w:r>
          </w:p>
        </w:tc>
        <w:tc>
          <w:tcPr>
            <w:tcW w:w="1341" w:type="dxa"/>
            <w:tcBorders>
              <w:left w:val="nil"/>
            </w:tcBorders>
          </w:tcPr>
          <w:p w:rsidR="00000000" w:rsidRDefault="0031739B">
            <w:pPr>
              <w:tabs>
                <w:tab w:val="clear" w:pos="510"/>
                <w:tab w:val="clear" w:pos="1021"/>
                <w:tab w:val="clear" w:pos="1531"/>
                <w:tab w:val="clear" w:pos="2041"/>
                <w:tab w:val="decimal" w:pos="1029"/>
              </w:tabs>
              <w:ind w:right="-5"/>
              <w:rPr>
                <w:sz w:val="21"/>
              </w:rPr>
            </w:pPr>
            <w:r>
              <w:rPr>
                <w:sz w:val="21"/>
              </w:rPr>
              <w:t>4,276,300</w:t>
            </w:r>
          </w:p>
        </w:tc>
        <w:tc>
          <w:tcPr>
            <w:tcW w:w="1156" w:type="dxa"/>
            <w:tcBorders>
              <w:left w:val="single" w:sz="6" w:space="0" w:color="auto"/>
              <w:right w:val="single" w:sz="6" w:space="0" w:color="auto"/>
            </w:tcBorders>
          </w:tcPr>
          <w:p w:rsidR="00000000" w:rsidRDefault="0031739B">
            <w:pPr>
              <w:tabs>
                <w:tab w:val="clear" w:pos="510"/>
                <w:tab w:val="clear" w:pos="1021"/>
                <w:tab w:val="clear" w:pos="1531"/>
                <w:tab w:val="clear" w:pos="2041"/>
                <w:tab w:val="decimal" w:pos="888"/>
              </w:tabs>
              <w:ind w:right="-5"/>
              <w:rPr>
                <w:sz w:val="21"/>
              </w:rPr>
            </w:pPr>
            <w:r>
              <w:rPr>
                <w:sz w:val="21"/>
              </w:rPr>
              <w:t>346,500</w:t>
            </w:r>
          </w:p>
        </w:tc>
        <w:tc>
          <w:tcPr>
            <w:tcW w:w="1200" w:type="dxa"/>
            <w:tcBorders>
              <w:left w:val="nil"/>
            </w:tcBorders>
          </w:tcPr>
          <w:p w:rsidR="00000000" w:rsidRDefault="0031739B">
            <w:pPr>
              <w:tabs>
                <w:tab w:val="clear" w:pos="510"/>
                <w:tab w:val="clear" w:pos="1021"/>
                <w:tab w:val="clear" w:pos="1531"/>
                <w:tab w:val="clear" w:pos="2041"/>
                <w:tab w:val="decimal" w:pos="932"/>
              </w:tabs>
              <w:ind w:right="-5"/>
              <w:rPr>
                <w:sz w:val="21"/>
              </w:rPr>
            </w:pPr>
            <w:r>
              <w:rPr>
                <w:sz w:val="21"/>
              </w:rPr>
              <w:t>116,600</w:t>
            </w:r>
          </w:p>
        </w:tc>
        <w:tc>
          <w:tcPr>
            <w:tcW w:w="1320" w:type="dxa"/>
            <w:tcBorders>
              <w:left w:val="single" w:sz="6" w:space="0" w:color="auto"/>
              <w:right w:val="single" w:sz="6" w:space="0" w:color="auto"/>
            </w:tcBorders>
          </w:tcPr>
          <w:p w:rsidR="00000000" w:rsidRDefault="0031739B">
            <w:pPr>
              <w:tabs>
                <w:tab w:val="clear" w:pos="510"/>
                <w:tab w:val="clear" w:pos="1021"/>
                <w:tab w:val="clear" w:pos="1531"/>
                <w:tab w:val="clear" w:pos="2041"/>
                <w:tab w:val="decimal" w:pos="1052"/>
              </w:tabs>
              <w:ind w:right="-5"/>
              <w:rPr>
                <w:sz w:val="21"/>
              </w:rPr>
            </w:pPr>
            <w:r>
              <w:rPr>
                <w:sz w:val="21"/>
              </w:rPr>
              <w:t>1,300,100</w:t>
            </w:r>
          </w:p>
        </w:tc>
        <w:tc>
          <w:tcPr>
            <w:tcW w:w="1216" w:type="dxa"/>
            <w:tcBorders>
              <w:left w:val="nil"/>
              <w:right w:val="single" w:sz="6" w:space="0" w:color="auto"/>
            </w:tcBorders>
          </w:tcPr>
          <w:p w:rsidR="00000000" w:rsidRDefault="0031739B">
            <w:pPr>
              <w:tabs>
                <w:tab w:val="clear" w:pos="510"/>
                <w:tab w:val="clear" w:pos="1021"/>
                <w:tab w:val="clear" w:pos="1531"/>
                <w:tab w:val="clear" w:pos="2041"/>
                <w:tab w:val="decimal" w:pos="932"/>
              </w:tabs>
              <w:ind w:right="-5"/>
              <w:rPr>
                <w:sz w:val="21"/>
              </w:rPr>
            </w:pPr>
            <w:r>
              <w:rPr>
                <w:sz w:val="21"/>
              </w:rPr>
              <w:t>254,400</w:t>
            </w:r>
          </w:p>
        </w:tc>
      </w:tr>
      <w:tr w:rsidR="00000000">
        <w:tblPrEx>
          <w:tblCellMar>
            <w:top w:w="0" w:type="dxa"/>
            <w:bottom w:w="0" w:type="dxa"/>
          </w:tblCellMar>
        </w:tblPrEx>
        <w:tc>
          <w:tcPr>
            <w:tcW w:w="1708" w:type="dxa"/>
            <w:tcBorders>
              <w:left w:val="single" w:sz="6" w:space="0" w:color="auto"/>
            </w:tcBorders>
          </w:tcPr>
          <w:p w:rsidR="00000000" w:rsidRDefault="0031739B">
            <w:pPr>
              <w:jc w:val="center"/>
              <w:rPr>
                <w:sz w:val="21"/>
              </w:rPr>
            </w:pPr>
            <w:r>
              <w:rPr>
                <w:sz w:val="21"/>
              </w:rPr>
              <w:t>1981-1985</w:t>
            </w:r>
          </w:p>
        </w:tc>
        <w:tc>
          <w:tcPr>
            <w:tcW w:w="1463" w:type="dxa"/>
            <w:tcBorders>
              <w:left w:val="single" w:sz="6" w:space="0" w:color="auto"/>
              <w:right w:val="single" w:sz="6" w:space="0" w:color="auto"/>
            </w:tcBorders>
          </w:tcPr>
          <w:p w:rsidR="00000000" w:rsidRDefault="0031739B">
            <w:pPr>
              <w:tabs>
                <w:tab w:val="clear" w:pos="510"/>
                <w:tab w:val="clear" w:pos="1021"/>
                <w:tab w:val="clear" w:pos="1531"/>
                <w:tab w:val="clear" w:pos="2041"/>
                <w:tab w:val="decimal" w:pos="1172"/>
              </w:tabs>
              <w:ind w:right="-5"/>
              <w:rPr>
                <w:sz w:val="21"/>
              </w:rPr>
            </w:pPr>
            <w:r>
              <w:rPr>
                <w:sz w:val="21"/>
              </w:rPr>
              <w:t>5,392,100</w:t>
            </w:r>
          </w:p>
        </w:tc>
        <w:tc>
          <w:tcPr>
            <w:tcW w:w="1341" w:type="dxa"/>
            <w:tcBorders>
              <w:left w:val="nil"/>
            </w:tcBorders>
          </w:tcPr>
          <w:p w:rsidR="00000000" w:rsidRDefault="0031739B">
            <w:pPr>
              <w:tabs>
                <w:tab w:val="clear" w:pos="510"/>
                <w:tab w:val="clear" w:pos="1021"/>
                <w:tab w:val="clear" w:pos="1531"/>
                <w:tab w:val="clear" w:pos="2041"/>
                <w:tab w:val="decimal" w:pos="1029"/>
              </w:tabs>
              <w:ind w:right="-5"/>
              <w:rPr>
                <w:sz w:val="21"/>
              </w:rPr>
            </w:pPr>
            <w:r>
              <w:rPr>
                <w:sz w:val="21"/>
              </w:rPr>
              <w:t>3,433,800</w:t>
            </w:r>
          </w:p>
        </w:tc>
        <w:tc>
          <w:tcPr>
            <w:tcW w:w="1156" w:type="dxa"/>
            <w:tcBorders>
              <w:left w:val="single" w:sz="6" w:space="0" w:color="auto"/>
              <w:right w:val="single" w:sz="6" w:space="0" w:color="auto"/>
            </w:tcBorders>
          </w:tcPr>
          <w:p w:rsidR="00000000" w:rsidRDefault="0031739B">
            <w:pPr>
              <w:tabs>
                <w:tab w:val="clear" w:pos="510"/>
                <w:tab w:val="clear" w:pos="1021"/>
                <w:tab w:val="clear" w:pos="1531"/>
                <w:tab w:val="clear" w:pos="2041"/>
                <w:tab w:val="decimal" w:pos="888"/>
              </w:tabs>
              <w:ind w:right="-5"/>
              <w:rPr>
                <w:sz w:val="21"/>
              </w:rPr>
            </w:pPr>
            <w:r>
              <w:rPr>
                <w:sz w:val="21"/>
              </w:rPr>
              <w:t>251,200</w:t>
            </w:r>
          </w:p>
        </w:tc>
        <w:tc>
          <w:tcPr>
            <w:tcW w:w="1200" w:type="dxa"/>
            <w:tcBorders>
              <w:left w:val="nil"/>
            </w:tcBorders>
          </w:tcPr>
          <w:p w:rsidR="00000000" w:rsidRDefault="0031739B">
            <w:pPr>
              <w:tabs>
                <w:tab w:val="clear" w:pos="510"/>
                <w:tab w:val="clear" w:pos="1021"/>
                <w:tab w:val="clear" w:pos="1531"/>
                <w:tab w:val="clear" w:pos="2041"/>
                <w:tab w:val="decimal" w:pos="932"/>
              </w:tabs>
              <w:ind w:right="-5"/>
              <w:rPr>
                <w:sz w:val="21"/>
              </w:rPr>
            </w:pPr>
            <w:r>
              <w:rPr>
                <w:sz w:val="21"/>
              </w:rPr>
              <w:t>60,500</w:t>
            </w:r>
          </w:p>
        </w:tc>
        <w:tc>
          <w:tcPr>
            <w:tcW w:w="1320" w:type="dxa"/>
            <w:tcBorders>
              <w:left w:val="single" w:sz="6" w:space="0" w:color="auto"/>
              <w:right w:val="single" w:sz="6" w:space="0" w:color="auto"/>
            </w:tcBorders>
          </w:tcPr>
          <w:p w:rsidR="00000000" w:rsidRDefault="0031739B">
            <w:pPr>
              <w:tabs>
                <w:tab w:val="clear" w:pos="510"/>
                <w:tab w:val="clear" w:pos="1021"/>
                <w:tab w:val="clear" w:pos="1531"/>
                <w:tab w:val="clear" w:pos="2041"/>
                <w:tab w:val="decimal" w:pos="1052"/>
              </w:tabs>
              <w:ind w:right="-5"/>
              <w:rPr>
                <w:sz w:val="21"/>
              </w:rPr>
            </w:pPr>
            <w:r>
              <w:rPr>
                <w:sz w:val="21"/>
              </w:rPr>
              <w:t>1,412,700</w:t>
            </w:r>
          </w:p>
        </w:tc>
        <w:tc>
          <w:tcPr>
            <w:tcW w:w="1216" w:type="dxa"/>
            <w:tcBorders>
              <w:left w:val="nil"/>
              <w:right w:val="single" w:sz="6" w:space="0" w:color="auto"/>
            </w:tcBorders>
          </w:tcPr>
          <w:p w:rsidR="00000000" w:rsidRDefault="0031739B">
            <w:pPr>
              <w:tabs>
                <w:tab w:val="clear" w:pos="510"/>
                <w:tab w:val="clear" w:pos="1021"/>
                <w:tab w:val="clear" w:pos="1531"/>
                <w:tab w:val="clear" w:pos="2041"/>
                <w:tab w:val="decimal" w:pos="932"/>
              </w:tabs>
              <w:ind w:right="-5"/>
              <w:rPr>
                <w:sz w:val="21"/>
              </w:rPr>
            </w:pPr>
            <w:r>
              <w:rPr>
                <w:sz w:val="21"/>
              </w:rPr>
              <w:t>233,800</w:t>
            </w:r>
          </w:p>
        </w:tc>
      </w:tr>
      <w:tr w:rsidR="00000000">
        <w:tblPrEx>
          <w:tblCellMar>
            <w:top w:w="0" w:type="dxa"/>
            <w:bottom w:w="0" w:type="dxa"/>
          </w:tblCellMar>
        </w:tblPrEx>
        <w:tc>
          <w:tcPr>
            <w:tcW w:w="1708" w:type="dxa"/>
            <w:tcBorders>
              <w:left w:val="single" w:sz="6" w:space="0" w:color="auto"/>
            </w:tcBorders>
          </w:tcPr>
          <w:p w:rsidR="00000000" w:rsidRDefault="0031739B">
            <w:pPr>
              <w:jc w:val="center"/>
              <w:rPr>
                <w:sz w:val="21"/>
              </w:rPr>
            </w:pPr>
            <w:r>
              <w:rPr>
                <w:sz w:val="21"/>
              </w:rPr>
              <w:t>1986-1988</w:t>
            </w:r>
          </w:p>
        </w:tc>
        <w:tc>
          <w:tcPr>
            <w:tcW w:w="1463" w:type="dxa"/>
            <w:tcBorders>
              <w:left w:val="single" w:sz="6" w:space="0" w:color="auto"/>
              <w:right w:val="single" w:sz="6" w:space="0" w:color="auto"/>
            </w:tcBorders>
          </w:tcPr>
          <w:p w:rsidR="00000000" w:rsidRDefault="0031739B">
            <w:pPr>
              <w:tabs>
                <w:tab w:val="clear" w:pos="510"/>
                <w:tab w:val="clear" w:pos="1021"/>
                <w:tab w:val="clear" w:pos="1531"/>
                <w:tab w:val="clear" w:pos="2041"/>
                <w:tab w:val="decimal" w:pos="1172"/>
              </w:tabs>
              <w:ind w:right="-5"/>
              <w:rPr>
                <w:sz w:val="21"/>
              </w:rPr>
            </w:pPr>
            <w:r>
              <w:rPr>
                <w:sz w:val="21"/>
              </w:rPr>
              <w:t>3,853,900</w:t>
            </w:r>
          </w:p>
        </w:tc>
        <w:tc>
          <w:tcPr>
            <w:tcW w:w="1341" w:type="dxa"/>
            <w:tcBorders>
              <w:left w:val="nil"/>
            </w:tcBorders>
          </w:tcPr>
          <w:p w:rsidR="00000000" w:rsidRDefault="0031739B">
            <w:pPr>
              <w:tabs>
                <w:tab w:val="clear" w:pos="510"/>
                <w:tab w:val="clear" w:pos="1021"/>
                <w:tab w:val="clear" w:pos="1531"/>
                <w:tab w:val="clear" w:pos="2041"/>
                <w:tab w:val="decimal" w:pos="1029"/>
              </w:tabs>
              <w:ind w:right="-5"/>
              <w:rPr>
                <w:sz w:val="21"/>
              </w:rPr>
            </w:pPr>
            <w:r>
              <w:rPr>
                <w:sz w:val="21"/>
              </w:rPr>
              <w:t>1,956,600</w:t>
            </w:r>
          </w:p>
        </w:tc>
        <w:tc>
          <w:tcPr>
            <w:tcW w:w="1156" w:type="dxa"/>
            <w:tcBorders>
              <w:left w:val="single" w:sz="6" w:space="0" w:color="auto"/>
              <w:right w:val="single" w:sz="6" w:space="0" w:color="auto"/>
            </w:tcBorders>
          </w:tcPr>
          <w:p w:rsidR="00000000" w:rsidRDefault="0031739B">
            <w:pPr>
              <w:tabs>
                <w:tab w:val="clear" w:pos="510"/>
                <w:tab w:val="clear" w:pos="1021"/>
                <w:tab w:val="clear" w:pos="1531"/>
                <w:tab w:val="clear" w:pos="2041"/>
                <w:tab w:val="decimal" w:pos="888"/>
              </w:tabs>
              <w:ind w:right="-5"/>
              <w:rPr>
                <w:sz w:val="21"/>
              </w:rPr>
            </w:pPr>
            <w:r>
              <w:rPr>
                <w:sz w:val="21"/>
              </w:rPr>
              <w:t>134,000</w:t>
            </w:r>
          </w:p>
        </w:tc>
        <w:tc>
          <w:tcPr>
            <w:tcW w:w="1200" w:type="dxa"/>
            <w:tcBorders>
              <w:left w:val="nil"/>
            </w:tcBorders>
          </w:tcPr>
          <w:p w:rsidR="00000000" w:rsidRDefault="0031739B">
            <w:pPr>
              <w:tabs>
                <w:tab w:val="clear" w:pos="510"/>
                <w:tab w:val="clear" w:pos="1021"/>
                <w:tab w:val="clear" w:pos="1531"/>
                <w:tab w:val="clear" w:pos="2041"/>
                <w:tab w:val="decimal" w:pos="932"/>
              </w:tabs>
              <w:ind w:right="-5"/>
              <w:rPr>
                <w:sz w:val="21"/>
              </w:rPr>
            </w:pPr>
            <w:r>
              <w:rPr>
                <w:sz w:val="21"/>
              </w:rPr>
              <w:t>27,300</w:t>
            </w:r>
          </w:p>
        </w:tc>
        <w:tc>
          <w:tcPr>
            <w:tcW w:w="1320" w:type="dxa"/>
            <w:tcBorders>
              <w:left w:val="single" w:sz="6" w:space="0" w:color="auto"/>
              <w:right w:val="single" w:sz="6" w:space="0" w:color="auto"/>
            </w:tcBorders>
          </w:tcPr>
          <w:p w:rsidR="00000000" w:rsidRDefault="0031739B">
            <w:pPr>
              <w:tabs>
                <w:tab w:val="clear" w:pos="510"/>
                <w:tab w:val="clear" w:pos="1021"/>
                <w:tab w:val="clear" w:pos="1531"/>
                <w:tab w:val="clear" w:pos="2041"/>
                <w:tab w:val="decimal" w:pos="1052"/>
              </w:tabs>
              <w:ind w:right="-5"/>
              <w:rPr>
                <w:sz w:val="21"/>
              </w:rPr>
            </w:pPr>
            <w:r>
              <w:rPr>
                <w:sz w:val="21"/>
              </w:rPr>
              <w:t>1,539,800</w:t>
            </w:r>
          </w:p>
        </w:tc>
        <w:tc>
          <w:tcPr>
            <w:tcW w:w="1216" w:type="dxa"/>
            <w:tcBorders>
              <w:left w:val="nil"/>
              <w:right w:val="single" w:sz="6" w:space="0" w:color="auto"/>
            </w:tcBorders>
          </w:tcPr>
          <w:p w:rsidR="00000000" w:rsidRDefault="0031739B">
            <w:pPr>
              <w:tabs>
                <w:tab w:val="clear" w:pos="510"/>
                <w:tab w:val="clear" w:pos="1021"/>
                <w:tab w:val="clear" w:pos="1531"/>
                <w:tab w:val="clear" w:pos="2041"/>
                <w:tab w:val="decimal" w:pos="932"/>
              </w:tabs>
              <w:ind w:right="-5"/>
              <w:rPr>
                <w:sz w:val="21"/>
              </w:rPr>
            </w:pPr>
            <w:r>
              <w:rPr>
                <w:sz w:val="21"/>
              </w:rPr>
              <w:t>196,200</w:t>
            </w:r>
          </w:p>
        </w:tc>
      </w:tr>
      <w:tr w:rsidR="00000000">
        <w:tblPrEx>
          <w:tblCellMar>
            <w:top w:w="0" w:type="dxa"/>
            <w:bottom w:w="0" w:type="dxa"/>
          </w:tblCellMar>
        </w:tblPrEx>
        <w:tc>
          <w:tcPr>
            <w:tcW w:w="1708" w:type="dxa"/>
            <w:tcBorders>
              <w:left w:val="single" w:sz="6" w:space="0" w:color="auto"/>
            </w:tcBorders>
          </w:tcPr>
          <w:p w:rsidR="00000000" w:rsidRDefault="0031739B">
            <w:pPr>
              <w:jc w:val="center"/>
              <w:rPr>
                <w:sz w:val="21"/>
              </w:rPr>
            </w:pPr>
            <w:r>
              <w:rPr>
                <w:sz w:val="21"/>
              </w:rPr>
              <w:t>1989</w:t>
            </w:r>
          </w:p>
        </w:tc>
        <w:tc>
          <w:tcPr>
            <w:tcW w:w="1463" w:type="dxa"/>
            <w:tcBorders>
              <w:left w:val="single" w:sz="6" w:space="0" w:color="auto"/>
              <w:right w:val="single" w:sz="6" w:space="0" w:color="auto"/>
            </w:tcBorders>
          </w:tcPr>
          <w:p w:rsidR="00000000" w:rsidRDefault="0031739B">
            <w:pPr>
              <w:tabs>
                <w:tab w:val="clear" w:pos="510"/>
                <w:tab w:val="clear" w:pos="1021"/>
                <w:tab w:val="clear" w:pos="1531"/>
                <w:tab w:val="clear" w:pos="2041"/>
                <w:tab w:val="decimal" w:pos="1172"/>
              </w:tabs>
              <w:ind w:right="-5"/>
              <w:rPr>
                <w:sz w:val="21"/>
              </w:rPr>
            </w:pPr>
            <w:r>
              <w:rPr>
                <w:sz w:val="21"/>
              </w:rPr>
              <w:t>1,734,000</w:t>
            </w:r>
          </w:p>
        </w:tc>
        <w:tc>
          <w:tcPr>
            <w:tcW w:w="1341" w:type="dxa"/>
            <w:tcBorders>
              <w:left w:val="nil"/>
            </w:tcBorders>
          </w:tcPr>
          <w:p w:rsidR="00000000" w:rsidRDefault="0031739B">
            <w:pPr>
              <w:tabs>
                <w:tab w:val="clear" w:pos="510"/>
                <w:tab w:val="clear" w:pos="1021"/>
                <w:tab w:val="clear" w:pos="1531"/>
                <w:tab w:val="clear" w:pos="2041"/>
                <w:tab w:val="decimal" w:pos="1029"/>
              </w:tabs>
              <w:ind w:right="-5"/>
              <w:rPr>
                <w:sz w:val="21"/>
              </w:rPr>
            </w:pPr>
            <w:r>
              <w:rPr>
                <w:sz w:val="21"/>
              </w:rPr>
              <w:t>840,600</w:t>
            </w:r>
          </w:p>
        </w:tc>
        <w:tc>
          <w:tcPr>
            <w:tcW w:w="1156" w:type="dxa"/>
            <w:tcBorders>
              <w:left w:val="single" w:sz="6" w:space="0" w:color="auto"/>
              <w:right w:val="single" w:sz="6" w:space="0" w:color="auto"/>
            </w:tcBorders>
          </w:tcPr>
          <w:p w:rsidR="00000000" w:rsidRDefault="0031739B">
            <w:pPr>
              <w:tabs>
                <w:tab w:val="clear" w:pos="510"/>
                <w:tab w:val="clear" w:pos="1021"/>
                <w:tab w:val="clear" w:pos="1531"/>
                <w:tab w:val="clear" w:pos="2041"/>
                <w:tab w:val="decimal" w:pos="888"/>
              </w:tabs>
              <w:ind w:right="-5"/>
              <w:rPr>
                <w:sz w:val="21"/>
              </w:rPr>
            </w:pPr>
            <w:r>
              <w:rPr>
                <w:sz w:val="21"/>
              </w:rPr>
              <w:t>38,800</w:t>
            </w:r>
          </w:p>
        </w:tc>
        <w:tc>
          <w:tcPr>
            <w:tcW w:w="1200" w:type="dxa"/>
            <w:tcBorders>
              <w:left w:val="nil"/>
            </w:tcBorders>
          </w:tcPr>
          <w:p w:rsidR="00000000" w:rsidRDefault="0031739B">
            <w:pPr>
              <w:tabs>
                <w:tab w:val="clear" w:pos="510"/>
                <w:tab w:val="clear" w:pos="1021"/>
                <w:tab w:val="clear" w:pos="1531"/>
                <w:tab w:val="clear" w:pos="2041"/>
                <w:tab w:val="decimal" w:pos="932"/>
              </w:tabs>
              <w:ind w:right="-5"/>
              <w:rPr>
                <w:sz w:val="21"/>
              </w:rPr>
            </w:pPr>
            <w:r>
              <w:rPr>
                <w:sz w:val="21"/>
              </w:rPr>
              <w:t>8,300</w:t>
            </w:r>
          </w:p>
        </w:tc>
        <w:tc>
          <w:tcPr>
            <w:tcW w:w="1320" w:type="dxa"/>
            <w:tcBorders>
              <w:left w:val="single" w:sz="6" w:space="0" w:color="auto"/>
              <w:right w:val="single" w:sz="6" w:space="0" w:color="auto"/>
            </w:tcBorders>
          </w:tcPr>
          <w:p w:rsidR="00000000" w:rsidRDefault="0031739B">
            <w:pPr>
              <w:tabs>
                <w:tab w:val="clear" w:pos="510"/>
                <w:tab w:val="clear" w:pos="1021"/>
                <w:tab w:val="clear" w:pos="1531"/>
                <w:tab w:val="clear" w:pos="2041"/>
                <w:tab w:val="decimal" w:pos="1052"/>
              </w:tabs>
              <w:ind w:right="-5"/>
              <w:rPr>
                <w:sz w:val="21"/>
              </w:rPr>
            </w:pPr>
            <w:r>
              <w:rPr>
                <w:sz w:val="21"/>
              </w:rPr>
              <w:t>757,100</w:t>
            </w:r>
          </w:p>
        </w:tc>
        <w:tc>
          <w:tcPr>
            <w:tcW w:w="1216" w:type="dxa"/>
            <w:tcBorders>
              <w:left w:val="nil"/>
              <w:right w:val="single" w:sz="6" w:space="0" w:color="auto"/>
            </w:tcBorders>
          </w:tcPr>
          <w:p w:rsidR="00000000" w:rsidRDefault="0031739B">
            <w:pPr>
              <w:tabs>
                <w:tab w:val="clear" w:pos="510"/>
                <w:tab w:val="clear" w:pos="1021"/>
                <w:tab w:val="clear" w:pos="1531"/>
                <w:tab w:val="clear" w:pos="2041"/>
                <w:tab w:val="decimal" w:pos="932"/>
              </w:tabs>
              <w:ind w:right="-5"/>
              <w:rPr>
                <w:sz w:val="21"/>
              </w:rPr>
            </w:pPr>
            <w:r>
              <w:rPr>
                <w:sz w:val="21"/>
              </w:rPr>
              <w:t>89,200</w:t>
            </w:r>
          </w:p>
        </w:tc>
      </w:tr>
      <w:tr w:rsidR="00000000">
        <w:tblPrEx>
          <w:tblCellMar>
            <w:top w:w="0" w:type="dxa"/>
            <w:bottom w:w="0" w:type="dxa"/>
          </w:tblCellMar>
        </w:tblPrEx>
        <w:tc>
          <w:tcPr>
            <w:tcW w:w="1708" w:type="dxa"/>
            <w:tcBorders>
              <w:left w:val="single" w:sz="6" w:space="0" w:color="auto"/>
            </w:tcBorders>
          </w:tcPr>
          <w:p w:rsidR="00000000" w:rsidRDefault="0031739B">
            <w:pPr>
              <w:jc w:val="center"/>
              <w:rPr>
                <w:sz w:val="21"/>
              </w:rPr>
            </w:pPr>
            <w:r>
              <w:rPr>
                <w:sz w:val="21"/>
              </w:rPr>
              <w:t>1990</w:t>
            </w:r>
          </w:p>
        </w:tc>
        <w:tc>
          <w:tcPr>
            <w:tcW w:w="1463" w:type="dxa"/>
            <w:tcBorders>
              <w:left w:val="single" w:sz="6" w:space="0" w:color="auto"/>
              <w:right w:val="single" w:sz="6" w:space="0" w:color="auto"/>
            </w:tcBorders>
          </w:tcPr>
          <w:p w:rsidR="00000000" w:rsidRDefault="0031739B">
            <w:pPr>
              <w:tabs>
                <w:tab w:val="clear" w:pos="510"/>
                <w:tab w:val="clear" w:pos="1021"/>
                <w:tab w:val="clear" w:pos="1531"/>
                <w:tab w:val="clear" w:pos="2041"/>
                <w:tab w:val="decimal" w:pos="1172"/>
              </w:tabs>
              <w:ind w:right="-5"/>
              <w:rPr>
                <w:sz w:val="21"/>
              </w:rPr>
            </w:pPr>
            <w:r>
              <w:rPr>
                <w:sz w:val="21"/>
              </w:rPr>
              <w:t>1,395,300</w:t>
            </w:r>
          </w:p>
        </w:tc>
        <w:tc>
          <w:tcPr>
            <w:tcW w:w="1341" w:type="dxa"/>
            <w:tcBorders>
              <w:left w:val="nil"/>
            </w:tcBorders>
          </w:tcPr>
          <w:p w:rsidR="00000000" w:rsidRDefault="0031739B">
            <w:pPr>
              <w:tabs>
                <w:tab w:val="clear" w:pos="510"/>
                <w:tab w:val="clear" w:pos="1021"/>
                <w:tab w:val="clear" w:pos="1531"/>
                <w:tab w:val="clear" w:pos="2041"/>
                <w:tab w:val="decimal" w:pos="1029"/>
              </w:tabs>
              <w:ind w:right="-5"/>
              <w:rPr>
                <w:sz w:val="21"/>
              </w:rPr>
            </w:pPr>
            <w:r>
              <w:rPr>
                <w:sz w:val="21"/>
              </w:rPr>
              <w:t>675,300</w:t>
            </w:r>
          </w:p>
        </w:tc>
        <w:tc>
          <w:tcPr>
            <w:tcW w:w="1156" w:type="dxa"/>
            <w:tcBorders>
              <w:left w:val="single" w:sz="6" w:space="0" w:color="auto"/>
              <w:right w:val="single" w:sz="6" w:space="0" w:color="auto"/>
            </w:tcBorders>
          </w:tcPr>
          <w:p w:rsidR="00000000" w:rsidRDefault="0031739B">
            <w:pPr>
              <w:tabs>
                <w:tab w:val="clear" w:pos="510"/>
                <w:tab w:val="clear" w:pos="1021"/>
                <w:tab w:val="clear" w:pos="1531"/>
                <w:tab w:val="clear" w:pos="2041"/>
                <w:tab w:val="decimal" w:pos="888"/>
              </w:tabs>
              <w:ind w:right="-5"/>
              <w:rPr>
                <w:sz w:val="21"/>
              </w:rPr>
            </w:pPr>
            <w:r>
              <w:rPr>
                <w:sz w:val="21"/>
              </w:rPr>
              <w:t>37,100</w:t>
            </w:r>
          </w:p>
        </w:tc>
        <w:tc>
          <w:tcPr>
            <w:tcW w:w="1200" w:type="dxa"/>
            <w:tcBorders>
              <w:left w:val="nil"/>
            </w:tcBorders>
          </w:tcPr>
          <w:p w:rsidR="00000000" w:rsidRDefault="0031739B">
            <w:pPr>
              <w:tabs>
                <w:tab w:val="clear" w:pos="510"/>
                <w:tab w:val="clear" w:pos="1021"/>
                <w:tab w:val="clear" w:pos="1531"/>
                <w:tab w:val="clear" w:pos="2041"/>
                <w:tab w:val="decimal" w:pos="932"/>
              </w:tabs>
              <w:ind w:right="-5"/>
              <w:rPr>
                <w:sz w:val="21"/>
              </w:rPr>
            </w:pPr>
            <w:r>
              <w:rPr>
                <w:sz w:val="21"/>
              </w:rPr>
              <w:t>8,300</w:t>
            </w:r>
          </w:p>
        </w:tc>
        <w:tc>
          <w:tcPr>
            <w:tcW w:w="1320" w:type="dxa"/>
            <w:tcBorders>
              <w:left w:val="single" w:sz="6" w:space="0" w:color="auto"/>
              <w:right w:val="single" w:sz="6" w:space="0" w:color="auto"/>
            </w:tcBorders>
          </w:tcPr>
          <w:p w:rsidR="00000000" w:rsidRDefault="0031739B">
            <w:pPr>
              <w:tabs>
                <w:tab w:val="clear" w:pos="510"/>
                <w:tab w:val="clear" w:pos="1021"/>
                <w:tab w:val="clear" w:pos="1531"/>
                <w:tab w:val="clear" w:pos="2041"/>
                <w:tab w:val="decimal" w:pos="1052"/>
              </w:tabs>
              <w:ind w:right="-5"/>
              <w:rPr>
                <w:sz w:val="21"/>
              </w:rPr>
            </w:pPr>
            <w:r>
              <w:rPr>
                <w:sz w:val="21"/>
              </w:rPr>
              <w:t>575,100</w:t>
            </w:r>
          </w:p>
        </w:tc>
        <w:tc>
          <w:tcPr>
            <w:tcW w:w="1216" w:type="dxa"/>
            <w:tcBorders>
              <w:left w:val="nil"/>
              <w:right w:val="single" w:sz="6" w:space="0" w:color="auto"/>
            </w:tcBorders>
          </w:tcPr>
          <w:p w:rsidR="00000000" w:rsidRDefault="0031739B">
            <w:pPr>
              <w:tabs>
                <w:tab w:val="clear" w:pos="510"/>
                <w:tab w:val="clear" w:pos="1021"/>
                <w:tab w:val="clear" w:pos="1531"/>
                <w:tab w:val="clear" w:pos="2041"/>
                <w:tab w:val="decimal" w:pos="932"/>
              </w:tabs>
              <w:ind w:right="-5"/>
              <w:rPr>
                <w:sz w:val="21"/>
              </w:rPr>
            </w:pPr>
            <w:r>
              <w:rPr>
                <w:sz w:val="21"/>
              </w:rPr>
              <w:t>99,700</w:t>
            </w:r>
          </w:p>
        </w:tc>
      </w:tr>
      <w:tr w:rsidR="00000000">
        <w:tblPrEx>
          <w:tblCellMar>
            <w:top w:w="0" w:type="dxa"/>
            <w:bottom w:w="0" w:type="dxa"/>
          </w:tblCellMar>
        </w:tblPrEx>
        <w:tc>
          <w:tcPr>
            <w:tcW w:w="1708" w:type="dxa"/>
            <w:tcBorders>
              <w:left w:val="single" w:sz="6" w:space="0" w:color="auto"/>
            </w:tcBorders>
          </w:tcPr>
          <w:p w:rsidR="00000000" w:rsidRDefault="0031739B">
            <w:pPr>
              <w:jc w:val="center"/>
              <w:rPr>
                <w:sz w:val="21"/>
              </w:rPr>
            </w:pPr>
            <w:r>
              <w:rPr>
                <w:sz w:val="21"/>
              </w:rPr>
              <w:t>1991</w:t>
            </w:r>
          </w:p>
        </w:tc>
        <w:tc>
          <w:tcPr>
            <w:tcW w:w="1463" w:type="dxa"/>
            <w:tcBorders>
              <w:left w:val="single" w:sz="6" w:space="0" w:color="auto"/>
              <w:right w:val="single" w:sz="6" w:space="0" w:color="auto"/>
            </w:tcBorders>
          </w:tcPr>
          <w:p w:rsidR="00000000" w:rsidRDefault="0031739B">
            <w:pPr>
              <w:tabs>
                <w:tab w:val="clear" w:pos="510"/>
                <w:tab w:val="clear" w:pos="1021"/>
                <w:tab w:val="clear" w:pos="1531"/>
                <w:tab w:val="clear" w:pos="2041"/>
                <w:tab w:val="decimal" w:pos="1172"/>
              </w:tabs>
              <w:ind w:right="-5"/>
              <w:rPr>
                <w:sz w:val="21"/>
              </w:rPr>
            </w:pPr>
            <w:r>
              <w:rPr>
                <w:sz w:val="21"/>
              </w:rPr>
              <w:t>1,217,100</w:t>
            </w:r>
          </w:p>
        </w:tc>
        <w:tc>
          <w:tcPr>
            <w:tcW w:w="1341" w:type="dxa"/>
            <w:tcBorders>
              <w:left w:val="nil"/>
            </w:tcBorders>
          </w:tcPr>
          <w:p w:rsidR="00000000" w:rsidRDefault="0031739B">
            <w:pPr>
              <w:tabs>
                <w:tab w:val="clear" w:pos="510"/>
                <w:tab w:val="clear" w:pos="1021"/>
                <w:tab w:val="clear" w:pos="1531"/>
                <w:tab w:val="clear" w:pos="2041"/>
                <w:tab w:val="decimal" w:pos="1029"/>
              </w:tabs>
              <w:ind w:right="-5"/>
              <w:rPr>
                <w:sz w:val="21"/>
              </w:rPr>
            </w:pPr>
            <w:r>
              <w:rPr>
                <w:sz w:val="21"/>
              </w:rPr>
              <w:t>607,000</w:t>
            </w:r>
          </w:p>
        </w:tc>
        <w:tc>
          <w:tcPr>
            <w:tcW w:w="1156" w:type="dxa"/>
            <w:tcBorders>
              <w:left w:val="single" w:sz="6" w:space="0" w:color="auto"/>
              <w:right w:val="single" w:sz="6" w:space="0" w:color="auto"/>
            </w:tcBorders>
          </w:tcPr>
          <w:p w:rsidR="00000000" w:rsidRDefault="0031739B">
            <w:pPr>
              <w:tabs>
                <w:tab w:val="clear" w:pos="510"/>
                <w:tab w:val="clear" w:pos="1021"/>
                <w:tab w:val="clear" w:pos="1531"/>
                <w:tab w:val="clear" w:pos="2041"/>
                <w:tab w:val="decimal" w:pos="888"/>
              </w:tabs>
              <w:ind w:right="-5"/>
              <w:rPr>
                <w:sz w:val="21"/>
              </w:rPr>
            </w:pPr>
            <w:r>
              <w:rPr>
                <w:sz w:val="21"/>
              </w:rPr>
              <w:t>35,200</w:t>
            </w:r>
          </w:p>
        </w:tc>
        <w:tc>
          <w:tcPr>
            <w:tcW w:w="1200" w:type="dxa"/>
            <w:tcBorders>
              <w:left w:val="nil"/>
            </w:tcBorders>
          </w:tcPr>
          <w:p w:rsidR="00000000" w:rsidRDefault="0031739B">
            <w:pPr>
              <w:tabs>
                <w:tab w:val="clear" w:pos="510"/>
                <w:tab w:val="clear" w:pos="1021"/>
                <w:tab w:val="clear" w:pos="1531"/>
                <w:tab w:val="clear" w:pos="2041"/>
                <w:tab w:val="decimal" w:pos="932"/>
              </w:tabs>
              <w:ind w:right="-5"/>
              <w:rPr>
                <w:sz w:val="21"/>
              </w:rPr>
            </w:pPr>
            <w:r>
              <w:rPr>
                <w:sz w:val="21"/>
              </w:rPr>
              <w:t>13,500</w:t>
            </w:r>
          </w:p>
        </w:tc>
        <w:tc>
          <w:tcPr>
            <w:tcW w:w="1320" w:type="dxa"/>
            <w:tcBorders>
              <w:left w:val="single" w:sz="6" w:space="0" w:color="auto"/>
              <w:right w:val="single" w:sz="6" w:space="0" w:color="auto"/>
            </w:tcBorders>
          </w:tcPr>
          <w:p w:rsidR="00000000" w:rsidRDefault="0031739B">
            <w:pPr>
              <w:tabs>
                <w:tab w:val="clear" w:pos="510"/>
                <w:tab w:val="clear" w:pos="1021"/>
                <w:tab w:val="clear" w:pos="1531"/>
                <w:tab w:val="clear" w:pos="2041"/>
                <w:tab w:val="decimal" w:pos="1052"/>
              </w:tabs>
              <w:ind w:right="-5"/>
              <w:rPr>
                <w:sz w:val="21"/>
              </w:rPr>
            </w:pPr>
            <w:r>
              <w:rPr>
                <w:sz w:val="21"/>
              </w:rPr>
              <w:t>449,500</w:t>
            </w:r>
          </w:p>
        </w:tc>
        <w:tc>
          <w:tcPr>
            <w:tcW w:w="1216" w:type="dxa"/>
            <w:tcBorders>
              <w:left w:val="nil"/>
              <w:right w:val="single" w:sz="6" w:space="0" w:color="auto"/>
            </w:tcBorders>
          </w:tcPr>
          <w:p w:rsidR="00000000" w:rsidRDefault="0031739B">
            <w:pPr>
              <w:tabs>
                <w:tab w:val="clear" w:pos="510"/>
                <w:tab w:val="clear" w:pos="1021"/>
                <w:tab w:val="clear" w:pos="1531"/>
                <w:tab w:val="clear" w:pos="2041"/>
                <w:tab w:val="decimal" w:pos="932"/>
              </w:tabs>
              <w:ind w:right="-5"/>
              <w:rPr>
                <w:sz w:val="21"/>
              </w:rPr>
            </w:pPr>
            <w:r>
              <w:rPr>
                <w:sz w:val="21"/>
              </w:rPr>
              <w:t>112,000</w:t>
            </w:r>
          </w:p>
        </w:tc>
      </w:tr>
      <w:tr w:rsidR="00000000">
        <w:tblPrEx>
          <w:tblCellMar>
            <w:top w:w="0" w:type="dxa"/>
            <w:bottom w:w="0" w:type="dxa"/>
          </w:tblCellMar>
        </w:tblPrEx>
        <w:tc>
          <w:tcPr>
            <w:tcW w:w="1708" w:type="dxa"/>
            <w:tcBorders>
              <w:left w:val="single" w:sz="6" w:space="0" w:color="auto"/>
            </w:tcBorders>
          </w:tcPr>
          <w:p w:rsidR="00000000" w:rsidRDefault="0031739B">
            <w:pPr>
              <w:jc w:val="center"/>
              <w:rPr>
                <w:sz w:val="21"/>
              </w:rPr>
            </w:pPr>
            <w:r>
              <w:rPr>
                <w:sz w:val="21"/>
              </w:rPr>
              <w:t>1992</w:t>
            </w:r>
          </w:p>
        </w:tc>
        <w:tc>
          <w:tcPr>
            <w:tcW w:w="1463" w:type="dxa"/>
            <w:tcBorders>
              <w:left w:val="single" w:sz="6" w:space="0" w:color="auto"/>
              <w:right w:val="single" w:sz="6" w:space="0" w:color="auto"/>
            </w:tcBorders>
          </w:tcPr>
          <w:p w:rsidR="00000000" w:rsidRDefault="0031739B">
            <w:pPr>
              <w:tabs>
                <w:tab w:val="clear" w:pos="510"/>
                <w:tab w:val="clear" w:pos="1021"/>
                <w:tab w:val="clear" w:pos="1531"/>
                <w:tab w:val="clear" w:pos="2041"/>
                <w:tab w:val="decimal" w:pos="1172"/>
              </w:tabs>
              <w:ind w:right="-5"/>
              <w:rPr>
                <w:sz w:val="21"/>
              </w:rPr>
            </w:pPr>
            <w:r>
              <w:rPr>
                <w:sz w:val="21"/>
              </w:rPr>
              <w:t>1,078,400</w:t>
            </w:r>
          </w:p>
        </w:tc>
        <w:tc>
          <w:tcPr>
            <w:tcW w:w="1341" w:type="dxa"/>
            <w:tcBorders>
              <w:left w:val="nil"/>
            </w:tcBorders>
          </w:tcPr>
          <w:p w:rsidR="00000000" w:rsidRDefault="0031739B">
            <w:pPr>
              <w:tabs>
                <w:tab w:val="clear" w:pos="510"/>
                <w:tab w:val="clear" w:pos="1021"/>
                <w:tab w:val="clear" w:pos="1531"/>
                <w:tab w:val="clear" w:pos="2041"/>
                <w:tab w:val="decimal" w:pos="1029"/>
              </w:tabs>
              <w:ind w:right="-5"/>
              <w:rPr>
                <w:sz w:val="21"/>
              </w:rPr>
            </w:pPr>
            <w:r>
              <w:rPr>
                <w:sz w:val="21"/>
              </w:rPr>
              <w:t>569,900</w:t>
            </w:r>
          </w:p>
        </w:tc>
        <w:tc>
          <w:tcPr>
            <w:tcW w:w="1156" w:type="dxa"/>
            <w:tcBorders>
              <w:left w:val="single" w:sz="6" w:space="0" w:color="auto"/>
              <w:right w:val="single" w:sz="6" w:space="0" w:color="auto"/>
            </w:tcBorders>
          </w:tcPr>
          <w:p w:rsidR="00000000" w:rsidRDefault="0031739B">
            <w:pPr>
              <w:tabs>
                <w:tab w:val="clear" w:pos="510"/>
                <w:tab w:val="clear" w:pos="1021"/>
                <w:tab w:val="clear" w:pos="1531"/>
                <w:tab w:val="clear" w:pos="2041"/>
                <w:tab w:val="decimal" w:pos="888"/>
              </w:tabs>
              <w:ind w:right="-5"/>
              <w:rPr>
                <w:sz w:val="21"/>
              </w:rPr>
            </w:pPr>
            <w:r>
              <w:rPr>
                <w:sz w:val="21"/>
              </w:rPr>
              <w:t>31,200</w:t>
            </w:r>
          </w:p>
        </w:tc>
        <w:tc>
          <w:tcPr>
            <w:tcW w:w="1200" w:type="dxa"/>
            <w:tcBorders>
              <w:left w:val="nil"/>
            </w:tcBorders>
          </w:tcPr>
          <w:p w:rsidR="00000000" w:rsidRDefault="0031739B">
            <w:pPr>
              <w:tabs>
                <w:tab w:val="clear" w:pos="510"/>
                <w:tab w:val="clear" w:pos="1021"/>
                <w:tab w:val="clear" w:pos="1531"/>
                <w:tab w:val="clear" w:pos="2041"/>
                <w:tab w:val="decimal" w:pos="932"/>
              </w:tabs>
              <w:ind w:right="-5"/>
              <w:rPr>
                <w:sz w:val="21"/>
              </w:rPr>
            </w:pPr>
            <w:r>
              <w:rPr>
                <w:sz w:val="21"/>
              </w:rPr>
              <w:t>7,000</w:t>
            </w:r>
          </w:p>
        </w:tc>
        <w:tc>
          <w:tcPr>
            <w:tcW w:w="1320" w:type="dxa"/>
            <w:tcBorders>
              <w:left w:val="single" w:sz="6" w:space="0" w:color="auto"/>
              <w:right w:val="single" w:sz="6" w:space="0" w:color="auto"/>
            </w:tcBorders>
          </w:tcPr>
          <w:p w:rsidR="00000000" w:rsidRDefault="0031739B">
            <w:pPr>
              <w:tabs>
                <w:tab w:val="clear" w:pos="510"/>
                <w:tab w:val="clear" w:pos="1021"/>
                <w:tab w:val="clear" w:pos="1531"/>
                <w:tab w:val="clear" w:pos="2041"/>
                <w:tab w:val="decimal" w:pos="1052"/>
              </w:tabs>
              <w:ind w:right="-5"/>
              <w:rPr>
                <w:sz w:val="21"/>
              </w:rPr>
            </w:pPr>
            <w:r>
              <w:rPr>
                <w:sz w:val="21"/>
              </w:rPr>
              <w:t>371,700</w:t>
            </w:r>
          </w:p>
        </w:tc>
        <w:tc>
          <w:tcPr>
            <w:tcW w:w="1216" w:type="dxa"/>
            <w:tcBorders>
              <w:left w:val="nil"/>
              <w:right w:val="single" w:sz="6" w:space="0" w:color="auto"/>
            </w:tcBorders>
          </w:tcPr>
          <w:p w:rsidR="00000000" w:rsidRDefault="0031739B">
            <w:pPr>
              <w:tabs>
                <w:tab w:val="clear" w:pos="510"/>
                <w:tab w:val="clear" w:pos="1021"/>
                <w:tab w:val="clear" w:pos="1531"/>
                <w:tab w:val="clear" w:pos="2041"/>
                <w:tab w:val="decimal" w:pos="932"/>
              </w:tabs>
              <w:ind w:right="-5"/>
              <w:rPr>
                <w:sz w:val="21"/>
              </w:rPr>
            </w:pPr>
            <w:r>
              <w:rPr>
                <w:sz w:val="21"/>
              </w:rPr>
              <w:t>98,600</w:t>
            </w:r>
          </w:p>
        </w:tc>
      </w:tr>
      <w:tr w:rsidR="00000000">
        <w:tblPrEx>
          <w:tblCellMar>
            <w:top w:w="0" w:type="dxa"/>
            <w:bottom w:w="0" w:type="dxa"/>
          </w:tblCellMar>
        </w:tblPrEx>
        <w:tc>
          <w:tcPr>
            <w:tcW w:w="1708" w:type="dxa"/>
            <w:tcBorders>
              <w:left w:val="single" w:sz="6" w:space="0" w:color="auto"/>
            </w:tcBorders>
          </w:tcPr>
          <w:p w:rsidR="00000000" w:rsidRDefault="0031739B">
            <w:pPr>
              <w:ind w:right="-28"/>
              <w:jc w:val="center"/>
              <w:rPr>
                <w:sz w:val="21"/>
              </w:rPr>
            </w:pPr>
            <w:r>
              <w:rPr>
                <w:sz w:val="21"/>
              </w:rPr>
              <w:t>1993 (1</w:t>
            </w:r>
            <w:r>
              <w:rPr>
                <w:rFonts w:hint="eastAsia"/>
                <w:sz w:val="21"/>
              </w:rPr>
              <w:t>至</w:t>
            </w:r>
            <w:r>
              <w:rPr>
                <w:sz w:val="21"/>
              </w:rPr>
              <w:t>9</w:t>
            </w:r>
            <w:r>
              <w:rPr>
                <w:rFonts w:hint="eastAsia"/>
                <w:sz w:val="21"/>
              </w:rPr>
              <w:t>月</w:t>
            </w:r>
            <w:r>
              <w:rPr>
                <w:sz w:val="21"/>
              </w:rPr>
              <w:t>)</w:t>
            </w:r>
          </w:p>
        </w:tc>
        <w:tc>
          <w:tcPr>
            <w:tcW w:w="1463" w:type="dxa"/>
            <w:tcBorders>
              <w:left w:val="single" w:sz="6" w:space="0" w:color="auto"/>
              <w:right w:val="single" w:sz="6" w:space="0" w:color="auto"/>
            </w:tcBorders>
          </w:tcPr>
          <w:p w:rsidR="00000000" w:rsidRDefault="0031739B">
            <w:pPr>
              <w:tabs>
                <w:tab w:val="clear" w:pos="510"/>
                <w:tab w:val="clear" w:pos="1021"/>
                <w:tab w:val="clear" w:pos="1531"/>
                <w:tab w:val="clear" w:pos="2041"/>
                <w:tab w:val="decimal" w:pos="1172"/>
              </w:tabs>
              <w:ind w:right="-5"/>
              <w:rPr>
                <w:sz w:val="21"/>
              </w:rPr>
            </w:pPr>
            <w:r>
              <w:rPr>
                <w:sz w:val="21"/>
              </w:rPr>
              <w:t>785,000</w:t>
            </w:r>
          </w:p>
        </w:tc>
        <w:tc>
          <w:tcPr>
            <w:tcW w:w="1341" w:type="dxa"/>
            <w:tcBorders>
              <w:left w:val="nil"/>
            </w:tcBorders>
          </w:tcPr>
          <w:p w:rsidR="00000000" w:rsidRDefault="0031739B">
            <w:pPr>
              <w:tabs>
                <w:tab w:val="clear" w:pos="510"/>
                <w:tab w:val="clear" w:pos="1021"/>
                <w:tab w:val="clear" w:pos="1531"/>
                <w:tab w:val="clear" w:pos="2041"/>
                <w:tab w:val="decimal" w:pos="1029"/>
              </w:tabs>
              <w:ind w:right="-5"/>
              <w:rPr>
                <w:sz w:val="21"/>
              </w:rPr>
            </w:pPr>
            <w:r>
              <w:rPr>
                <w:sz w:val="21"/>
              </w:rPr>
              <w:t>428,700</w:t>
            </w:r>
          </w:p>
        </w:tc>
        <w:tc>
          <w:tcPr>
            <w:tcW w:w="1156" w:type="dxa"/>
            <w:tcBorders>
              <w:left w:val="single" w:sz="6" w:space="0" w:color="auto"/>
              <w:right w:val="single" w:sz="6" w:space="0" w:color="auto"/>
            </w:tcBorders>
          </w:tcPr>
          <w:p w:rsidR="00000000" w:rsidRDefault="0031739B">
            <w:pPr>
              <w:tabs>
                <w:tab w:val="clear" w:pos="510"/>
                <w:tab w:val="clear" w:pos="1021"/>
                <w:tab w:val="clear" w:pos="1531"/>
                <w:tab w:val="clear" w:pos="2041"/>
                <w:tab w:val="decimal" w:pos="888"/>
              </w:tabs>
              <w:ind w:right="-5"/>
              <w:rPr>
                <w:sz w:val="21"/>
              </w:rPr>
            </w:pPr>
            <w:r>
              <w:rPr>
                <w:sz w:val="21"/>
              </w:rPr>
              <w:t>26,800</w:t>
            </w:r>
          </w:p>
        </w:tc>
        <w:tc>
          <w:tcPr>
            <w:tcW w:w="1200" w:type="dxa"/>
            <w:tcBorders>
              <w:left w:val="nil"/>
            </w:tcBorders>
          </w:tcPr>
          <w:p w:rsidR="00000000" w:rsidRDefault="0031739B">
            <w:pPr>
              <w:tabs>
                <w:tab w:val="clear" w:pos="510"/>
                <w:tab w:val="clear" w:pos="1021"/>
                <w:tab w:val="clear" w:pos="1531"/>
                <w:tab w:val="clear" w:pos="2041"/>
                <w:tab w:val="decimal" w:pos="932"/>
              </w:tabs>
              <w:ind w:right="-5"/>
              <w:rPr>
                <w:sz w:val="21"/>
              </w:rPr>
            </w:pPr>
            <w:r>
              <w:rPr>
                <w:sz w:val="21"/>
              </w:rPr>
              <w:t>6,700</w:t>
            </w:r>
          </w:p>
        </w:tc>
        <w:tc>
          <w:tcPr>
            <w:tcW w:w="1320" w:type="dxa"/>
            <w:tcBorders>
              <w:left w:val="single" w:sz="6" w:space="0" w:color="auto"/>
              <w:right w:val="single" w:sz="6" w:space="0" w:color="auto"/>
            </w:tcBorders>
          </w:tcPr>
          <w:p w:rsidR="00000000" w:rsidRDefault="0031739B">
            <w:pPr>
              <w:tabs>
                <w:tab w:val="clear" w:pos="510"/>
                <w:tab w:val="clear" w:pos="1021"/>
                <w:tab w:val="clear" w:pos="1531"/>
                <w:tab w:val="clear" w:pos="2041"/>
                <w:tab w:val="decimal" w:pos="1052"/>
              </w:tabs>
              <w:ind w:right="-5"/>
              <w:rPr>
                <w:sz w:val="21"/>
              </w:rPr>
            </w:pPr>
            <w:r>
              <w:rPr>
                <w:sz w:val="21"/>
              </w:rPr>
              <w:t>275,500</w:t>
            </w:r>
          </w:p>
        </w:tc>
        <w:tc>
          <w:tcPr>
            <w:tcW w:w="1216" w:type="dxa"/>
            <w:tcBorders>
              <w:left w:val="nil"/>
              <w:right w:val="single" w:sz="6" w:space="0" w:color="auto"/>
            </w:tcBorders>
          </w:tcPr>
          <w:p w:rsidR="00000000" w:rsidRDefault="0031739B">
            <w:pPr>
              <w:tabs>
                <w:tab w:val="clear" w:pos="510"/>
                <w:tab w:val="clear" w:pos="1021"/>
                <w:tab w:val="clear" w:pos="1531"/>
                <w:tab w:val="clear" w:pos="2041"/>
                <w:tab w:val="decimal" w:pos="932"/>
              </w:tabs>
              <w:ind w:right="-5"/>
              <w:rPr>
                <w:sz w:val="21"/>
              </w:rPr>
            </w:pPr>
            <w:r>
              <w:rPr>
                <w:sz w:val="21"/>
              </w:rPr>
              <w:t>47,300</w:t>
            </w:r>
          </w:p>
        </w:tc>
      </w:tr>
      <w:tr w:rsidR="00000000">
        <w:tblPrEx>
          <w:tblCellMar>
            <w:top w:w="0" w:type="dxa"/>
            <w:bottom w:w="0" w:type="dxa"/>
          </w:tblCellMar>
        </w:tblPrEx>
        <w:tc>
          <w:tcPr>
            <w:tcW w:w="1708" w:type="dxa"/>
            <w:tcBorders>
              <w:left w:val="single" w:sz="6" w:space="0" w:color="auto"/>
            </w:tcBorders>
          </w:tcPr>
          <w:p w:rsidR="00000000" w:rsidRDefault="0031739B">
            <w:pPr>
              <w:ind w:left="113"/>
              <w:jc w:val="left"/>
              <w:rPr>
                <w:sz w:val="21"/>
              </w:rPr>
            </w:pPr>
            <w:r>
              <w:rPr>
                <w:rFonts w:hint="eastAsia"/>
                <w:sz w:val="21"/>
              </w:rPr>
              <w:t>建造时间不明</w:t>
            </w:r>
          </w:p>
        </w:tc>
        <w:tc>
          <w:tcPr>
            <w:tcW w:w="1463" w:type="dxa"/>
            <w:tcBorders>
              <w:left w:val="single" w:sz="6" w:space="0" w:color="auto"/>
              <w:right w:val="single" w:sz="6" w:space="0" w:color="auto"/>
            </w:tcBorders>
          </w:tcPr>
          <w:p w:rsidR="00000000" w:rsidRDefault="0031739B">
            <w:pPr>
              <w:tabs>
                <w:tab w:val="clear" w:pos="510"/>
                <w:tab w:val="clear" w:pos="1021"/>
                <w:tab w:val="clear" w:pos="1531"/>
                <w:tab w:val="clear" w:pos="2041"/>
                <w:tab w:val="decimal" w:pos="1172"/>
              </w:tabs>
              <w:ind w:right="-5"/>
              <w:rPr>
                <w:sz w:val="21"/>
              </w:rPr>
            </w:pPr>
            <w:r>
              <w:rPr>
                <w:sz w:val="21"/>
              </w:rPr>
              <w:t>956,300</w:t>
            </w:r>
          </w:p>
        </w:tc>
        <w:tc>
          <w:tcPr>
            <w:tcW w:w="1341" w:type="dxa"/>
            <w:tcBorders>
              <w:left w:val="nil"/>
            </w:tcBorders>
          </w:tcPr>
          <w:p w:rsidR="00000000" w:rsidRDefault="0031739B">
            <w:pPr>
              <w:tabs>
                <w:tab w:val="clear" w:pos="510"/>
                <w:tab w:val="clear" w:pos="1021"/>
                <w:tab w:val="clear" w:pos="1531"/>
                <w:tab w:val="clear" w:pos="2041"/>
                <w:tab w:val="decimal" w:pos="1029"/>
              </w:tabs>
              <w:ind w:right="-5"/>
              <w:rPr>
                <w:sz w:val="21"/>
              </w:rPr>
            </w:pPr>
            <w:r>
              <w:rPr>
                <w:sz w:val="21"/>
              </w:rPr>
              <w:t>96,500</w:t>
            </w:r>
          </w:p>
        </w:tc>
        <w:tc>
          <w:tcPr>
            <w:tcW w:w="1156" w:type="dxa"/>
            <w:tcBorders>
              <w:left w:val="single" w:sz="6" w:space="0" w:color="auto"/>
              <w:right w:val="single" w:sz="6" w:space="0" w:color="auto"/>
            </w:tcBorders>
          </w:tcPr>
          <w:p w:rsidR="00000000" w:rsidRDefault="0031739B">
            <w:pPr>
              <w:tabs>
                <w:tab w:val="clear" w:pos="510"/>
                <w:tab w:val="clear" w:pos="1021"/>
                <w:tab w:val="clear" w:pos="1531"/>
                <w:tab w:val="clear" w:pos="2041"/>
                <w:tab w:val="decimal" w:pos="888"/>
              </w:tabs>
              <w:ind w:right="-5"/>
              <w:rPr>
                <w:sz w:val="21"/>
              </w:rPr>
            </w:pPr>
            <w:r>
              <w:rPr>
                <w:sz w:val="21"/>
              </w:rPr>
              <w:t>300</w:t>
            </w:r>
          </w:p>
        </w:tc>
        <w:tc>
          <w:tcPr>
            <w:tcW w:w="1200" w:type="dxa"/>
            <w:tcBorders>
              <w:left w:val="nil"/>
            </w:tcBorders>
          </w:tcPr>
          <w:p w:rsidR="00000000" w:rsidRDefault="0031739B">
            <w:pPr>
              <w:tabs>
                <w:tab w:val="clear" w:pos="510"/>
                <w:tab w:val="clear" w:pos="1021"/>
                <w:tab w:val="clear" w:pos="1531"/>
                <w:tab w:val="clear" w:pos="2041"/>
                <w:tab w:val="decimal" w:pos="932"/>
              </w:tabs>
              <w:ind w:right="-5"/>
              <w:rPr>
                <w:sz w:val="21"/>
              </w:rPr>
            </w:pPr>
            <w:r>
              <w:rPr>
                <w:sz w:val="21"/>
              </w:rPr>
              <w:t>500</w:t>
            </w:r>
          </w:p>
        </w:tc>
        <w:tc>
          <w:tcPr>
            <w:tcW w:w="1320" w:type="dxa"/>
            <w:tcBorders>
              <w:left w:val="single" w:sz="6" w:space="0" w:color="auto"/>
              <w:right w:val="single" w:sz="6" w:space="0" w:color="auto"/>
            </w:tcBorders>
          </w:tcPr>
          <w:p w:rsidR="00000000" w:rsidRDefault="0031739B">
            <w:pPr>
              <w:tabs>
                <w:tab w:val="clear" w:pos="510"/>
                <w:tab w:val="clear" w:pos="1021"/>
                <w:tab w:val="clear" w:pos="1531"/>
                <w:tab w:val="clear" w:pos="2041"/>
                <w:tab w:val="decimal" w:pos="1052"/>
              </w:tabs>
              <w:ind w:right="-5"/>
              <w:rPr>
                <w:sz w:val="21"/>
              </w:rPr>
            </w:pPr>
            <w:r>
              <w:rPr>
                <w:sz w:val="21"/>
              </w:rPr>
              <w:t>143,900</w:t>
            </w:r>
          </w:p>
        </w:tc>
        <w:tc>
          <w:tcPr>
            <w:tcW w:w="1216" w:type="dxa"/>
            <w:tcBorders>
              <w:left w:val="nil"/>
              <w:right w:val="single" w:sz="6" w:space="0" w:color="auto"/>
            </w:tcBorders>
          </w:tcPr>
          <w:p w:rsidR="00000000" w:rsidRDefault="0031739B">
            <w:pPr>
              <w:tabs>
                <w:tab w:val="clear" w:pos="510"/>
                <w:tab w:val="clear" w:pos="1021"/>
                <w:tab w:val="clear" w:pos="1531"/>
                <w:tab w:val="clear" w:pos="2041"/>
                <w:tab w:val="decimal" w:pos="932"/>
              </w:tabs>
              <w:ind w:right="-5"/>
              <w:rPr>
                <w:sz w:val="21"/>
              </w:rPr>
            </w:pPr>
            <w:r>
              <w:rPr>
                <w:sz w:val="21"/>
              </w:rPr>
              <w:t>9,100</w:t>
            </w:r>
          </w:p>
        </w:tc>
      </w:tr>
      <w:tr w:rsidR="00000000">
        <w:tblPrEx>
          <w:tblCellMar>
            <w:top w:w="0" w:type="dxa"/>
            <w:bottom w:w="0" w:type="dxa"/>
          </w:tblCellMar>
        </w:tblPrEx>
        <w:tc>
          <w:tcPr>
            <w:tcW w:w="1708" w:type="dxa"/>
            <w:tcBorders>
              <w:left w:val="single" w:sz="6" w:space="0" w:color="auto"/>
            </w:tcBorders>
          </w:tcPr>
          <w:p w:rsidR="00000000" w:rsidRDefault="0031739B">
            <w:pPr>
              <w:ind w:left="113"/>
              <w:jc w:val="left"/>
              <w:rPr>
                <w:sz w:val="21"/>
              </w:rPr>
            </w:pPr>
          </w:p>
        </w:tc>
        <w:tc>
          <w:tcPr>
            <w:tcW w:w="1463" w:type="dxa"/>
            <w:tcBorders>
              <w:left w:val="single" w:sz="6" w:space="0" w:color="auto"/>
              <w:right w:val="single" w:sz="6" w:space="0" w:color="auto"/>
            </w:tcBorders>
          </w:tcPr>
          <w:p w:rsidR="00000000" w:rsidRDefault="0031739B">
            <w:pPr>
              <w:tabs>
                <w:tab w:val="clear" w:pos="510"/>
                <w:tab w:val="clear" w:pos="1021"/>
                <w:tab w:val="clear" w:pos="1531"/>
                <w:tab w:val="clear" w:pos="2041"/>
                <w:tab w:val="decimal" w:pos="1172"/>
              </w:tabs>
              <w:ind w:right="-5"/>
              <w:rPr>
                <w:sz w:val="21"/>
              </w:rPr>
            </w:pPr>
          </w:p>
        </w:tc>
        <w:tc>
          <w:tcPr>
            <w:tcW w:w="1341" w:type="dxa"/>
            <w:tcBorders>
              <w:left w:val="nil"/>
            </w:tcBorders>
          </w:tcPr>
          <w:p w:rsidR="00000000" w:rsidRDefault="0031739B">
            <w:pPr>
              <w:tabs>
                <w:tab w:val="clear" w:pos="510"/>
                <w:tab w:val="clear" w:pos="1021"/>
                <w:tab w:val="clear" w:pos="1531"/>
                <w:tab w:val="clear" w:pos="2041"/>
                <w:tab w:val="decimal" w:pos="1029"/>
              </w:tabs>
              <w:ind w:right="-5"/>
              <w:rPr>
                <w:sz w:val="21"/>
              </w:rPr>
            </w:pPr>
          </w:p>
        </w:tc>
        <w:tc>
          <w:tcPr>
            <w:tcW w:w="1156" w:type="dxa"/>
            <w:tcBorders>
              <w:left w:val="single" w:sz="6" w:space="0" w:color="auto"/>
              <w:right w:val="single" w:sz="6" w:space="0" w:color="auto"/>
            </w:tcBorders>
          </w:tcPr>
          <w:p w:rsidR="00000000" w:rsidRDefault="0031739B">
            <w:pPr>
              <w:tabs>
                <w:tab w:val="clear" w:pos="510"/>
                <w:tab w:val="clear" w:pos="1021"/>
                <w:tab w:val="clear" w:pos="1531"/>
                <w:tab w:val="clear" w:pos="2041"/>
                <w:tab w:val="decimal" w:pos="888"/>
              </w:tabs>
              <w:ind w:right="-5"/>
              <w:rPr>
                <w:sz w:val="21"/>
              </w:rPr>
            </w:pPr>
          </w:p>
        </w:tc>
        <w:tc>
          <w:tcPr>
            <w:tcW w:w="1200" w:type="dxa"/>
            <w:tcBorders>
              <w:left w:val="nil"/>
            </w:tcBorders>
          </w:tcPr>
          <w:p w:rsidR="00000000" w:rsidRDefault="0031739B">
            <w:pPr>
              <w:tabs>
                <w:tab w:val="clear" w:pos="510"/>
                <w:tab w:val="clear" w:pos="1021"/>
                <w:tab w:val="clear" w:pos="1531"/>
                <w:tab w:val="clear" w:pos="2041"/>
                <w:tab w:val="decimal" w:pos="932"/>
              </w:tabs>
              <w:ind w:right="-5"/>
              <w:rPr>
                <w:sz w:val="21"/>
              </w:rPr>
            </w:pPr>
          </w:p>
        </w:tc>
        <w:tc>
          <w:tcPr>
            <w:tcW w:w="1320" w:type="dxa"/>
            <w:tcBorders>
              <w:left w:val="single" w:sz="6" w:space="0" w:color="auto"/>
              <w:right w:val="single" w:sz="6" w:space="0" w:color="auto"/>
            </w:tcBorders>
          </w:tcPr>
          <w:p w:rsidR="00000000" w:rsidRDefault="0031739B">
            <w:pPr>
              <w:tabs>
                <w:tab w:val="clear" w:pos="510"/>
                <w:tab w:val="clear" w:pos="1021"/>
                <w:tab w:val="clear" w:pos="1531"/>
                <w:tab w:val="clear" w:pos="2041"/>
                <w:tab w:val="decimal" w:pos="1052"/>
              </w:tabs>
              <w:ind w:right="-5"/>
              <w:rPr>
                <w:sz w:val="21"/>
              </w:rPr>
            </w:pPr>
          </w:p>
        </w:tc>
        <w:tc>
          <w:tcPr>
            <w:tcW w:w="1216" w:type="dxa"/>
            <w:tcBorders>
              <w:left w:val="nil"/>
              <w:right w:val="single" w:sz="6" w:space="0" w:color="auto"/>
            </w:tcBorders>
          </w:tcPr>
          <w:p w:rsidR="00000000" w:rsidRDefault="0031739B">
            <w:pPr>
              <w:tabs>
                <w:tab w:val="clear" w:pos="510"/>
                <w:tab w:val="clear" w:pos="1021"/>
                <w:tab w:val="clear" w:pos="1531"/>
                <w:tab w:val="clear" w:pos="2041"/>
                <w:tab w:val="decimal" w:pos="932"/>
              </w:tabs>
              <w:ind w:right="-5"/>
              <w:rPr>
                <w:sz w:val="21"/>
              </w:rPr>
            </w:pPr>
          </w:p>
        </w:tc>
      </w:tr>
      <w:tr w:rsidR="00000000">
        <w:tblPrEx>
          <w:tblCellMar>
            <w:top w:w="0" w:type="dxa"/>
            <w:bottom w:w="0" w:type="dxa"/>
          </w:tblCellMar>
        </w:tblPrEx>
        <w:tc>
          <w:tcPr>
            <w:tcW w:w="1708" w:type="dxa"/>
            <w:tcBorders>
              <w:left w:val="single" w:sz="6" w:space="0" w:color="auto"/>
              <w:bottom w:val="single" w:sz="6" w:space="0" w:color="auto"/>
            </w:tcBorders>
          </w:tcPr>
          <w:p w:rsidR="00000000" w:rsidRDefault="0031739B">
            <w:pPr>
              <w:ind w:left="113"/>
              <w:jc w:val="left"/>
              <w:rPr>
                <w:sz w:val="21"/>
              </w:rPr>
            </w:pPr>
            <w:r>
              <w:rPr>
                <w:rFonts w:hint="eastAsia"/>
                <w:sz w:val="21"/>
              </w:rPr>
              <w:t>住房总数</w:t>
            </w:r>
          </w:p>
        </w:tc>
        <w:tc>
          <w:tcPr>
            <w:tcW w:w="1463" w:type="dxa"/>
            <w:tcBorders>
              <w:left w:val="single" w:sz="6" w:space="0" w:color="auto"/>
              <w:bottom w:val="single" w:sz="6" w:space="0" w:color="auto"/>
              <w:right w:val="single" w:sz="6" w:space="0" w:color="auto"/>
            </w:tcBorders>
          </w:tcPr>
          <w:p w:rsidR="00000000" w:rsidRDefault="0031739B">
            <w:pPr>
              <w:tabs>
                <w:tab w:val="clear" w:pos="510"/>
                <w:tab w:val="clear" w:pos="1021"/>
                <w:tab w:val="clear" w:pos="1531"/>
                <w:tab w:val="clear" w:pos="2041"/>
                <w:tab w:val="decimal" w:pos="1172"/>
              </w:tabs>
              <w:ind w:right="-5"/>
              <w:rPr>
                <w:sz w:val="21"/>
              </w:rPr>
            </w:pPr>
            <w:r>
              <w:rPr>
                <w:sz w:val="21"/>
              </w:rPr>
              <w:t>40,773,300</w:t>
            </w:r>
          </w:p>
        </w:tc>
        <w:tc>
          <w:tcPr>
            <w:tcW w:w="1341" w:type="dxa"/>
            <w:tcBorders>
              <w:left w:val="nil"/>
              <w:bottom w:val="single" w:sz="6" w:space="0" w:color="auto"/>
            </w:tcBorders>
          </w:tcPr>
          <w:p w:rsidR="00000000" w:rsidRDefault="0031739B">
            <w:pPr>
              <w:tabs>
                <w:tab w:val="clear" w:pos="510"/>
                <w:tab w:val="clear" w:pos="1021"/>
                <w:tab w:val="clear" w:pos="1531"/>
                <w:tab w:val="clear" w:pos="2041"/>
                <w:tab w:val="decimal" w:pos="1029"/>
              </w:tabs>
              <w:ind w:right="-5"/>
              <w:rPr>
                <w:sz w:val="21"/>
              </w:rPr>
            </w:pPr>
            <w:r>
              <w:rPr>
                <w:sz w:val="21"/>
              </w:rPr>
              <w:t>24,376,200</w:t>
            </w:r>
          </w:p>
        </w:tc>
        <w:tc>
          <w:tcPr>
            <w:tcW w:w="1156" w:type="dxa"/>
            <w:tcBorders>
              <w:left w:val="single" w:sz="6" w:space="0" w:color="auto"/>
              <w:bottom w:val="single" w:sz="6" w:space="0" w:color="auto"/>
              <w:right w:val="single" w:sz="6" w:space="0" w:color="auto"/>
            </w:tcBorders>
          </w:tcPr>
          <w:p w:rsidR="00000000" w:rsidRDefault="0031739B">
            <w:pPr>
              <w:tabs>
                <w:tab w:val="clear" w:pos="510"/>
                <w:tab w:val="clear" w:pos="1021"/>
                <w:tab w:val="clear" w:pos="1531"/>
                <w:tab w:val="clear" w:pos="2041"/>
                <w:tab w:val="decimal" w:pos="888"/>
              </w:tabs>
              <w:ind w:right="-5"/>
              <w:rPr>
                <w:sz w:val="21"/>
              </w:rPr>
            </w:pPr>
            <w:r>
              <w:rPr>
                <w:sz w:val="21"/>
              </w:rPr>
              <w:t>2,033,000</w:t>
            </w:r>
          </w:p>
        </w:tc>
        <w:tc>
          <w:tcPr>
            <w:tcW w:w="1200" w:type="dxa"/>
            <w:tcBorders>
              <w:left w:val="nil"/>
              <w:bottom w:val="single" w:sz="6" w:space="0" w:color="auto"/>
            </w:tcBorders>
          </w:tcPr>
          <w:p w:rsidR="00000000" w:rsidRDefault="0031739B">
            <w:pPr>
              <w:tabs>
                <w:tab w:val="clear" w:pos="510"/>
                <w:tab w:val="clear" w:pos="1021"/>
                <w:tab w:val="clear" w:pos="1531"/>
                <w:tab w:val="clear" w:pos="2041"/>
                <w:tab w:val="decimal" w:pos="932"/>
              </w:tabs>
              <w:ind w:right="-5"/>
              <w:rPr>
                <w:sz w:val="21"/>
              </w:rPr>
            </w:pPr>
            <w:r>
              <w:rPr>
                <w:sz w:val="21"/>
              </w:rPr>
              <w:t>845,000</w:t>
            </w:r>
          </w:p>
        </w:tc>
        <w:tc>
          <w:tcPr>
            <w:tcW w:w="1320" w:type="dxa"/>
            <w:tcBorders>
              <w:left w:val="single" w:sz="6" w:space="0" w:color="auto"/>
              <w:bottom w:val="single" w:sz="6" w:space="0" w:color="auto"/>
              <w:right w:val="single" w:sz="6" w:space="0" w:color="auto"/>
            </w:tcBorders>
          </w:tcPr>
          <w:p w:rsidR="00000000" w:rsidRDefault="0031739B">
            <w:pPr>
              <w:tabs>
                <w:tab w:val="clear" w:pos="510"/>
                <w:tab w:val="clear" w:pos="1021"/>
                <w:tab w:val="clear" w:pos="1531"/>
                <w:tab w:val="clear" w:pos="2041"/>
                <w:tab w:val="decimal" w:pos="1052"/>
              </w:tabs>
              <w:ind w:right="-5"/>
              <w:rPr>
                <w:sz w:val="21"/>
              </w:rPr>
            </w:pPr>
            <w:r>
              <w:rPr>
                <w:sz w:val="21"/>
              </w:rPr>
              <w:t>10,762,400</w:t>
            </w:r>
          </w:p>
        </w:tc>
        <w:tc>
          <w:tcPr>
            <w:tcW w:w="1216" w:type="dxa"/>
            <w:tcBorders>
              <w:left w:val="nil"/>
              <w:bottom w:val="single" w:sz="6" w:space="0" w:color="auto"/>
              <w:right w:val="single" w:sz="6" w:space="0" w:color="auto"/>
            </w:tcBorders>
          </w:tcPr>
          <w:p w:rsidR="00000000" w:rsidRDefault="0031739B">
            <w:pPr>
              <w:tabs>
                <w:tab w:val="clear" w:pos="510"/>
                <w:tab w:val="clear" w:pos="1021"/>
                <w:tab w:val="clear" w:pos="1531"/>
                <w:tab w:val="clear" w:pos="2041"/>
                <w:tab w:val="decimal" w:pos="932"/>
              </w:tabs>
              <w:ind w:right="-5"/>
              <w:rPr>
                <w:sz w:val="21"/>
              </w:rPr>
            </w:pPr>
            <w:r>
              <w:rPr>
                <w:sz w:val="21"/>
              </w:rPr>
              <w:t>2,050,500</w:t>
            </w:r>
          </w:p>
        </w:tc>
      </w:tr>
    </w:tbl>
    <w:p w:rsidR="00000000" w:rsidRDefault="0031739B">
      <w:pPr>
        <w:pStyle w:val="FootnoteText"/>
        <w:spacing w:before="320" w:after="320" w:line="336" w:lineRule="auto"/>
        <w:textAlignment w:val="center"/>
      </w:pPr>
      <w:r>
        <w:rPr>
          <w:rFonts w:hint="eastAsia"/>
          <w:u w:val="single"/>
        </w:rPr>
        <w:t>注</w:t>
      </w:r>
      <w:r>
        <w:rPr>
          <w:u w:val="single"/>
        </w:rPr>
        <w:t>1</w:t>
      </w:r>
      <w:r>
        <w:rPr>
          <w:rFonts w:hint="eastAsia"/>
        </w:rPr>
        <w:t>：根据管理协调厅统计局的住房统计调查</w:t>
      </w:r>
      <w:r>
        <w:rPr>
          <w:rFonts w:eastAsia="SimSun" w:hint="eastAsia"/>
        </w:rPr>
        <w:t>。</w:t>
      </w:r>
    </w:p>
    <w:p w:rsidR="00000000" w:rsidRDefault="0031739B">
      <w:pPr>
        <w:spacing w:after="320"/>
        <w:textAlignment w:val="center"/>
      </w:pPr>
      <w:r>
        <w:tab/>
        <w:t xml:space="preserve">166.  </w:t>
      </w:r>
      <w:r>
        <w:rPr>
          <w:rFonts w:hint="eastAsia"/>
        </w:rPr>
        <w:t>无家可归者、非法居民或遭驱赶者，无统计数字。此外，政府没有规定住房费用支付能力的限制。</w:t>
      </w:r>
    </w:p>
    <w:p w:rsidR="00000000" w:rsidRDefault="0031739B">
      <w:pPr>
        <w:pStyle w:val="Heading4"/>
      </w:pPr>
      <w:r>
        <w:rPr>
          <w:u w:val="none"/>
        </w:rPr>
        <w:t xml:space="preserve">(a)  </w:t>
      </w:r>
      <w:r>
        <w:rPr>
          <w:rFonts w:hint="eastAsia"/>
        </w:rPr>
        <w:t>有关住房和生活条件的法</w:t>
      </w:r>
    </w:p>
    <w:p w:rsidR="00000000" w:rsidRDefault="0031739B">
      <w:r>
        <w:tab/>
        <w:t xml:space="preserve">167.  </w:t>
      </w:r>
      <w:r>
        <w:rPr>
          <w:rFonts w:hint="eastAsia"/>
        </w:rPr>
        <w:t>《民法》对所有权和租赁作了具体规定。《土地租赁和住房租赁法》对租赁建筑物作了具体规定。《土地租赁和住房租赁法》统一了原先的《土地租赁法》、《住房租赁法》和《建筑保护法》</w:t>
      </w:r>
      <w:r>
        <w:rPr>
          <w:rFonts w:hint="eastAsia"/>
        </w:rPr>
        <w:t>，于</w:t>
      </w:r>
      <w:r>
        <w:t>1992</w:t>
      </w:r>
      <w:r>
        <w:rPr>
          <w:rFonts w:hint="eastAsia"/>
        </w:rPr>
        <w:t>年</w:t>
      </w:r>
      <w:r>
        <w:t>8</w:t>
      </w:r>
      <w:r>
        <w:rPr>
          <w:rFonts w:hint="eastAsia"/>
        </w:rPr>
        <w:t>月</w:t>
      </w:r>
      <w:r>
        <w:t>1</w:t>
      </w:r>
      <w:r>
        <w:rPr>
          <w:rFonts w:hint="eastAsia"/>
        </w:rPr>
        <w:t>日生效。</w:t>
      </w:r>
    </w:p>
    <w:p w:rsidR="00000000" w:rsidRDefault="0031739B">
      <w:r>
        <w:tab/>
        <w:t xml:space="preserve">168.  </w:t>
      </w:r>
      <w:r>
        <w:rPr>
          <w:rFonts w:hint="eastAsia"/>
        </w:rPr>
        <w:t>在提高人民生活水平方面，根据《住房建设规划法》每五年制定一次综合住房建设计划，政府采取各种措施，根据以下法律，促进住房建设和改善住房状况：</w:t>
      </w:r>
    </w:p>
    <w:p w:rsidR="00000000" w:rsidRDefault="0031739B" w:rsidP="0031739B">
      <w:pPr>
        <w:pStyle w:val="a0"/>
        <w:numPr>
          <w:ilvl w:val="0"/>
          <w:numId w:val="9"/>
        </w:numPr>
        <w:ind w:left="1531" w:hanging="510"/>
      </w:pPr>
      <w:r>
        <w:rPr>
          <w:rFonts w:hint="eastAsia"/>
        </w:rPr>
        <w:t>《国家经营的住房法》，目的是由国家和地方政府对需要住房的低收入者，提供低租金住房；</w:t>
      </w:r>
    </w:p>
    <w:p w:rsidR="00000000" w:rsidRDefault="0031739B" w:rsidP="0031739B">
      <w:pPr>
        <w:pStyle w:val="a0"/>
        <w:numPr>
          <w:ilvl w:val="0"/>
          <w:numId w:val="9"/>
        </w:numPr>
        <w:ind w:left="1531" w:hanging="510"/>
      </w:pPr>
      <w:r>
        <w:rPr>
          <w:rFonts w:hint="eastAsia"/>
        </w:rPr>
        <w:t>《住房和城市开发公司法》，规定设立住房和城市开发公司。该公司从事城市的再开发，在大城市和其他需要改善住房条件的地区提供公寓和大规模的住宅用地；</w:t>
      </w:r>
    </w:p>
    <w:p w:rsidR="00000000" w:rsidRDefault="0031739B" w:rsidP="0031739B">
      <w:pPr>
        <w:pStyle w:val="a0"/>
        <w:numPr>
          <w:ilvl w:val="0"/>
          <w:numId w:val="9"/>
        </w:numPr>
        <w:ind w:left="1531" w:hanging="510"/>
      </w:pPr>
      <w:r>
        <w:rPr>
          <w:rFonts w:hint="eastAsia"/>
        </w:rPr>
        <w:t>《地方住房供应公司法》，规定成立地方住房供应公司。该公司利用购买人的储蓄和其他贷款，向工人提供良好生</w:t>
      </w:r>
      <w:r>
        <w:rPr>
          <w:rFonts w:hint="eastAsia"/>
        </w:rPr>
        <w:t>活环境的住房或住宅用地；</w:t>
      </w:r>
    </w:p>
    <w:p w:rsidR="00000000" w:rsidRDefault="0031739B" w:rsidP="0031739B">
      <w:pPr>
        <w:pStyle w:val="a0"/>
        <w:numPr>
          <w:ilvl w:val="0"/>
          <w:numId w:val="9"/>
        </w:numPr>
        <w:ind w:left="1531" w:hanging="510"/>
      </w:pPr>
      <w:r>
        <w:rPr>
          <w:rFonts w:hint="eastAsia"/>
        </w:rPr>
        <w:t>《住房贷款公司法》，规定成立住房贷款公司。该公司在其他一般的金融机构不能满足要求时，为建造和购买住房提供长期和低息贷款；</w:t>
      </w:r>
    </w:p>
    <w:p w:rsidR="00000000" w:rsidRDefault="0031739B" w:rsidP="0031739B">
      <w:pPr>
        <w:pStyle w:val="a0"/>
        <w:numPr>
          <w:ilvl w:val="0"/>
          <w:numId w:val="9"/>
        </w:numPr>
        <w:ind w:left="1531" w:hanging="510"/>
      </w:pPr>
      <w:r>
        <w:rPr>
          <w:rFonts w:hint="eastAsia"/>
        </w:rPr>
        <w:t>《住宅区改善法》，提出更新项目，在低于标准的住房集中的地区改善生活环境；和</w:t>
      </w:r>
    </w:p>
    <w:p w:rsidR="00000000" w:rsidRDefault="0031739B" w:rsidP="0031739B">
      <w:pPr>
        <w:pStyle w:val="a0"/>
        <w:numPr>
          <w:ilvl w:val="0"/>
          <w:numId w:val="9"/>
        </w:numPr>
        <w:ind w:left="1531" w:hanging="510"/>
      </w:pPr>
      <w:r>
        <w:rPr>
          <w:rFonts w:hint="eastAsia"/>
        </w:rPr>
        <w:t>《促进提供专门高质量租用住房法》，旨在改善中等收入者租用住房的供应，帮助拥有土地的人建设高质量的租用住房。</w:t>
      </w:r>
    </w:p>
    <w:p w:rsidR="00000000" w:rsidRDefault="0031739B">
      <w:r>
        <w:tab/>
        <w:t xml:space="preserve">169.  </w:t>
      </w:r>
      <w:r>
        <w:rPr>
          <w:rFonts w:hint="eastAsia"/>
        </w:rPr>
        <w:t>根据《国有土地使用规划法》，由中央政府制定国有土地使用规划，而土地使用基本规划，包括城市、农用和保留区的划定，则由县知事决定。</w:t>
      </w:r>
    </w:p>
    <w:p w:rsidR="00000000" w:rsidRDefault="0031739B">
      <w:r>
        <w:tab/>
        <w:t xml:space="preserve">170.  </w:t>
      </w:r>
      <w:r>
        <w:rPr>
          <w:rFonts w:hint="eastAsia"/>
        </w:rPr>
        <w:t>《土地租赁和住房租赁法》</w:t>
      </w:r>
      <w:r>
        <w:rPr>
          <w:rFonts w:hint="eastAsia"/>
        </w:rPr>
        <w:t>，对土地租赁合同的最低期限作了规定，限制土地或住房出租人拒绝延长租赁合同的情况，以及住房出租人要求搬家的情况。此外，违反该法规定对房客不利的特别协议，将视为无效。因此，该法的目的是保护房客。</w:t>
      </w:r>
    </w:p>
    <w:p w:rsidR="00000000" w:rsidRDefault="0031739B">
      <w:r>
        <w:tab/>
        <w:t xml:space="preserve">171.  </w:t>
      </w:r>
      <w:r>
        <w:rPr>
          <w:rFonts w:hint="eastAsia"/>
        </w:rPr>
        <w:t>《住房贷款公司法》规定：房租必须低于根据该法计算用住房贷款公司的贷款建造的出租住房的额度</w:t>
      </w:r>
      <w:r>
        <w:t>(</w:t>
      </w:r>
      <w:r>
        <w:rPr>
          <w:rFonts w:hint="eastAsia"/>
        </w:rPr>
        <w:t>单方面强制性规定</w:t>
      </w:r>
      <w:r>
        <w:t>)</w:t>
      </w:r>
      <w:r>
        <w:rPr>
          <w:rFonts w:hint="eastAsia"/>
        </w:rPr>
        <w:t>。</w:t>
      </w:r>
    </w:p>
    <w:p w:rsidR="00000000" w:rsidRDefault="0031739B">
      <w:r>
        <w:tab/>
        <w:t xml:space="preserve">172.  </w:t>
      </w:r>
      <w:r>
        <w:rPr>
          <w:rFonts w:hint="eastAsia"/>
        </w:rPr>
        <w:t>《土地基本法》规定，土地不得用于投机交易。《国有土地使用规划法》规定了管理土地交易的措施，防止因投机交易和土地价格上升而使国家受到损害。</w:t>
      </w:r>
    </w:p>
    <w:p w:rsidR="00000000" w:rsidRDefault="0031739B">
      <w:r>
        <w:tab/>
        <w:t xml:space="preserve">173.  </w:t>
      </w:r>
      <w:r>
        <w:rPr>
          <w:rFonts w:hint="eastAsia"/>
        </w:rPr>
        <w:t>《建筑标准法》规定了建筑物地</w:t>
      </w:r>
      <w:r>
        <w:rPr>
          <w:rFonts w:hint="eastAsia"/>
        </w:rPr>
        <w:t>点、结构、公用设施和使用的最低标准，保护国民的生命、健康和财产。</w:t>
      </w:r>
    </w:p>
    <w:p w:rsidR="00000000" w:rsidRDefault="0031739B">
      <w:pPr>
        <w:spacing w:after="320"/>
        <w:textAlignment w:val="center"/>
      </w:pPr>
      <w:r>
        <w:tab/>
        <w:t xml:space="preserve">174.  </w:t>
      </w:r>
      <w:r>
        <w:rPr>
          <w:rFonts w:hint="eastAsia"/>
        </w:rPr>
        <w:t>《住房建设规划法》，规定每五年制定一次综合住房建设计划，促进高质量住房的建设和良好的生活环境。此外，《保证清洁建筑法》规定，建筑物环境卫生管理技术员，需根据拟订的标准保持和管理建筑物，保证使用人数众多的建筑物，如商店和公寓建筑的环境卫生。</w:t>
      </w:r>
    </w:p>
    <w:p w:rsidR="00000000" w:rsidRDefault="0031739B">
      <w:pPr>
        <w:pStyle w:val="Heading4"/>
      </w:pPr>
      <w:r>
        <w:rPr>
          <w:u w:val="none"/>
        </w:rPr>
        <w:t xml:space="preserve">(c)  </w:t>
      </w:r>
      <w:r>
        <w:rPr>
          <w:rFonts w:hint="eastAsia"/>
        </w:rPr>
        <w:t>实现住房权采取的其他措施</w:t>
      </w:r>
    </w:p>
    <w:p w:rsidR="00000000" w:rsidRDefault="0031739B">
      <w:r>
        <w:tab/>
        <w:t xml:space="preserve">175.  </w:t>
      </w:r>
      <w:r>
        <w:rPr>
          <w:rFonts w:hint="eastAsia"/>
        </w:rPr>
        <w:t>“综合社区环境改善项目”的目的，是支持社区居民自愿发展和改善生活环境，作为项目的一部分，政府为拓宽狭窄街道之类的项目提供补贴，由社区居民成立的</w:t>
      </w:r>
      <w:r>
        <w:rPr>
          <w:rFonts w:hint="eastAsia"/>
        </w:rPr>
        <w:t>生活环境发展协会实施。</w:t>
      </w:r>
    </w:p>
    <w:p w:rsidR="00000000" w:rsidRDefault="0031739B">
      <w:r>
        <w:tab/>
        <w:t xml:space="preserve">176.  </w:t>
      </w:r>
      <w:r>
        <w:rPr>
          <w:rFonts w:hint="eastAsia"/>
        </w:rPr>
        <w:t>在根据第</w:t>
      </w:r>
      <w:r>
        <w:t>168</w:t>
      </w:r>
      <w:r>
        <w:rPr>
          <w:rFonts w:hint="eastAsia"/>
        </w:rPr>
        <w:t>段</w:t>
      </w:r>
      <w:r>
        <w:t>(2) (b)</w:t>
      </w:r>
      <w:r>
        <w:rPr>
          <w:rFonts w:hint="eastAsia"/>
        </w:rPr>
        <w:t>中讲到的各项法采取措施的同时，又根据住房建设五年计划</w:t>
      </w:r>
      <w:r>
        <w:t>(</w:t>
      </w:r>
      <w:r>
        <w:rPr>
          <w:rFonts w:hint="eastAsia"/>
        </w:rPr>
        <w:t>目前是第七个</w:t>
      </w:r>
      <w:r>
        <w:t>)</w:t>
      </w:r>
      <w:r>
        <w:rPr>
          <w:rFonts w:hint="eastAsia"/>
        </w:rPr>
        <w:t>执行了综合的住房措施。这些措施包括适当供应国家出租的住房，提供贷款购买住房，和通过利息补贴提供高质量的私人住房。</w:t>
      </w:r>
    </w:p>
    <w:p w:rsidR="00000000" w:rsidRDefault="0031739B">
      <w:r>
        <w:tab/>
        <w:t xml:space="preserve">177.  </w:t>
      </w:r>
      <w:r>
        <w:rPr>
          <w:rFonts w:hint="eastAsia"/>
        </w:rPr>
        <w:t>地方政府为住房困难的居民提供改善的住房，实施“居民区翻新”和“社区生活环境发展”等项目。前者是改善低于标准的住房集中的地区，后者的目标是改善因低于标准的住房和小型居民住宅集中而使住房条件和环境恶化的地区。</w:t>
      </w:r>
    </w:p>
    <w:p w:rsidR="00000000" w:rsidRDefault="0031739B">
      <w:r>
        <w:tab/>
        <w:t xml:space="preserve">178.  </w:t>
      </w:r>
      <w:r>
        <w:rPr>
          <w:rFonts w:hint="eastAsia"/>
        </w:rPr>
        <w:t>根据《国有土地使用规划法》，</w:t>
      </w:r>
      <w:r>
        <w:rPr>
          <w:rFonts w:hint="eastAsia"/>
        </w:rPr>
        <w:t>通过提出意见、建议和对购买土地进行讨论，促进了闲置土地的有效和适当使用。</w:t>
      </w:r>
    </w:p>
    <w:p w:rsidR="00000000" w:rsidRDefault="0031739B">
      <w:pPr>
        <w:spacing w:after="320"/>
        <w:textAlignment w:val="center"/>
      </w:pPr>
      <w:r>
        <w:tab/>
        <w:t>179.  1996</w:t>
      </w:r>
      <w:r>
        <w:rPr>
          <w:rFonts w:hint="eastAsia"/>
        </w:rPr>
        <w:t>财政年度用于住房的预算为</w:t>
      </w:r>
      <w:r>
        <w:t>1,161,288</w:t>
      </w:r>
      <w:r>
        <w:rPr>
          <w:rFonts w:hint="eastAsia"/>
        </w:rPr>
        <w:t>百万日元，约占总预算</w:t>
      </w:r>
      <w:r>
        <w:t>1.5%</w:t>
      </w:r>
      <w:r>
        <w:rPr>
          <w:rFonts w:hint="eastAsia"/>
        </w:rPr>
        <w:t>。</w:t>
      </w:r>
    </w:p>
    <w:p w:rsidR="00000000" w:rsidRDefault="0031739B">
      <w:pPr>
        <w:pStyle w:val="Heading3"/>
      </w:pPr>
      <w:r>
        <w:rPr>
          <w:u w:val="none"/>
        </w:rPr>
        <w:t xml:space="preserve">G.  </w:t>
      </w:r>
      <w:r>
        <w:rPr>
          <w:rFonts w:hint="eastAsia"/>
        </w:rPr>
        <w:t>第</w:t>
      </w:r>
      <w:r>
        <w:t xml:space="preserve"> 12 </w:t>
      </w:r>
      <w:r>
        <w:rPr>
          <w:rFonts w:hint="eastAsia"/>
        </w:rPr>
        <w:t>条</w:t>
      </w:r>
    </w:p>
    <w:p w:rsidR="00000000" w:rsidRDefault="0031739B">
      <w:pPr>
        <w:pStyle w:val="Heading3"/>
      </w:pPr>
      <w:r>
        <w:rPr>
          <w:u w:val="none"/>
        </w:rPr>
        <w:t xml:space="preserve">1.  </w:t>
      </w:r>
      <w:r>
        <w:rPr>
          <w:rFonts w:hint="eastAsia"/>
        </w:rPr>
        <w:t>有关公民卫生条件的资料</w:t>
      </w:r>
    </w:p>
    <w:p w:rsidR="00000000" w:rsidRDefault="0031739B">
      <w:pPr>
        <w:spacing w:after="320"/>
        <w:textAlignment w:val="center"/>
      </w:pPr>
      <w:r>
        <w:tab/>
        <w:t xml:space="preserve">180.  </w:t>
      </w:r>
      <w:r>
        <w:rPr>
          <w:rFonts w:hint="eastAsia"/>
        </w:rPr>
        <w:t>请参阅世界卫生组织西太平洋区域办事处的“西太平洋地区社会经济和卫生指数资料库，</w:t>
      </w:r>
      <w:r>
        <w:t>1995</w:t>
      </w:r>
      <w:r>
        <w:rPr>
          <w:rFonts w:hint="eastAsia"/>
        </w:rPr>
        <w:t>年</w:t>
      </w:r>
      <w:r>
        <w:t>12</w:t>
      </w:r>
      <w:r>
        <w:rPr>
          <w:rFonts w:hint="eastAsia"/>
        </w:rPr>
        <w:t>月。”</w:t>
      </w:r>
    </w:p>
    <w:p w:rsidR="00000000" w:rsidRDefault="0031739B">
      <w:pPr>
        <w:pStyle w:val="Heading3"/>
      </w:pPr>
      <w:r>
        <w:rPr>
          <w:u w:val="none"/>
        </w:rPr>
        <w:t xml:space="preserve">2.  </w:t>
      </w:r>
      <w:r>
        <w:rPr>
          <w:rFonts w:hint="eastAsia"/>
        </w:rPr>
        <w:t>卫生政策</w:t>
      </w:r>
    </w:p>
    <w:p w:rsidR="00000000" w:rsidRDefault="0031739B">
      <w:pPr>
        <w:pStyle w:val="Heading4"/>
      </w:pPr>
      <w:r>
        <w:rPr>
          <w:u w:val="none"/>
        </w:rPr>
        <w:t xml:space="preserve">(a)  </w:t>
      </w:r>
      <w:r>
        <w:rPr>
          <w:rFonts w:hint="eastAsia"/>
        </w:rPr>
        <w:t>预防、治疗和疾病控制</w:t>
      </w:r>
    </w:p>
    <w:p w:rsidR="00000000" w:rsidRDefault="0031739B">
      <w:r>
        <w:tab/>
        <w:t xml:space="preserve">181.  </w:t>
      </w:r>
      <w:r>
        <w:rPr>
          <w:rFonts w:hint="eastAsia"/>
          <w:u w:val="single"/>
        </w:rPr>
        <w:t>传染病的控制</w:t>
      </w:r>
      <w:r>
        <w:rPr>
          <w:rFonts w:hint="eastAsia"/>
        </w:rPr>
        <w:t>。为预防传染病，根据《传染病预防法》，针对传染源和途径采取了对应措施。例如，医生必须报告传染病病例</w:t>
      </w:r>
      <w:r>
        <w:rPr>
          <w:rFonts w:hint="eastAsia"/>
        </w:rPr>
        <w:t>、医疗检查、隔离，和污染物的消毒或处理。根据《预防免疫法》，对七种疾病，如小儿麻痹症和白喉等，都有例行或紧急的预防性免疫。由于采取这些措施，伤寒和副伤寒等传染疾病的发病率，已下降到</w:t>
      </w:r>
      <w:r>
        <w:t>1950</w:t>
      </w:r>
      <w:r>
        <w:rPr>
          <w:rFonts w:hint="eastAsia"/>
        </w:rPr>
        <w:t>年后同类疾病发病率最高年份的二十分之一以下。特别是小儿麻痹症，已基本上消灭。</w:t>
      </w:r>
    </w:p>
    <w:p w:rsidR="00000000" w:rsidRDefault="0031739B">
      <w:r>
        <w:tab/>
        <w:t xml:space="preserve">182.  </w:t>
      </w:r>
      <w:r>
        <w:rPr>
          <w:rFonts w:hint="eastAsia"/>
        </w:rPr>
        <w:t>为防止通常日本没有的病原体的侵入，根据《检疫法》实行检疫。</w:t>
      </w:r>
    </w:p>
    <w:p w:rsidR="00000000" w:rsidRDefault="0031739B">
      <w:r>
        <w:tab/>
        <w:t xml:space="preserve">183.  </w:t>
      </w:r>
      <w:r>
        <w:rPr>
          <w:rFonts w:hint="eastAsia"/>
        </w:rPr>
        <w:t>政府努力预防结核病，进行健康检查、免疫注射、禁止工人从事某些职业，以及强迫隔离或住院。由于这些措施，新记录的结核病每年已减到约</w:t>
      </w:r>
      <w:r>
        <w:t>42,000</w:t>
      </w:r>
      <w:r>
        <w:rPr>
          <w:rFonts w:hint="eastAsia"/>
        </w:rPr>
        <w:t>个病例。</w:t>
      </w:r>
    </w:p>
    <w:p w:rsidR="00000000" w:rsidRDefault="0031739B">
      <w:r>
        <w:tab/>
        <w:t>184.</w:t>
      </w:r>
      <w:r>
        <w:t xml:space="preserve">  </w:t>
      </w:r>
      <w:r>
        <w:rPr>
          <w:rFonts w:hint="eastAsia"/>
        </w:rPr>
        <w:t>虽然得艾滋病的人数在日本仍然很少，但数字却在逐渐增加。根据“艾滋病问题对策纲要”</w:t>
      </w:r>
      <w:r>
        <w:t>(</w:t>
      </w:r>
      <w:r>
        <w:rPr>
          <w:rFonts w:hint="eastAsia"/>
        </w:rPr>
        <w:t>内阁会议</w:t>
      </w:r>
      <w:r>
        <w:t>1987</w:t>
      </w:r>
      <w:r>
        <w:rPr>
          <w:rFonts w:hint="eastAsia"/>
        </w:rPr>
        <w:t>年</w:t>
      </w:r>
      <w:r>
        <w:t>2</w:t>
      </w:r>
      <w:r>
        <w:rPr>
          <w:rFonts w:hint="eastAsia"/>
        </w:rPr>
        <w:t>月</w:t>
      </w:r>
      <w:r>
        <w:t>24</w:t>
      </w:r>
      <w:r>
        <w:rPr>
          <w:rFonts w:hint="eastAsia"/>
        </w:rPr>
        <w:t>日决定、</w:t>
      </w:r>
      <w:r>
        <w:t>1992</w:t>
      </w:r>
      <w:r>
        <w:rPr>
          <w:rFonts w:hint="eastAsia"/>
        </w:rPr>
        <w:t>年</w:t>
      </w:r>
      <w:r>
        <w:t>3</w:t>
      </w:r>
      <w:r>
        <w:rPr>
          <w:rFonts w:hint="eastAsia"/>
        </w:rPr>
        <w:t>月</w:t>
      </w:r>
      <w:r>
        <w:t>19</w:t>
      </w:r>
      <w:r>
        <w:rPr>
          <w:rFonts w:hint="eastAsia"/>
        </w:rPr>
        <w:t>日修订</w:t>
      </w:r>
      <w:r>
        <w:t>)</w:t>
      </w:r>
      <w:r>
        <w:rPr>
          <w:rFonts w:hint="eastAsia"/>
        </w:rPr>
        <w:t>，政府正努力防止染上艾滋病的可能性，并传播有关艾滋病的准确信息。</w:t>
      </w:r>
    </w:p>
    <w:p w:rsidR="00000000" w:rsidRDefault="0031739B">
      <w:r>
        <w:tab/>
        <w:t xml:space="preserve">185.  </w:t>
      </w:r>
      <w:r>
        <w:rPr>
          <w:rFonts w:hint="eastAsia"/>
          <w:u w:val="single"/>
        </w:rPr>
        <w:t>预防长期变性病</w:t>
      </w:r>
      <w:r>
        <w:rPr>
          <w:rFonts w:hint="eastAsia"/>
        </w:rPr>
        <w:t>。根据</w:t>
      </w:r>
      <w:r>
        <w:t>1983</w:t>
      </w:r>
      <w:r>
        <w:rPr>
          <w:rFonts w:hint="eastAsia"/>
        </w:rPr>
        <w:t>年</w:t>
      </w:r>
      <w:r>
        <w:t>2</w:t>
      </w:r>
      <w:r>
        <w:rPr>
          <w:rFonts w:hint="eastAsia"/>
        </w:rPr>
        <w:t>月生效的《老年人卫生和医疗服务法》，政府提供预防循环系统疾病、癌症和糖尿病的卫生服务。这些卫生服务包括卫生教育、卫生咨询、健康检查和各种其他服务。</w:t>
      </w:r>
    </w:p>
    <w:p w:rsidR="00000000" w:rsidRDefault="0031739B">
      <w:r>
        <w:tab/>
        <w:t xml:space="preserve">186.  </w:t>
      </w:r>
      <w:r>
        <w:rPr>
          <w:rFonts w:hint="eastAsia"/>
          <w:u w:val="single"/>
        </w:rPr>
        <w:t>预防职业病的措施</w:t>
      </w:r>
      <w:r>
        <w:rPr>
          <w:rFonts w:hint="eastAsia"/>
        </w:rPr>
        <w:t>。为预防各种职业病，日本自</w:t>
      </w:r>
      <w:r>
        <w:t>1953</w:t>
      </w:r>
      <w:r>
        <w:rPr>
          <w:rFonts w:hint="eastAsia"/>
        </w:rPr>
        <w:t>年以来通过制定“工伤预防方案”，促进采取各</w:t>
      </w:r>
      <w:r>
        <w:rPr>
          <w:rFonts w:hint="eastAsia"/>
        </w:rPr>
        <w:t>种措施。第八个方案</w:t>
      </w:r>
      <w:r>
        <w:t>(</w:t>
      </w:r>
      <w:r>
        <w:rPr>
          <w:rFonts w:hint="eastAsia"/>
        </w:rPr>
        <w:t>包括</w:t>
      </w:r>
      <w:r>
        <w:t>1993</w:t>
      </w:r>
      <w:r>
        <w:rPr>
          <w:rFonts w:hint="eastAsia"/>
        </w:rPr>
        <w:t>至</w:t>
      </w:r>
      <w:r>
        <w:t>1997</w:t>
      </w:r>
      <w:r>
        <w:rPr>
          <w:rFonts w:hint="eastAsia"/>
        </w:rPr>
        <w:t>财政年度</w:t>
      </w:r>
      <w:r>
        <w:t>)</w:t>
      </w:r>
      <w:r>
        <w:rPr>
          <w:rFonts w:hint="eastAsia"/>
        </w:rPr>
        <w:t>决定采取以下措施：</w:t>
      </w:r>
    </w:p>
    <w:p w:rsidR="00000000" w:rsidRDefault="0031739B" w:rsidP="0031739B">
      <w:pPr>
        <w:pStyle w:val="a0"/>
        <w:numPr>
          <w:ilvl w:val="0"/>
          <w:numId w:val="10"/>
        </w:numPr>
        <w:ind w:left="1531" w:hanging="510"/>
      </w:pPr>
      <w:r>
        <w:rPr>
          <w:rFonts w:hint="eastAsia"/>
        </w:rPr>
        <w:t>防止有害材料如有毒化学品造成疾病的措施；和</w:t>
      </w:r>
    </w:p>
    <w:p w:rsidR="00000000" w:rsidRDefault="0031739B" w:rsidP="0031739B">
      <w:pPr>
        <w:pStyle w:val="a0"/>
        <w:numPr>
          <w:ilvl w:val="0"/>
          <w:numId w:val="10"/>
        </w:numPr>
        <w:spacing w:after="320"/>
        <w:ind w:left="1531" w:hanging="510"/>
        <w:textAlignment w:val="center"/>
      </w:pPr>
      <w:r>
        <w:rPr>
          <w:rFonts w:hint="eastAsia"/>
        </w:rPr>
        <w:t>防止物理因素如电离辐射和工作条件造成疾病的措施。</w:t>
      </w:r>
    </w:p>
    <w:p w:rsidR="00000000" w:rsidRDefault="0031739B">
      <w:pPr>
        <w:pStyle w:val="Heading4"/>
      </w:pPr>
      <w:r>
        <w:rPr>
          <w:u w:val="none"/>
        </w:rPr>
        <w:t xml:space="preserve">(b)  </w:t>
      </w:r>
      <w:r>
        <w:rPr>
          <w:rFonts w:hint="eastAsia"/>
        </w:rPr>
        <w:t>保证适当的医疗服务</w:t>
      </w:r>
    </w:p>
    <w:p w:rsidR="00000000" w:rsidRDefault="0031739B">
      <w:r>
        <w:tab/>
        <w:t xml:space="preserve">187.  </w:t>
      </w:r>
      <w:r>
        <w:rPr>
          <w:rFonts w:hint="eastAsia"/>
          <w:u w:val="single"/>
        </w:rPr>
        <w:t>提供医疗的制度</w:t>
      </w:r>
      <w:r>
        <w:rPr>
          <w:rFonts w:hint="eastAsia"/>
        </w:rPr>
        <w:t>。日本的医疗制度保证有效提供高质量和适当的医疗，适合病人的身心状况。因此，在全国各地都保证了必要数量的床位和医生。</w:t>
      </w:r>
    </w:p>
    <w:p w:rsidR="00000000" w:rsidRDefault="0031739B">
      <w:r>
        <w:tab/>
        <w:t xml:space="preserve">188.  </w:t>
      </w:r>
      <w:r>
        <w:rPr>
          <w:rFonts w:hint="eastAsia"/>
        </w:rPr>
        <w:t>从</w:t>
      </w:r>
      <w:r>
        <w:t>1986</w:t>
      </w:r>
      <w:r>
        <w:rPr>
          <w:rFonts w:hint="eastAsia"/>
        </w:rPr>
        <w:t>财政年度起，各县都与参与医疗服务的人合作，根据社区条件制订并执行了医疗计划。在医生和护士等与医疗有关的职业方面，通过国家的资格制度，促进了对他们的培</w:t>
      </w:r>
      <w:r>
        <w:rPr>
          <w:rFonts w:hint="eastAsia"/>
        </w:rPr>
        <w:t>训和质量保证。此外，政府还努力提高执照医生的临床培训，促进培训能够提供全面治疗的高水平的医生。</w:t>
      </w:r>
    </w:p>
    <w:p w:rsidR="00000000" w:rsidRDefault="0031739B">
      <w:r>
        <w:tab/>
        <w:t xml:space="preserve">189.  </w:t>
      </w:r>
      <w:r>
        <w:rPr>
          <w:rFonts w:hint="eastAsia"/>
        </w:rPr>
        <w:t>政府向提供不盈利的或高级医疗服务的医院提供必要的补贴，如设在偏远农村地区的医院，以及提供急诊、治疗癌症和医治儿童的医院。</w:t>
      </w:r>
    </w:p>
    <w:p w:rsidR="00000000" w:rsidRDefault="0031739B">
      <w:r>
        <w:tab/>
        <w:t xml:space="preserve">190.  </w:t>
      </w:r>
      <w:r>
        <w:rPr>
          <w:rFonts w:hint="eastAsia"/>
        </w:rPr>
        <w:t>日本政府从</w:t>
      </w:r>
      <w:r>
        <w:t>1956</w:t>
      </w:r>
      <w:r>
        <w:rPr>
          <w:rFonts w:hint="eastAsia"/>
        </w:rPr>
        <w:t>财政年度起在每年制定计划的基础上，促进各种措施，保证边远地区居民得到医疗。例如，推行的措施包括为偏远地区提供核心医院，为偏远地区的医院和诊所提供医疗支持，开设流动诊所，向偏远地区提供医生，并促进建立护送病人的系统。</w:t>
      </w:r>
    </w:p>
    <w:p w:rsidR="00000000" w:rsidRDefault="0031739B">
      <w:r>
        <w:tab/>
        <w:t xml:space="preserve">191.  </w:t>
      </w:r>
      <w:r>
        <w:rPr>
          <w:rFonts w:hint="eastAsia"/>
        </w:rPr>
        <w:t>为在假日或夜间保证</w:t>
      </w:r>
      <w:r>
        <w:rPr>
          <w:rFonts w:hint="eastAsia"/>
        </w:rPr>
        <w:t>地方居民得到紧急医疗服务，政府从</w:t>
      </w:r>
      <w:r>
        <w:t>1977</w:t>
      </w:r>
      <w:r>
        <w:rPr>
          <w:rFonts w:hint="eastAsia"/>
        </w:rPr>
        <w:t>财政年度起有系统地推行建设了一级、二级和三级紧急医疗服务制度，和紧急医疗信息中心。此外，政府还力求保证在急救现场和护送病人途中的适当医疗服务。例如，</w:t>
      </w:r>
      <w:r>
        <w:t>1991</w:t>
      </w:r>
      <w:r>
        <w:rPr>
          <w:rFonts w:hint="eastAsia"/>
        </w:rPr>
        <w:t>财政年度期间实行了紧急抢救生命技术员制度。</w:t>
      </w:r>
    </w:p>
    <w:p w:rsidR="00000000" w:rsidRDefault="0031739B">
      <w:r>
        <w:tab/>
        <w:t xml:space="preserve">192.  </w:t>
      </w:r>
      <w:r>
        <w:rPr>
          <w:rFonts w:hint="eastAsia"/>
        </w:rPr>
        <w:t>表</w:t>
      </w:r>
      <w:r>
        <w:t>19</w:t>
      </w:r>
      <w:r>
        <w:rPr>
          <w:rFonts w:hint="eastAsia"/>
        </w:rPr>
        <w:t>显示了医生、医院和床位数量的变化：</w:t>
      </w:r>
    </w:p>
    <w:p w:rsidR="00000000" w:rsidRDefault="0031739B">
      <w:pPr>
        <w:spacing w:after="240"/>
        <w:jc w:val="center"/>
        <w:textAlignment w:val="center"/>
      </w:pPr>
      <w:r>
        <w:br w:type="page"/>
      </w:r>
      <w:r>
        <w:rPr>
          <w:rFonts w:hint="eastAsia"/>
        </w:rPr>
        <w:t>表</w:t>
      </w:r>
      <w:r>
        <w:t xml:space="preserve"> 19.  </w:t>
      </w:r>
      <w:r>
        <w:rPr>
          <w:u w:val="single"/>
        </w:rPr>
        <w:t>1991</w:t>
      </w:r>
      <w:r>
        <w:rPr>
          <w:rFonts w:hint="eastAsia"/>
          <w:u w:val="single"/>
        </w:rPr>
        <w:t>至</w:t>
      </w:r>
      <w:r>
        <w:rPr>
          <w:u w:val="single"/>
        </w:rPr>
        <w:t>1995</w:t>
      </w:r>
      <w:r>
        <w:rPr>
          <w:rFonts w:hint="eastAsia"/>
          <w:u w:val="single"/>
        </w:rPr>
        <w:t>年每十万人的医生、医院和病床数量</w:t>
      </w:r>
    </w:p>
    <w:tbl>
      <w:tblPr>
        <w:tblW w:w="0" w:type="auto"/>
        <w:tblInd w:w="-26" w:type="dxa"/>
        <w:tblLayout w:type="fixed"/>
        <w:tblCellMar>
          <w:left w:w="28" w:type="dxa"/>
          <w:right w:w="28" w:type="dxa"/>
        </w:tblCellMar>
        <w:tblLook w:val="0000" w:firstRow="0" w:lastRow="0" w:firstColumn="0" w:lastColumn="0" w:noHBand="0" w:noVBand="0"/>
      </w:tblPr>
      <w:tblGrid>
        <w:gridCol w:w="2308"/>
        <w:gridCol w:w="1420"/>
        <w:gridCol w:w="1420"/>
        <w:gridCol w:w="1420"/>
        <w:gridCol w:w="1420"/>
        <w:gridCol w:w="1420"/>
      </w:tblGrid>
      <w:tr w:rsidR="00000000">
        <w:tblPrEx>
          <w:tblCellMar>
            <w:top w:w="0" w:type="dxa"/>
            <w:bottom w:w="0" w:type="dxa"/>
          </w:tblCellMar>
        </w:tblPrEx>
        <w:tc>
          <w:tcPr>
            <w:tcW w:w="2308" w:type="dxa"/>
            <w:tcBorders>
              <w:top w:val="single" w:sz="6" w:space="0" w:color="auto"/>
              <w:left w:val="single" w:sz="6" w:space="0" w:color="auto"/>
              <w:right w:val="single" w:sz="6" w:space="0" w:color="auto"/>
            </w:tcBorders>
          </w:tcPr>
          <w:p w:rsidR="00000000" w:rsidRDefault="0031739B">
            <w:pPr>
              <w:spacing w:before="120" w:line="240" w:lineRule="auto"/>
              <w:rPr>
                <w:sz w:val="21"/>
              </w:rPr>
            </w:pPr>
          </w:p>
        </w:tc>
        <w:tc>
          <w:tcPr>
            <w:tcW w:w="1420" w:type="dxa"/>
            <w:tcBorders>
              <w:top w:val="single" w:sz="6" w:space="0" w:color="auto"/>
              <w:left w:val="nil"/>
            </w:tcBorders>
          </w:tcPr>
          <w:p w:rsidR="00000000" w:rsidRDefault="0031739B">
            <w:pPr>
              <w:spacing w:before="120" w:line="240" w:lineRule="auto"/>
              <w:jc w:val="center"/>
              <w:rPr>
                <w:sz w:val="21"/>
              </w:rPr>
            </w:pPr>
            <w:r>
              <w:rPr>
                <w:sz w:val="21"/>
              </w:rPr>
              <w:t>1991</w:t>
            </w:r>
          </w:p>
        </w:tc>
        <w:tc>
          <w:tcPr>
            <w:tcW w:w="1420" w:type="dxa"/>
            <w:tcBorders>
              <w:top w:val="single" w:sz="6" w:space="0" w:color="auto"/>
              <w:left w:val="dashed" w:sz="6" w:space="0" w:color="auto"/>
              <w:right w:val="dashed" w:sz="6" w:space="0" w:color="auto"/>
            </w:tcBorders>
          </w:tcPr>
          <w:p w:rsidR="00000000" w:rsidRDefault="0031739B">
            <w:pPr>
              <w:spacing w:before="120" w:line="240" w:lineRule="auto"/>
              <w:jc w:val="center"/>
              <w:rPr>
                <w:sz w:val="21"/>
              </w:rPr>
            </w:pPr>
            <w:r>
              <w:rPr>
                <w:sz w:val="21"/>
              </w:rPr>
              <w:t>1992</w:t>
            </w:r>
          </w:p>
        </w:tc>
        <w:tc>
          <w:tcPr>
            <w:tcW w:w="1420" w:type="dxa"/>
            <w:tcBorders>
              <w:top w:val="single" w:sz="6" w:space="0" w:color="auto"/>
              <w:left w:val="nil"/>
            </w:tcBorders>
          </w:tcPr>
          <w:p w:rsidR="00000000" w:rsidRDefault="0031739B">
            <w:pPr>
              <w:spacing w:before="120" w:line="240" w:lineRule="auto"/>
              <w:jc w:val="center"/>
              <w:rPr>
                <w:sz w:val="21"/>
              </w:rPr>
            </w:pPr>
            <w:r>
              <w:rPr>
                <w:sz w:val="21"/>
              </w:rPr>
              <w:t>1993</w:t>
            </w:r>
          </w:p>
        </w:tc>
        <w:tc>
          <w:tcPr>
            <w:tcW w:w="1420" w:type="dxa"/>
            <w:tcBorders>
              <w:top w:val="single" w:sz="6" w:space="0" w:color="auto"/>
              <w:left w:val="dashed" w:sz="6" w:space="0" w:color="auto"/>
              <w:right w:val="dashed" w:sz="6" w:space="0" w:color="auto"/>
            </w:tcBorders>
          </w:tcPr>
          <w:p w:rsidR="00000000" w:rsidRDefault="0031739B">
            <w:pPr>
              <w:spacing w:before="120" w:line="240" w:lineRule="auto"/>
              <w:jc w:val="center"/>
              <w:rPr>
                <w:sz w:val="21"/>
              </w:rPr>
            </w:pPr>
            <w:r>
              <w:rPr>
                <w:sz w:val="21"/>
              </w:rPr>
              <w:t>1994</w:t>
            </w:r>
          </w:p>
        </w:tc>
        <w:tc>
          <w:tcPr>
            <w:tcW w:w="1420" w:type="dxa"/>
            <w:tcBorders>
              <w:top w:val="single" w:sz="6" w:space="0" w:color="auto"/>
              <w:left w:val="nil"/>
              <w:right w:val="single" w:sz="6" w:space="0" w:color="auto"/>
            </w:tcBorders>
          </w:tcPr>
          <w:p w:rsidR="00000000" w:rsidRDefault="0031739B">
            <w:pPr>
              <w:spacing w:before="120" w:line="240" w:lineRule="auto"/>
              <w:jc w:val="center"/>
              <w:rPr>
                <w:sz w:val="21"/>
              </w:rPr>
            </w:pPr>
            <w:r>
              <w:rPr>
                <w:sz w:val="21"/>
              </w:rPr>
              <w:t>1995</w:t>
            </w:r>
          </w:p>
        </w:tc>
      </w:tr>
      <w:tr w:rsidR="00000000">
        <w:tblPrEx>
          <w:tblCellMar>
            <w:top w:w="0" w:type="dxa"/>
            <w:bottom w:w="0" w:type="dxa"/>
          </w:tblCellMar>
        </w:tblPrEx>
        <w:tc>
          <w:tcPr>
            <w:tcW w:w="2308" w:type="dxa"/>
            <w:tcBorders>
              <w:top w:val="single" w:sz="6" w:space="0" w:color="auto"/>
              <w:left w:val="single" w:sz="6" w:space="0" w:color="auto"/>
              <w:right w:val="single" w:sz="6" w:space="0" w:color="auto"/>
            </w:tcBorders>
          </w:tcPr>
          <w:p w:rsidR="00000000" w:rsidRDefault="0031739B">
            <w:pPr>
              <w:spacing w:before="120" w:line="240" w:lineRule="auto"/>
              <w:ind w:left="57"/>
              <w:rPr>
                <w:sz w:val="21"/>
              </w:rPr>
            </w:pPr>
            <w:r>
              <w:rPr>
                <w:rFonts w:hint="eastAsia"/>
                <w:sz w:val="21"/>
              </w:rPr>
              <w:t>医</w:t>
            </w:r>
            <w:r>
              <w:rPr>
                <w:sz w:val="21"/>
              </w:rPr>
              <w:t xml:space="preserve">  </w:t>
            </w:r>
            <w:r>
              <w:rPr>
                <w:rFonts w:hint="eastAsia"/>
                <w:sz w:val="21"/>
              </w:rPr>
              <w:t>生</w:t>
            </w:r>
          </w:p>
        </w:tc>
        <w:tc>
          <w:tcPr>
            <w:tcW w:w="1420" w:type="dxa"/>
            <w:tcBorders>
              <w:top w:val="single" w:sz="6" w:space="0" w:color="auto"/>
              <w:left w:val="nil"/>
            </w:tcBorders>
          </w:tcPr>
          <w:p w:rsidR="00000000" w:rsidRDefault="0031739B">
            <w:pPr>
              <w:tabs>
                <w:tab w:val="clear" w:pos="510"/>
                <w:tab w:val="clear" w:pos="1021"/>
                <w:tab w:val="clear" w:pos="1531"/>
                <w:tab w:val="clear" w:pos="2041"/>
                <w:tab w:val="decimal" w:pos="1052"/>
              </w:tabs>
              <w:spacing w:before="120" w:line="240" w:lineRule="auto"/>
              <w:rPr>
                <w:sz w:val="21"/>
              </w:rPr>
            </w:pPr>
            <w:r>
              <w:rPr>
                <w:sz w:val="21"/>
              </w:rPr>
              <w:t>---</w:t>
            </w:r>
          </w:p>
        </w:tc>
        <w:tc>
          <w:tcPr>
            <w:tcW w:w="1420" w:type="dxa"/>
            <w:tcBorders>
              <w:top w:val="single" w:sz="6" w:space="0" w:color="auto"/>
              <w:left w:val="dashed" w:sz="6" w:space="0" w:color="auto"/>
              <w:right w:val="dashed" w:sz="6" w:space="0" w:color="auto"/>
            </w:tcBorders>
          </w:tcPr>
          <w:p w:rsidR="00000000" w:rsidRDefault="0031739B">
            <w:pPr>
              <w:tabs>
                <w:tab w:val="clear" w:pos="510"/>
                <w:tab w:val="clear" w:pos="1021"/>
                <w:tab w:val="clear" w:pos="1531"/>
                <w:tab w:val="clear" w:pos="2041"/>
                <w:tab w:val="decimal" w:pos="1072"/>
              </w:tabs>
              <w:spacing w:before="120" w:line="240" w:lineRule="auto"/>
              <w:ind w:right="57"/>
              <w:rPr>
                <w:sz w:val="21"/>
              </w:rPr>
            </w:pPr>
            <w:r>
              <w:rPr>
                <w:sz w:val="21"/>
              </w:rPr>
              <w:t>219,704</w:t>
            </w:r>
          </w:p>
        </w:tc>
        <w:tc>
          <w:tcPr>
            <w:tcW w:w="1420" w:type="dxa"/>
            <w:tcBorders>
              <w:top w:val="single" w:sz="6" w:space="0" w:color="auto"/>
              <w:left w:val="nil"/>
            </w:tcBorders>
          </w:tcPr>
          <w:p w:rsidR="00000000" w:rsidRDefault="0031739B">
            <w:pPr>
              <w:tabs>
                <w:tab w:val="clear" w:pos="510"/>
                <w:tab w:val="clear" w:pos="1021"/>
                <w:tab w:val="clear" w:pos="1531"/>
                <w:tab w:val="clear" w:pos="2041"/>
                <w:tab w:val="decimal" w:pos="1092"/>
              </w:tabs>
              <w:spacing w:before="120" w:line="240" w:lineRule="auto"/>
              <w:rPr>
                <w:sz w:val="21"/>
              </w:rPr>
            </w:pPr>
            <w:r>
              <w:rPr>
                <w:sz w:val="21"/>
              </w:rPr>
              <w:t>---</w:t>
            </w:r>
          </w:p>
        </w:tc>
        <w:tc>
          <w:tcPr>
            <w:tcW w:w="1420" w:type="dxa"/>
            <w:tcBorders>
              <w:top w:val="single" w:sz="6" w:space="0" w:color="auto"/>
              <w:left w:val="dashed" w:sz="6" w:space="0" w:color="auto"/>
              <w:right w:val="dashed" w:sz="6" w:space="0" w:color="auto"/>
            </w:tcBorders>
          </w:tcPr>
          <w:p w:rsidR="00000000" w:rsidRDefault="0031739B">
            <w:pPr>
              <w:tabs>
                <w:tab w:val="clear" w:pos="510"/>
                <w:tab w:val="clear" w:pos="1021"/>
                <w:tab w:val="clear" w:pos="1531"/>
                <w:tab w:val="clear" w:pos="2041"/>
                <w:tab w:val="decimal" w:pos="1112"/>
              </w:tabs>
              <w:spacing w:before="120" w:line="240" w:lineRule="auto"/>
              <w:ind w:right="57"/>
              <w:rPr>
                <w:sz w:val="21"/>
              </w:rPr>
            </w:pPr>
            <w:r>
              <w:rPr>
                <w:sz w:val="21"/>
              </w:rPr>
              <w:t>203,519</w:t>
            </w:r>
          </w:p>
        </w:tc>
        <w:tc>
          <w:tcPr>
            <w:tcW w:w="1420" w:type="dxa"/>
            <w:tcBorders>
              <w:top w:val="single" w:sz="6" w:space="0" w:color="auto"/>
              <w:left w:val="nil"/>
              <w:right w:val="single" w:sz="6" w:space="0" w:color="auto"/>
            </w:tcBorders>
          </w:tcPr>
          <w:p w:rsidR="00000000" w:rsidRDefault="0031739B">
            <w:pPr>
              <w:tabs>
                <w:tab w:val="clear" w:pos="510"/>
                <w:tab w:val="clear" w:pos="1021"/>
                <w:tab w:val="clear" w:pos="1531"/>
                <w:tab w:val="clear" w:pos="2041"/>
                <w:tab w:val="decimal" w:pos="1012"/>
              </w:tabs>
              <w:spacing w:before="120" w:line="240" w:lineRule="auto"/>
              <w:rPr>
                <w:sz w:val="21"/>
              </w:rPr>
            </w:pPr>
            <w:r>
              <w:rPr>
                <w:sz w:val="21"/>
              </w:rPr>
              <w:t>---</w:t>
            </w:r>
          </w:p>
        </w:tc>
      </w:tr>
      <w:tr w:rsidR="00000000">
        <w:tblPrEx>
          <w:tblCellMar>
            <w:top w:w="0" w:type="dxa"/>
            <w:bottom w:w="0" w:type="dxa"/>
          </w:tblCellMar>
        </w:tblPrEx>
        <w:tc>
          <w:tcPr>
            <w:tcW w:w="2308" w:type="dxa"/>
            <w:tcBorders>
              <w:left w:val="single" w:sz="6" w:space="0" w:color="auto"/>
              <w:bottom w:val="single" w:sz="6" w:space="0" w:color="auto"/>
              <w:right w:val="single" w:sz="6" w:space="0" w:color="auto"/>
            </w:tcBorders>
          </w:tcPr>
          <w:p w:rsidR="00000000" w:rsidRDefault="0031739B">
            <w:pPr>
              <w:spacing w:before="120" w:line="240" w:lineRule="auto"/>
              <w:ind w:left="57"/>
              <w:rPr>
                <w:sz w:val="21"/>
              </w:rPr>
            </w:pPr>
          </w:p>
        </w:tc>
        <w:tc>
          <w:tcPr>
            <w:tcW w:w="1420" w:type="dxa"/>
            <w:tcBorders>
              <w:left w:val="nil"/>
              <w:bottom w:val="single" w:sz="6" w:space="0" w:color="auto"/>
            </w:tcBorders>
          </w:tcPr>
          <w:p w:rsidR="00000000" w:rsidRDefault="0031739B">
            <w:pPr>
              <w:tabs>
                <w:tab w:val="clear" w:pos="510"/>
                <w:tab w:val="clear" w:pos="1021"/>
                <w:tab w:val="clear" w:pos="1531"/>
                <w:tab w:val="clear" w:pos="2041"/>
                <w:tab w:val="decimal" w:pos="1052"/>
              </w:tabs>
              <w:spacing w:before="120" w:line="240" w:lineRule="auto"/>
              <w:rPr>
                <w:sz w:val="21"/>
              </w:rPr>
            </w:pPr>
            <w:r>
              <w:rPr>
                <w:sz w:val="21"/>
              </w:rPr>
              <w:t>---</w:t>
            </w:r>
          </w:p>
        </w:tc>
        <w:tc>
          <w:tcPr>
            <w:tcW w:w="1420" w:type="dxa"/>
            <w:tcBorders>
              <w:left w:val="dashed" w:sz="6" w:space="0" w:color="auto"/>
              <w:bottom w:val="single" w:sz="6" w:space="0" w:color="auto"/>
              <w:right w:val="dashed" w:sz="6" w:space="0" w:color="auto"/>
            </w:tcBorders>
          </w:tcPr>
          <w:p w:rsidR="00000000" w:rsidRDefault="0031739B">
            <w:pPr>
              <w:tabs>
                <w:tab w:val="clear" w:pos="510"/>
                <w:tab w:val="clear" w:pos="1021"/>
                <w:tab w:val="clear" w:pos="1531"/>
                <w:tab w:val="clear" w:pos="2041"/>
                <w:tab w:val="decimal" w:pos="1072"/>
              </w:tabs>
              <w:spacing w:before="120" w:line="240" w:lineRule="auto"/>
              <w:ind w:right="57"/>
              <w:rPr>
                <w:sz w:val="21"/>
              </w:rPr>
            </w:pPr>
            <w:r>
              <w:rPr>
                <w:sz w:val="21"/>
              </w:rPr>
              <w:t>176.5</w:t>
            </w:r>
          </w:p>
        </w:tc>
        <w:tc>
          <w:tcPr>
            <w:tcW w:w="1420" w:type="dxa"/>
            <w:tcBorders>
              <w:left w:val="nil"/>
              <w:bottom w:val="single" w:sz="6" w:space="0" w:color="auto"/>
            </w:tcBorders>
          </w:tcPr>
          <w:p w:rsidR="00000000" w:rsidRDefault="0031739B">
            <w:pPr>
              <w:tabs>
                <w:tab w:val="clear" w:pos="510"/>
                <w:tab w:val="clear" w:pos="1021"/>
                <w:tab w:val="clear" w:pos="1531"/>
                <w:tab w:val="clear" w:pos="2041"/>
                <w:tab w:val="decimal" w:pos="1092"/>
              </w:tabs>
              <w:spacing w:before="120" w:line="240" w:lineRule="auto"/>
              <w:rPr>
                <w:sz w:val="21"/>
              </w:rPr>
            </w:pPr>
            <w:r>
              <w:rPr>
                <w:sz w:val="21"/>
              </w:rPr>
              <w:t>--</w:t>
            </w:r>
            <w:r>
              <w:rPr>
                <w:sz w:val="21"/>
              </w:rPr>
              <w:t>-</w:t>
            </w:r>
          </w:p>
        </w:tc>
        <w:tc>
          <w:tcPr>
            <w:tcW w:w="1420" w:type="dxa"/>
            <w:tcBorders>
              <w:left w:val="dashed" w:sz="6" w:space="0" w:color="auto"/>
              <w:bottom w:val="single" w:sz="6" w:space="0" w:color="auto"/>
              <w:right w:val="dashed" w:sz="6" w:space="0" w:color="auto"/>
            </w:tcBorders>
          </w:tcPr>
          <w:p w:rsidR="00000000" w:rsidRDefault="0031739B">
            <w:pPr>
              <w:tabs>
                <w:tab w:val="clear" w:pos="510"/>
                <w:tab w:val="clear" w:pos="1021"/>
                <w:tab w:val="clear" w:pos="1531"/>
                <w:tab w:val="clear" w:pos="2041"/>
                <w:tab w:val="decimal" w:pos="1112"/>
              </w:tabs>
              <w:spacing w:before="120" w:line="240" w:lineRule="auto"/>
              <w:ind w:right="57"/>
              <w:rPr>
                <w:sz w:val="21"/>
              </w:rPr>
            </w:pPr>
            <w:r>
              <w:rPr>
                <w:sz w:val="21"/>
              </w:rPr>
              <w:t>184.4</w:t>
            </w:r>
          </w:p>
        </w:tc>
        <w:tc>
          <w:tcPr>
            <w:tcW w:w="1420" w:type="dxa"/>
            <w:tcBorders>
              <w:left w:val="nil"/>
              <w:bottom w:val="single" w:sz="6" w:space="0" w:color="auto"/>
              <w:right w:val="single" w:sz="6" w:space="0" w:color="auto"/>
            </w:tcBorders>
          </w:tcPr>
          <w:p w:rsidR="00000000" w:rsidRDefault="0031739B">
            <w:pPr>
              <w:tabs>
                <w:tab w:val="clear" w:pos="510"/>
                <w:tab w:val="clear" w:pos="1021"/>
                <w:tab w:val="clear" w:pos="1531"/>
                <w:tab w:val="clear" w:pos="2041"/>
                <w:tab w:val="decimal" w:pos="1012"/>
              </w:tabs>
              <w:spacing w:before="120" w:line="240" w:lineRule="auto"/>
              <w:rPr>
                <w:sz w:val="21"/>
              </w:rPr>
            </w:pPr>
            <w:r>
              <w:rPr>
                <w:sz w:val="21"/>
              </w:rPr>
              <w:t>---</w:t>
            </w:r>
          </w:p>
        </w:tc>
      </w:tr>
      <w:tr w:rsidR="00000000">
        <w:tblPrEx>
          <w:tblCellMar>
            <w:top w:w="0" w:type="dxa"/>
            <w:bottom w:w="0" w:type="dxa"/>
          </w:tblCellMar>
        </w:tblPrEx>
        <w:tc>
          <w:tcPr>
            <w:tcW w:w="2308" w:type="dxa"/>
            <w:tcBorders>
              <w:left w:val="single" w:sz="6" w:space="0" w:color="auto"/>
              <w:right w:val="single" w:sz="6" w:space="0" w:color="auto"/>
            </w:tcBorders>
          </w:tcPr>
          <w:p w:rsidR="00000000" w:rsidRDefault="0031739B">
            <w:pPr>
              <w:spacing w:before="120" w:line="240" w:lineRule="auto"/>
              <w:ind w:left="57"/>
              <w:rPr>
                <w:sz w:val="21"/>
              </w:rPr>
            </w:pPr>
            <w:r>
              <w:rPr>
                <w:rFonts w:hint="eastAsia"/>
                <w:sz w:val="21"/>
              </w:rPr>
              <w:t>医</w:t>
            </w:r>
            <w:r>
              <w:rPr>
                <w:sz w:val="21"/>
              </w:rPr>
              <w:t xml:space="preserve">  </w:t>
            </w:r>
            <w:r>
              <w:rPr>
                <w:rFonts w:hint="eastAsia"/>
                <w:sz w:val="21"/>
              </w:rPr>
              <w:t>院</w:t>
            </w:r>
          </w:p>
        </w:tc>
        <w:tc>
          <w:tcPr>
            <w:tcW w:w="1420" w:type="dxa"/>
            <w:tcBorders>
              <w:left w:val="nil"/>
            </w:tcBorders>
          </w:tcPr>
          <w:p w:rsidR="00000000" w:rsidRDefault="0031739B">
            <w:pPr>
              <w:tabs>
                <w:tab w:val="clear" w:pos="510"/>
                <w:tab w:val="clear" w:pos="1021"/>
                <w:tab w:val="clear" w:pos="1531"/>
                <w:tab w:val="clear" w:pos="2041"/>
                <w:tab w:val="decimal" w:pos="1052"/>
              </w:tabs>
              <w:spacing w:before="120" w:line="240" w:lineRule="auto"/>
              <w:ind w:right="57"/>
              <w:rPr>
                <w:sz w:val="21"/>
              </w:rPr>
            </w:pPr>
            <w:r>
              <w:rPr>
                <w:sz w:val="21"/>
              </w:rPr>
              <w:t>10,066</w:t>
            </w:r>
          </w:p>
        </w:tc>
        <w:tc>
          <w:tcPr>
            <w:tcW w:w="1420" w:type="dxa"/>
            <w:tcBorders>
              <w:left w:val="dashed" w:sz="6" w:space="0" w:color="auto"/>
              <w:right w:val="dashed" w:sz="6" w:space="0" w:color="auto"/>
            </w:tcBorders>
          </w:tcPr>
          <w:p w:rsidR="00000000" w:rsidRDefault="0031739B">
            <w:pPr>
              <w:tabs>
                <w:tab w:val="clear" w:pos="510"/>
                <w:tab w:val="clear" w:pos="1021"/>
                <w:tab w:val="clear" w:pos="1531"/>
                <w:tab w:val="clear" w:pos="2041"/>
                <w:tab w:val="decimal" w:pos="1072"/>
              </w:tabs>
              <w:spacing w:before="120" w:line="240" w:lineRule="auto"/>
              <w:ind w:right="57"/>
              <w:rPr>
                <w:sz w:val="21"/>
              </w:rPr>
            </w:pPr>
            <w:r>
              <w:rPr>
                <w:sz w:val="21"/>
              </w:rPr>
              <w:t>9,963</w:t>
            </w:r>
          </w:p>
        </w:tc>
        <w:tc>
          <w:tcPr>
            <w:tcW w:w="1420" w:type="dxa"/>
            <w:tcBorders>
              <w:left w:val="nil"/>
            </w:tcBorders>
          </w:tcPr>
          <w:p w:rsidR="00000000" w:rsidRDefault="0031739B">
            <w:pPr>
              <w:tabs>
                <w:tab w:val="clear" w:pos="510"/>
                <w:tab w:val="clear" w:pos="1021"/>
                <w:tab w:val="clear" w:pos="1531"/>
                <w:tab w:val="clear" w:pos="2041"/>
                <w:tab w:val="decimal" w:pos="1092"/>
              </w:tabs>
              <w:spacing w:before="120" w:line="240" w:lineRule="auto"/>
              <w:ind w:right="57"/>
              <w:rPr>
                <w:sz w:val="21"/>
              </w:rPr>
            </w:pPr>
            <w:r>
              <w:rPr>
                <w:sz w:val="21"/>
              </w:rPr>
              <w:t>9,844</w:t>
            </w:r>
          </w:p>
        </w:tc>
        <w:tc>
          <w:tcPr>
            <w:tcW w:w="1420" w:type="dxa"/>
            <w:tcBorders>
              <w:left w:val="dashed" w:sz="6" w:space="0" w:color="auto"/>
              <w:right w:val="dashed" w:sz="6" w:space="0" w:color="auto"/>
            </w:tcBorders>
          </w:tcPr>
          <w:p w:rsidR="00000000" w:rsidRDefault="0031739B">
            <w:pPr>
              <w:tabs>
                <w:tab w:val="clear" w:pos="510"/>
                <w:tab w:val="clear" w:pos="1021"/>
                <w:tab w:val="clear" w:pos="1531"/>
                <w:tab w:val="clear" w:pos="2041"/>
                <w:tab w:val="decimal" w:pos="1112"/>
              </w:tabs>
              <w:spacing w:before="120" w:line="240" w:lineRule="auto"/>
              <w:ind w:right="57"/>
              <w:rPr>
                <w:sz w:val="21"/>
              </w:rPr>
            </w:pPr>
            <w:r>
              <w:rPr>
                <w:sz w:val="21"/>
              </w:rPr>
              <w:t>9,731</w:t>
            </w:r>
          </w:p>
        </w:tc>
        <w:tc>
          <w:tcPr>
            <w:tcW w:w="1420" w:type="dxa"/>
            <w:tcBorders>
              <w:left w:val="nil"/>
              <w:right w:val="single" w:sz="6" w:space="0" w:color="auto"/>
            </w:tcBorders>
          </w:tcPr>
          <w:p w:rsidR="00000000" w:rsidRDefault="0031739B">
            <w:pPr>
              <w:tabs>
                <w:tab w:val="clear" w:pos="510"/>
                <w:tab w:val="clear" w:pos="1021"/>
                <w:tab w:val="clear" w:pos="1531"/>
                <w:tab w:val="clear" w:pos="2041"/>
                <w:tab w:val="decimal" w:pos="1012"/>
              </w:tabs>
              <w:spacing w:before="120" w:line="240" w:lineRule="auto"/>
              <w:ind w:right="57"/>
              <w:rPr>
                <w:sz w:val="21"/>
              </w:rPr>
            </w:pPr>
            <w:r>
              <w:rPr>
                <w:sz w:val="21"/>
              </w:rPr>
              <w:t>9,606</w:t>
            </w:r>
          </w:p>
        </w:tc>
      </w:tr>
      <w:tr w:rsidR="00000000">
        <w:tblPrEx>
          <w:tblCellMar>
            <w:top w:w="0" w:type="dxa"/>
            <w:bottom w:w="0" w:type="dxa"/>
          </w:tblCellMar>
        </w:tblPrEx>
        <w:tc>
          <w:tcPr>
            <w:tcW w:w="2308" w:type="dxa"/>
            <w:tcBorders>
              <w:left w:val="single" w:sz="6" w:space="0" w:color="auto"/>
              <w:bottom w:val="single" w:sz="6" w:space="0" w:color="auto"/>
              <w:right w:val="single" w:sz="6" w:space="0" w:color="auto"/>
            </w:tcBorders>
          </w:tcPr>
          <w:p w:rsidR="00000000" w:rsidRDefault="0031739B">
            <w:pPr>
              <w:spacing w:before="120" w:line="240" w:lineRule="auto"/>
              <w:ind w:left="57"/>
              <w:rPr>
                <w:sz w:val="21"/>
              </w:rPr>
            </w:pPr>
          </w:p>
        </w:tc>
        <w:tc>
          <w:tcPr>
            <w:tcW w:w="1420" w:type="dxa"/>
            <w:tcBorders>
              <w:left w:val="nil"/>
              <w:bottom w:val="single" w:sz="6" w:space="0" w:color="auto"/>
            </w:tcBorders>
          </w:tcPr>
          <w:p w:rsidR="00000000" w:rsidRDefault="0031739B">
            <w:pPr>
              <w:tabs>
                <w:tab w:val="clear" w:pos="510"/>
                <w:tab w:val="clear" w:pos="1021"/>
                <w:tab w:val="clear" w:pos="1531"/>
                <w:tab w:val="clear" w:pos="2041"/>
                <w:tab w:val="decimal" w:pos="1052"/>
              </w:tabs>
              <w:spacing w:before="120" w:line="240" w:lineRule="auto"/>
              <w:ind w:right="57"/>
              <w:rPr>
                <w:sz w:val="21"/>
              </w:rPr>
            </w:pPr>
            <w:r>
              <w:rPr>
                <w:sz w:val="21"/>
              </w:rPr>
              <w:t>8.1</w:t>
            </w:r>
          </w:p>
        </w:tc>
        <w:tc>
          <w:tcPr>
            <w:tcW w:w="1420" w:type="dxa"/>
            <w:tcBorders>
              <w:left w:val="dashed" w:sz="6" w:space="0" w:color="auto"/>
              <w:bottom w:val="single" w:sz="6" w:space="0" w:color="auto"/>
              <w:right w:val="dashed" w:sz="6" w:space="0" w:color="auto"/>
            </w:tcBorders>
          </w:tcPr>
          <w:p w:rsidR="00000000" w:rsidRDefault="0031739B">
            <w:pPr>
              <w:tabs>
                <w:tab w:val="clear" w:pos="510"/>
                <w:tab w:val="clear" w:pos="1021"/>
                <w:tab w:val="clear" w:pos="1531"/>
                <w:tab w:val="clear" w:pos="2041"/>
                <w:tab w:val="decimal" w:pos="1072"/>
              </w:tabs>
              <w:spacing w:before="120" w:line="240" w:lineRule="auto"/>
              <w:ind w:right="57"/>
              <w:rPr>
                <w:sz w:val="21"/>
              </w:rPr>
            </w:pPr>
            <w:r>
              <w:rPr>
                <w:sz w:val="21"/>
              </w:rPr>
              <w:t>8.0</w:t>
            </w:r>
          </w:p>
        </w:tc>
        <w:tc>
          <w:tcPr>
            <w:tcW w:w="1420" w:type="dxa"/>
            <w:tcBorders>
              <w:left w:val="nil"/>
              <w:bottom w:val="single" w:sz="6" w:space="0" w:color="auto"/>
            </w:tcBorders>
          </w:tcPr>
          <w:p w:rsidR="00000000" w:rsidRDefault="0031739B">
            <w:pPr>
              <w:tabs>
                <w:tab w:val="clear" w:pos="510"/>
                <w:tab w:val="clear" w:pos="1021"/>
                <w:tab w:val="clear" w:pos="1531"/>
                <w:tab w:val="clear" w:pos="2041"/>
                <w:tab w:val="decimal" w:pos="1092"/>
              </w:tabs>
              <w:spacing w:before="120" w:line="240" w:lineRule="auto"/>
              <w:ind w:right="57"/>
              <w:rPr>
                <w:sz w:val="21"/>
              </w:rPr>
            </w:pPr>
            <w:r>
              <w:rPr>
                <w:sz w:val="21"/>
              </w:rPr>
              <w:t>7.9</w:t>
            </w:r>
          </w:p>
        </w:tc>
        <w:tc>
          <w:tcPr>
            <w:tcW w:w="1420" w:type="dxa"/>
            <w:tcBorders>
              <w:left w:val="dashed" w:sz="6" w:space="0" w:color="auto"/>
              <w:bottom w:val="single" w:sz="6" w:space="0" w:color="auto"/>
              <w:right w:val="dashed" w:sz="6" w:space="0" w:color="auto"/>
            </w:tcBorders>
          </w:tcPr>
          <w:p w:rsidR="00000000" w:rsidRDefault="0031739B">
            <w:pPr>
              <w:tabs>
                <w:tab w:val="clear" w:pos="510"/>
                <w:tab w:val="clear" w:pos="1021"/>
                <w:tab w:val="clear" w:pos="1531"/>
                <w:tab w:val="clear" w:pos="2041"/>
                <w:tab w:val="decimal" w:pos="1112"/>
              </w:tabs>
              <w:spacing w:before="120" w:line="240" w:lineRule="auto"/>
              <w:ind w:right="57"/>
              <w:rPr>
                <w:sz w:val="21"/>
              </w:rPr>
            </w:pPr>
            <w:r>
              <w:rPr>
                <w:sz w:val="21"/>
              </w:rPr>
              <w:t>7.8</w:t>
            </w:r>
          </w:p>
        </w:tc>
        <w:tc>
          <w:tcPr>
            <w:tcW w:w="1420" w:type="dxa"/>
            <w:tcBorders>
              <w:left w:val="nil"/>
              <w:bottom w:val="single" w:sz="6" w:space="0" w:color="auto"/>
              <w:right w:val="single" w:sz="6" w:space="0" w:color="auto"/>
            </w:tcBorders>
          </w:tcPr>
          <w:p w:rsidR="00000000" w:rsidRDefault="0031739B">
            <w:pPr>
              <w:tabs>
                <w:tab w:val="clear" w:pos="510"/>
                <w:tab w:val="clear" w:pos="1021"/>
                <w:tab w:val="clear" w:pos="1531"/>
                <w:tab w:val="clear" w:pos="2041"/>
                <w:tab w:val="decimal" w:pos="1012"/>
              </w:tabs>
              <w:spacing w:before="120" w:line="240" w:lineRule="auto"/>
              <w:ind w:right="57"/>
              <w:rPr>
                <w:sz w:val="21"/>
              </w:rPr>
            </w:pPr>
            <w:r>
              <w:rPr>
                <w:sz w:val="21"/>
              </w:rPr>
              <w:t>7.7</w:t>
            </w:r>
          </w:p>
        </w:tc>
      </w:tr>
      <w:tr w:rsidR="00000000">
        <w:tblPrEx>
          <w:tblCellMar>
            <w:top w:w="0" w:type="dxa"/>
            <w:bottom w:w="0" w:type="dxa"/>
          </w:tblCellMar>
        </w:tblPrEx>
        <w:tc>
          <w:tcPr>
            <w:tcW w:w="2308" w:type="dxa"/>
            <w:tcBorders>
              <w:left w:val="single" w:sz="6" w:space="0" w:color="auto"/>
              <w:right w:val="single" w:sz="6" w:space="0" w:color="auto"/>
            </w:tcBorders>
          </w:tcPr>
          <w:p w:rsidR="00000000" w:rsidRDefault="0031739B">
            <w:pPr>
              <w:spacing w:before="120" w:line="240" w:lineRule="auto"/>
              <w:ind w:left="57"/>
              <w:rPr>
                <w:sz w:val="21"/>
              </w:rPr>
            </w:pPr>
            <w:r>
              <w:rPr>
                <w:rFonts w:hint="eastAsia"/>
                <w:sz w:val="21"/>
              </w:rPr>
              <w:t>诊</w:t>
            </w:r>
            <w:r>
              <w:rPr>
                <w:sz w:val="21"/>
              </w:rPr>
              <w:t xml:space="preserve">  </w:t>
            </w:r>
            <w:r>
              <w:rPr>
                <w:rFonts w:hint="eastAsia"/>
                <w:sz w:val="21"/>
              </w:rPr>
              <w:t>所</w:t>
            </w:r>
          </w:p>
        </w:tc>
        <w:tc>
          <w:tcPr>
            <w:tcW w:w="1420" w:type="dxa"/>
            <w:tcBorders>
              <w:left w:val="nil"/>
            </w:tcBorders>
          </w:tcPr>
          <w:p w:rsidR="00000000" w:rsidRDefault="0031739B">
            <w:pPr>
              <w:tabs>
                <w:tab w:val="clear" w:pos="510"/>
                <w:tab w:val="clear" w:pos="1021"/>
                <w:tab w:val="clear" w:pos="1531"/>
                <w:tab w:val="clear" w:pos="2041"/>
                <w:tab w:val="decimal" w:pos="1052"/>
              </w:tabs>
              <w:spacing w:before="120" w:line="240" w:lineRule="auto"/>
              <w:ind w:right="57"/>
              <w:rPr>
                <w:sz w:val="21"/>
              </w:rPr>
            </w:pPr>
            <w:r>
              <w:rPr>
                <w:sz w:val="21"/>
              </w:rPr>
              <w:t>82,118</w:t>
            </w:r>
          </w:p>
        </w:tc>
        <w:tc>
          <w:tcPr>
            <w:tcW w:w="1420" w:type="dxa"/>
            <w:tcBorders>
              <w:left w:val="dashed" w:sz="6" w:space="0" w:color="auto"/>
              <w:right w:val="dashed" w:sz="6" w:space="0" w:color="auto"/>
            </w:tcBorders>
          </w:tcPr>
          <w:p w:rsidR="00000000" w:rsidRDefault="0031739B">
            <w:pPr>
              <w:tabs>
                <w:tab w:val="clear" w:pos="510"/>
                <w:tab w:val="clear" w:pos="1021"/>
                <w:tab w:val="clear" w:pos="1531"/>
                <w:tab w:val="clear" w:pos="2041"/>
                <w:tab w:val="decimal" w:pos="1072"/>
              </w:tabs>
              <w:spacing w:before="120" w:line="240" w:lineRule="auto"/>
              <w:ind w:right="57"/>
              <w:rPr>
                <w:sz w:val="21"/>
              </w:rPr>
            </w:pPr>
            <w:r>
              <w:rPr>
                <w:sz w:val="21"/>
              </w:rPr>
              <w:t>83,394</w:t>
            </w:r>
          </w:p>
        </w:tc>
        <w:tc>
          <w:tcPr>
            <w:tcW w:w="1420" w:type="dxa"/>
            <w:tcBorders>
              <w:left w:val="nil"/>
            </w:tcBorders>
          </w:tcPr>
          <w:p w:rsidR="00000000" w:rsidRDefault="0031739B">
            <w:pPr>
              <w:tabs>
                <w:tab w:val="clear" w:pos="510"/>
                <w:tab w:val="clear" w:pos="1021"/>
                <w:tab w:val="clear" w:pos="1531"/>
                <w:tab w:val="clear" w:pos="2041"/>
                <w:tab w:val="decimal" w:pos="1092"/>
              </w:tabs>
              <w:spacing w:before="120" w:line="240" w:lineRule="auto"/>
              <w:ind w:right="57"/>
              <w:rPr>
                <w:sz w:val="21"/>
              </w:rPr>
            </w:pPr>
            <w:r>
              <w:rPr>
                <w:sz w:val="21"/>
              </w:rPr>
              <w:t>84,128</w:t>
            </w:r>
          </w:p>
        </w:tc>
        <w:tc>
          <w:tcPr>
            <w:tcW w:w="1420" w:type="dxa"/>
            <w:tcBorders>
              <w:left w:val="dashed" w:sz="6" w:space="0" w:color="auto"/>
              <w:right w:val="dashed" w:sz="6" w:space="0" w:color="auto"/>
            </w:tcBorders>
          </w:tcPr>
          <w:p w:rsidR="00000000" w:rsidRDefault="0031739B">
            <w:pPr>
              <w:tabs>
                <w:tab w:val="clear" w:pos="510"/>
                <w:tab w:val="clear" w:pos="1021"/>
                <w:tab w:val="clear" w:pos="1531"/>
                <w:tab w:val="clear" w:pos="2041"/>
                <w:tab w:val="decimal" w:pos="1112"/>
              </w:tabs>
              <w:spacing w:before="120" w:line="240" w:lineRule="auto"/>
              <w:ind w:right="57"/>
              <w:rPr>
                <w:sz w:val="21"/>
              </w:rPr>
            </w:pPr>
            <w:r>
              <w:rPr>
                <w:sz w:val="21"/>
              </w:rPr>
              <w:t>85,558</w:t>
            </w:r>
          </w:p>
        </w:tc>
        <w:tc>
          <w:tcPr>
            <w:tcW w:w="1420" w:type="dxa"/>
            <w:tcBorders>
              <w:left w:val="nil"/>
              <w:right w:val="single" w:sz="6" w:space="0" w:color="auto"/>
            </w:tcBorders>
          </w:tcPr>
          <w:p w:rsidR="00000000" w:rsidRDefault="0031739B">
            <w:pPr>
              <w:tabs>
                <w:tab w:val="clear" w:pos="510"/>
                <w:tab w:val="clear" w:pos="1021"/>
                <w:tab w:val="clear" w:pos="1531"/>
                <w:tab w:val="clear" w:pos="2041"/>
                <w:tab w:val="decimal" w:pos="1012"/>
              </w:tabs>
              <w:spacing w:before="120" w:line="240" w:lineRule="auto"/>
              <w:ind w:right="57"/>
              <w:rPr>
                <w:sz w:val="21"/>
              </w:rPr>
            </w:pPr>
            <w:r>
              <w:rPr>
                <w:sz w:val="21"/>
              </w:rPr>
              <w:t>87,069</w:t>
            </w:r>
          </w:p>
        </w:tc>
      </w:tr>
      <w:tr w:rsidR="00000000">
        <w:tblPrEx>
          <w:tblCellMar>
            <w:top w:w="0" w:type="dxa"/>
            <w:bottom w:w="0" w:type="dxa"/>
          </w:tblCellMar>
        </w:tblPrEx>
        <w:tc>
          <w:tcPr>
            <w:tcW w:w="2308" w:type="dxa"/>
            <w:tcBorders>
              <w:left w:val="single" w:sz="6" w:space="0" w:color="auto"/>
              <w:bottom w:val="single" w:sz="6" w:space="0" w:color="auto"/>
              <w:right w:val="single" w:sz="6" w:space="0" w:color="auto"/>
            </w:tcBorders>
          </w:tcPr>
          <w:p w:rsidR="00000000" w:rsidRDefault="0031739B">
            <w:pPr>
              <w:spacing w:before="120" w:line="240" w:lineRule="auto"/>
              <w:ind w:left="57"/>
              <w:rPr>
                <w:sz w:val="21"/>
              </w:rPr>
            </w:pPr>
          </w:p>
        </w:tc>
        <w:tc>
          <w:tcPr>
            <w:tcW w:w="1420" w:type="dxa"/>
            <w:tcBorders>
              <w:left w:val="nil"/>
              <w:bottom w:val="single" w:sz="6" w:space="0" w:color="auto"/>
            </w:tcBorders>
          </w:tcPr>
          <w:p w:rsidR="00000000" w:rsidRDefault="0031739B">
            <w:pPr>
              <w:tabs>
                <w:tab w:val="clear" w:pos="510"/>
                <w:tab w:val="clear" w:pos="1021"/>
                <w:tab w:val="clear" w:pos="1531"/>
                <w:tab w:val="clear" w:pos="2041"/>
                <w:tab w:val="decimal" w:pos="1052"/>
              </w:tabs>
              <w:spacing w:before="120" w:line="240" w:lineRule="auto"/>
              <w:ind w:right="57"/>
              <w:rPr>
                <w:sz w:val="21"/>
              </w:rPr>
            </w:pPr>
            <w:r>
              <w:rPr>
                <w:sz w:val="21"/>
              </w:rPr>
              <w:t>66.2</w:t>
            </w:r>
          </w:p>
        </w:tc>
        <w:tc>
          <w:tcPr>
            <w:tcW w:w="1420" w:type="dxa"/>
            <w:tcBorders>
              <w:left w:val="dashed" w:sz="6" w:space="0" w:color="auto"/>
              <w:bottom w:val="single" w:sz="6" w:space="0" w:color="auto"/>
              <w:right w:val="dashed" w:sz="6" w:space="0" w:color="auto"/>
            </w:tcBorders>
          </w:tcPr>
          <w:p w:rsidR="00000000" w:rsidRDefault="0031739B">
            <w:pPr>
              <w:tabs>
                <w:tab w:val="clear" w:pos="510"/>
                <w:tab w:val="clear" w:pos="1021"/>
                <w:tab w:val="clear" w:pos="1531"/>
                <w:tab w:val="clear" w:pos="2041"/>
                <w:tab w:val="decimal" w:pos="1072"/>
              </w:tabs>
              <w:spacing w:before="120" w:line="240" w:lineRule="auto"/>
              <w:ind w:right="57"/>
              <w:rPr>
                <w:sz w:val="21"/>
              </w:rPr>
            </w:pPr>
            <w:r>
              <w:rPr>
                <w:sz w:val="21"/>
              </w:rPr>
              <w:t>67.0</w:t>
            </w:r>
          </w:p>
        </w:tc>
        <w:tc>
          <w:tcPr>
            <w:tcW w:w="1420" w:type="dxa"/>
            <w:tcBorders>
              <w:left w:val="nil"/>
              <w:bottom w:val="single" w:sz="6" w:space="0" w:color="auto"/>
            </w:tcBorders>
          </w:tcPr>
          <w:p w:rsidR="00000000" w:rsidRDefault="0031739B">
            <w:pPr>
              <w:tabs>
                <w:tab w:val="clear" w:pos="510"/>
                <w:tab w:val="clear" w:pos="1021"/>
                <w:tab w:val="clear" w:pos="1531"/>
                <w:tab w:val="clear" w:pos="2041"/>
                <w:tab w:val="decimal" w:pos="1092"/>
              </w:tabs>
              <w:spacing w:before="120" w:line="240" w:lineRule="auto"/>
              <w:ind w:right="57"/>
              <w:rPr>
                <w:sz w:val="21"/>
              </w:rPr>
            </w:pPr>
            <w:r>
              <w:rPr>
                <w:sz w:val="21"/>
              </w:rPr>
              <w:t>67.4</w:t>
            </w:r>
          </w:p>
        </w:tc>
        <w:tc>
          <w:tcPr>
            <w:tcW w:w="1420" w:type="dxa"/>
            <w:tcBorders>
              <w:left w:val="dashed" w:sz="6" w:space="0" w:color="auto"/>
              <w:bottom w:val="single" w:sz="6" w:space="0" w:color="auto"/>
              <w:right w:val="dashed" w:sz="6" w:space="0" w:color="auto"/>
            </w:tcBorders>
          </w:tcPr>
          <w:p w:rsidR="00000000" w:rsidRDefault="0031739B">
            <w:pPr>
              <w:tabs>
                <w:tab w:val="clear" w:pos="510"/>
                <w:tab w:val="clear" w:pos="1021"/>
                <w:tab w:val="clear" w:pos="1531"/>
                <w:tab w:val="clear" w:pos="2041"/>
                <w:tab w:val="decimal" w:pos="1112"/>
              </w:tabs>
              <w:spacing w:before="120" w:line="240" w:lineRule="auto"/>
              <w:ind w:right="57"/>
              <w:rPr>
                <w:sz w:val="21"/>
              </w:rPr>
            </w:pPr>
            <w:r>
              <w:rPr>
                <w:sz w:val="21"/>
              </w:rPr>
              <w:t>68.5</w:t>
            </w:r>
          </w:p>
        </w:tc>
        <w:tc>
          <w:tcPr>
            <w:tcW w:w="1420" w:type="dxa"/>
            <w:tcBorders>
              <w:left w:val="nil"/>
              <w:bottom w:val="single" w:sz="6" w:space="0" w:color="auto"/>
              <w:right w:val="single" w:sz="6" w:space="0" w:color="auto"/>
            </w:tcBorders>
          </w:tcPr>
          <w:p w:rsidR="00000000" w:rsidRDefault="0031739B">
            <w:pPr>
              <w:tabs>
                <w:tab w:val="clear" w:pos="510"/>
                <w:tab w:val="clear" w:pos="1021"/>
                <w:tab w:val="clear" w:pos="1531"/>
                <w:tab w:val="clear" w:pos="2041"/>
                <w:tab w:val="decimal" w:pos="1012"/>
              </w:tabs>
              <w:spacing w:before="120" w:line="240" w:lineRule="auto"/>
              <w:ind w:right="57"/>
              <w:rPr>
                <w:sz w:val="21"/>
              </w:rPr>
            </w:pPr>
            <w:r>
              <w:rPr>
                <w:sz w:val="21"/>
              </w:rPr>
              <w:t>70.0</w:t>
            </w:r>
          </w:p>
        </w:tc>
      </w:tr>
      <w:tr w:rsidR="00000000">
        <w:tblPrEx>
          <w:tblCellMar>
            <w:top w:w="0" w:type="dxa"/>
            <w:bottom w:w="0" w:type="dxa"/>
          </w:tblCellMar>
        </w:tblPrEx>
        <w:tc>
          <w:tcPr>
            <w:tcW w:w="2308" w:type="dxa"/>
            <w:tcBorders>
              <w:left w:val="single" w:sz="6" w:space="0" w:color="auto"/>
              <w:right w:val="single" w:sz="6" w:space="0" w:color="auto"/>
            </w:tcBorders>
          </w:tcPr>
          <w:p w:rsidR="00000000" w:rsidRDefault="0031739B">
            <w:pPr>
              <w:spacing w:before="120" w:line="240" w:lineRule="auto"/>
              <w:ind w:left="57" w:right="452"/>
              <w:rPr>
                <w:sz w:val="21"/>
              </w:rPr>
            </w:pPr>
            <w:r>
              <w:rPr>
                <w:rFonts w:hint="eastAsia"/>
                <w:sz w:val="21"/>
              </w:rPr>
              <w:t>医院病床</w:t>
            </w:r>
          </w:p>
        </w:tc>
        <w:tc>
          <w:tcPr>
            <w:tcW w:w="1420" w:type="dxa"/>
            <w:tcBorders>
              <w:left w:val="nil"/>
            </w:tcBorders>
          </w:tcPr>
          <w:p w:rsidR="00000000" w:rsidRDefault="0031739B">
            <w:pPr>
              <w:tabs>
                <w:tab w:val="clear" w:pos="510"/>
                <w:tab w:val="clear" w:pos="1021"/>
                <w:tab w:val="clear" w:pos="1531"/>
                <w:tab w:val="clear" w:pos="2041"/>
                <w:tab w:val="decimal" w:pos="1052"/>
              </w:tabs>
              <w:spacing w:before="120" w:line="240" w:lineRule="auto"/>
              <w:ind w:right="57"/>
              <w:rPr>
                <w:sz w:val="21"/>
              </w:rPr>
            </w:pPr>
            <w:r>
              <w:rPr>
                <w:sz w:val="21"/>
              </w:rPr>
              <w:t>1,685,589</w:t>
            </w:r>
          </w:p>
        </w:tc>
        <w:tc>
          <w:tcPr>
            <w:tcW w:w="1420" w:type="dxa"/>
            <w:tcBorders>
              <w:left w:val="dashed" w:sz="6" w:space="0" w:color="auto"/>
              <w:right w:val="dashed" w:sz="6" w:space="0" w:color="auto"/>
            </w:tcBorders>
          </w:tcPr>
          <w:p w:rsidR="00000000" w:rsidRDefault="0031739B">
            <w:pPr>
              <w:tabs>
                <w:tab w:val="clear" w:pos="510"/>
                <w:tab w:val="clear" w:pos="1021"/>
                <w:tab w:val="clear" w:pos="1531"/>
                <w:tab w:val="clear" w:pos="2041"/>
                <w:tab w:val="decimal" w:pos="1072"/>
              </w:tabs>
              <w:spacing w:before="120" w:line="240" w:lineRule="auto"/>
              <w:ind w:right="57"/>
              <w:rPr>
                <w:sz w:val="21"/>
              </w:rPr>
            </w:pPr>
            <w:r>
              <w:rPr>
                <w:sz w:val="21"/>
              </w:rPr>
              <w:t>1,686,696</w:t>
            </w:r>
          </w:p>
        </w:tc>
        <w:tc>
          <w:tcPr>
            <w:tcW w:w="1420" w:type="dxa"/>
            <w:tcBorders>
              <w:left w:val="nil"/>
            </w:tcBorders>
          </w:tcPr>
          <w:p w:rsidR="00000000" w:rsidRDefault="0031739B">
            <w:pPr>
              <w:tabs>
                <w:tab w:val="clear" w:pos="510"/>
                <w:tab w:val="clear" w:pos="1021"/>
                <w:tab w:val="clear" w:pos="1531"/>
                <w:tab w:val="clear" w:pos="2041"/>
                <w:tab w:val="decimal" w:pos="1092"/>
              </w:tabs>
              <w:spacing w:before="120" w:line="240" w:lineRule="auto"/>
              <w:ind w:right="57"/>
              <w:rPr>
                <w:sz w:val="21"/>
              </w:rPr>
            </w:pPr>
            <w:r>
              <w:rPr>
                <w:sz w:val="21"/>
              </w:rPr>
              <w:t>1,680,952</w:t>
            </w:r>
          </w:p>
        </w:tc>
        <w:tc>
          <w:tcPr>
            <w:tcW w:w="1420" w:type="dxa"/>
            <w:tcBorders>
              <w:left w:val="dashed" w:sz="6" w:space="0" w:color="auto"/>
              <w:right w:val="dashed" w:sz="6" w:space="0" w:color="auto"/>
            </w:tcBorders>
          </w:tcPr>
          <w:p w:rsidR="00000000" w:rsidRDefault="0031739B">
            <w:pPr>
              <w:tabs>
                <w:tab w:val="clear" w:pos="510"/>
                <w:tab w:val="clear" w:pos="1021"/>
                <w:tab w:val="clear" w:pos="1531"/>
                <w:tab w:val="clear" w:pos="2041"/>
                <w:tab w:val="decimal" w:pos="1112"/>
              </w:tabs>
              <w:spacing w:before="120" w:line="240" w:lineRule="auto"/>
              <w:ind w:right="57"/>
              <w:rPr>
                <w:sz w:val="21"/>
              </w:rPr>
            </w:pPr>
            <w:r>
              <w:rPr>
                <w:sz w:val="21"/>
              </w:rPr>
              <w:t>1,677,041</w:t>
            </w:r>
          </w:p>
        </w:tc>
        <w:tc>
          <w:tcPr>
            <w:tcW w:w="1420" w:type="dxa"/>
            <w:tcBorders>
              <w:left w:val="nil"/>
              <w:right w:val="single" w:sz="6" w:space="0" w:color="auto"/>
            </w:tcBorders>
          </w:tcPr>
          <w:p w:rsidR="00000000" w:rsidRDefault="0031739B">
            <w:pPr>
              <w:tabs>
                <w:tab w:val="clear" w:pos="510"/>
                <w:tab w:val="clear" w:pos="1021"/>
                <w:tab w:val="clear" w:pos="1531"/>
                <w:tab w:val="clear" w:pos="2041"/>
                <w:tab w:val="decimal" w:pos="1012"/>
              </w:tabs>
              <w:spacing w:before="120" w:line="240" w:lineRule="auto"/>
              <w:ind w:right="57"/>
              <w:rPr>
                <w:sz w:val="21"/>
              </w:rPr>
            </w:pPr>
            <w:r>
              <w:rPr>
                <w:sz w:val="21"/>
              </w:rPr>
              <w:t>1,699,951</w:t>
            </w:r>
          </w:p>
        </w:tc>
      </w:tr>
      <w:tr w:rsidR="00000000">
        <w:tblPrEx>
          <w:tblCellMar>
            <w:top w:w="0" w:type="dxa"/>
            <w:bottom w:w="0" w:type="dxa"/>
          </w:tblCellMar>
        </w:tblPrEx>
        <w:tc>
          <w:tcPr>
            <w:tcW w:w="2308" w:type="dxa"/>
            <w:tcBorders>
              <w:left w:val="single" w:sz="6" w:space="0" w:color="auto"/>
              <w:bottom w:val="single" w:sz="6" w:space="0" w:color="auto"/>
              <w:right w:val="single" w:sz="6" w:space="0" w:color="auto"/>
            </w:tcBorders>
          </w:tcPr>
          <w:p w:rsidR="00000000" w:rsidRDefault="0031739B">
            <w:pPr>
              <w:spacing w:before="120" w:line="240" w:lineRule="auto"/>
              <w:ind w:left="57"/>
              <w:rPr>
                <w:sz w:val="21"/>
              </w:rPr>
            </w:pPr>
          </w:p>
        </w:tc>
        <w:tc>
          <w:tcPr>
            <w:tcW w:w="1420" w:type="dxa"/>
            <w:tcBorders>
              <w:left w:val="nil"/>
              <w:bottom w:val="single" w:sz="6" w:space="0" w:color="auto"/>
            </w:tcBorders>
          </w:tcPr>
          <w:p w:rsidR="00000000" w:rsidRDefault="0031739B">
            <w:pPr>
              <w:tabs>
                <w:tab w:val="clear" w:pos="510"/>
                <w:tab w:val="clear" w:pos="1021"/>
                <w:tab w:val="clear" w:pos="1531"/>
                <w:tab w:val="clear" w:pos="2041"/>
                <w:tab w:val="decimal" w:pos="1052"/>
              </w:tabs>
              <w:spacing w:before="120" w:line="240" w:lineRule="auto"/>
              <w:ind w:right="57"/>
              <w:rPr>
                <w:sz w:val="21"/>
              </w:rPr>
            </w:pPr>
            <w:r>
              <w:rPr>
                <w:sz w:val="21"/>
              </w:rPr>
              <w:t>1,358.9</w:t>
            </w:r>
          </w:p>
        </w:tc>
        <w:tc>
          <w:tcPr>
            <w:tcW w:w="1420" w:type="dxa"/>
            <w:tcBorders>
              <w:left w:val="dashed" w:sz="6" w:space="0" w:color="auto"/>
              <w:bottom w:val="single" w:sz="6" w:space="0" w:color="auto"/>
              <w:right w:val="dashed" w:sz="6" w:space="0" w:color="auto"/>
            </w:tcBorders>
          </w:tcPr>
          <w:p w:rsidR="00000000" w:rsidRDefault="0031739B">
            <w:pPr>
              <w:tabs>
                <w:tab w:val="clear" w:pos="510"/>
                <w:tab w:val="clear" w:pos="1021"/>
                <w:tab w:val="clear" w:pos="1531"/>
                <w:tab w:val="clear" w:pos="2041"/>
                <w:tab w:val="decimal" w:pos="1072"/>
              </w:tabs>
              <w:spacing w:before="120" w:line="240" w:lineRule="auto"/>
              <w:ind w:right="57"/>
              <w:rPr>
                <w:sz w:val="21"/>
              </w:rPr>
            </w:pPr>
            <w:r>
              <w:rPr>
                <w:sz w:val="21"/>
              </w:rPr>
              <w:t>1,353.3</w:t>
            </w:r>
          </w:p>
        </w:tc>
        <w:tc>
          <w:tcPr>
            <w:tcW w:w="1420" w:type="dxa"/>
            <w:tcBorders>
              <w:left w:val="nil"/>
              <w:bottom w:val="single" w:sz="6" w:space="0" w:color="auto"/>
            </w:tcBorders>
          </w:tcPr>
          <w:p w:rsidR="00000000" w:rsidRDefault="0031739B">
            <w:pPr>
              <w:tabs>
                <w:tab w:val="clear" w:pos="510"/>
                <w:tab w:val="clear" w:pos="1021"/>
                <w:tab w:val="clear" w:pos="1531"/>
                <w:tab w:val="clear" w:pos="2041"/>
                <w:tab w:val="decimal" w:pos="1092"/>
              </w:tabs>
              <w:spacing w:before="120" w:line="240" w:lineRule="auto"/>
              <w:ind w:right="57"/>
              <w:rPr>
                <w:sz w:val="21"/>
              </w:rPr>
            </w:pPr>
            <w:r>
              <w:rPr>
                <w:sz w:val="21"/>
              </w:rPr>
              <w:t>1,347.3</w:t>
            </w:r>
          </w:p>
        </w:tc>
        <w:tc>
          <w:tcPr>
            <w:tcW w:w="1420" w:type="dxa"/>
            <w:tcBorders>
              <w:left w:val="dashed" w:sz="6" w:space="0" w:color="auto"/>
              <w:bottom w:val="single" w:sz="6" w:space="0" w:color="auto"/>
              <w:right w:val="dashed" w:sz="6" w:space="0" w:color="auto"/>
            </w:tcBorders>
          </w:tcPr>
          <w:p w:rsidR="00000000" w:rsidRDefault="0031739B">
            <w:pPr>
              <w:tabs>
                <w:tab w:val="clear" w:pos="510"/>
                <w:tab w:val="clear" w:pos="1021"/>
                <w:tab w:val="clear" w:pos="1531"/>
                <w:tab w:val="clear" w:pos="2041"/>
                <w:tab w:val="decimal" w:pos="1112"/>
              </w:tabs>
              <w:spacing w:before="120" w:line="240" w:lineRule="auto"/>
              <w:ind w:right="57"/>
              <w:rPr>
                <w:sz w:val="21"/>
              </w:rPr>
            </w:pPr>
            <w:r>
              <w:rPr>
                <w:sz w:val="21"/>
              </w:rPr>
              <w:t>1,341.3</w:t>
            </w:r>
          </w:p>
        </w:tc>
        <w:tc>
          <w:tcPr>
            <w:tcW w:w="1420" w:type="dxa"/>
            <w:tcBorders>
              <w:left w:val="nil"/>
              <w:bottom w:val="single" w:sz="6" w:space="0" w:color="auto"/>
              <w:right w:val="single" w:sz="6" w:space="0" w:color="auto"/>
            </w:tcBorders>
          </w:tcPr>
          <w:p w:rsidR="00000000" w:rsidRDefault="0031739B">
            <w:pPr>
              <w:tabs>
                <w:tab w:val="clear" w:pos="510"/>
                <w:tab w:val="clear" w:pos="1021"/>
                <w:tab w:val="clear" w:pos="1531"/>
                <w:tab w:val="clear" w:pos="2041"/>
                <w:tab w:val="decimal" w:pos="1012"/>
              </w:tabs>
              <w:spacing w:before="120" w:line="240" w:lineRule="auto"/>
              <w:ind w:right="57"/>
              <w:rPr>
                <w:sz w:val="21"/>
              </w:rPr>
            </w:pPr>
            <w:r>
              <w:rPr>
                <w:sz w:val="21"/>
              </w:rPr>
              <w:t>1,367.6</w:t>
            </w:r>
          </w:p>
        </w:tc>
      </w:tr>
      <w:tr w:rsidR="00000000">
        <w:tblPrEx>
          <w:tblCellMar>
            <w:top w:w="0" w:type="dxa"/>
            <w:bottom w:w="0" w:type="dxa"/>
          </w:tblCellMar>
        </w:tblPrEx>
        <w:tc>
          <w:tcPr>
            <w:tcW w:w="2308" w:type="dxa"/>
            <w:tcBorders>
              <w:left w:val="single" w:sz="6" w:space="0" w:color="auto"/>
              <w:right w:val="single" w:sz="6" w:space="0" w:color="auto"/>
            </w:tcBorders>
          </w:tcPr>
          <w:p w:rsidR="00000000" w:rsidRDefault="0031739B">
            <w:pPr>
              <w:spacing w:before="120" w:line="240" w:lineRule="auto"/>
              <w:ind w:left="57"/>
              <w:rPr>
                <w:sz w:val="21"/>
              </w:rPr>
            </w:pPr>
            <w:r>
              <w:rPr>
                <w:rFonts w:hint="eastAsia"/>
                <w:sz w:val="21"/>
              </w:rPr>
              <w:t>诊所病床</w:t>
            </w:r>
          </w:p>
        </w:tc>
        <w:tc>
          <w:tcPr>
            <w:tcW w:w="1420" w:type="dxa"/>
            <w:tcBorders>
              <w:left w:val="nil"/>
            </w:tcBorders>
          </w:tcPr>
          <w:p w:rsidR="00000000" w:rsidRDefault="0031739B">
            <w:pPr>
              <w:tabs>
                <w:tab w:val="clear" w:pos="510"/>
                <w:tab w:val="clear" w:pos="1021"/>
                <w:tab w:val="clear" w:pos="1531"/>
                <w:tab w:val="clear" w:pos="2041"/>
                <w:tab w:val="decimal" w:pos="1052"/>
              </w:tabs>
              <w:spacing w:before="120" w:line="240" w:lineRule="auto"/>
              <w:ind w:right="57"/>
              <w:rPr>
                <w:sz w:val="21"/>
              </w:rPr>
            </w:pPr>
            <w:r>
              <w:rPr>
                <w:sz w:val="21"/>
              </w:rPr>
              <w:t>271,780</w:t>
            </w:r>
          </w:p>
        </w:tc>
        <w:tc>
          <w:tcPr>
            <w:tcW w:w="1420" w:type="dxa"/>
            <w:tcBorders>
              <w:left w:val="dashed" w:sz="6" w:space="0" w:color="auto"/>
              <w:right w:val="dashed" w:sz="6" w:space="0" w:color="auto"/>
            </w:tcBorders>
          </w:tcPr>
          <w:p w:rsidR="00000000" w:rsidRDefault="0031739B">
            <w:pPr>
              <w:tabs>
                <w:tab w:val="clear" w:pos="510"/>
                <w:tab w:val="clear" w:pos="1021"/>
                <w:tab w:val="clear" w:pos="1531"/>
                <w:tab w:val="clear" w:pos="2041"/>
                <w:tab w:val="decimal" w:pos="1072"/>
              </w:tabs>
              <w:spacing w:before="120" w:line="240" w:lineRule="auto"/>
              <w:ind w:right="57"/>
              <w:rPr>
                <w:sz w:val="21"/>
              </w:rPr>
            </w:pPr>
            <w:r>
              <w:rPr>
                <w:sz w:val="21"/>
              </w:rPr>
              <w:t>270,6</w:t>
            </w:r>
            <w:r>
              <w:rPr>
                <w:sz w:val="21"/>
              </w:rPr>
              <w:t>18</w:t>
            </w:r>
          </w:p>
        </w:tc>
        <w:tc>
          <w:tcPr>
            <w:tcW w:w="1420" w:type="dxa"/>
            <w:tcBorders>
              <w:left w:val="nil"/>
            </w:tcBorders>
          </w:tcPr>
          <w:p w:rsidR="00000000" w:rsidRDefault="0031739B">
            <w:pPr>
              <w:tabs>
                <w:tab w:val="clear" w:pos="510"/>
                <w:tab w:val="clear" w:pos="1021"/>
                <w:tab w:val="clear" w:pos="1531"/>
                <w:tab w:val="clear" w:pos="2041"/>
                <w:tab w:val="decimal" w:pos="1092"/>
              </w:tabs>
              <w:spacing w:before="120" w:line="240" w:lineRule="auto"/>
              <w:ind w:right="57"/>
              <w:rPr>
                <w:sz w:val="21"/>
              </w:rPr>
            </w:pPr>
            <w:r>
              <w:rPr>
                <w:sz w:val="21"/>
              </w:rPr>
              <w:t>265,083</w:t>
            </w:r>
          </w:p>
        </w:tc>
        <w:tc>
          <w:tcPr>
            <w:tcW w:w="1420" w:type="dxa"/>
            <w:tcBorders>
              <w:left w:val="dashed" w:sz="6" w:space="0" w:color="auto"/>
              <w:right w:val="dashed" w:sz="6" w:space="0" w:color="auto"/>
            </w:tcBorders>
          </w:tcPr>
          <w:p w:rsidR="00000000" w:rsidRDefault="0031739B">
            <w:pPr>
              <w:tabs>
                <w:tab w:val="clear" w:pos="510"/>
                <w:tab w:val="clear" w:pos="1021"/>
                <w:tab w:val="clear" w:pos="1531"/>
                <w:tab w:val="clear" w:pos="2041"/>
                <w:tab w:val="decimal" w:pos="1112"/>
              </w:tabs>
              <w:spacing w:before="120" w:line="240" w:lineRule="auto"/>
              <w:ind w:right="57"/>
              <w:rPr>
                <w:sz w:val="21"/>
              </w:rPr>
            </w:pPr>
            <w:r>
              <w:rPr>
                <w:sz w:val="21"/>
              </w:rPr>
              <w:t>262,273</w:t>
            </w:r>
          </w:p>
        </w:tc>
        <w:tc>
          <w:tcPr>
            <w:tcW w:w="1420" w:type="dxa"/>
            <w:tcBorders>
              <w:left w:val="nil"/>
              <w:right w:val="single" w:sz="6" w:space="0" w:color="auto"/>
            </w:tcBorders>
          </w:tcPr>
          <w:p w:rsidR="00000000" w:rsidRDefault="0031739B">
            <w:pPr>
              <w:tabs>
                <w:tab w:val="clear" w:pos="510"/>
                <w:tab w:val="clear" w:pos="1021"/>
                <w:tab w:val="clear" w:pos="1531"/>
                <w:tab w:val="clear" w:pos="2041"/>
                <w:tab w:val="decimal" w:pos="1012"/>
              </w:tabs>
              <w:spacing w:before="120" w:line="240" w:lineRule="auto"/>
              <w:ind w:right="57"/>
              <w:rPr>
                <w:sz w:val="21"/>
              </w:rPr>
            </w:pPr>
            <w:r>
              <w:rPr>
                <w:sz w:val="21"/>
              </w:rPr>
              <w:t>259,245</w:t>
            </w:r>
          </w:p>
        </w:tc>
      </w:tr>
      <w:tr w:rsidR="00000000">
        <w:tblPrEx>
          <w:tblCellMar>
            <w:top w:w="0" w:type="dxa"/>
            <w:bottom w:w="0" w:type="dxa"/>
          </w:tblCellMar>
        </w:tblPrEx>
        <w:tc>
          <w:tcPr>
            <w:tcW w:w="2308" w:type="dxa"/>
            <w:tcBorders>
              <w:left w:val="single" w:sz="6" w:space="0" w:color="auto"/>
              <w:bottom w:val="single" w:sz="6" w:space="0" w:color="auto"/>
              <w:right w:val="single" w:sz="6" w:space="0" w:color="auto"/>
            </w:tcBorders>
          </w:tcPr>
          <w:p w:rsidR="00000000" w:rsidRDefault="0031739B">
            <w:pPr>
              <w:spacing w:before="120" w:line="240" w:lineRule="auto"/>
              <w:ind w:left="57"/>
              <w:rPr>
                <w:sz w:val="21"/>
              </w:rPr>
            </w:pPr>
          </w:p>
        </w:tc>
        <w:tc>
          <w:tcPr>
            <w:tcW w:w="1420" w:type="dxa"/>
            <w:tcBorders>
              <w:left w:val="nil"/>
              <w:bottom w:val="single" w:sz="6" w:space="0" w:color="auto"/>
            </w:tcBorders>
          </w:tcPr>
          <w:p w:rsidR="00000000" w:rsidRDefault="0031739B">
            <w:pPr>
              <w:tabs>
                <w:tab w:val="clear" w:pos="510"/>
                <w:tab w:val="clear" w:pos="1021"/>
                <w:tab w:val="clear" w:pos="1531"/>
                <w:tab w:val="clear" w:pos="2041"/>
                <w:tab w:val="decimal" w:pos="1052"/>
              </w:tabs>
              <w:spacing w:before="120" w:line="240" w:lineRule="auto"/>
              <w:ind w:right="57"/>
              <w:rPr>
                <w:sz w:val="21"/>
              </w:rPr>
            </w:pPr>
            <w:r>
              <w:rPr>
                <w:sz w:val="21"/>
              </w:rPr>
              <w:t>219.1</w:t>
            </w:r>
          </w:p>
        </w:tc>
        <w:tc>
          <w:tcPr>
            <w:tcW w:w="1420" w:type="dxa"/>
            <w:tcBorders>
              <w:left w:val="dashed" w:sz="6" w:space="0" w:color="auto"/>
              <w:bottom w:val="single" w:sz="6" w:space="0" w:color="auto"/>
              <w:right w:val="dashed" w:sz="6" w:space="0" w:color="auto"/>
            </w:tcBorders>
          </w:tcPr>
          <w:p w:rsidR="00000000" w:rsidRDefault="0031739B">
            <w:pPr>
              <w:tabs>
                <w:tab w:val="clear" w:pos="510"/>
                <w:tab w:val="clear" w:pos="1021"/>
                <w:tab w:val="clear" w:pos="1531"/>
                <w:tab w:val="clear" w:pos="2041"/>
                <w:tab w:val="decimal" w:pos="1072"/>
              </w:tabs>
              <w:spacing w:before="120" w:line="240" w:lineRule="auto"/>
              <w:ind w:right="57"/>
              <w:rPr>
                <w:sz w:val="21"/>
              </w:rPr>
            </w:pPr>
            <w:r>
              <w:rPr>
                <w:sz w:val="21"/>
              </w:rPr>
              <w:t>217.4</w:t>
            </w:r>
          </w:p>
        </w:tc>
        <w:tc>
          <w:tcPr>
            <w:tcW w:w="1420" w:type="dxa"/>
            <w:tcBorders>
              <w:left w:val="nil"/>
              <w:bottom w:val="single" w:sz="6" w:space="0" w:color="auto"/>
            </w:tcBorders>
          </w:tcPr>
          <w:p w:rsidR="00000000" w:rsidRDefault="0031739B">
            <w:pPr>
              <w:tabs>
                <w:tab w:val="clear" w:pos="510"/>
                <w:tab w:val="clear" w:pos="1021"/>
                <w:tab w:val="clear" w:pos="1531"/>
                <w:tab w:val="clear" w:pos="2041"/>
                <w:tab w:val="decimal" w:pos="1092"/>
              </w:tabs>
              <w:spacing w:before="120" w:line="240" w:lineRule="auto"/>
              <w:ind w:right="57"/>
              <w:rPr>
                <w:sz w:val="21"/>
              </w:rPr>
            </w:pPr>
            <w:r>
              <w:rPr>
                <w:sz w:val="21"/>
              </w:rPr>
              <w:t>212.5</w:t>
            </w:r>
          </w:p>
        </w:tc>
        <w:tc>
          <w:tcPr>
            <w:tcW w:w="1420" w:type="dxa"/>
            <w:tcBorders>
              <w:left w:val="dashed" w:sz="6" w:space="0" w:color="auto"/>
              <w:bottom w:val="single" w:sz="6" w:space="0" w:color="auto"/>
              <w:right w:val="dashed" w:sz="6" w:space="0" w:color="auto"/>
            </w:tcBorders>
          </w:tcPr>
          <w:p w:rsidR="00000000" w:rsidRDefault="0031739B">
            <w:pPr>
              <w:tabs>
                <w:tab w:val="clear" w:pos="510"/>
                <w:tab w:val="clear" w:pos="1021"/>
                <w:tab w:val="clear" w:pos="1531"/>
                <w:tab w:val="clear" w:pos="2041"/>
                <w:tab w:val="decimal" w:pos="1112"/>
              </w:tabs>
              <w:spacing w:before="120" w:line="240" w:lineRule="auto"/>
              <w:ind w:right="57"/>
              <w:rPr>
                <w:sz w:val="21"/>
              </w:rPr>
            </w:pPr>
            <w:r>
              <w:rPr>
                <w:sz w:val="21"/>
              </w:rPr>
              <w:t>209.8</w:t>
            </w:r>
          </w:p>
        </w:tc>
        <w:tc>
          <w:tcPr>
            <w:tcW w:w="1420" w:type="dxa"/>
            <w:tcBorders>
              <w:left w:val="nil"/>
              <w:bottom w:val="single" w:sz="6" w:space="0" w:color="auto"/>
              <w:right w:val="single" w:sz="6" w:space="0" w:color="auto"/>
            </w:tcBorders>
          </w:tcPr>
          <w:p w:rsidR="00000000" w:rsidRDefault="0031739B">
            <w:pPr>
              <w:tabs>
                <w:tab w:val="clear" w:pos="510"/>
                <w:tab w:val="clear" w:pos="1021"/>
                <w:tab w:val="clear" w:pos="1531"/>
                <w:tab w:val="clear" w:pos="2041"/>
                <w:tab w:val="decimal" w:pos="1012"/>
              </w:tabs>
              <w:spacing w:before="120" w:line="240" w:lineRule="auto"/>
              <w:ind w:right="57"/>
              <w:rPr>
                <w:sz w:val="21"/>
              </w:rPr>
            </w:pPr>
            <w:r>
              <w:rPr>
                <w:sz w:val="21"/>
              </w:rPr>
              <w:t>208.6</w:t>
            </w:r>
          </w:p>
        </w:tc>
      </w:tr>
    </w:tbl>
    <w:p w:rsidR="00000000" w:rsidRDefault="0031739B">
      <w:pPr>
        <w:spacing w:before="360"/>
      </w:pPr>
      <w:r>
        <w:tab/>
        <w:t xml:space="preserve">193.  </w:t>
      </w:r>
      <w:r>
        <w:rPr>
          <w:rFonts w:hint="eastAsia"/>
          <w:u w:val="single"/>
        </w:rPr>
        <w:t>医疗保险制度</w:t>
      </w:r>
      <w:r>
        <w:rPr>
          <w:rFonts w:hint="eastAsia"/>
        </w:rPr>
        <w:t>。请参阅本报告第</w:t>
      </w:r>
      <w:r>
        <w:t>9</w:t>
      </w:r>
      <w:r>
        <w:rPr>
          <w:rFonts w:hint="eastAsia"/>
        </w:rPr>
        <w:t>条，有关医疗保险制度的概况。每个公民均可享受一种医疗保险制度。在这一节中，主要介绍公共医疗制度，这是另一套日本主要的医疗保险制度。</w:t>
      </w:r>
    </w:p>
    <w:p w:rsidR="00000000" w:rsidRDefault="0031739B">
      <w:r>
        <w:tab/>
        <w:t xml:space="preserve">194.  </w:t>
      </w:r>
      <w:r>
        <w:rPr>
          <w:rFonts w:hint="eastAsia"/>
        </w:rPr>
        <w:t>根据日本的公共援助法</w:t>
      </w:r>
      <w:r>
        <w:rPr>
          <w:rFonts w:hint="eastAsia"/>
          <w:spacing w:val="-40"/>
        </w:rPr>
        <w:t>——</w:t>
      </w:r>
      <w:r>
        <w:t xml:space="preserve"> </w:t>
      </w:r>
      <w:r>
        <w:rPr>
          <w:rFonts w:hint="eastAsia"/>
        </w:rPr>
        <w:t>《日常生活保障法》提供的医疗辅助，包括向那些由于经济状况而需要得到帮助的人提供住院、健康检查、药品、注射和外科手术。在医疗辅助下提供的医疗补助津贴，是依据《国家卫生保险法》和《</w:t>
      </w:r>
      <w:r>
        <w:rPr>
          <w:rFonts w:hint="eastAsia"/>
        </w:rPr>
        <w:t>老年人卫生和医疗服务法》的医疗服务准则。这样，保证了与医疗保险提供几乎相同的医疗。</w:t>
      </w:r>
    </w:p>
    <w:p w:rsidR="00000000" w:rsidRDefault="0031739B">
      <w:r>
        <w:tab/>
        <w:t xml:space="preserve">195.  </w:t>
      </w:r>
      <w:r>
        <w:rPr>
          <w:rFonts w:hint="eastAsia"/>
        </w:rPr>
        <w:t>根据</w:t>
      </w:r>
      <w:r>
        <w:t>1972</w:t>
      </w:r>
      <w:r>
        <w:rPr>
          <w:rFonts w:hint="eastAsia"/>
        </w:rPr>
        <w:t>年颁布的《对顽症采取措施的综合计划》政府对目前尚无有效治疗办法的疾病，如比切特氏疾病和无症肌无力等疾病，政府推动开展广泛研究的项目。政府对治疗给予补贴，减轻病人治疗的经济负担。此外，对影响儿童成长、需长期治疗、医疗费用高昂的慢性病，采取疗法研究项目的形式进行医疗费补贴，以促进建立和传播治疗办法。</w:t>
      </w:r>
    </w:p>
    <w:p w:rsidR="00000000" w:rsidRDefault="0031739B">
      <w:r>
        <w:tab/>
        <w:t xml:space="preserve">196.  </w:t>
      </w:r>
      <w:r>
        <w:rPr>
          <w:rFonts w:hint="eastAsia"/>
        </w:rPr>
        <w:t>根据有关精神残疾人的精神健康和福利法，政府支付根据县知事命令住院病人的医疗费和门诊病人的医</w:t>
      </w:r>
      <w:r>
        <w:rPr>
          <w:rFonts w:hint="eastAsia"/>
        </w:rPr>
        <w:t>疗费。</w:t>
      </w:r>
    </w:p>
    <w:p w:rsidR="00000000" w:rsidRDefault="0031739B">
      <w:r>
        <w:tab/>
        <w:t xml:space="preserve">197.  </w:t>
      </w:r>
      <w:r>
        <w:rPr>
          <w:rFonts w:hint="eastAsia"/>
        </w:rPr>
        <w:t>日本精神病患者的精神健康和福利政策，正经历着“从精神病院住院治疗到社区看护”的变化。政府在</w:t>
      </w:r>
      <w:r>
        <w:t>1988</w:t>
      </w:r>
      <w:r>
        <w:rPr>
          <w:rFonts w:hint="eastAsia"/>
        </w:rPr>
        <w:t>年颁布了《精神健康法》，取代了原先的《精神卫生法》，为精神病患者提供更多的保护和康复机会。政府又在</w:t>
      </w:r>
      <w:r>
        <w:t>1995</w:t>
      </w:r>
      <w:r>
        <w:rPr>
          <w:rFonts w:hint="eastAsia"/>
        </w:rPr>
        <w:t>年对该法作了修订，改善对精神病患者的福利措施和地区精神卫生措施，保证适当的精神治疗，从而也将该法改称为《精神病患者的精神健康和福利法》。</w:t>
      </w:r>
    </w:p>
    <w:p w:rsidR="00000000" w:rsidRDefault="0031739B">
      <w:r>
        <w:tab/>
        <w:t xml:space="preserve">198.  </w:t>
      </w:r>
      <w:r>
        <w:rPr>
          <w:rFonts w:hint="eastAsia"/>
        </w:rPr>
        <w:t>作为精神病患者的康复措施，政府对康复机构的建设和管理提供补贴，并在卫生中心和精神病患者的精神卫生和福利中心提供医生和社会工作者的咨询服</w:t>
      </w:r>
      <w:r>
        <w:rPr>
          <w:rFonts w:hint="eastAsia"/>
        </w:rPr>
        <w:t>务。</w:t>
      </w:r>
    </w:p>
    <w:p w:rsidR="00000000" w:rsidRDefault="0031739B">
      <w:r>
        <w:tab/>
        <w:t xml:space="preserve">199.  </w:t>
      </w:r>
      <w:r>
        <w:rPr>
          <w:rFonts w:hint="eastAsia"/>
        </w:rPr>
        <w:t>政府根据《结核病控制法》，采取各种措施预防和治疗结核病，如进行健康检查发现结核病、预防接种、报告新病例，以及医疗服务等。从</w:t>
      </w:r>
      <w:r>
        <w:t>1961</w:t>
      </w:r>
      <w:r>
        <w:rPr>
          <w:rFonts w:hint="eastAsia"/>
        </w:rPr>
        <w:t>年开始登记新病例以来，日本新登记的结核病人数逐年下降。</w:t>
      </w:r>
    </w:p>
    <w:p w:rsidR="00000000" w:rsidRDefault="0031739B">
      <w:r>
        <w:tab/>
        <w:t xml:space="preserve">200.  </w:t>
      </w:r>
      <w:r>
        <w:rPr>
          <w:rFonts w:hint="eastAsia"/>
        </w:rPr>
        <w:t>根据《身体残疾人福利法》提供康复治疗，改善身体残疾者的活动能力，便利他们的日常生活，消除或减少残疾症状。对有身体残疾或疾病的儿童如不予治疗可能造成残疾的，在通过治疗可消除或减少残疾症状的情况下，根据《儿童福利法》提供治疗。</w:t>
      </w:r>
    </w:p>
    <w:p w:rsidR="00000000" w:rsidRDefault="0031739B">
      <w:pPr>
        <w:spacing w:after="320"/>
        <w:textAlignment w:val="center"/>
      </w:pPr>
      <w:r>
        <w:tab/>
        <w:t xml:space="preserve">201.  </w:t>
      </w:r>
      <w:r>
        <w:rPr>
          <w:rFonts w:hint="eastAsia"/>
        </w:rPr>
        <w:t>除上述措施之外，公共医疗服务还包括根据《原子弹受害者救</w:t>
      </w:r>
      <w:r>
        <w:rPr>
          <w:rFonts w:hint="eastAsia"/>
        </w:rPr>
        <w:t>济法》为原子弹的受害者提供医疗，和根据《传染病预防法》为传染病患者提供医疗。</w:t>
      </w:r>
    </w:p>
    <w:p w:rsidR="00000000" w:rsidRDefault="0031739B">
      <w:pPr>
        <w:pStyle w:val="Heading4"/>
      </w:pPr>
      <w:r>
        <w:rPr>
          <w:u w:val="none"/>
        </w:rPr>
        <w:t xml:space="preserve">(c)  </w:t>
      </w:r>
      <w:r>
        <w:rPr>
          <w:rFonts w:hint="eastAsia"/>
        </w:rPr>
        <w:t>增进健康</w:t>
      </w:r>
    </w:p>
    <w:p w:rsidR="00000000" w:rsidRDefault="0031739B">
      <w:r>
        <w:tab/>
        <w:t xml:space="preserve">202.  </w:t>
      </w:r>
      <w:r>
        <w:rPr>
          <w:rFonts w:hint="eastAsia"/>
        </w:rPr>
        <w:t>政府自</w:t>
      </w:r>
      <w:r>
        <w:t>1988</w:t>
      </w:r>
      <w:r>
        <w:rPr>
          <w:rFonts w:hint="eastAsia"/>
        </w:rPr>
        <w:t>年以来推行“国民增进健康运动”</w:t>
      </w:r>
      <w:r>
        <w:t>(</w:t>
      </w:r>
      <w:r>
        <w:rPr>
          <w:rFonts w:hint="eastAsia"/>
        </w:rPr>
        <w:t>活跃</w:t>
      </w:r>
      <w:r>
        <w:t>80</w:t>
      </w:r>
      <w:r>
        <w:rPr>
          <w:rFonts w:hint="eastAsia"/>
        </w:rPr>
        <w:t>健康计划</w:t>
      </w:r>
      <w:r>
        <w:t>)</w:t>
      </w:r>
      <w:r>
        <w:rPr>
          <w:rFonts w:hint="eastAsia"/>
        </w:rPr>
        <w:t>，在营养、锻炼和休息等方面建立健康的生活习惯；在现有措施上，作为人民生活的一部分，增加锻炼和休闲措施，以改善人民生活。</w:t>
      </w:r>
    </w:p>
    <w:p w:rsidR="00000000" w:rsidRDefault="0031739B">
      <w:r>
        <w:tab/>
        <w:t xml:space="preserve">203.  </w:t>
      </w:r>
      <w:r>
        <w:rPr>
          <w:rFonts w:hint="eastAsia"/>
        </w:rPr>
        <w:t>将在</w:t>
      </w:r>
      <w:r>
        <w:t>1998</w:t>
      </w:r>
      <w:r>
        <w:rPr>
          <w:rFonts w:hint="eastAsia"/>
        </w:rPr>
        <w:t>和</w:t>
      </w:r>
      <w:r>
        <w:t>1999</w:t>
      </w:r>
      <w:r>
        <w:rPr>
          <w:rFonts w:hint="eastAsia"/>
        </w:rPr>
        <w:t>财政年度制订“增进健康和预防疾病中长期计划”，目标是延长健康生活的预期寿命和改善生活质量。</w:t>
      </w:r>
    </w:p>
    <w:p w:rsidR="00000000" w:rsidRDefault="0031739B">
      <w:r>
        <w:tab/>
        <w:t xml:space="preserve">204.  </w:t>
      </w:r>
      <w:r>
        <w:rPr>
          <w:rFonts w:hint="eastAsia"/>
        </w:rPr>
        <w:t>根据</w:t>
      </w:r>
      <w:r>
        <w:t>1983</w:t>
      </w:r>
      <w:r>
        <w:rPr>
          <w:rFonts w:hint="eastAsia"/>
        </w:rPr>
        <w:t>年</w:t>
      </w:r>
      <w:r>
        <w:t>2</w:t>
      </w:r>
      <w:r>
        <w:rPr>
          <w:rFonts w:hint="eastAsia"/>
        </w:rPr>
        <w:t>月生效的《老年人卫生和医疗服务法》，政府为</w:t>
      </w:r>
      <w:r>
        <w:t>40</w:t>
      </w:r>
      <w:r>
        <w:rPr>
          <w:rFonts w:hint="eastAsia"/>
        </w:rPr>
        <w:t>岁以上者提供</w:t>
      </w:r>
      <w:r>
        <w:rPr>
          <w:rFonts w:hint="eastAsia"/>
        </w:rPr>
        <w:t>全面卫生和医疗服务，包括预防照料、治疗和恢复，以保证老年人健康。这些医疗服务是根据第一和第二个卫生服务五年计划提供的。政府在</w:t>
      </w:r>
      <w:r>
        <w:t>1992</w:t>
      </w:r>
      <w:r>
        <w:rPr>
          <w:rFonts w:hint="eastAsia"/>
        </w:rPr>
        <w:t>年提出第三个卫生服务计划，目的是大大降低三种主要变性疾病</w:t>
      </w:r>
      <w:r>
        <w:t>,</w:t>
      </w:r>
      <w:r>
        <w:rPr>
          <w:rFonts w:hint="eastAsia"/>
        </w:rPr>
        <w:t>即癌症、心脏病和脑中风的死亡率，以及卧床不起的老年人人数。此后，在这方面提供的医疗服务进一步提高了效率。</w:t>
      </w:r>
    </w:p>
    <w:p w:rsidR="00000000" w:rsidRDefault="0031739B">
      <w:pPr>
        <w:spacing w:after="320"/>
        <w:textAlignment w:val="center"/>
      </w:pPr>
      <w:r>
        <w:tab/>
        <w:t xml:space="preserve">205.  </w:t>
      </w:r>
      <w:r>
        <w:rPr>
          <w:rFonts w:hint="eastAsia"/>
        </w:rPr>
        <w:t>医疗保险的提供人，如卫生保险提供人，积极提供必要的医疗服务，保持并改善保险人的健康。这类服务包括卫生教育、卫生咨询和健康检查。</w:t>
      </w:r>
    </w:p>
    <w:p w:rsidR="00000000" w:rsidRDefault="0031739B">
      <w:pPr>
        <w:pStyle w:val="Heading4"/>
      </w:pPr>
      <w:r>
        <w:rPr>
          <w:u w:val="none"/>
        </w:rPr>
        <w:t>(d)</w:t>
      </w:r>
      <w:r>
        <w:rPr>
          <w:u w:val="none"/>
        </w:rPr>
        <w:tab/>
      </w:r>
      <w:r>
        <w:rPr>
          <w:rFonts w:hint="eastAsia"/>
        </w:rPr>
        <w:t>改善环境卫生</w:t>
      </w:r>
    </w:p>
    <w:p w:rsidR="00000000" w:rsidRDefault="0031739B">
      <w:r>
        <w:tab/>
        <w:t xml:space="preserve">206.  </w:t>
      </w:r>
      <w:r>
        <w:rPr>
          <w:rFonts w:hint="eastAsia"/>
          <w:u w:val="single"/>
        </w:rPr>
        <w:t>垃圾处理</w:t>
      </w:r>
      <w:r>
        <w:rPr>
          <w:rFonts w:hint="eastAsia"/>
        </w:rPr>
        <w:t>。根据《垃圾处理和公共卫生法》</w:t>
      </w:r>
      <w:r>
        <w:rPr>
          <w:rFonts w:hint="eastAsia"/>
        </w:rPr>
        <w:t>，除放射性材料外的所有固体和液体废料，均划分为两类：工业废料和一般垃圾。市政当局</w:t>
      </w:r>
      <w:r>
        <w:t>(</w:t>
      </w:r>
      <w:r>
        <w:rPr>
          <w:rFonts w:hint="eastAsia"/>
        </w:rPr>
        <w:t>城市、市镇和村庄</w:t>
      </w:r>
      <w:r>
        <w:t>)</w:t>
      </w:r>
      <w:r>
        <w:rPr>
          <w:rFonts w:hint="eastAsia"/>
        </w:rPr>
        <w:t>负责管理和处理一般垃圾，包括人粪便，并对各自地区制定一般垃圾处理计划。虽然在原则上造成工业垃圾的个人或实体要对垃圾处理和适当管理负责，但县知事要为工业垃圾的管理制定总体计划。所有作业，如垃圾的收集、运输、处理和最后处置，都必须遵守法定标准。中央政府向地方政府提供财政和技术援助，建设一般垃圾处理设施。</w:t>
      </w:r>
    </w:p>
    <w:p w:rsidR="00000000" w:rsidRDefault="0031739B">
      <w:r>
        <w:tab/>
        <w:t xml:space="preserve">207.  </w:t>
      </w:r>
      <w:r>
        <w:rPr>
          <w:rFonts w:hint="eastAsia"/>
          <w:u w:val="single"/>
        </w:rPr>
        <w:t>水利工程</w:t>
      </w:r>
      <w:r>
        <w:rPr>
          <w:rFonts w:hint="eastAsia"/>
        </w:rPr>
        <w:t>。公用水利公司根据《水利工程法》的授权，供应符合该法规定的饮用水质量标准的水。日本在</w:t>
      </w:r>
      <w:r>
        <w:t>19</w:t>
      </w:r>
      <w:r>
        <w:t>91</w:t>
      </w:r>
      <w:r>
        <w:rPr>
          <w:rFonts w:hint="eastAsia"/>
        </w:rPr>
        <w:t>年制定了淡水计划，目标是在</w:t>
      </w:r>
      <w:r>
        <w:t>21</w:t>
      </w:r>
      <w:r>
        <w:rPr>
          <w:rFonts w:hint="eastAsia"/>
        </w:rPr>
        <w:t>世纪实现全国范围的清洁饮水供应。政府资助建设和经营供水工程，如地区范围的供水系统，此类系统由于性质和规模较大，往往费用极高。</w:t>
      </w:r>
    </w:p>
    <w:p w:rsidR="00000000" w:rsidRDefault="0031739B">
      <w:pPr>
        <w:spacing w:after="320"/>
        <w:textAlignment w:val="center"/>
      </w:pPr>
      <w:r>
        <w:tab/>
        <w:t xml:space="preserve">208.  </w:t>
      </w:r>
      <w:r>
        <w:rPr>
          <w:rFonts w:hint="eastAsia"/>
          <w:u w:val="single"/>
        </w:rPr>
        <w:t>污水处理</w:t>
      </w:r>
      <w:r>
        <w:rPr>
          <w:rFonts w:hint="eastAsia"/>
        </w:rPr>
        <w:t>。根据《污水处理法》，地方政府，如市政当局</w:t>
      </w:r>
      <w:r>
        <w:t>(</w:t>
      </w:r>
      <w:r>
        <w:rPr>
          <w:rFonts w:hint="eastAsia"/>
        </w:rPr>
        <w:t>城市、市镇和村庄</w:t>
      </w:r>
      <w:r>
        <w:t>)</w:t>
      </w:r>
      <w:r>
        <w:rPr>
          <w:rFonts w:hint="eastAsia"/>
        </w:rPr>
        <w:t>和县，负责污水处理设施的建设和保养。下水管道迅速排放家庭和工业废水，有利环境卫生。《污水处理法》规定</w:t>
      </w:r>
      <w:r>
        <w:t>:</w:t>
      </w:r>
      <w:r>
        <w:rPr>
          <w:rFonts w:hint="eastAsia"/>
        </w:rPr>
        <w:t>废水须经污水净化厂处理，以保护公共水体的质量。下水管道还排泄雨水，保护城市地区不受水灾破坏。因下水管道的建设昂贵</w:t>
      </w:r>
      <w:r>
        <w:t>,</w:t>
      </w:r>
      <w:r>
        <w:rPr>
          <w:rFonts w:hint="eastAsia"/>
        </w:rPr>
        <w:t>政府向地方政府提供财政和技术援助以建设污水处理设施。</w:t>
      </w:r>
    </w:p>
    <w:p w:rsidR="00000000" w:rsidRDefault="0031739B">
      <w:pPr>
        <w:pStyle w:val="Heading4"/>
      </w:pPr>
      <w:r>
        <w:rPr>
          <w:u w:val="none"/>
        </w:rPr>
        <w:t xml:space="preserve">(e)  </w:t>
      </w:r>
      <w:r>
        <w:rPr>
          <w:rFonts w:hint="eastAsia"/>
        </w:rPr>
        <w:t>改善工业卫生条件</w:t>
      </w:r>
    </w:p>
    <w:p w:rsidR="00000000" w:rsidRDefault="0031739B">
      <w:pPr>
        <w:spacing w:after="320"/>
        <w:textAlignment w:val="center"/>
      </w:pPr>
      <w:r>
        <w:tab/>
        <w:t xml:space="preserve">209.  </w:t>
      </w:r>
      <w:r>
        <w:rPr>
          <w:rFonts w:hint="eastAsia"/>
        </w:rPr>
        <w:t>颁布了《工业安全和卫生法》、《工作环境测量法》、《尘肺法》，以及根据这些法制定的规则，如《工业安全和健康条例》、《防止有机溶剂毒害条例》、《防止某些化学物质危害的条例》，和《防止缺氧症条例》，以保证工作场所工人的健康并建立适当环境的工作条件。</w:t>
      </w:r>
    </w:p>
    <w:p w:rsidR="00000000" w:rsidRDefault="0031739B">
      <w:pPr>
        <w:pStyle w:val="Heading3"/>
      </w:pPr>
      <w:r>
        <w:rPr>
          <w:u w:val="none"/>
        </w:rPr>
        <w:t xml:space="preserve">3.  </w:t>
      </w:r>
      <w:r>
        <w:rPr>
          <w:rFonts w:hint="eastAsia"/>
        </w:rPr>
        <w:t>国际援助</w:t>
      </w:r>
    </w:p>
    <w:p w:rsidR="00000000" w:rsidRDefault="0031739B">
      <w:pPr>
        <w:spacing w:after="320"/>
        <w:textAlignment w:val="center"/>
      </w:pPr>
      <w:r>
        <w:tab/>
        <w:t xml:space="preserve">210.  </w:t>
      </w:r>
      <w:r>
        <w:rPr>
          <w:rFonts w:hint="eastAsia"/>
        </w:rPr>
        <w:t>在卫生和医疗领域里的国际援助，是对发展中国家人基本需要的援助，被定为日本提供国际合作的核心。日本对人力资源开发的贡献，主要是通过技术合作，如派遣专家和接受培训员，以及通过赠款和贷款援助主要基础</w:t>
      </w:r>
      <w:r>
        <w:rPr>
          <w:rFonts w:hint="eastAsia"/>
        </w:rPr>
        <w:t>设施。日本还在多国合作以及同世界卫生组织等国际组织的合作中发挥积极作用。</w:t>
      </w:r>
    </w:p>
    <w:p w:rsidR="00000000" w:rsidRDefault="0031739B">
      <w:pPr>
        <w:pStyle w:val="Heading3"/>
      </w:pPr>
      <w:r>
        <w:rPr>
          <w:u w:val="none"/>
        </w:rPr>
        <w:t xml:space="preserve">H.  </w:t>
      </w:r>
      <w:r>
        <w:rPr>
          <w:rFonts w:hint="eastAsia"/>
        </w:rPr>
        <w:t>第</w:t>
      </w:r>
      <w:r>
        <w:t xml:space="preserve"> 13 </w:t>
      </w:r>
      <w:r>
        <w:rPr>
          <w:rFonts w:hint="eastAsia"/>
        </w:rPr>
        <w:t>条</w:t>
      </w:r>
    </w:p>
    <w:p w:rsidR="00000000" w:rsidRDefault="0031739B">
      <w:pPr>
        <w:pStyle w:val="Heading3"/>
      </w:pPr>
      <w:r>
        <w:rPr>
          <w:u w:val="none"/>
        </w:rPr>
        <w:t xml:space="preserve">1.  </w:t>
      </w:r>
      <w:r>
        <w:rPr>
          <w:rFonts w:hint="eastAsia"/>
        </w:rPr>
        <w:t>受教育权</w:t>
      </w:r>
    </w:p>
    <w:p w:rsidR="00000000" w:rsidRDefault="0031739B">
      <w:pPr>
        <w:pStyle w:val="Heading4"/>
      </w:pPr>
      <w:r>
        <w:rPr>
          <w:u w:val="none"/>
        </w:rPr>
        <w:t xml:space="preserve">(a)  </w:t>
      </w:r>
      <w:r>
        <w:rPr>
          <w:rFonts w:hint="eastAsia"/>
        </w:rPr>
        <w:t>小学和初中教育</w:t>
      </w:r>
    </w:p>
    <w:p w:rsidR="00000000" w:rsidRDefault="0031739B">
      <w:r>
        <w:tab/>
        <w:t xml:space="preserve">211.  </w:t>
      </w:r>
      <w:r>
        <w:rPr>
          <w:rFonts w:hint="eastAsia"/>
        </w:rPr>
        <w:t>日本实行小学和初中义务教育。根据《宪法》第</w:t>
      </w:r>
      <w:r>
        <w:t>26</w:t>
      </w:r>
      <w:r>
        <w:rPr>
          <w:rFonts w:hint="eastAsia"/>
        </w:rPr>
        <w:t>条、《教育基本法》第</w:t>
      </w:r>
      <w:r>
        <w:t>4</w:t>
      </w:r>
      <w:r>
        <w:rPr>
          <w:rFonts w:hint="eastAsia"/>
        </w:rPr>
        <w:t>条和《学校教育法》第</w:t>
      </w:r>
      <w:r>
        <w:t>6</w:t>
      </w:r>
      <w:r>
        <w:rPr>
          <w:rFonts w:hint="eastAsia"/>
        </w:rPr>
        <w:t>、</w:t>
      </w:r>
      <w:r>
        <w:t>22</w:t>
      </w:r>
      <w:r>
        <w:rPr>
          <w:rFonts w:hint="eastAsia"/>
        </w:rPr>
        <w:t>和</w:t>
      </w:r>
      <w:r>
        <w:t>39</w:t>
      </w:r>
      <w:r>
        <w:rPr>
          <w:rFonts w:hint="eastAsia"/>
        </w:rPr>
        <w:t>条，普通教育的前九年</w:t>
      </w:r>
      <w:r>
        <w:t>(</w:t>
      </w:r>
      <w:r>
        <w:rPr>
          <w:rFonts w:hint="eastAsia"/>
        </w:rPr>
        <w:t>小学六年加初中教育三年</w:t>
      </w:r>
      <w:r>
        <w:t>)</w:t>
      </w:r>
      <w:r>
        <w:rPr>
          <w:rFonts w:hint="eastAsia"/>
        </w:rPr>
        <w:t>为义务教育。国家和公共学校提供的义务教育免费。</w:t>
      </w:r>
    </w:p>
    <w:p w:rsidR="00000000" w:rsidRDefault="0031739B">
      <w:r>
        <w:tab/>
        <w:t xml:space="preserve">212.  </w:t>
      </w:r>
      <w:r>
        <w:rPr>
          <w:rFonts w:hint="eastAsia"/>
        </w:rPr>
        <w:t>为保持全国教育水准，《学校教育法》规定了每个教育阶段的目标。此外，日本还规定了小学和初中的教育标准</w:t>
      </w:r>
      <w:r>
        <w:t>(</w:t>
      </w:r>
      <w:r>
        <w:rPr>
          <w:rFonts w:hint="eastAsia"/>
        </w:rPr>
        <w:t>学校教育法实施规定和教学手册</w:t>
      </w:r>
      <w:r>
        <w:t>)</w:t>
      </w:r>
      <w:r>
        <w:rPr>
          <w:rFonts w:hint="eastAsia"/>
        </w:rPr>
        <w:t>。小学和初中各科标</w:t>
      </w:r>
      <w:r>
        <w:rPr>
          <w:rFonts w:hint="eastAsia"/>
        </w:rPr>
        <w:t>准的年授课时间，由学校教育法实施规则作出规定。</w:t>
      </w:r>
    </w:p>
    <w:p w:rsidR="00000000" w:rsidRDefault="0031739B">
      <w:r>
        <w:tab/>
        <w:t xml:space="preserve">213.  </w:t>
      </w:r>
      <w:r>
        <w:rPr>
          <w:rFonts w:hint="eastAsia"/>
        </w:rPr>
        <w:t>私立学校与国家和公共学校义务教育使用的课本，由中央政府免费提供</w:t>
      </w:r>
      <w:r>
        <w:t>(</w:t>
      </w:r>
      <w:r>
        <w:rPr>
          <w:rFonts w:hint="eastAsia"/>
        </w:rPr>
        <w:t>义务教育学校免费课本法</w:t>
      </w:r>
      <w:r>
        <w:t>)</w:t>
      </w:r>
      <w:r>
        <w:rPr>
          <w:rFonts w:hint="eastAsia"/>
        </w:rPr>
        <w:t>。</w:t>
      </w:r>
    </w:p>
    <w:p w:rsidR="00000000" w:rsidRDefault="0031739B">
      <w:r>
        <w:tab/>
        <w:t xml:space="preserve">214.  </w:t>
      </w:r>
      <w:r>
        <w:rPr>
          <w:rFonts w:hint="eastAsia"/>
        </w:rPr>
        <w:t>对由于经济情况继续接受义务教育有困难者，市政当局</w:t>
      </w:r>
      <w:r>
        <w:t>(</w:t>
      </w:r>
      <w:r>
        <w:rPr>
          <w:rFonts w:hint="eastAsia"/>
        </w:rPr>
        <w:t>城市、城镇和村庄</w:t>
      </w:r>
      <w:r>
        <w:t>)</w:t>
      </w:r>
      <w:r>
        <w:rPr>
          <w:rFonts w:hint="eastAsia"/>
        </w:rPr>
        <w:t>向他们提供帮助，支付文具、交通、学校外出活动、在校午餐等开支。中央政府对这种帮助提供补贴，从而力求保障所有儿童入学和顺利完成义务教育。</w:t>
      </w:r>
    </w:p>
    <w:p w:rsidR="00000000" w:rsidRDefault="0031739B">
      <w:r>
        <w:tab/>
        <w:t xml:space="preserve">215.  </w:t>
      </w:r>
      <w:r>
        <w:rPr>
          <w:rFonts w:hint="eastAsia"/>
        </w:rPr>
        <w:t>为保证全国公立义务教育学校必要的教职员人数，消除各县之间工资水平、教职员人数可能不平衡的现象</w:t>
      </w:r>
      <w:r>
        <w:t>,</w:t>
      </w:r>
      <w:r>
        <w:rPr>
          <w:rFonts w:hint="eastAsia"/>
        </w:rPr>
        <w:t>中央政府规定了法定的标准班级人数</w:t>
      </w:r>
      <w:r>
        <w:rPr>
          <w:rFonts w:hint="eastAsia"/>
        </w:rPr>
        <w:t>，教职员的配备标准，并支付学校员工工资开支的一半，原则上加强教育机会平等</w:t>
      </w:r>
      <w:r>
        <w:t>,</w:t>
      </w:r>
      <w:r>
        <w:rPr>
          <w:rFonts w:hint="eastAsia"/>
        </w:rPr>
        <w:t>保持全国范围的教育水准。这样，接受小学和初中教育的人达到适龄组的</w:t>
      </w:r>
      <w:r>
        <w:t>99.98%(1997</w:t>
      </w:r>
      <w:r>
        <w:rPr>
          <w:rFonts w:hint="eastAsia"/>
        </w:rPr>
        <w:t>年</w:t>
      </w:r>
      <w:r>
        <w:t>5</w:t>
      </w:r>
      <w:r>
        <w:rPr>
          <w:rFonts w:hint="eastAsia"/>
        </w:rPr>
        <w:t>月</w:t>
      </w:r>
      <w:r>
        <w:t>)</w:t>
      </w:r>
      <w:r>
        <w:rPr>
          <w:rFonts w:hint="eastAsia"/>
        </w:rPr>
        <w:t>。</w:t>
      </w:r>
    </w:p>
    <w:p w:rsidR="00000000" w:rsidRDefault="0031739B">
      <w:r>
        <w:tab/>
        <w:t xml:space="preserve">216.  </w:t>
      </w:r>
      <w:r>
        <w:rPr>
          <w:rFonts w:hint="eastAsia"/>
        </w:rPr>
        <w:t>此外，在日本居住的外国人子女也可在国家和公立学校免费接受小学和初中教育。截至</w:t>
      </w:r>
      <w:r>
        <w:t>1997</w:t>
      </w:r>
      <w:r>
        <w:rPr>
          <w:rFonts w:hint="eastAsia"/>
        </w:rPr>
        <w:t>年</w:t>
      </w:r>
      <w:r>
        <w:t>5</w:t>
      </w:r>
      <w:r>
        <w:rPr>
          <w:rFonts w:hint="eastAsia"/>
        </w:rPr>
        <w:t>月，日本全国小学和初中在校外国学生人数是</w:t>
      </w:r>
      <w:r>
        <w:t>76,260</w:t>
      </w:r>
      <w:r>
        <w:rPr>
          <w:rFonts w:hint="eastAsia"/>
        </w:rPr>
        <w:t>人，其中</w:t>
      </w:r>
      <w:r>
        <w:t>73,607</w:t>
      </w:r>
      <w:r>
        <w:rPr>
          <w:rFonts w:hint="eastAsia"/>
        </w:rPr>
        <w:t>人在公立学校接受教育。</w:t>
      </w:r>
    </w:p>
    <w:p w:rsidR="00000000" w:rsidRDefault="0031739B">
      <w:pPr>
        <w:spacing w:after="320"/>
        <w:textAlignment w:val="center"/>
      </w:pPr>
      <w:r>
        <w:tab/>
        <w:t xml:space="preserve">217.  </w:t>
      </w:r>
      <w:r>
        <w:rPr>
          <w:rFonts w:hint="eastAsia"/>
        </w:rPr>
        <w:t>在日本居住的外国人子女接受日本学校教育，一个重要的问题，是提供大量日语教育。据</w:t>
      </w:r>
      <w:r>
        <w:t>1997</w:t>
      </w:r>
      <w:r>
        <w:rPr>
          <w:rFonts w:hint="eastAsia"/>
        </w:rPr>
        <w:t>年</w:t>
      </w:r>
      <w:r>
        <w:t>9</w:t>
      </w:r>
      <w:r>
        <w:rPr>
          <w:rFonts w:hint="eastAsia"/>
        </w:rPr>
        <w:t>月进行的一次调查，需要在日本公立小学、</w:t>
      </w:r>
      <w:r>
        <w:rPr>
          <w:rFonts w:hint="eastAsia"/>
        </w:rPr>
        <w:t>初中和高中接受日语训练的外国学生人数，是</w:t>
      </w:r>
      <w:r>
        <w:t>17,296</w:t>
      </w:r>
      <w:r>
        <w:rPr>
          <w:rFonts w:hint="eastAsia"/>
        </w:rPr>
        <w:t>人。为那些学生采取了强化措施，如开设专门的日语课。外国学生学习母语，在小学和初中未列为必修课，但学习母语可作为一项课外活动，一些学校已有这种安排。</w:t>
      </w:r>
    </w:p>
    <w:p w:rsidR="00000000" w:rsidRDefault="0031739B">
      <w:pPr>
        <w:pStyle w:val="Heading4"/>
      </w:pPr>
      <w:r>
        <w:rPr>
          <w:u w:val="none"/>
        </w:rPr>
        <w:t xml:space="preserve">(b)  </w:t>
      </w:r>
      <w:r>
        <w:rPr>
          <w:rFonts w:hint="eastAsia"/>
        </w:rPr>
        <w:t>高中教育</w:t>
      </w:r>
    </w:p>
    <w:p w:rsidR="00000000" w:rsidRDefault="0031739B">
      <w:r>
        <w:tab/>
        <w:t xml:space="preserve">218.  </w:t>
      </w:r>
      <w:r>
        <w:rPr>
          <w:rFonts w:hint="eastAsia"/>
        </w:rPr>
        <w:t>一般而言，在日本所有人都可接受高中教育</w:t>
      </w:r>
      <w:r>
        <w:t>(</w:t>
      </w:r>
      <w:r>
        <w:rPr>
          <w:rFonts w:hint="eastAsia"/>
        </w:rPr>
        <w:t>包括技术和职业教育</w:t>
      </w:r>
      <w:r>
        <w:t>)</w:t>
      </w:r>
      <w:r>
        <w:rPr>
          <w:rFonts w:hint="eastAsia"/>
        </w:rPr>
        <w:t>。根据《学校教育法》，所有从初中或相当学校毕业的学生，或学业成绩得到承认相当或高于有关当局规定的标准，均有资格进入高中，不得有任何性别、种族或国籍之类的歧视。</w:t>
      </w:r>
      <w:r>
        <w:t>1997</w:t>
      </w:r>
      <w:r>
        <w:rPr>
          <w:rFonts w:hint="eastAsia"/>
        </w:rPr>
        <w:t>年，高达</w:t>
      </w:r>
      <w:r>
        <w:t>96.8%</w:t>
      </w:r>
      <w:r>
        <w:rPr>
          <w:rFonts w:hint="eastAsia"/>
        </w:rPr>
        <w:t>的初中毕业生进入高中。高中教育的标</w:t>
      </w:r>
      <w:r>
        <w:rPr>
          <w:rFonts w:hint="eastAsia"/>
        </w:rPr>
        <w:t>准也由政府以对小学和初中同样的方式确定。</w:t>
      </w:r>
    </w:p>
    <w:p w:rsidR="00000000" w:rsidRDefault="0031739B">
      <w:pPr>
        <w:spacing w:after="320"/>
        <w:textAlignment w:val="center"/>
      </w:pPr>
      <w:r>
        <w:tab/>
        <w:t xml:space="preserve">219.  </w:t>
      </w:r>
      <w:r>
        <w:rPr>
          <w:rFonts w:hint="eastAsia"/>
        </w:rPr>
        <w:t>教育内容有所不同，以满足具体学生不同的能力、天资、兴趣，和今后的职业发展。有些高中提供中等技术和职业教育。此外，还向有工作的人提供夜校和函授课程，不分年龄。有关实行免费高中教育的情况，请参阅下文第</w:t>
      </w:r>
      <w:r>
        <w:t>2</w:t>
      </w:r>
      <w:r>
        <w:rPr>
          <w:rFonts w:hint="eastAsia"/>
        </w:rPr>
        <w:t>节。</w:t>
      </w:r>
    </w:p>
    <w:p w:rsidR="00000000" w:rsidRDefault="0031739B">
      <w:pPr>
        <w:pStyle w:val="Heading4"/>
      </w:pPr>
      <w:r>
        <w:rPr>
          <w:u w:val="none"/>
        </w:rPr>
        <w:t>(c)</w:t>
      </w:r>
      <w:r>
        <w:rPr>
          <w:u w:val="none"/>
        </w:rPr>
        <w:tab/>
      </w:r>
      <w:r>
        <w:rPr>
          <w:rFonts w:hint="eastAsia"/>
        </w:rPr>
        <w:t>高等教育</w:t>
      </w:r>
    </w:p>
    <w:p w:rsidR="00000000" w:rsidRDefault="0031739B">
      <w:r>
        <w:tab/>
        <w:t xml:space="preserve">220.  </w:t>
      </w:r>
      <w:r>
        <w:rPr>
          <w:rFonts w:hint="eastAsia"/>
        </w:rPr>
        <w:t>在日本，人人都有接受高等教育的平等机会。根据《学校教育法》，高中毕业或已完成规范课程</w:t>
      </w:r>
      <w:r>
        <w:t>12</w:t>
      </w:r>
      <w:r>
        <w:rPr>
          <w:rFonts w:hint="eastAsia"/>
        </w:rPr>
        <w:t>年学校教育者，或学业成绩得到承认相当或高于主管当局规定标准的学生，均有资格进入高等教育机构，不受任何性别、种族、国籍等方面的歧视。</w:t>
      </w:r>
    </w:p>
    <w:p w:rsidR="00000000" w:rsidRDefault="0031739B">
      <w:r>
        <w:tab/>
        <w:t xml:space="preserve">221.  </w:t>
      </w:r>
      <w:r>
        <w:rPr>
          <w:rFonts w:hint="eastAsia"/>
        </w:rPr>
        <w:t>日本在</w:t>
      </w:r>
      <w:r>
        <w:t>1983</w:t>
      </w:r>
      <w:r>
        <w:rPr>
          <w:rFonts w:hint="eastAsia"/>
        </w:rPr>
        <w:t>年成立了“广播大学”，目的是通过有效利用广播采用新型大学教育制度，为人民提供接受高等教育的机会。这样，采用各种媒介形式，主要是电视和广播，实现高等教育。</w:t>
      </w:r>
    </w:p>
    <w:p w:rsidR="00000000" w:rsidRDefault="0031739B">
      <w:r>
        <w:tab/>
        <w:t xml:space="preserve">222.  </w:t>
      </w:r>
      <w:r>
        <w:rPr>
          <w:rFonts w:hint="eastAsia"/>
        </w:rPr>
        <w:t>此外，还通过由大学和学院定期举办向公众开放的进修课，向所有人提供接受教育的机会。</w:t>
      </w:r>
    </w:p>
    <w:p w:rsidR="00000000" w:rsidRDefault="0031739B">
      <w:pPr>
        <w:spacing w:after="320"/>
        <w:textAlignment w:val="center"/>
      </w:pPr>
      <w:r>
        <w:tab/>
        <w:t xml:space="preserve">223.  </w:t>
      </w:r>
      <w:r>
        <w:rPr>
          <w:rFonts w:hint="eastAsia"/>
        </w:rPr>
        <w:t>对那些有能力但因经济条件上学有困难的人，日本奖学金基金会根据日本奖学金基金法的规定给予赠款或贷款。地方政府和公益性非营利组织，也从事提供奖学金活动。此外，国立、公立和私立大学还根据学生经济情况，对那些学生减免学费。有关实</w:t>
      </w:r>
      <w:r>
        <w:rPr>
          <w:rFonts w:hint="eastAsia"/>
        </w:rPr>
        <w:t>行免费高等教育的情况，请参阅下文第</w:t>
      </w:r>
      <w:r>
        <w:t>2</w:t>
      </w:r>
      <w:r>
        <w:rPr>
          <w:rFonts w:hint="eastAsia"/>
        </w:rPr>
        <w:t>节。</w:t>
      </w:r>
    </w:p>
    <w:p w:rsidR="00000000" w:rsidRDefault="0031739B">
      <w:pPr>
        <w:pStyle w:val="Heading4"/>
      </w:pPr>
      <w:r>
        <w:rPr>
          <w:u w:val="none"/>
        </w:rPr>
        <w:t>(d)</w:t>
      </w:r>
      <w:r>
        <w:rPr>
          <w:u w:val="none"/>
        </w:rPr>
        <w:tab/>
      </w:r>
      <w:r>
        <w:rPr>
          <w:rFonts w:hint="eastAsia"/>
        </w:rPr>
        <w:t>基本教育</w:t>
      </w:r>
    </w:p>
    <w:p w:rsidR="00000000" w:rsidRDefault="0031739B">
      <w:r>
        <w:tab/>
        <w:t xml:space="preserve">224.  </w:t>
      </w:r>
      <w:r>
        <w:rPr>
          <w:rFonts w:hint="eastAsia"/>
        </w:rPr>
        <w:t>在基本教育方面，无须采取特别措施，因为只有很少的一部分体弱者不能进普通学校接受基本教育。未完成正规课程而想进入较高一级学校的学生，学业承认考试制度保证了他们的机会。</w:t>
      </w:r>
    </w:p>
    <w:p w:rsidR="00000000" w:rsidRDefault="0031739B">
      <w:pPr>
        <w:spacing w:after="320"/>
        <w:textAlignment w:val="center"/>
      </w:pPr>
      <w:r>
        <w:tab/>
        <w:t xml:space="preserve">225.  </w:t>
      </w:r>
      <w:r>
        <w:rPr>
          <w:rFonts w:hint="eastAsia"/>
        </w:rPr>
        <w:t>日本虽然没有显示文盲率的数字，但可以认为其比例是极低的。</w:t>
      </w:r>
    </w:p>
    <w:p w:rsidR="00000000" w:rsidRDefault="0031739B">
      <w:pPr>
        <w:pStyle w:val="Heading3"/>
      </w:pPr>
      <w:r>
        <w:rPr>
          <w:u w:val="none"/>
        </w:rPr>
        <w:t xml:space="preserve">2.  </w:t>
      </w:r>
      <w:r>
        <w:rPr>
          <w:rFonts w:hint="eastAsia"/>
        </w:rPr>
        <w:t>实行高中和大学免费教育</w:t>
      </w:r>
    </w:p>
    <w:p w:rsidR="00000000" w:rsidRDefault="0031739B">
      <w:r>
        <w:tab/>
        <w:t xml:space="preserve">226.  </w:t>
      </w:r>
      <w:r>
        <w:rPr>
          <w:rFonts w:hint="eastAsia"/>
        </w:rPr>
        <w:t>日本有很高比例的学生在私立学校接受中学和大学教育。公立学校的学生从分担费用的角度，须支付合理的部分。实行免费教育，包括私立学校制度，是一个涉及私立学校制度</w:t>
      </w:r>
      <w:r>
        <w:rPr>
          <w:rFonts w:hint="eastAsia"/>
        </w:rPr>
        <w:t>基本原则的问题。因此，日本保留不受《盟约》第</w:t>
      </w:r>
      <w:r>
        <w:t>13</w:t>
      </w:r>
      <w:r>
        <w:rPr>
          <w:rFonts w:hint="eastAsia"/>
        </w:rPr>
        <w:t>条第</w:t>
      </w:r>
      <w:r>
        <w:t>2</w:t>
      </w:r>
      <w:r>
        <w:rPr>
          <w:rFonts w:hint="eastAsia"/>
        </w:rPr>
        <w:t>款</w:t>
      </w:r>
      <w:r>
        <w:t>(b)</w:t>
      </w:r>
      <w:r>
        <w:rPr>
          <w:rFonts w:hint="eastAsia"/>
        </w:rPr>
        <w:t>和</w:t>
      </w:r>
      <w:r>
        <w:t>(c)</w:t>
      </w:r>
      <w:r>
        <w:rPr>
          <w:rFonts w:hint="eastAsia"/>
        </w:rPr>
        <w:t>“特别要逐渐做到免费教育”规定的约束。</w:t>
      </w:r>
    </w:p>
    <w:p w:rsidR="00000000" w:rsidRDefault="0031739B">
      <w:r>
        <w:tab/>
        <w:t xml:space="preserve">227.  </w:t>
      </w:r>
      <w:r>
        <w:rPr>
          <w:rFonts w:hint="eastAsia"/>
        </w:rPr>
        <w:t>然而，为了保证有机会得到教育，日本奖学金基金会和地方政府提供奖学金和采取措施，对由于经济原因受教育有困难的学生减负学费。</w:t>
      </w:r>
    </w:p>
    <w:p w:rsidR="00000000" w:rsidRDefault="0031739B">
      <w:pPr>
        <w:spacing w:after="320"/>
        <w:textAlignment w:val="center"/>
      </w:pPr>
      <w:r>
        <w:tab/>
        <w:t>228.  1995</w:t>
      </w:r>
      <w:r>
        <w:rPr>
          <w:rFonts w:hint="eastAsia"/>
        </w:rPr>
        <w:t>年国家和地方总支出中，</w:t>
      </w:r>
      <w:r>
        <w:t>16.55%</w:t>
      </w:r>
      <w:r>
        <w:rPr>
          <w:rFonts w:hint="eastAsia"/>
        </w:rPr>
        <w:t>用于教育。</w:t>
      </w:r>
    </w:p>
    <w:p w:rsidR="00000000" w:rsidRDefault="0031739B">
      <w:pPr>
        <w:pStyle w:val="Heading3"/>
      </w:pPr>
      <w:r>
        <w:rPr>
          <w:u w:val="none"/>
        </w:rPr>
        <w:t xml:space="preserve">3.  </w:t>
      </w:r>
      <w:r>
        <w:rPr>
          <w:rFonts w:hint="eastAsia"/>
        </w:rPr>
        <w:t>教职员工的待遇</w:t>
      </w:r>
    </w:p>
    <w:p w:rsidR="00000000" w:rsidRDefault="0031739B">
      <w:r>
        <w:tab/>
        <w:t xml:space="preserve">229.  </w:t>
      </w:r>
      <w:r>
        <w:rPr>
          <w:rFonts w:hint="eastAsia"/>
        </w:rPr>
        <w:t>由于认识到学校教育的好坏最终取决于具体教师的品德和能力，因此在</w:t>
      </w:r>
      <w:r>
        <w:t>1974</w:t>
      </w:r>
      <w:r>
        <w:rPr>
          <w:rFonts w:hint="eastAsia"/>
        </w:rPr>
        <w:t>年颁布了《关于在义务教育学校中保证有能力的教学人员保持和提高学校教育水准的特别措施法》，吸</w:t>
      </w:r>
      <w:r>
        <w:rPr>
          <w:rFonts w:hint="eastAsia"/>
        </w:rPr>
        <w:t>引和留住有能力的教师。该法规定了必要措施，保证义务教育学校的教师工资待遇优于其他公务员。根据该法，</w:t>
      </w:r>
      <w:r>
        <w:t>1974</w:t>
      </w:r>
      <w:r>
        <w:rPr>
          <w:rFonts w:hint="eastAsia"/>
        </w:rPr>
        <w:t>到</w:t>
      </w:r>
      <w:r>
        <w:t>1979</w:t>
      </w:r>
      <w:r>
        <w:rPr>
          <w:rFonts w:hint="eastAsia"/>
        </w:rPr>
        <w:t>年期间实施了计划的改进工作，并仍在继续作出其他必要的改进。</w:t>
      </w:r>
    </w:p>
    <w:p w:rsidR="00000000" w:rsidRDefault="0031739B">
      <w:pPr>
        <w:spacing w:after="320"/>
        <w:textAlignment w:val="center"/>
      </w:pPr>
      <w:r>
        <w:tab/>
        <w:t xml:space="preserve">230.  </w:t>
      </w:r>
      <w:r>
        <w:rPr>
          <w:rFonts w:hint="eastAsia"/>
        </w:rPr>
        <w:t>《促进偏远地区教育法》，要求地方政府采取必要措施，改善在偏远地区</w:t>
      </w:r>
      <w:r>
        <w:t>(</w:t>
      </w:r>
      <w:r>
        <w:rPr>
          <w:rFonts w:hint="eastAsia"/>
        </w:rPr>
        <w:t>如山村和偏远岛屿</w:t>
      </w:r>
      <w:r>
        <w:t>)</w:t>
      </w:r>
      <w:r>
        <w:rPr>
          <w:rFonts w:hint="eastAsia"/>
        </w:rPr>
        <w:t>工作的教师的条件，从而促进那些地区的教育</w:t>
      </w:r>
      <w:r>
        <w:t>;</w:t>
      </w:r>
      <w:r>
        <w:rPr>
          <w:rFonts w:hint="eastAsia"/>
        </w:rPr>
        <w:t>那些地区的交通和自然、经济、文化条件较为困难。中央政府对这类措施的费用给予部分补贴。</w:t>
      </w:r>
    </w:p>
    <w:p w:rsidR="00000000" w:rsidRDefault="0031739B">
      <w:pPr>
        <w:pStyle w:val="Heading3"/>
      </w:pPr>
      <w:r>
        <w:rPr>
          <w:u w:val="none"/>
        </w:rPr>
        <w:t xml:space="preserve">4.  </w:t>
      </w:r>
      <w:r>
        <w:rPr>
          <w:rFonts w:hint="eastAsia"/>
        </w:rPr>
        <w:t>私立学校</w:t>
      </w:r>
    </w:p>
    <w:p w:rsidR="00000000" w:rsidRDefault="0031739B">
      <w:pPr>
        <w:spacing w:after="320"/>
        <w:textAlignment w:val="center"/>
      </w:pPr>
      <w:r>
        <w:tab/>
        <w:t xml:space="preserve">231.  </w:t>
      </w:r>
      <w:r>
        <w:rPr>
          <w:rFonts w:hint="eastAsia"/>
        </w:rPr>
        <w:t>《学校教育法》允许建立私立大学，私立大学占日本四年制大学的</w:t>
      </w:r>
      <w:r>
        <w:t>73.3%(1994</w:t>
      </w:r>
      <w:r>
        <w:rPr>
          <w:rFonts w:hint="eastAsia"/>
        </w:rPr>
        <w:t>年</w:t>
      </w:r>
      <w:r>
        <w:t>)</w:t>
      </w:r>
      <w:r>
        <w:rPr>
          <w:rFonts w:hint="eastAsia"/>
        </w:rPr>
        <w:t>。私立学校由学校法人建立，而确定学校法人和建立大学需要得到文部大臣的批准。上一节讲到，所有私立或公立高中毕业生，都有资格进入高等教育机构，不得以任何性别、种族、国籍等理由予以歧视。对那些有能力但因经济原因难以入学的人，可从日本奖学金基金会、地方政府和公益性非营利组织得到奖学金。私立大学还根据学生的经济情况给予减免学费。此外，中央政府从</w:t>
      </w:r>
      <w:r>
        <w:t>1970</w:t>
      </w:r>
      <w:r>
        <w:rPr>
          <w:rFonts w:hint="eastAsia"/>
        </w:rPr>
        <w:t>年以来对私立大学</w:t>
      </w:r>
      <w:r>
        <w:t>(</w:t>
      </w:r>
      <w:r>
        <w:rPr>
          <w:rFonts w:hint="eastAsia"/>
        </w:rPr>
        <w:t>包括初级学院</w:t>
      </w:r>
      <w:r>
        <w:t>)</w:t>
      </w:r>
      <w:r>
        <w:rPr>
          <w:rFonts w:hint="eastAsia"/>
        </w:rPr>
        <w:t>的开支给予补贴，这项措施控制了学费上涨，也帮助提高了学业水平。</w:t>
      </w:r>
    </w:p>
    <w:p w:rsidR="00000000" w:rsidRDefault="0031739B">
      <w:pPr>
        <w:pStyle w:val="Heading3"/>
      </w:pPr>
      <w:r>
        <w:rPr>
          <w:u w:val="none"/>
        </w:rPr>
        <w:t xml:space="preserve">5.  </w:t>
      </w:r>
      <w:r>
        <w:rPr>
          <w:rFonts w:hint="eastAsia"/>
        </w:rPr>
        <w:t>教育领域里的国际合作</w:t>
      </w:r>
    </w:p>
    <w:p w:rsidR="00000000" w:rsidRDefault="0031739B">
      <w:r>
        <w:tab/>
        <w:t xml:space="preserve">232.  </w:t>
      </w:r>
      <w:r>
        <w:rPr>
          <w:rFonts w:hint="eastAsia"/>
        </w:rPr>
        <w:t>促进教育领域里的国际合作</w:t>
      </w:r>
      <w:r>
        <w:t>,</w:t>
      </w:r>
      <w:r>
        <w:rPr>
          <w:rFonts w:hint="eastAsia"/>
        </w:rPr>
        <w:t>对提高日本和外国教育及研究水平、对建立国际谅解合作精神和对促进外国的人文发展</w:t>
      </w:r>
      <w:r>
        <w:t>,</w:t>
      </w:r>
      <w:r>
        <w:rPr>
          <w:rFonts w:hint="eastAsia"/>
        </w:rPr>
        <w:t>都十分重要。</w:t>
      </w:r>
    </w:p>
    <w:p w:rsidR="00000000" w:rsidRDefault="0031739B">
      <w:pPr>
        <w:spacing w:after="320"/>
        <w:textAlignment w:val="center"/>
      </w:pPr>
      <w:r>
        <w:tab/>
        <w:t xml:space="preserve">233.  </w:t>
      </w:r>
      <w:r>
        <w:rPr>
          <w:rFonts w:hint="eastAsia"/>
        </w:rPr>
        <w:t>日本积极鼓励日本的高等教育机构接受外国学生，进一步发展教育领域里的合作，促进发展中国家人才资源的发展。此外，提供援助的途径还有：与教科文组织的项目合作，主要用于基础设施的贷款援助，派遣大学教授、接受外国研究人员，和作为日本国际合作署</w:t>
      </w:r>
      <w:r>
        <w:t>(JICA)</w:t>
      </w:r>
      <w:r>
        <w:rPr>
          <w:rFonts w:hint="eastAsia"/>
        </w:rPr>
        <w:t>和日本基金会项目的一部分，培训妇女教育管理官员。</w:t>
      </w:r>
    </w:p>
    <w:p w:rsidR="00000000" w:rsidRDefault="0031739B">
      <w:pPr>
        <w:pStyle w:val="Heading3"/>
      </w:pPr>
      <w:r>
        <w:rPr>
          <w:u w:val="none"/>
        </w:rPr>
        <w:t xml:space="preserve">I.  </w:t>
      </w:r>
      <w:r>
        <w:rPr>
          <w:rFonts w:hint="eastAsia"/>
        </w:rPr>
        <w:t>第</w:t>
      </w:r>
      <w:r>
        <w:t xml:space="preserve"> 14 </w:t>
      </w:r>
      <w:r>
        <w:rPr>
          <w:rFonts w:hint="eastAsia"/>
        </w:rPr>
        <w:t>条</w:t>
      </w:r>
    </w:p>
    <w:p w:rsidR="00000000" w:rsidRDefault="0031739B">
      <w:pPr>
        <w:spacing w:after="320"/>
        <w:textAlignment w:val="center"/>
      </w:pPr>
      <w:r>
        <w:tab/>
        <w:t xml:space="preserve">234.  </w:t>
      </w:r>
      <w:r>
        <w:rPr>
          <w:rFonts w:hint="eastAsia"/>
        </w:rPr>
        <w:t>本报告有关第</w:t>
      </w:r>
      <w:r>
        <w:t>13</w:t>
      </w:r>
      <w:r>
        <w:rPr>
          <w:rFonts w:hint="eastAsia"/>
        </w:rPr>
        <w:t>条的部分已提及，根据《宪法》、《教育基本法》和《学校教育法</w:t>
      </w:r>
      <w:r>
        <w:rPr>
          <w:rFonts w:hint="eastAsia"/>
        </w:rPr>
        <w:t>》，免费和义务小学教育在日本早已得到保证。</w:t>
      </w:r>
    </w:p>
    <w:p w:rsidR="00000000" w:rsidRDefault="0031739B">
      <w:pPr>
        <w:pStyle w:val="Heading3"/>
      </w:pPr>
      <w:r>
        <w:rPr>
          <w:u w:val="none"/>
        </w:rPr>
        <w:t xml:space="preserve">J.  </w:t>
      </w:r>
      <w:r>
        <w:rPr>
          <w:rFonts w:hint="eastAsia"/>
        </w:rPr>
        <w:t>第</w:t>
      </w:r>
      <w:r>
        <w:t xml:space="preserve"> 15 </w:t>
      </w:r>
      <w:r>
        <w:rPr>
          <w:rFonts w:hint="eastAsia"/>
        </w:rPr>
        <w:t>条</w:t>
      </w:r>
    </w:p>
    <w:p w:rsidR="00000000" w:rsidRDefault="0031739B">
      <w:pPr>
        <w:pStyle w:val="Heading3"/>
      </w:pPr>
      <w:r>
        <w:rPr>
          <w:u w:val="none"/>
        </w:rPr>
        <w:t xml:space="preserve">1.  </w:t>
      </w:r>
      <w:r>
        <w:rPr>
          <w:rFonts w:hint="eastAsia"/>
        </w:rPr>
        <w:t>参加文化生活的权利</w:t>
      </w:r>
    </w:p>
    <w:p w:rsidR="00000000" w:rsidRDefault="0031739B">
      <w:pPr>
        <w:spacing w:after="320"/>
        <w:textAlignment w:val="center"/>
      </w:pPr>
      <w:r>
        <w:tab/>
        <w:t xml:space="preserve">235.  </w:t>
      </w:r>
      <w:r>
        <w:rPr>
          <w:rFonts w:hint="eastAsia"/>
        </w:rPr>
        <w:t>日本在促进和鼓励人民文化活动的国家政策下，采取了积极措施，促进艺术和文化，保护文化财产，促进阿伊努文化，和提倡文化教育。日本颁布的有关法律包括《改善促进音乐文化学习环境法》，《文化成就者年金法》，和《文化勋章法》，根据这些法律，各种文化生活受到鼓励，在文化和文化的促进方面有杰出成绩者受到表彰。政府还颁布了《保护文化财产法》，和《促进阿伊努文化和传播、宣传阿伊努传统和阿伊努文化法》。此外，日本还努力促进</w:t>
      </w:r>
      <w:r>
        <w:rPr>
          <w:rFonts w:hint="eastAsia"/>
        </w:rPr>
        <w:t>正规教育机构之外成年人有系统的教育活动，颁布了《社会教育法》，以及《图书馆法》和《博物馆法》。采取了以下措施，实现人人参加文化生活的权利。</w:t>
      </w:r>
    </w:p>
    <w:p w:rsidR="00000000" w:rsidRDefault="0031739B">
      <w:pPr>
        <w:pStyle w:val="Heading4"/>
      </w:pPr>
      <w:r>
        <w:rPr>
          <w:u w:val="none"/>
        </w:rPr>
        <w:t>(a)</w:t>
      </w:r>
      <w:r>
        <w:rPr>
          <w:u w:val="none"/>
        </w:rPr>
        <w:tab/>
      </w:r>
      <w:r>
        <w:rPr>
          <w:rFonts w:hint="eastAsia"/>
        </w:rPr>
        <w:t>财政措施</w:t>
      </w:r>
    </w:p>
    <w:p w:rsidR="00000000" w:rsidRDefault="0031739B">
      <w:r>
        <w:tab/>
        <w:t xml:space="preserve">236.  </w:t>
      </w:r>
      <w:r>
        <w:rPr>
          <w:rFonts w:hint="eastAsia"/>
        </w:rPr>
        <w:t>采取了以下财政措施，促进文化发展和公众参与文化生活：</w:t>
      </w:r>
    </w:p>
    <w:p w:rsidR="00000000" w:rsidRDefault="0031739B" w:rsidP="0031739B">
      <w:pPr>
        <w:pStyle w:val="a0"/>
        <w:numPr>
          <w:ilvl w:val="0"/>
          <w:numId w:val="11"/>
        </w:numPr>
        <w:ind w:left="1531" w:hanging="510"/>
      </w:pPr>
      <w:r>
        <w:rPr>
          <w:rFonts w:hint="eastAsia"/>
        </w:rPr>
        <w:t>通过《</w:t>
      </w:r>
      <w:r>
        <w:t>21</w:t>
      </w:r>
      <w:r>
        <w:rPr>
          <w:rFonts w:hint="eastAsia"/>
        </w:rPr>
        <w:t>世纪艺术计划》提供援助；</w:t>
      </w:r>
    </w:p>
    <w:p w:rsidR="00000000" w:rsidRDefault="0031739B" w:rsidP="0031739B">
      <w:pPr>
        <w:pStyle w:val="a0"/>
        <w:numPr>
          <w:ilvl w:val="0"/>
          <w:numId w:val="11"/>
        </w:numPr>
        <w:ind w:left="1531" w:hanging="510"/>
      </w:pPr>
      <w:r>
        <w:rPr>
          <w:rFonts w:hint="eastAsia"/>
        </w:rPr>
        <w:t>通过日本艺术基金补贴艺术和文化活动；</w:t>
      </w:r>
    </w:p>
    <w:p w:rsidR="00000000" w:rsidRDefault="0031739B" w:rsidP="0031739B">
      <w:pPr>
        <w:pStyle w:val="a0"/>
        <w:numPr>
          <w:ilvl w:val="0"/>
          <w:numId w:val="11"/>
        </w:numPr>
        <w:ind w:left="1531" w:hanging="510"/>
      </w:pPr>
      <w:r>
        <w:rPr>
          <w:rFonts w:hint="eastAsia"/>
        </w:rPr>
        <w:t>允许建立公益性非营利组织，主要活动包括促进和提高艺术和文化，特别是提供补贴的组织；和</w:t>
      </w:r>
    </w:p>
    <w:p w:rsidR="00000000" w:rsidRDefault="0031739B" w:rsidP="0031739B">
      <w:pPr>
        <w:pStyle w:val="a0"/>
        <w:numPr>
          <w:ilvl w:val="0"/>
          <w:numId w:val="11"/>
        </w:numPr>
        <w:spacing w:after="320"/>
        <w:ind w:left="1531" w:hanging="510"/>
        <w:textAlignment w:val="center"/>
      </w:pPr>
      <w:r>
        <w:rPr>
          <w:rFonts w:hint="eastAsia"/>
        </w:rPr>
        <w:t>国家文化节和全国高中文化节。</w:t>
      </w:r>
    </w:p>
    <w:p w:rsidR="00000000" w:rsidRDefault="0031739B">
      <w:pPr>
        <w:pStyle w:val="Heading4"/>
      </w:pPr>
      <w:r>
        <w:rPr>
          <w:u w:val="none"/>
        </w:rPr>
        <w:t>(b)</w:t>
      </w:r>
      <w:r>
        <w:rPr>
          <w:u w:val="none"/>
        </w:rPr>
        <w:tab/>
      </w:r>
      <w:r>
        <w:rPr>
          <w:rFonts w:hint="eastAsia"/>
        </w:rPr>
        <w:t>建立文化设施</w:t>
      </w:r>
    </w:p>
    <w:p w:rsidR="00000000" w:rsidRDefault="0031739B">
      <w:r>
        <w:tab/>
        <w:t xml:space="preserve">237.  </w:t>
      </w:r>
      <w:r>
        <w:rPr>
          <w:rFonts w:hint="eastAsia"/>
        </w:rPr>
        <w:t>中央政府对地方政府建设的文化设施给予补贴，还补贴社区活动场所</w:t>
      </w:r>
      <w:r>
        <w:rPr>
          <w:rFonts w:hint="eastAsia"/>
        </w:rPr>
        <w:t>设备、公共博物馆</w:t>
      </w:r>
      <w:r>
        <w:t>(</w:t>
      </w:r>
      <w:r>
        <w:rPr>
          <w:rFonts w:hint="eastAsia"/>
        </w:rPr>
        <w:t>包括艺术博物馆</w:t>
      </w:r>
      <w:r>
        <w:t>)</w:t>
      </w:r>
      <w:r>
        <w:rPr>
          <w:rFonts w:hint="eastAsia"/>
        </w:rPr>
        <w:t>和公共图书馆的部分费用。截止</w:t>
      </w:r>
      <w:r>
        <w:t>1996</w:t>
      </w:r>
      <w:r>
        <w:rPr>
          <w:rFonts w:hint="eastAsia"/>
        </w:rPr>
        <w:t>年，共有</w:t>
      </w:r>
      <w:r>
        <w:t>17,819</w:t>
      </w:r>
      <w:r>
        <w:rPr>
          <w:rFonts w:hint="eastAsia"/>
        </w:rPr>
        <w:t>个社区活动场所、</w:t>
      </w:r>
      <w:r>
        <w:t>986</w:t>
      </w:r>
      <w:r>
        <w:rPr>
          <w:rFonts w:hint="eastAsia"/>
        </w:rPr>
        <w:t>个博物馆、</w:t>
      </w:r>
      <w:r>
        <w:t>2,396</w:t>
      </w:r>
      <w:r>
        <w:rPr>
          <w:rFonts w:hint="eastAsia"/>
        </w:rPr>
        <w:t>个图书馆和</w:t>
      </w:r>
      <w:r>
        <w:t>1,549</w:t>
      </w:r>
      <w:r>
        <w:rPr>
          <w:rFonts w:hint="eastAsia"/>
        </w:rPr>
        <w:t>个文化馆。</w:t>
      </w:r>
    </w:p>
    <w:p w:rsidR="00000000" w:rsidRDefault="0031739B">
      <w:r>
        <w:tab/>
        <w:t xml:space="preserve">238.  </w:t>
      </w:r>
      <w:r>
        <w:rPr>
          <w:rFonts w:hint="eastAsia"/>
        </w:rPr>
        <w:t>政府建立了</w:t>
      </w:r>
      <w:r>
        <w:t>4</w:t>
      </w:r>
      <w:r>
        <w:rPr>
          <w:rFonts w:hint="eastAsia"/>
        </w:rPr>
        <w:t>个国家艺术博物馆</w:t>
      </w:r>
      <w:r>
        <w:t>(</w:t>
      </w:r>
      <w:r>
        <w:rPr>
          <w:rFonts w:hint="eastAsia"/>
        </w:rPr>
        <w:t>国家现代艺术博物馆，东京；京都国家现代艺术博物馆；国家西方艺术博物馆；和国家艺术博物馆，大阪</w:t>
      </w:r>
      <w:r>
        <w:t>),</w:t>
      </w:r>
      <w:r>
        <w:rPr>
          <w:rFonts w:hint="eastAsia"/>
        </w:rPr>
        <w:t>使公众可以欣赏杰出的艺术作品和其他成品，进行研究和其他艺术方面的活动。</w:t>
      </w:r>
    </w:p>
    <w:p w:rsidR="00000000" w:rsidRDefault="0031739B">
      <w:pPr>
        <w:spacing w:after="320"/>
        <w:textAlignment w:val="center"/>
      </w:pPr>
      <w:r>
        <w:tab/>
        <w:t xml:space="preserve">239.  </w:t>
      </w:r>
      <w:r>
        <w:rPr>
          <w:rFonts w:hint="eastAsia"/>
        </w:rPr>
        <w:t>成立了东京新国家剧院。促进创作、推广和传播现代舞台艺术。</w:t>
      </w:r>
    </w:p>
    <w:p w:rsidR="00000000" w:rsidRDefault="0031739B">
      <w:pPr>
        <w:pStyle w:val="Heading4"/>
      </w:pPr>
      <w:r>
        <w:rPr>
          <w:u w:val="none"/>
        </w:rPr>
        <w:t>(c)</w:t>
      </w:r>
      <w:r>
        <w:rPr>
          <w:u w:val="none"/>
        </w:rPr>
        <w:tab/>
      </w:r>
      <w:r>
        <w:rPr>
          <w:rFonts w:hint="eastAsia"/>
        </w:rPr>
        <w:t>鼓励形成文化特征</w:t>
      </w:r>
    </w:p>
    <w:p w:rsidR="00000000" w:rsidRDefault="0031739B">
      <w:pPr>
        <w:spacing w:after="320"/>
        <w:textAlignment w:val="center"/>
      </w:pPr>
      <w:r>
        <w:tab/>
        <w:t xml:space="preserve">240.  </w:t>
      </w:r>
      <w:r>
        <w:rPr>
          <w:rFonts w:hint="eastAsia"/>
        </w:rPr>
        <w:t>一些带有区域特色的民间艺</w:t>
      </w:r>
      <w:r>
        <w:rPr>
          <w:rFonts w:hint="eastAsia"/>
        </w:rPr>
        <w:t>术，被确定为重要的物质和非物质文化财产，有关这类文化财产保存和利用的活动给予补贴，包括修理和购买工具以及文献整理。</w:t>
      </w:r>
    </w:p>
    <w:p w:rsidR="00000000" w:rsidRDefault="0031739B">
      <w:pPr>
        <w:pStyle w:val="Heading4"/>
      </w:pPr>
      <w:r>
        <w:rPr>
          <w:u w:val="none"/>
        </w:rPr>
        <w:t>(d)</w:t>
      </w:r>
      <w:r>
        <w:rPr>
          <w:u w:val="none"/>
        </w:rPr>
        <w:tab/>
      </w:r>
      <w:r>
        <w:rPr>
          <w:rFonts w:hint="eastAsia"/>
        </w:rPr>
        <w:t>促进阿伊努文化</w:t>
      </w:r>
    </w:p>
    <w:p w:rsidR="00000000" w:rsidRDefault="0031739B">
      <w:r>
        <w:tab/>
        <w:t xml:space="preserve">241.  </w:t>
      </w:r>
      <w:r>
        <w:rPr>
          <w:rFonts w:hint="eastAsia"/>
        </w:rPr>
        <w:t>为保存和继承阿伊努民间文化财产，确定了一些重要的有形和无形民间文化财产。中央政府补贴北海道教育委员会收集和拍摄阿伊努民间文化财产电影的费用，并开展其他促进传统阿伊努文化遗产的活动。</w:t>
      </w:r>
    </w:p>
    <w:p w:rsidR="00000000" w:rsidRDefault="0031739B">
      <w:r>
        <w:tab/>
        <w:t xml:space="preserve">242.  </w:t>
      </w:r>
      <w:r>
        <w:rPr>
          <w:rFonts w:hint="eastAsia"/>
        </w:rPr>
        <w:t>此外，</w:t>
      </w:r>
      <w:r>
        <w:t>1995</w:t>
      </w:r>
      <w:r>
        <w:rPr>
          <w:rFonts w:hint="eastAsia"/>
        </w:rPr>
        <w:t>年</w:t>
      </w:r>
      <w:r>
        <w:t>3</w:t>
      </w:r>
      <w:r>
        <w:rPr>
          <w:rFonts w:hint="eastAsia"/>
        </w:rPr>
        <w:t>月在内阁官房长官下设立了“阿伊努人政策圆桌会议”，并于</w:t>
      </w:r>
      <w:r>
        <w:t>1996</w:t>
      </w:r>
      <w:r>
        <w:rPr>
          <w:rFonts w:hint="eastAsia"/>
        </w:rPr>
        <w:t>年</w:t>
      </w:r>
      <w:r>
        <w:t>4</w:t>
      </w:r>
      <w:r>
        <w:rPr>
          <w:rFonts w:hint="eastAsia"/>
        </w:rPr>
        <w:t>月完成了一份报告，就对阿伊努人采取新措施的必要性</w:t>
      </w:r>
      <w:r>
        <w:t>,</w:t>
      </w:r>
      <w:r>
        <w:rPr>
          <w:rFonts w:hint="eastAsia"/>
        </w:rPr>
        <w:t>向政府提出了建议。政府在收到</w:t>
      </w:r>
      <w:r>
        <w:rPr>
          <w:rFonts w:hint="eastAsia"/>
        </w:rPr>
        <w:t>报告后，开始考虑新的措施，并在</w:t>
      </w:r>
      <w:r>
        <w:t>1997</w:t>
      </w:r>
      <w:r>
        <w:rPr>
          <w:rFonts w:hint="eastAsia"/>
        </w:rPr>
        <w:t>年</w:t>
      </w:r>
      <w:r>
        <w:t>5</w:t>
      </w:r>
      <w:r>
        <w:rPr>
          <w:rFonts w:hint="eastAsia"/>
        </w:rPr>
        <w:t>月颁布了《促进阿伊努文化和传播、宣传阿伊努传统和阿伊努文化法》，该法于</w:t>
      </w:r>
      <w:r>
        <w:t>1997</w:t>
      </w:r>
      <w:r>
        <w:rPr>
          <w:rFonts w:hint="eastAsia"/>
        </w:rPr>
        <w:t>年</w:t>
      </w:r>
      <w:r>
        <w:t>7</w:t>
      </w:r>
      <w:r>
        <w:rPr>
          <w:rFonts w:hint="eastAsia"/>
        </w:rPr>
        <w:t>月生效。</w:t>
      </w:r>
      <w:r>
        <w:t>1997</w:t>
      </w:r>
      <w:r>
        <w:rPr>
          <w:rFonts w:hint="eastAsia"/>
        </w:rPr>
        <w:t>年</w:t>
      </w:r>
      <w:r>
        <w:t>6</w:t>
      </w:r>
      <w:r>
        <w:rPr>
          <w:rFonts w:hint="eastAsia"/>
        </w:rPr>
        <w:t>月成立了合法注册的基金会</w:t>
      </w:r>
      <w:r>
        <w:rPr>
          <w:rFonts w:hint="eastAsia"/>
          <w:spacing w:val="-40"/>
        </w:rPr>
        <w:t>——</w:t>
      </w:r>
      <w:r>
        <w:t xml:space="preserve"> </w:t>
      </w:r>
      <w:r>
        <w:rPr>
          <w:rFonts w:hint="eastAsia"/>
        </w:rPr>
        <w:t>研究和促进阿伊努文化基金会，开展促进阿伊努文化的项目，并依法于</w:t>
      </w:r>
      <w:r>
        <w:t>1997</w:t>
      </w:r>
      <w:r>
        <w:rPr>
          <w:rFonts w:hint="eastAsia"/>
        </w:rPr>
        <w:t>年</w:t>
      </w:r>
      <w:r>
        <w:t>11</w:t>
      </w:r>
      <w:r>
        <w:rPr>
          <w:rFonts w:hint="eastAsia"/>
        </w:rPr>
        <w:t>月确认为指定公司。</w:t>
      </w:r>
    </w:p>
    <w:p w:rsidR="00000000" w:rsidRDefault="0031739B">
      <w:pPr>
        <w:spacing w:after="320"/>
        <w:textAlignment w:val="center"/>
      </w:pPr>
      <w:r>
        <w:tab/>
        <w:t xml:space="preserve">243.  </w:t>
      </w:r>
      <w:r>
        <w:rPr>
          <w:rFonts w:hint="eastAsia"/>
        </w:rPr>
        <w:t>为促进阿伊努文化，通过支持该公司积极推动采取措施，促进阿伊努文化，政府努力实现一个阿伊努人的种族自豪感得到尊重的社会，努力发展日本的多种文化。</w:t>
      </w:r>
    </w:p>
    <w:p w:rsidR="00000000" w:rsidRDefault="0031739B">
      <w:pPr>
        <w:pStyle w:val="Heading4"/>
      </w:pPr>
      <w:r>
        <w:rPr>
          <w:u w:val="none"/>
        </w:rPr>
        <w:t>(e)</w:t>
      </w:r>
      <w:r>
        <w:rPr>
          <w:u w:val="none"/>
        </w:rPr>
        <w:tab/>
      </w:r>
      <w:r>
        <w:rPr>
          <w:rFonts w:hint="eastAsia"/>
        </w:rPr>
        <w:t>大众媒介和通讯的作用</w:t>
      </w:r>
    </w:p>
    <w:p w:rsidR="00000000" w:rsidRDefault="0031739B">
      <w:pPr>
        <w:spacing w:after="320"/>
        <w:textAlignment w:val="center"/>
      </w:pPr>
      <w:r>
        <w:tab/>
        <w:t xml:space="preserve">244.  </w:t>
      </w:r>
      <w:r>
        <w:rPr>
          <w:rFonts w:hint="eastAsia"/>
        </w:rPr>
        <w:t>在日本，靠公众缴费经营的日本广播协会</w:t>
      </w:r>
      <w:r>
        <w:t>(N</w:t>
      </w:r>
      <w:r>
        <w:t>HK)</w:t>
      </w:r>
      <w:r>
        <w:rPr>
          <w:rFonts w:hint="eastAsia"/>
        </w:rPr>
        <w:t>用一个频道从事学校和社会教育</w:t>
      </w:r>
      <w:r>
        <w:t>(NHK</w:t>
      </w:r>
      <w:r>
        <w:rPr>
          <w:rFonts w:hint="eastAsia"/>
        </w:rPr>
        <w:t>教育频道</w:t>
      </w:r>
      <w:r>
        <w:t>)</w:t>
      </w:r>
      <w:r>
        <w:rPr>
          <w:rFonts w:hint="eastAsia"/>
        </w:rPr>
        <w:t>。</w:t>
      </w:r>
    </w:p>
    <w:p w:rsidR="00000000" w:rsidRDefault="0031739B">
      <w:pPr>
        <w:pStyle w:val="Heading4"/>
      </w:pPr>
      <w:r>
        <w:rPr>
          <w:u w:val="none"/>
        </w:rPr>
        <w:t>(f)</w:t>
      </w:r>
      <w:r>
        <w:rPr>
          <w:u w:val="none"/>
        </w:rPr>
        <w:tab/>
      </w:r>
      <w:r>
        <w:rPr>
          <w:rFonts w:hint="eastAsia"/>
        </w:rPr>
        <w:t>保护文化财产</w:t>
      </w:r>
    </w:p>
    <w:p w:rsidR="00000000" w:rsidRDefault="0031739B">
      <w:r>
        <w:tab/>
        <w:t xml:space="preserve">245.  </w:t>
      </w:r>
      <w:r>
        <w:rPr>
          <w:rFonts w:hint="eastAsia"/>
        </w:rPr>
        <w:t>《文化财产保护法》规定了以下五类文化财产：有形和无形的文化财产，民间文化财产，纪念碑</w:t>
      </w:r>
      <w:r>
        <w:t>,</w:t>
      </w:r>
      <w:r>
        <w:rPr>
          <w:rFonts w:hint="eastAsia"/>
        </w:rPr>
        <w:t>和保护历史建筑群所在地区；该法还维护保存文化财产和地下文化财产的传统技术。</w:t>
      </w:r>
    </w:p>
    <w:p w:rsidR="00000000" w:rsidRDefault="0031739B">
      <w:r>
        <w:tab/>
        <w:t xml:space="preserve">246.  </w:t>
      </w:r>
      <w:r>
        <w:rPr>
          <w:rFonts w:hint="eastAsia"/>
        </w:rPr>
        <w:t>政府将国家珍宝、重要文化财产、历史遗址、风景名胜和天然胜地等定为有文化价值的重要财产。政府补贴有形文化财产的保护、维修和公共所有权，并补贴非有形文化财产下一代表演人的培训和此类财产的保存。这样，采取了必要措施，保护重要的文化财产。</w:t>
      </w:r>
    </w:p>
    <w:p w:rsidR="00000000" w:rsidRDefault="0031739B">
      <w:pPr>
        <w:spacing w:after="320"/>
        <w:textAlignment w:val="center"/>
      </w:pPr>
      <w:r>
        <w:tab/>
        <w:t xml:space="preserve">247. </w:t>
      </w:r>
      <w:r>
        <w:t xml:space="preserve"> </w:t>
      </w:r>
      <w:r>
        <w:rPr>
          <w:rFonts w:hint="eastAsia"/>
        </w:rPr>
        <w:t>现在，“</w:t>
      </w:r>
      <w:r>
        <w:t>Himeji-jo</w:t>
      </w:r>
      <w:r>
        <w:rPr>
          <w:rFonts w:hint="eastAsia"/>
        </w:rPr>
        <w:t>”、“法隆寺地区佛教胜地”、“古京都历史遗址</w:t>
      </w:r>
      <w:r>
        <w:t>(</w:t>
      </w:r>
      <w:r>
        <w:rPr>
          <w:rFonts w:hint="eastAsia"/>
        </w:rPr>
        <w:t>京都、宇治和大津市”、“白川乡和五山历史村”、“广岛和平纪念馆</w:t>
      </w:r>
      <w:r>
        <w:t>(</w:t>
      </w:r>
      <w:r>
        <w:rPr>
          <w:rFonts w:hint="eastAsia"/>
        </w:rPr>
        <w:t>原子弹爆炸大厦</w:t>
      </w:r>
      <w:r>
        <w:t>)</w:t>
      </w:r>
      <w:r>
        <w:rPr>
          <w:rFonts w:hint="eastAsia"/>
        </w:rPr>
        <w:t>”和“严岛神道神社”等，都已根据《保护世界文化和自然遗产公约》列入世界遗产名单，日本在</w:t>
      </w:r>
      <w:r>
        <w:t>1992</w:t>
      </w:r>
      <w:r>
        <w:rPr>
          <w:rFonts w:hint="eastAsia"/>
        </w:rPr>
        <w:t>年加入该公约。日本已采取必要措施保护这些地点。</w:t>
      </w:r>
    </w:p>
    <w:p w:rsidR="00000000" w:rsidRDefault="0031739B">
      <w:pPr>
        <w:pStyle w:val="Heading4"/>
      </w:pPr>
      <w:r>
        <w:rPr>
          <w:u w:val="none"/>
        </w:rPr>
        <w:t xml:space="preserve">(g)  </w:t>
      </w:r>
      <w:r>
        <w:rPr>
          <w:rFonts w:hint="eastAsia"/>
        </w:rPr>
        <w:t>文化和艺术的专门教育</w:t>
      </w:r>
    </w:p>
    <w:p w:rsidR="00000000" w:rsidRDefault="0031739B">
      <w:pPr>
        <w:spacing w:after="320"/>
        <w:textAlignment w:val="center"/>
      </w:pPr>
      <w:r>
        <w:tab/>
        <w:t xml:space="preserve">248.  </w:t>
      </w:r>
      <w:r>
        <w:rPr>
          <w:rFonts w:hint="eastAsia"/>
        </w:rPr>
        <w:t>大专院校进行各种形式的专门艺术教育。</w:t>
      </w:r>
      <w:r>
        <w:t>1997</w:t>
      </w:r>
      <w:r>
        <w:rPr>
          <w:rFonts w:hint="eastAsia"/>
        </w:rPr>
        <w:t>年，大学艺术院系，如艺术和音乐系，共有</w:t>
      </w:r>
      <w:r>
        <w:t>52</w:t>
      </w:r>
      <w:r>
        <w:rPr>
          <w:rFonts w:hint="eastAsia"/>
        </w:rPr>
        <w:t>个，这些院系学生有大约</w:t>
      </w:r>
      <w:r>
        <w:t>62,000</w:t>
      </w:r>
      <w:r>
        <w:rPr>
          <w:rFonts w:hint="eastAsia"/>
        </w:rPr>
        <w:t>人。专业学校艺术系有</w:t>
      </w:r>
      <w:r>
        <w:t>81</w:t>
      </w:r>
      <w:r>
        <w:rPr>
          <w:rFonts w:hint="eastAsia"/>
        </w:rPr>
        <w:t>个，入学人数</w:t>
      </w:r>
      <w:r>
        <w:t>22,000</w:t>
      </w:r>
      <w:r>
        <w:rPr>
          <w:rFonts w:hint="eastAsia"/>
        </w:rPr>
        <w:t>人。</w:t>
      </w:r>
    </w:p>
    <w:p w:rsidR="00000000" w:rsidRDefault="0031739B">
      <w:pPr>
        <w:pStyle w:val="Heading4"/>
      </w:pPr>
      <w:r>
        <w:rPr>
          <w:u w:val="none"/>
        </w:rPr>
        <w:t xml:space="preserve">(h)  </w:t>
      </w:r>
      <w:r>
        <w:rPr>
          <w:rFonts w:hint="eastAsia"/>
        </w:rPr>
        <w:t>保护、发展和传播文化的其他措施</w:t>
      </w:r>
    </w:p>
    <w:p w:rsidR="00000000" w:rsidRDefault="0031739B">
      <w:r>
        <w:tab/>
        <w:t xml:space="preserve">249.  </w:t>
      </w:r>
      <w:r>
        <w:rPr>
          <w:rFonts w:hint="eastAsia"/>
        </w:rPr>
        <w:t>这方面的措施包括：</w:t>
      </w:r>
    </w:p>
    <w:p w:rsidR="00000000" w:rsidRDefault="0031739B" w:rsidP="0031739B">
      <w:pPr>
        <w:pStyle w:val="a0"/>
        <w:numPr>
          <w:ilvl w:val="0"/>
          <w:numId w:val="12"/>
        </w:numPr>
        <w:ind w:left="1531" w:hanging="510"/>
      </w:pPr>
      <w:r>
        <w:rPr>
          <w:rFonts w:hint="eastAsia"/>
        </w:rPr>
        <w:t>培训艺术家；</w:t>
      </w:r>
    </w:p>
    <w:p w:rsidR="00000000" w:rsidRDefault="0031739B" w:rsidP="0031739B">
      <w:pPr>
        <w:pStyle w:val="a0"/>
        <w:numPr>
          <w:ilvl w:val="0"/>
          <w:numId w:val="12"/>
        </w:numPr>
        <w:ind w:left="1531" w:hanging="510"/>
      </w:pPr>
      <w:r>
        <w:rPr>
          <w:rFonts w:hint="eastAsia"/>
        </w:rPr>
        <w:t>派出艺术和文化活动的教员；培训公共文化设施的工作人员；</w:t>
      </w:r>
    </w:p>
    <w:p w:rsidR="00000000" w:rsidRDefault="0031739B" w:rsidP="0031739B">
      <w:pPr>
        <w:pStyle w:val="a0"/>
        <w:numPr>
          <w:ilvl w:val="0"/>
          <w:numId w:val="12"/>
        </w:numPr>
        <w:ind w:left="1531" w:hanging="510"/>
      </w:pPr>
      <w:r>
        <w:rPr>
          <w:rFonts w:hint="eastAsia"/>
        </w:rPr>
        <w:t>为那些对发展文化作出突出贡献的人建立了一套奖励和优待制度</w:t>
      </w:r>
      <w:r>
        <w:t>(</w:t>
      </w:r>
      <w:r>
        <w:rPr>
          <w:rFonts w:hint="eastAsia"/>
        </w:rPr>
        <w:t>对取得地区文化成就的人颁发奖牌和奖励，有文化事务专员给予的奖励，文部大臣给予的鼓励奖，和设立日本艺术学院</w:t>
      </w:r>
      <w:r>
        <w:t>)</w:t>
      </w:r>
      <w:r>
        <w:rPr>
          <w:rFonts w:hint="eastAsia"/>
        </w:rPr>
        <w:t>；</w:t>
      </w:r>
    </w:p>
    <w:p w:rsidR="00000000" w:rsidRDefault="0031739B" w:rsidP="0031739B">
      <w:pPr>
        <w:pStyle w:val="a0"/>
        <w:numPr>
          <w:ilvl w:val="0"/>
          <w:numId w:val="12"/>
        </w:numPr>
        <w:ind w:left="1531" w:hanging="510"/>
      </w:pPr>
      <w:r>
        <w:rPr>
          <w:rFonts w:hint="eastAsia"/>
        </w:rPr>
        <w:t>提供欣赏艺术的机会</w:t>
      </w:r>
      <w:r>
        <w:t>(</w:t>
      </w:r>
      <w:r>
        <w:rPr>
          <w:rFonts w:hint="eastAsia"/>
        </w:rPr>
        <w:t>各种巡回演出、在国家博物馆和艺术博物馆举行巡回展览</w:t>
      </w:r>
      <w:r>
        <w:t>)</w:t>
      </w:r>
      <w:r>
        <w:rPr>
          <w:rFonts w:hint="eastAsia"/>
        </w:rPr>
        <w:t>；</w:t>
      </w:r>
    </w:p>
    <w:p w:rsidR="00000000" w:rsidRDefault="0031739B" w:rsidP="0031739B">
      <w:pPr>
        <w:pStyle w:val="a0"/>
        <w:numPr>
          <w:ilvl w:val="0"/>
          <w:numId w:val="12"/>
        </w:numPr>
        <w:ind w:left="1531" w:hanging="510"/>
      </w:pPr>
      <w:r>
        <w:rPr>
          <w:rFonts w:hint="eastAsia"/>
        </w:rPr>
        <w:t>支持被认为有提倡价值的作品，如在美术或在保存文化财产方面的活动；</w:t>
      </w:r>
    </w:p>
    <w:p w:rsidR="00000000" w:rsidRDefault="0031739B" w:rsidP="0031739B">
      <w:pPr>
        <w:pStyle w:val="a0"/>
        <w:numPr>
          <w:ilvl w:val="0"/>
          <w:numId w:val="12"/>
        </w:numPr>
        <w:ind w:left="1531" w:hanging="510"/>
      </w:pPr>
      <w:r>
        <w:rPr>
          <w:rFonts w:hint="eastAsia"/>
        </w:rPr>
        <w:t>对艺术和文化方面的工艺性非盈利组织，给予优惠纳税待</w:t>
      </w:r>
      <w:r>
        <w:rPr>
          <w:rFonts w:hint="eastAsia"/>
        </w:rPr>
        <w:t>遇；以及</w:t>
      </w:r>
    </w:p>
    <w:p w:rsidR="00000000" w:rsidRDefault="0031739B" w:rsidP="0031739B">
      <w:pPr>
        <w:pStyle w:val="a0"/>
        <w:numPr>
          <w:ilvl w:val="0"/>
          <w:numId w:val="12"/>
        </w:numPr>
        <w:spacing w:after="320"/>
        <w:ind w:left="1531" w:hanging="510"/>
        <w:textAlignment w:val="center"/>
      </w:pPr>
      <w:r>
        <w:rPr>
          <w:rFonts w:hint="eastAsia"/>
        </w:rPr>
        <w:t>对政府指定的文化财产给予优惠纳税待遇。</w:t>
      </w:r>
    </w:p>
    <w:p w:rsidR="00000000" w:rsidRDefault="0031739B">
      <w:pPr>
        <w:pStyle w:val="Heading3"/>
      </w:pPr>
      <w:r>
        <w:rPr>
          <w:u w:val="none"/>
        </w:rPr>
        <w:t xml:space="preserve">2.  </w:t>
      </w:r>
      <w:r>
        <w:rPr>
          <w:rFonts w:hint="eastAsia"/>
        </w:rPr>
        <w:t>享受科学进步和应用成果的权利</w:t>
      </w:r>
    </w:p>
    <w:p w:rsidR="00000000" w:rsidRDefault="0031739B">
      <w:pPr>
        <w:pStyle w:val="Heading4"/>
      </w:pPr>
      <w:r>
        <w:rPr>
          <w:kern w:val="28"/>
          <w:u w:val="none"/>
        </w:rPr>
        <w:t xml:space="preserve">(a)  </w:t>
      </w:r>
      <w:r>
        <w:rPr>
          <w:rFonts w:hint="eastAsia"/>
        </w:rPr>
        <w:t>促进科学研究</w:t>
      </w:r>
    </w:p>
    <w:p w:rsidR="00000000" w:rsidRDefault="0031739B">
      <w:r>
        <w:tab/>
        <w:t xml:space="preserve">250.  </w:t>
      </w:r>
      <w:r>
        <w:rPr>
          <w:rFonts w:hint="eastAsia"/>
        </w:rPr>
        <w:t>科学研究真正能够取得成就，充分尊重研究人员的独立性是必不可少的。为此，《宪法》第</w:t>
      </w:r>
      <w:r>
        <w:t>21</w:t>
      </w:r>
      <w:r>
        <w:rPr>
          <w:rFonts w:hint="eastAsia"/>
        </w:rPr>
        <w:t>条</w:t>
      </w:r>
      <w:r>
        <w:t>(</w:t>
      </w:r>
      <w:r>
        <w:rPr>
          <w:rFonts w:hint="eastAsia"/>
        </w:rPr>
        <w:t>言论自由</w:t>
      </w:r>
      <w:r>
        <w:t>)</w:t>
      </w:r>
      <w:r>
        <w:rPr>
          <w:rFonts w:hint="eastAsia"/>
        </w:rPr>
        <w:t>和第</w:t>
      </w:r>
      <w:r>
        <w:t>23</w:t>
      </w:r>
      <w:r>
        <w:rPr>
          <w:rFonts w:hint="eastAsia"/>
        </w:rPr>
        <w:t>条</w:t>
      </w:r>
      <w:r>
        <w:t>(</w:t>
      </w:r>
      <w:r>
        <w:rPr>
          <w:rFonts w:hint="eastAsia"/>
        </w:rPr>
        <w:t>学习自由</w:t>
      </w:r>
      <w:r>
        <w:t>)</w:t>
      </w:r>
      <w:r>
        <w:rPr>
          <w:rFonts w:hint="eastAsia"/>
        </w:rPr>
        <w:t>，保证研究、出版和教学的权利。</w:t>
      </w:r>
    </w:p>
    <w:p w:rsidR="00000000" w:rsidRDefault="0031739B">
      <w:r>
        <w:tab/>
        <w:t xml:space="preserve">251.  </w:t>
      </w:r>
      <w:r>
        <w:rPr>
          <w:rFonts w:hint="eastAsia"/>
        </w:rPr>
        <w:t>在日本，大学是科学研究的中心。根据《国家学校建制法》，建立了国立大学和附属研究机构，大学院系附属的教育和研究中心，和大学间的研究所。此外，根据《促进私立学校补贴法》和《国家援助私立大学研究设备法》，政府补贴私立大学进行研</w:t>
      </w:r>
      <w:r>
        <w:rPr>
          <w:rFonts w:hint="eastAsia"/>
        </w:rPr>
        <w:t>究的部分费用。</w:t>
      </w:r>
    </w:p>
    <w:p w:rsidR="00000000" w:rsidRDefault="0031739B">
      <w:r>
        <w:tab/>
        <w:t xml:space="preserve">252.  </w:t>
      </w:r>
      <w:r>
        <w:rPr>
          <w:rFonts w:hint="eastAsia"/>
        </w:rPr>
        <w:t>此外，政府还执行了一项多方面的政策：扩大科学研究赠款，作为促进科学研究的基本研究费；建立一套利用给日本促进科学学会资本投资的制度，用于促进科学研究的项目；培养和造就大批年青的研究人员，提高负责研究人员教育的研究生院，根据计划增加研究奖金制度，资助</w:t>
      </w:r>
      <w:r>
        <w:t>10,000</w:t>
      </w:r>
      <w:r>
        <w:rPr>
          <w:rFonts w:hint="eastAsia"/>
        </w:rPr>
        <w:t>名博士后研究员；强调基础研究；改善和扩大研究设施；改善和扩大科学信息系统</w:t>
      </w:r>
      <w:r>
        <w:t>(SIS)</w:t>
      </w:r>
      <w:r>
        <w:rPr>
          <w:rFonts w:hint="eastAsia"/>
        </w:rPr>
        <w:t>，如国家科学信息系统中心</w:t>
      </w:r>
      <w:r>
        <w:t>(NACSIS)</w:t>
      </w:r>
      <w:r>
        <w:rPr>
          <w:rFonts w:hint="eastAsia"/>
        </w:rPr>
        <w:t>；和促进国际学术交流，如研究交流。此外，作为促进基础研究开发新技术的一部分，政府从财政上支持日本科学技</w:t>
      </w:r>
      <w:r>
        <w:rPr>
          <w:rFonts w:hint="eastAsia"/>
        </w:rPr>
        <w:t>术公司，建立并扩大基础研究促进制度，使国家研究所和大学等机构的研究人员以竞争的方式申请资金。日本还积极开展国际合作研究项目，通过促进科学技术特别协调基金在国家研究机构进行国际研究交流，并实施了一些方案，如日本科学技术公司的研究奖金计划。</w:t>
      </w:r>
    </w:p>
    <w:p w:rsidR="00000000" w:rsidRDefault="0031739B">
      <w:r>
        <w:tab/>
        <w:t xml:space="preserve">253.  </w:t>
      </w:r>
      <w:r>
        <w:rPr>
          <w:rFonts w:hint="eastAsia"/>
        </w:rPr>
        <w:t>另外，日本促进科学学会作为按《日本促进科学学会法》建立的专门公司，执行各种促进科学的项目，如援助科学研究、向研究人员提供赠款，和促进学术领域里的国际合作。《日本促进科学学会法》在</w:t>
      </w:r>
      <w:r>
        <w:t>1996</w:t>
      </w:r>
      <w:r>
        <w:rPr>
          <w:rFonts w:hint="eastAsia"/>
        </w:rPr>
        <w:t>年</w:t>
      </w:r>
      <w:r>
        <w:t>5</w:t>
      </w:r>
      <w:r>
        <w:rPr>
          <w:rFonts w:hint="eastAsia"/>
        </w:rPr>
        <w:t>月经修订，通过政府出钱的资本投资，开展创造性科学领域的研究项目。</w:t>
      </w:r>
    </w:p>
    <w:p w:rsidR="00000000" w:rsidRDefault="0031739B">
      <w:pPr>
        <w:spacing w:after="320"/>
        <w:textAlignment w:val="center"/>
      </w:pPr>
      <w:r>
        <w:tab/>
        <w:t>2</w:t>
      </w:r>
      <w:r>
        <w:t xml:space="preserve">54.  </w:t>
      </w:r>
      <w:r>
        <w:rPr>
          <w:rFonts w:hint="eastAsia"/>
        </w:rPr>
        <w:t>此外，政府还从财政上采取措施，资助日本科学院，给在各自领域里有杰出成就的科学家荣誉和奖励。</w:t>
      </w:r>
    </w:p>
    <w:p w:rsidR="00000000" w:rsidRDefault="0031739B">
      <w:pPr>
        <w:pStyle w:val="Heading4"/>
      </w:pPr>
      <w:r>
        <w:rPr>
          <w:kern w:val="28"/>
          <w:u w:val="none"/>
        </w:rPr>
        <w:t xml:space="preserve">(b)  </w:t>
      </w:r>
      <w:r>
        <w:rPr>
          <w:rFonts w:hint="eastAsia"/>
        </w:rPr>
        <w:t>传播有关信息</w:t>
      </w:r>
    </w:p>
    <w:p w:rsidR="00000000" w:rsidRDefault="0031739B">
      <w:r>
        <w:tab/>
        <w:t xml:space="preserve">255.  </w:t>
      </w:r>
      <w:r>
        <w:rPr>
          <w:rFonts w:hint="eastAsia"/>
        </w:rPr>
        <w:t>在日本，学术和科研成果由学术组织发表，应用于工业或其他实际用途。</w:t>
      </w:r>
    </w:p>
    <w:p w:rsidR="00000000" w:rsidRDefault="0031739B">
      <w:pPr>
        <w:textAlignment w:val="center"/>
        <w:rPr>
          <w:color w:val="000000"/>
          <w:kern w:val="28"/>
        </w:rPr>
      </w:pPr>
      <w:r>
        <w:tab/>
        <w:t xml:space="preserve">256.  </w:t>
      </w:r>
      <w:r>
        <w:rPr>
          <w:rFonts w:hint="eastAsia"/>
        </w:rPr>
        <w:t>政府鼓励传播学术信息，补贴各种学术组织出版的科学期刊，以及为青年和普通大众开设的讲座。日本科学技术公司</w:t>
      </w:r>
      <w:r>
        <w:t xml:space="preserve">(JST,  </w:t>
      </w:r>
      <w:r>
        <w:rPr>
          <w:rFonts w:hint="eastAsia"/>
        </w:rPr>
        <w:t>由日本科学技术信息中心</w:t>
      </w:r>
      <w:r>
        <w:t>(JICST)</w:t>
      </w:r>
      <w:r>
        <w:rPr>
          <w:rFonts w:hint="eastAsia"/>
        </w:rPr>
        <w:t>和日本研究开发公司在</w:t>
      </w:r>
      <w:r>
        <w:t>1996</w:t>
      </w:r>
      <w:r>
        <w:rPr>
          <w:rFonts w:hint="eastAsia"/>
        </w:rPr>
        <w:t>年</w:t>
      </w:r>
      <w:r>
        <w:t>10</w:t>
      </w:r>
      <w:r>
        <w:rPr>
          <w:rFonts w:hint="eastAsia"/>
        </w:rPr>
        <w:t>月</w:t>
      </w:r>
      <w:r>
        <w:t>1</w:t>
      </w:r>
      <w:r>
        <w:rPr>
          <w:rFonts w:hint="eastAsia"/>
        </w:rPr>
        <w:t>日合并成立</w:t>
      </w:r>
      <w:r>
        <w:t>)</w:t>
      </w:r>
      <w:r>
        <w:rPr>
          <w:rFonts w:hint="eastAsia"/>
        </w:rPr>
        <w:t>，提供连机信息服务，促进科学技术信息的传播，该公司取代了</w:t>
      </w:r>
      <w:r>
        <w:t>JICST</w:t>
      </w:r>
      <w:r>
        <w:rPr>
          <w:rFonts w:hint="eastAsia"/>
        </w:rPr>
        <w:t>作为日本科学技术信息主要</w:t>
      </w:r>
      <w:r>
        <w:rPr>
          <w:rFonts w:hint="eastAsia"/>
        </w:rPr>
        <w:t>提供者的作用。为改善国际传播科学技术信息的结构，</w:t>
      </w:r>
      <w:r>
        <w:t>JST</w:t>
      </w:r>
      <w:r>
        <w:rPr>
          <w:rFonts w:hint="eastAsia"/>
        </w:rPr>
        <w:t>接管了国际科学技术信息网</w:t>
      </w:r>
      <w:r>
        <w:t>(STN-Internaitonal)</w:t>
      </w:r>
      <w:r>
        <w:rPr>
          <w:rFonts w:hint="eastAsia"/>
        </w:rPr>
        <w:t>，于</w:t>
      </w:r>
      <w:r>
        <w:t>1987</w:t>
      </w:r>
      <w:r>
        <w:rPr>
          <w:rFonts w:hint="eastAsia"/>
        </w:rPr>
        <w:t>年开始服务，将</w:t>
      </w:r>
      <w:r>
        <w:t>JICST</w:t>
      </w:r>
      <w:r>
        <w:rPr>
          <w:rFonts w:hint="eastAsia"/>
        </w:rPr>
        <w:t>与美国</w:t>
      </w:r>
      <w:r>
        <w:t>Chemical Abstracts Service</w:t>
      </w:r>
      <w:r>
        <w:rPr>
          <w:rFonts w:hint="eastAsia"/>
        </w:rPr>
        <w:t>和德国的</w:t>
      </w:r>
      <w:r>
        <w:t>FIZ Karlsruhe</w:t>
      </w:r>
      <w:r>
        <w:rPr>
          <w:rFonts w:hint="eastAsia"/>
        </w:rPr>
        <w:t>建立了联系。此外，日本还在日美科学技术协定下，于</w:t>
      </w:r>
      <w:r>
        <w:t>1996</w:t>
      </w:r>
      <w:r>
        <w:rPr>
          <w:rFonts w:hint="eastAsia"/>
        </w:rPr>
        <w:t>年</w:t>
      </w:r>
      <w:r>
        <w:t>5</w:t>
      </w:r>
      <w:r>
        <w:rPr>
          <w:rFonts w:hint="eastAsia"/>
        </w:rPr>
        <w:t>月在美国开设了日本科学技术文献机器翻译中心，并正在准备向亚太地区国家传播日本国内的科学技术研究资料。以上事实清楚地表明，日本政府正积极地向国外提供信息。</w:t>
      </w:r>
    </w:p>
    <w:p w:rsidR="00000000" w:rsidRDefault="0031739B">
      <w:pPr>
        <w:spacing w:after="320"/>
        <w:textAlignment w:val="center"/>
      </w:pPr>
      <w:r>
        <w:tab/>
        <w:t xml:space="preserve">257.  </w:t>
      </w:r>
      <w:r>
        <w:rPr>
          <w:rFonts w:hint="eastAsia"/>
        </w:rPr>
        <w:t>此外，政府努力通过有关领域的研究、收集和</w:t>
      </w:r>
      <w:r>
        <w:rPr>
          <w:rFonts w:hint="eastAsia"/>
        </w:rPr>
        <w:t>保存资料，以及通过国家科学博物馆、国家人类学博物馆及国家历史和人类学博物馆的公开展览，向公众提供信息。</w:t>
      </w:r>
    </w:p>
    <w:p w:rsidR="00000000" w:rsidRDefault="0031739B">
      <w:pPr>
        <w:pStyle w:val="Heading4"/>
      </w:pPr>
      <w:r>
        <w:rPr>
          <w:kern w:val="28"/>
          <w:u w:val="none"/>
        </w:rPr>
        <w:t xml:space="preserve">(c)  </w:t>
      </w:r>
      <w:r>
        <w:rPr>
          <w:rFonts w:hint="eastAsia"/>
        </w:rPr>
        <w:t>保护天然财产和自然环境</w:t>
      </w:r>
    </w:p>
    <w:p w:rsidR="00000000" w:rsidRDefault="0031739B">
      <w:r>
        <w:tab/>
        <w:t xml:space="preserve">258.  </w:t>
      </w:r>
      <w:r>
        <w:rPr>
          <w:rFonts w:hint="eastAsia"/>
        </w:rPr>
        <w:t>根据《自然保护法》，政府调查了解国家的自然环境，指定自然保护区，并对自然保护区加以管理，适当保护自然环境。</w:t>
      </w:r>
    </w:p>
    <w:p w:rsidR="00000000" w:rsidRDefault="0031739B">
      <w:r>
        <w:tab/>
        <w:t xml:space="preserve">259.  </w:t>
      </w:r>
      <w:r>
        <w:rPr>
          <w:rFonts w:hint="eastAsia"/>
        </w:rPr>
        <w:t>政府还根据《天然公园法》，指定并管理天然公园，保护并适当利用著名的自然风景区，包括有重要学术价值的地区。《国家公园法》范围内的地区，在</w:t>
      </w:r>
      <w:r>
        <w:t>1994</w:t>
      </w:r>
      <w:r>
        <w:rPr>
          <w:rFonts w:hint="eastAsia"/>
        </w:rPr>
        <w:t>年达</w:t>
      </w:r>
      <w:r>
        <w:t>5,330,000</w:t>
      </w:r>
      <w:r>
        <w:rPr>
          <w:rFonts w:hint="eastAsia"/>
        </w:rPr>
        <w:t>公顷，占全国土地总面积</w:t>
      </w:r>
      <w:r>
        <w:t>14%</w:t>
      </w:r>
      <w:r>
        <w:rPr>
          <w:rFonts w:hint="eastAsia"/>
        </w:rPr>
        <w:t>。</w:t>
      </w:r>
    </w:p>
    <w:p w:rsidR="00000000" w:rsidRDefault="0031739B">
      <w:r>
        <w:tab/>
        <w:t xml:space="preserve">260.  </w:t>
      </w:r>
      <w:r>
        <w:rPr>
          <w:rFonts w:hint="eastAsia"/>
        </w:rPr>
        <w:t>此外，为通过保护原始森林，保</w:t>
      </w:r>
      <w:r>
        <w:rPr>
          <w:rFonts w:hint="eastAsia"/>
        </w:rPr>
        <w:t>护动植物和自然环境，日本指定并管理了大片国家森林，作为受保护的森林，如森林生态系统保留区。</w:t>
      </w:r>
    </w:p>
    <w:p w:rsidR="00000000" w:rsidRDefault="0031739B">
      <w:r>
        <w:tab/>
        <w:t xml:space="preserve">261.  </w:t>
      </w:r>
      <w:r>
        <w:rPr>
          <w:rFonts w:hint="eastAsia"/>
        </w:rPr>
        <w:t>特别是“</w:t>
      </w:r>
      <w:r>
        <w:t>Yakushima</w:t>
      </w:r>
      <w:r>
        <w:rPr>
          <w:rFonts w:hint="eastAsia"/>
        </w:rPr>
        <w:t>”和“</w:t>
      </w:r>
      <w:r>
        <w:t>Shirakami-Sanchi</w:t>
      </w:r>
      <w:r>
        <w:rPr>
          <w:rFonts w:hint="eastAsia"/>
        </w:rPr>
        <w:t>”，已根据《保护世界文化和天然遗产公约》被指定为列入世界遗产名单的天然遗产地。</w:t>
      </w:r>
      <w:r>
        <w:t>Yakushima</w:t>
      </w:r>
      <w:r>
        <w:rPr>
          <w:rFonts w:hint="eastAsia"/>
        </w:rPr>
        <w:t>以其典型的独特植物品种垂直分布著名，包括</w:t>
      </w:r>
      <w:r>
        <w:t>Yakusugi(ryptomerica japonica)</w:t>
      </w:r>
      <w:r>
        <w:rPr>
          <w:rFonts w:hint="eastAsia"/>
        </w:rPr>
        <w:t>。</w:t>
      </w:r>
      <w:r>
        <w:t>Shirakami-Sanchi</w:t>
      </w:r>
      <w:r>
        <w:rPr>
          <w:rFonts w:hint="eastAsia"/>
        </w:rPr>
        <w:t>有保存良好的原始森林和多种动植物，在东亚以典型的日本山毛榉林著名，是在冰川期之后形成的。日本根据</w:t>
      </w:r>
      <w:r>
        <w:t>1995</w:t>
      </w:r>
      <w:r>
        <w:rPr>
          <w:rFonts w:hint="eastAsia"/>
        </w:rPr>
        <w:t>年制定的</w:t>
      </w:r>
      <w:r>
        <w:rPr>
          <w:rFonts w:hint="eastAsia"/>
        </w:rPr>
        <w:t>管理计划，采取必要措施保护这些地区，包括实施各种制度和推行各种项目。</w:t>
      </w:r>
    </w:p>
    <w:p w:rsidR="00000000" w:rsidRDefault="0031739B">
      <w:pPr>
        <w:spacing w:after="320"/>
        <w:textAlignment w:val="center"/>
      </w:pPr>
      <w:r>
        <w:tab/>
        <w:t xml:space="preserve">262.  </w:t>
      </w:r>
      <w:r>
        <w:rPr>
          <w:rFonts w:hint="eastAsia"/>
        </w:rPr>
        <w:t>日本还指定了有较大科学价值的动植物和地质特征为天然珍宝，努力限制对它们目前状况的任何改变，以生态系统和动植物品种为重点，保护自然。</w:t>
      </w:r>
    </w:p>
    <w:p w:rsidR="00000000" w:rsidRDefault="0031739B">
      <w:pPr>
        <w:pStyle w:val="Heading4"/>
      </w:pPr>
      <w:r>
        <w:rPr>
          <w:u w:val="none"/>
        </w:rPr>
        <w:t xml:space="preserve">(d)  </w:t>
      </w:r>
      <w:r>
        <w:rPr>
          <w:rFonts w:hint="eastAsia"/>
        </w:rPr>
        <w:t>促进学习和传播科学技术知识的措施</w:t>
      </w:r>
    </w:p>
    <w:p w:rsidR="00000000" w:rsidRDefault="0031739B">
      <w:r>
        <w:tab/>
        <w:t xml:space="preserve">263.  </w:t>
      </w:r>
      <w:r>
        <w:rPr>
          <w:rFonts w:hint="eastAsia"/>
        </w:rPr>
        <w:t>这些措施包括：</w:t>
      </w:r>
    </w:p>
    <w:p w:rsidR="00000000" w:rsidRDefault="0031739B" w:rsidP="0031739B">
      <w:pPr>
        <w:pStyle w:val="a0"/>
        <w:numPr>
          <w:ilvl w:val="0"/>
          <w:numId w:val="13"/>
        </w:numPr>
        <w:ind w:left="1531" w:hanging="510"/>
      </w:pPr>
      <w:r>
        <w:rPr>
          <w:rFonts w:hint="eastAsia"/>
        </w:rPr>
        <w:t>向“边缘科学技术试验中心”提供帮助，那些中心由地方政府主办，提高青年人对科学技术的兴趣；</w:t>
      </w:r>
    </w:p>
    <w:p w:rsidR="00000000" w:rsidRDefault="0031739B" w:rsidP="0031739B">
      <w:pPr>
        <w:pStyle w:val="a0"/>
        <w:numPr>
          <w:ilvl w:val="0"/>
          <w:numId w:val="13"/>
        </w:numPr>
        <w:ind w:left="1531" w:hanging="510"/>
      </w:pPr>
      <w:r>
        <w:rPr>
          <w:rFonts w:hint="eastAsia"/>
        </w:rPr>
        <w:t>帮助日本科学技术公司建设虚拟科学试验大楼，使人们可以在那里从事第一手的科学试验，创造有吸引力的展品，并举办研讨会；</w:t>
      </w:r>
    </w:p>
    <w:p w:rsidR="00000000" w:rsidRDefault="0031739B" w:rsidP="0031739B">
      <w:pPr>
        <w:pStyle w:val="a0"/>
        <w:numPr>
          <w:ilvl w:val="0"/>
          <w:numId w:val="13"/>
        </w:numPr>
        <w:ind w:left="1531" w:hanging="510"/>
      </w:pPr>
      <w:r>
        <w:rPr>
          <w:rFonts w:hint="eastAsia"/>
        </w:rPr>
        <w:t>赞助促进学习和传</w:t>
      </w:r>
      <w:r>
        <w:rPr>
          <w:rFonts w:hint="eastAsia"/>
        </w:rPr>
        <w:t>播科学技术知识的活动；</w:t>
      </w:r>
    </w:p>
    <w:p w:rsidR="00000000" w:rsidRDefault="0031739B" w:rsidP="0031739B">
      <w:pPr>
        <w:pStyle w:val="a0"/>
        <w:numPr>
          <w:ilvl w:val="0"/>
          <w:numId w:val="13"/>
        </w:numPr>
        <w:ind w:left="1531" w:hanging="510"/>
      </w:pPr>
      <w:r>
        <w:rPr>
          <w:rFonts w:hint="eastAsia"/>
        </w:rPr>
        <w:t>对促进学习和传播科学技术知识的公益性非盈利组织制定优惠税收措施；和</w:t>
      </w:r>
    </w:p>
    <w:p w:rsidR="00000000" w:rsidRDefault="0031739B" w:rsidP="0031739B">
      <w:pPr>
        <w:pStyle w:val="a0"/>
        <w:numPr>
          <w:ilvl w:val="0"/>
          <w:numId w:val="13"/>
        </w:numPr>
        <w:spacing w:after="320"/>
        <w:ind w:left="1531" w:hanging="510"/>
        <w:textAlignment w:val="center"/>
      </w:pPr>
      <w:r>
        <w:rPr>
          <w:rFonts w:hint="eastAsia"/>
        </w:rPr>
        <w:t>对在科学技术方面取得重大成就者给予荣誉</w:t>
      </w:r>
      <w:r>
        <w:t>(</w:t>
      </w:r>
      <w:r>
        <w:rPr>
          <w:rFonts w:hint="eastAsia"/>
        </w:rPr>
        <w:t>由科学技术厅长官对重要发明等颁发奖章或其他奖励</w:t>
      </w:r>
      <w:r>
        <w:t>)</w:t>
      </w:r>
      <w:r>
        <w:rPr>
          <w:rFonts w:hint="eastAsia"/>
        </w:rPr>
        <w:t>。</w:t>
      </w:r>
    </w:p>
    <w:p w:rsidR="00000000" w:rsidRDefault="0031739B">
      <w:pPr>
        <w:pStyle w:val="Heading3"/>
      </w:pPr>
      <w:r>
        <w:rPr>
          <w:kern w:val="24"/>
          <w:u w:val="none"/>
        </w:rPr>
        <w:t xml:space="preserve">3.  </w:t>
      </w:r>
      <w:r>
        <w:rPr>
          <w:rFonts w:hint="eastAsia"/>
        </w:rPr>
        <w:t>保护著作权</w:t>
      </w:r>
    </w:p>
    <w:p w:rsidR="00000000" w:rsidRDefault="0031739B">
      <w:pPr>
        <w:pStyle w:val="Heading4"/>
      </w:pPr>
      <w:r>
        <w:rPr>
          <w:u w:val="none"/>
        </w:rPr>
        <w:t xml:space="preserve">(a)  </w:t>
      </w:r>
      <w:r>
        <w:rPr>
          <w:rFonts w:hint="eastAsia"/>
        </w:rPr>
        <w:t>在科学领域保护精神和物质利益</w:t>
      </w:r>
    </w:p>
    <w:p w:rsidR="00000000" w:rsidRDefault="0031739B">
      <w:r>
        <w:tab/>
        <w:t xml:space="preserve">264.  </w:t>
      </w:r>
      <w:r>
        <w:rPr>
          <w:rFonts w:hint="eastAsia"/>
        </w:rPr>
        <w:t>在日本，人类智力活动产生的知识产权，根据《专利法》、《实用模型法》和《设计法》，分别对可能在科学领域带来精神或物质利益的知识发明权给予保护，包括发明</w:t>
      </w:r>
      <w:r>
        <w:t>(</w:t>
      </w:r>
      <w:r>
        <w:rPr>
          <w:rFonts w:hint="eastAsia"/>
        </w:rPr>
        <w:t>利用自然法则实现较高级的技术思想创造</w:t>
      </w:r>
      <w:r>
        <w:t>)</w:t>
      </w:r>
      <w:r>
        <w:rPr>
          <w:rFonts w:hint="eastAsia"/>
        </w:rPr>
        <w:t>、装置</w:t>
      </w:r>
      <w:r>
        <w:t>(</w:t>
      </w:r>
      <w:r>
        <w:rPr>
          <w:rFonts w:hint="eastAsia"/>
        </w:rPr>
        <w:t>利用自然法则的技术思想创造，受物体形状、结构或两者限制，但</w:t>
      </w:r>
      <w:r>
        <w:rPr>
          <w:rFonts w:hint="eastAsia"/>
        </w:rPr>
        <w:t>不一定是非常先进的</w:t>
      </w:r>
      <w:r>
        <w:t>)</w:t>
      </w:r>
      <w:r>
        <w:rPr>
          <w:rFonts w:hint="eastAsia"/>
        </w:rPr>
        <w:t>和设计</w:t>
      </w:r>
      <w:r>
        <w:t>(</w:t>
      </w:r>
      <w:r>
        <w:rPr>
          <w:rFonts w:hint="eastAsia"/>
        </w:rPr>
        <w:t>物品的形状、图案或颜色，或三者结合，产生视觉美感者</w:t>
      </w:r>
      <w:r>
        <w:t>)</w:t>
      </w:r>
      <w:r>
        <w:rPr>
          <w:rFonts w:hint="eastAsia"/>
        </w:rPr>
        <w:t>。</w:t>
      </w:r>
    </w:p>
    <w:p w:rsidR="00000000" w:rsidRDefault="0031739B">
      <w:pPr>
        <w:spacing w:after="320"/>
        <w:textAlignment w:val="center"/>
      </w:pPr>
      <w:r>
        <w:tab/>
        <w:t xml:space="preserve">265.  </w:t>
      </w:r>
      <w:r>
        <w:rPr>
          <w:rFonts w:hint="eastAsia"/>
        </w:rPr>
        <w:t>大学研究人员在智力活动方面起着重要作用，他们的权利受到法律保护，但大学研究人员的研究活动和发明是多种多样的，不属于《专利法》规定的工作上的发明，《专利法》假定有雇主与雇员之间的关系。因此，对那些活动作统一处理有困难。学术委员会是文部大臣的一个咨询机构，该委员会阐明了它的基本思想，提出了“处理大学教授发明专利的统一标准”</w:t>
      </w:r>
      <w:r>
        <w:t>(1977</w:t>
      </w:r>
      <w:r>
        <w:rPr>
          <w:rFonts w:hint="eastAsia"/>
        </w:rPr>
        <w:t>年的报告</w:t>
      </w:r>
      <w:r>
        <w:t>)</w:t>
      </w:r>
      <w:r>
        <w:rPr>
          <w:rFonts w:hint="eastAsia"/>
        </w:rPr>
        <w:t>。根据该报告，对大学科学研究结果的专利，提出了适当的处理办法。</w:t>
      </w:r>
    </w:p>
    <w:p w:rsidR="00000000" w:rsidRDefault="0031739B">
      <w:pPr>
        <w:pStyle w:val="Heading4"/>
      </w:pPr>
      <w:r>
        <w:rPr>
          <w:u w:val="none"/>
        </w:rPr>
        <w:t xml:space="preserve">(b)  </w:t>
      </w:r>
      <w:r>
        <w:rPr>
          <w:rFonts w:hint="eastAsia"/>
        </w:rPr>
        <w:t>保护文学艺术的精神和物质利益</w:t>
      </w:r>
    </w:p>
    <w:p w:rsidR="00000000" w:rsidRDefault="0031739B">
      <w:r>
        <w:tab/>
        <w:t xml:space="preserve">266.  </w:t>
      </w:r>
      <w:r>
        <w:rPr>
          <w:rFonts w:hint="eastAsia"/>
        </w:rPr>
        <w:t>日本的《版权法》和其他有关立法，保护作者在精神和物质利益方面的权利。日本已加入《伯尔尼公约》、《世界版权公约》和《与贸易有关的知识产权协定》等国际条约，且在日本的保护水准超出了那些公约规定的义务。</w:t>
      </w:r>
    </w:p>
    <w:p w:rsidR="00000000" w:rsidRDefault="0031739B">
      <w:r>
        <w:tab/>
        <w:t xml:space="preserve">267.  </w:t>
      </w:r>
      <w:r>
        <w:rPr>
          <w:rFonts w:hint="eastAsia"/>
        </w:rPr>
        <w:t>为了充分保护版权和精神权利，必须使公众深入了解和懂得那些权利。政府正在作出努力，组织各种讨论会，散发和出版材料，加强对那些权利的了解，使更多的教师、县级公务员、图书馆员和一般大众了解版权。</w:t>
      </w:r>
    </w:p>
    <w:p w:rsidR="00000000" w:rsidRDefault="0031739B">
      <w:pPr>
        <w:spacing w:after="320"/>
        <w:textAlignment w:val="center"/>
      </w:pPr>
      <w:r>
        <w:tab/>
        <w:t xml:space="preserve">268.  </w:t>
      </w:r>
      <w:r>
        <w:rPr>
          <w:rFonts w:hint="eastAsia"/>
        </w:rPr>
        <w:t>此外，还制作了视听材料，发给初中和高中学生。建立了有</w:t>
      </w:r>
      <w:r>
        <w:rPr>
          <w:rFonts w:hint="eastAsia"/>
        </w:rPr>
        <w:t>效落实这方面权利的管理机构，从事保护这方面权利持有人利益的工作。日本作家、作曲家和出版商权利协会，日本保护文学作品版权联合会，</w:t>
      </w:r>
      <w:r>
        <w:t>Nihon Kyakuhonka Renmei(</w:t>
      </w:r>
      <w:r>
        <w:rPr>
          <w:rFonts w:hint="eastAsia"/>
        </w:rPr>
        <w:t>剧作家组织</w:t>
      </w:r>
      <w:r>
        <w:t>)</w:t>
      </w:r>
      <w:r>
        <w:rPr>
          <w:rFonts w:hint="eastAsia"/>
        </w:rPr>
        <w:t>和</w:t>
      </w:r>
      <w:r>
        <w:t>Nihon Shinario-Sakka Kyokai(</w:t>
      </w:r>
      <w:r>
        <w:rPr>
          <w:rFonts w:hint="eastAsia"/>
        </w:rPr>
        <w:t>剧作家组织</w:t>
      </w:r>
      <w:r>
        <w:t>)</w:t>
      </w:r>
      <w:r>
        <w:rPr>
          <w:rFonts w:hint="eastAsia"/>
        </w:rPr>
        <w:t>，都在各自领域里在文化事务专员的监督下开展工作。</w:t>
      </w:r>
    </w:p>
    <w:p w:rsidR="00000000" w:rsidRDefault="0031739B">
      <w:pPr>
        <w:pStyle w:val="Heading3"/>
      </w:pPr>
      <w:r>
        <w:rPr>
          <w:kern w:val="24"/>
          <w:u w:val="none"/>
        </w:rPr>
        <w:t xml:space="preserve">4.  </w:t>
      </w:r>
      <w:r>
        <w:rPr>
          <w:rFonts w:hint="eastAsia"/>
        </w:rPr>
        <w:t>鼓励和发展国际交流与合作</w:t>
      </w:r>
    </w:p>
    <w:p w:rsidR="00000000" w:rsidRDefault="0031739B">
      <w:pPr>
        <w:pStyle w:val="Heading4"/>
      </w:pPr>
      <w:r>
        <w:rPr>
          <w:u w:val="none"/>
        </w:rPr>
        <w:t xml:space="preserve">(a)  </w:t>
      </w:r>
      <w:r>
        <w:rPr>
          <w:rFonts w:hint="eastAsia"/>
        </w:rPr>
        <w:t>科学领域里的国际交流与合作</w:t>
      </w:r>
    </w:p>
    <w:p w:rsidR="00000000" w:rsidRDefault="0031739B">
      <w:r>
        <w:tab/>
        <w:t xml:space="preserve">269.  </w:t>
      </w:r>
      <w:r>
        <w:rPr>
          <w:rFonts w:hint="eastAsia"/>
        </w:rPr>
        <w:t>科学进步需要研究人员超越本国边界进行知识交流，因此提供帮助鼓励这种交流是极为重要的。</w:t>
      </w:r>
    </w:p>
    <w:p w:rsidR="00000000" w:rsidRDefault="0031739B">
      <w:r>
        <w:tab/>
        <w:t xml:space="preserve">270.  </w:t>
      </w:r>
      <w:r>
        <w:rPr>
          <w:rFonts w:hint="eastAsia"/>
        </w:rPr>
        <w:t>日本采取各种措施鼓励</w:t>
      </w:r>
      <w:r>
        <w:rPr>
          <w:rFonts w:hint="eastAsia"/>
        </w:rPr>
        <w:t>国际交流，例如为希望参加国际会议和研讨会的人提供旅费。日本科学促进学会也开展各种活动，包括促进科学领域里的国际合作、协助科学研究，和为研究人员提供资金。日本与教科文组织积极合作；具体说来，日本在发展中国家开展科学合作项目，包括通过教科文组织的信托基金开展全球环境项目。</w:t>
      </w:r>
    </w:p>
    <w:p w:rsidR="00000000" w:rsidRDefault="0031739B">
      <w:pPr>
        <w:spacing w:after="320"/>
        <w:textAlignment w:val="center"/>
      </w:pPr>
      <w:r>
        <w:tab/>
        <w:t xml:space="preserve">271.  </w:t>
      </w:r>
      <w:r>
        <w:rPr>
          <w:rFonts w:hint="eastAsia"/>
        </w:rPr>
        <w:t>从</w:t>
      </w:r>
      <w:r>
        <w:t>1991</w:t>
      </w:r>
      <w:r>
        <w:rPr>
          <w:rFonts w:hint="eastAsia"/>
        </w:rPr>
        <w:t>年财政年度起，日本举办过各种信息交流的国际讲习会，并研究措施，根据国际科学技术合作协定，在认为政治上重要的领域促进国际研究交流活动。</w:t>
      </w:r>
    </w:p>
    <w:p w:rsidR="00000000" w:rsidRDefault="0031739B">
      <w:pPr>
        <w:pStyle w:val="Heading4"/>
      </w:pPr>
      <w:r>
        <w:rPr>
          <w:u w:val="none"/>
        </w:rPr>
        <w:t xml:space="preserve">(b)  </w:t>
      </w:r>
      <w:r>
        <w:rPr>
          <w:rFonts w:hint="eastAsia"/>
        </w:rPr>
        <w:t>在文化领域里的国际交流与合作</w:t>
      </w:r>
    </w:p>
    <w:p w:rsidR="00000000" w:rsidRDefault="0031739B">
      <w:r>
        <w:tab/>
        <w:t xml:space="preserve">272.  </w:t>
      </w:r>
      <w:r>
        <w:rPr>
          <w:rFonts w:hint="eastAsia"/>
        </w:rPr>
        <w:t>日本建立了日本基金会，有效开展</w:t>
      </w:r>
      <w:r>
        <w:rPr>
          <w:rFonts w:hint="eastAsia"/>
        </w:rPr>
        <w:t>国际文化交流活动，从而对发展世界文化和人类幸福作出了贡献。基金会开展各种文化交流活动，包括向国外派遣艺术家、派出各方面文化人才参加国际会议和研讨会、邀请外国艺术家和各种文化名人访问日本，并举办展览会和讲座。此外，日本还对从事文化交流活动的私营部门组织给予帮助，提供赠款。</w:t>
      </w:r>
    </w:p>
    <w:p w:rsidR="00000000" w:rsidRDefault="0031739B">
      <w:r>
        <w:tab/>
        <w:t xml:space="preserve">273.  </w:t>
      </w:r>
      <w:r>
        <w:rPr>
          <w:rFonts w:hint="eastAsia"/>
        </w:rPr>
        <w:t>为了促进在发展中国家的文化教育活动，日本从</w:t>
      </w:r>
      <w:r>
        <w:t>1975</w:t>
      </w:r>
      <w:r>
        <w:rPr>
          <w:rFonts w:hint="eastAsia"/>
        </w:rPr>
        <w:t>财政年度开始提供赠款文化援助，保护和利用文化资产和文化遗产，举办文化演出和展览，以及用于购买教学和研究设备。日本向</w:t>
      </w:r>
      <w:r>
        <w:t>100</w:t>
      </w:r>
      <w:r>
        <w:rPr>
          <w:rFonts w:hint="eastAsia"/>
        </w:rPr>
        <w:t>多个国家提供了总共</w:t>
      </w:r>
      <w:r>
        <w:t>853</w:t>
      </w:r>
      <w:r>
        <w:rPr>
          <w:rFonts w:hint="eastAsia"/>
        </w:rPr>
        <w:t>项援助，到</w:t>
      </w:r>
      <w:r>
        <w:t>1996</w:t>
      </w:r>
      <w:r>
        <w:rPr>
          <w:rFonts w:hint="eastAsia"/>
        </w:rPr>
        <w:t>财政年度为止赠</w:t>
      </w:r>
      <w:r>
        <w:rPr>
          <w:rFonts w:hint="eastAsia"/>
        </w:rPr>
        <w:t>款援助总额达</w:t>
      </w:r>
      <w:r>
        <w:t>348</w:t>
      </w:r>
      <w:r>
        <w:rPr>
          <w:rFonts w:hint="eastAsia"/>
        </w:rPr>
        <w:t>亿日元以上。对发展中国家保护文化财产的非赠款资金合作总额在</w:t>
      </w:r>
      <w:r>
        <w:t>1979</w:t>
      </w:r>
      <w:r>
        <w:rPr>
          <w:rFonts w:hint="eastAsia"/>
        </w:rPr>
        <w:t>、</w:t>
      </w:r>
      <w:r>
        <w:t>1982</w:t>
      </w:r>
      <w:r>
        <w:rPr>
          <w:rFonts w:hint="eastAsia"/>
        </w:rPr>
        <w:t>和</w:t>
      </w:r>
      <w:r>
        <w:t>1991</w:t>
      </w:r>
      <w:r>
        <w:rPr>
          <w:rFonts w:hint="eastAsia"/>
        </w:rPr>
        <w:t>年将近</w:t>
      </w:r>
      <w:r>
        <w:t>67</w:t>
      </w:r>
      <w:r>
        <w:rPr>
          <w:rFonts w:hint="eastAsia"/>
        </w:rPr>
        <w:t>亿日元。</w:t>
      </w:r>
    </w:p>
    <w:p w:rsidR="00000000" w:rsidRDefault="0031739B">
      <w:r>
        <w:tab/>
        <w:t xml:space="preserve">274.  </w:t>
      </w:r>
      <w:r>
        <w:rPr>
          <w:rFonts w:hint="eastAsia"/>
        </w:rPr>
        <w:t>此外，前面讲到，日本在</w:t>
      </w:r>
      <w:r>
        <w:t>1992</w:t>
      </w:r>
      <w:r>
        <w:rPr>
          <w:rFonts w:hint="eastAsia"/>
        </w:rPr>
        <w:t>年加入《保护世界文化和民族遗产公约》，并已采取措施保护该公约承认的世界遗产。日本已向世界遗产基金捐款。</w:t>
      </w:r>
    </w:p>
    <w:p w:rsidR="00000000" w:rsidRDefault="0031739B">
      <w:r>
        <w:tab/>
        <w:t xml:space="preserve">275.  </w:t>
      </w:r>
      <w:r>
        <w:rPr>
          <w:rFonts w:hint="eastAsia"/>
        </w:rPr>
        <w:t>世界遗产址是人类共同的宝贵财产，为了在保护和恢复那些遗址方面进行合作，日本还在</w:t>
      </w:r>
      <w:r>
        <w:t>1989</w:t>
      </w:r>
      <w:r>
        <w:rPr>
          <w:rFonts w:hint="eastAsia"/>
        </w:rPr>
        <w:t>年成立了日本保护世界文化遗产信托基金</w:t>
      </w:r>
      <w:r>
        <w:t>(</w:t>
      </w:r>
      <w:r>
        <w:rPr>
          <w:rFonts w:hint="eastAsia"/>
        </w:rPr>
        <w:t>在教科文组织范围内</w:t>
      </w:r>
      <w:r>
        <w:t>)</w:t>
      </w:r>
      <w:r>
        <w:rPr>
          <w:rFonts w:hint="eastAsia"/>
        </w:rPr>
        <w:t>，并在</w:t>
      </w:r>
      <w:r>
        <w:t>1997</w:t>
      </w:r>
      <w:r>
        <w:rPr>
          <w:rFonts w:hint="eastAsia"/>
        </w:rPr>
        <w:t>年捐款</w:t>
      </w:r>
      <w:r>
        <w:t>26,150,000</w:t>
      </w:r>
      <w:r>
        <w:rPr>
          <w:rFonts w:hint="eastAsia"/>
        </w:rPr>
        <w:t>美元。</w:t>
      </w:r>
    </w:p>
    <w:p w:rsidR="00000000" w:rsidRDefault="0031739B">
      <w:r>
        <w:tab/>
        <w:t xml:space="preserve">276.  </w:t>
      </w:r>
      <w:r>
        <w:rPr>
          <w:rFonts w:hint="eastAsia"/>
        </w:rPr>
        <w:t>此外，日本还在保护和</w:t>
      </w:r>
      <w:r>
        <w:rPr>
          <w:rFonts w:hint="eastAsia"/>
        </w:rPr>
        <w:t>恢复中国壁画方面开展联合研究，合作保护和恢复亚太地区文化财产结构，联合研究保护南亚佛教历史遗迹</w:t>
      </w:r>
      <w:r>
        <w:t>(</w:t>
      </w:r>
      <w:r>
        <w:rPr>
          <w:rFonts w:hint="eastAsia"/>
        </w:rPr>
        <w:t>吴哥窟</w:t>
      </w:r>
      <w:r>
        <w:t>)</w:t>
      </w:r>
      <w:r>
        <w:rPr>
          <w:rFonts w:hint="eastAsia"/>
        </w:rPr>
        <w:t>，合作保护和修复在国外的古老日本艺术品，和举办亚洲文化财产保护问题讨论会。</w:t>
      </w:r>
      <w:r>
        <w:t>1995</w:t>
      </w:r>
      <w:r>
        <w:rPr>
          <w:rFonts w:hint="eastAsia"/>
        </w:rPr>
        <w:t>年开设了国际文化财产保护和修复合作中心，作为培训人员和收集传播信息的主要机构，在文化财产和国际合作领域开展多边研究活动。</w:t>
      </w:r>
    </w:p>
    <w:p w:rsidR="00000000" w:rsidRDefault="0031739B">
      <w:r>
        <w:tab/>
        <w:t>277.  1993</w:t>
      </w:r>
      <w:r>
        <w:rPr>
          <w:rFonts w:hint="eastAsia"/>
        </w:rPr>
        <w:t>年以来，日本向教科文组织下的保护和促进无形文化遗产日本信托基金捐款，并以亚洲为重点开展了保护和促进方面的合作。</w:t>
      </w:r>
    </w:p>
    <w:p w:rsidR="00000000" w:rsidRDefault="0031739B"/>
    <w:p w:rsidR="00000000" w:rsidRDefault="0031739B"/>
    <w:p w:rsidR="00000000" w:rsidRDefault="0031739B">
      <w:pPr>
        <w:tabs>
          <w:tab w:val="clear" w:pos="510"/>
          <w:tab w:val="clear" w:pos="1021"/>
          <w:tab w:val="clear" w:pos="1531"/>
          <w:tab w:val="clear" w:pos="2041"/>
        </w:tabs>
        <w:jc w:val="center"/>
      </w:pPr>
      <w:r>
        <w:t>--  --  --  --  --</w:t>
      </w:r>
    </w:p>
    <w:sectPr w:rsidR="00000000">
      <w:headerReference w:type="even" r:id="rId7"/>
      <w:headerReference w:type="default" r:id="rId8"/>
      <w:headerReference w:type="first" r:id="rId9"/>
      <w:footerReference w:type="first" r:id="rId10"/>
      <w:endnotePr>
        <w:numFmt w:val="decimal"/>
      </w:endnotePr>
      <w:pgSz w:w="11907" w:h="16840" w:code="9"/>
      <w:pgMar w:top="1985" w:right="851" w:bottom="1985" w:left="1701" w:header="794" w:footer="1588" w:gutter="0"/>
      <w:cols w:space="425"/>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31739B">
      <w:pPr>
        <w:keepNext/>
        <w:spacing w:before="320" w:after="240"/>
        <w:jc w:val="center"/>
      </w:pPr>
      <w:r>
        <w:rPr>
          <w:rFonts w:hint="eastAsia"/>
          <w:u w:val="single"/>
        </w:rPr>
        <w:t>注</w:t>
      </w:r>
    </w:p>
  </w:endnote>
  <w:endnote w:type="continuationSeparator" w:id="0">
    <w:p w:rsidR="00000000" w:rsidRDefault="0031739B">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Courier">
    <w:panose1 w:val="02070409020205020404"/>
    <w:charset w:val="00"/>
    <w:family w:val="modern"/>
    <w:notTrueType/>
    <w:pitch w:val="fixed"/>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长城仿宋">
    <w:charset w:val="86"/>
    <w:family w:val="modern"/>
    <w:pitch w:val="fixed"/>
    <w:sig w:usb0="00000001" w:usb1="080E0000" w:usb2="00000010" w:usb3="00000000" w:csb0="00040000" w:csb1="00000000"/>
  </w:font>
  <w:font w:name="长城楷体">
    <w:charset w:val="86"/>
    <w:family w:val="modern"/>
    <w:pitch w:val="fixed"/>
    <w:sig w:usb0="00000001" w:usb1="080E0000" w:usb2="00000010" w:usb3="00000000" w:csb0="00040000" w:csb1="00000000"/>
  </w:font>
  <w:font w:name="Univers Bold">
    <w:altName w:val="Arial Rounded MT Bold"/>
    <w:panose1 w:val="00000000000000000000"/>
    <w:charset w:val="00"/>
    <w:family w:val="swiss"/>
    <w:notTrueType/>
    <w:pitch w:val="default"/>
    <w:sig w:usb0="00000003" w:usb1="00000000" w:usb2="00000000" w:usb3="00000000" w:csb0="00000001" w:csb1="00000000"/>
  </w:font>
  <w:font w:name="Univers (WN)">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31739B">
    <w:pPr>
      <w:pStyle w:val="Footer"/>
      <w:rPr>
        <w:rFonts w:ascii="Courier" w:hAnsi="Courier"/>
      </w:rPr>
    </w:pPr>
    <w:r>
      <w:rPr>
        <w:rFonts w:ascii="Courier" w:hAnsi="Courier"/>
      </w:rPr>
      <w:t>GE. 98-18670 (C)</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31739B">
      <w:pPr>
        <w:spacing w:line="240" w:lineRule="auto"/>
      </w:pPr>
      <w:r>
        <w:separator/>
      </w:r>
    </w:p>
  </w:footnote>
  <w:footnote w:type="continuationSeparator" w:id="0">
    <w:p w:rsidR="00000000" w:rsidRDefault="0031739B">
      <w:pPr>
        <w:spacing w:line="240" w:lineRule="auto"/>
      </w:pPr>
      <w:r>
        <w:continuationSeparator/>
      </w:r>
    </w:p>
  </w:footnote>
  <w:footnote w:id="1">
    <w:p w:rsidR="00000000" w:rsidRDefault="0031739B">
      <w:pPr>
        <w:pStyle w:val="FootnoteText"/>
        <w:rPr>
          <w:rFonts w:eastAsia="SimSun"/>
        </w:rPr>
      </w:pPr>
      <w:r>
        <w:rPr>
          <w:rStyle w:val="FootnoteReference"/>
          <w:vertAlign w:val="baseline"/>
        </w:rPr>
        <w:t>*</w:t>
      </w:r>
      <w:r>
        <w:t xml:space="preserve">  </w:t>
      </w:r>
      <w:r>
        <w:rPr>
          <w:rFonts w:hint="eastAsia"/>
        </w:rPr>
        <w:t>关于执行</w:t>
      </w:r>
      <w:r>
        <w:rPr>
          <w:rFonts w:eastAsia="SimSun" w:hint="eastAsia"/>
        </w:rPr>
        <w:t>《</w:t>
      </w:r>
      <w:r>
        <w:rPr>
          <w:rFonts w:hint="eastAsia"/>
        </w:rPr>
        <w:t>经济、社会、</w:t>
      </w:r>
      <w:r>
        <w:rPr>
          <w:rFonts w:hint="eastAsia"/>
        </w:rPr>
        <w:t>文化权利国际盟约</w:t>
      </w:r>
      <w:r>
        <w:rPr>
          <w:rFonts w:eastAsia="SimSun" w:hint="eastAsia"/>
        </w:rPr>
        <w:t>》</w:t>
      </w:r>
      <w:r>
        <w:rPr>
          <w:rFonts w:hint="eastAsia"/>
        </w:rPr>
        <w:t>政府专家会期工作组分别在</w:t>
      </w:r>
      <w:r>
        <w:t>1984</w:t>
      </w:r>
      <w:r>
        <w:rPr>
          <w:rFonts w:hint="eastAsia"/>
        </w:rPr>
        <w:t>年</w:t>
      </w:r>
      <w:r>
        <w:t>(</w:t>
      </w:r>
      <w:r>
        <w:rPr>
          <w:rFonts w:hint="eastAsia"/>
        </w:rPr>
        <w:t>见</w:t>
      </w:r>
      <w:r>
        <w:t>E/1984/WG.1/SR.9-10)</w:t>
      </w:r>
      <w:r>
        <w:rPr>
          <w:rFonts w:eastAsia="SimSun" w:hint="eastAsia"/>
        </w:rPr>
        <w:t>、</w:t>
      </w:r>
      <w:r>
        <w:t>1986</w:t>
      </w:r>
      <w:r>
        <w:rPr>
          <w:rFonts w:hint="eastAsia"/>
        </w:rPr>
        <w:t>年</w:t>
      </w:r>
      <w:r>
        <w:t>(</w:t>
      </w:r>
      <w:r>
        <w:rPr>
          <w:rFonts w:hint="eastAsia"/>
        </w:rPr>
        <w:t>见</w:t>
      </w:r>
      <w:r>
        <w:t>E/1986/WG.1/SR.20-21</w:t>
      </w:r>
      <w:r>
        <w:rPr>
          <w:rFonts w:hint="eastAsia"/>
        </w:rPr>
        <w:t>和</w:t>
      </w:r>
      <w:r>
        <w:t>23)</w:t>
      </w:r>
      <w:r>
        <w:rPr>
          <w:rFonts w:hint="eastAsia"/>
        </w:rPr>
        <w:t>和</w:t>
      </w:r>
      <w:r>
        <w:t>1982</w:t>
      </w:r>
      <w:r>
        <w:rPr>
          <w:rFonts w:hint="eastAsia"/>
        </w:rPr>
        <w:t>年</w:t>
      </w:r>
      <w:r>
        <w:t>(</w:t>
      </w:r>
      <w:r>
        <w:rPr>
          <w:rFonts w:hint="eastAsia"/>
        </w:rPr>
        <w:t>见</w:t>
      </w:r>
      <w:r>
        <w:t>E/1982/WG.1/SR.12-13)</w:t>
      </w:r>
      <w:r>
        <w:rPr>
          <w:rFonts w:hint="eastAsia"/>
        </w:rPr>
        <w:t>审议了日本政府提出的初步报告，其中涉及到第</w:t>
      </w:r>
      <w:r>
        <w:t>6</w:t>
      </w:r>
      <w:r>
        <w:rPr>
          <w:rFonts w:hint="eastAsia"/>
        </w:rPr>
        <w:t>至第</w:t>
      </w:r>
      <w:r>
        <w:t>9</w:t>
      </w:r>
      <w:r>
        <w:rPr>
          <w:rFonts w:hint="eastAsia"/>
        </w:rPr>
        <w:t>条</w:t>
      </w:r>
      <w:r>
        <w:t>(E/1984/6/Add.6)</w:t>
      </w:r>
      <w:r>
        <w:rPr>
          <w:rFonts w:eastAsia="SimSun" w:hint="eastAsia"/>
        </w:rPr>
        <w:t>、</w:t>
      </w:r>
      <w:r>
        <w:rPr>
          <w:rFonts w:hint="eastAsia"/>
        </w:rPr>
        <w:t>第</w:t>
      </w:r>
      <w:r>
        <w:t>10</w:t>
      </w:r>
      <w:r>
        <w:rPr>
          <w:rFonts w:hint="eastAsia"/>
        </w:rPr>
        <w:t>至第</w:t>
      </w:r>
      <w:r>
        <w:t>12</w:t>
      </w:r>
      <w:r>
        <w:rPr>
          <w:rFonts w:hint="eastAsia"/>
        </w:rPr>
        <w:t>条</w:t>
      </w:r>
      <w:r>
        <w:t>(E/1986/3/Add.4)</w:t>
      </w:r>
      <w:r>
        <w:rPr>
          <w:rFonts w:hint="eastAsia"/>
        </w:rPr>
        <w:t>和第</w:t>
      </w:r>
      <w:r>
        <w:t>13</w:t>
      </w:r>
      <w:r>
        <w:rPr>
          <w:rFonts w:hint="eastAsia"/>
        </w:rPr>
        <w:t>至第</w:t>
      </w:r>
      <w:r>
        <w:t>15</w:t>
      </w:r>
      <w:r>
        <w:rPr>
          <w:rFonts w:hint="eastAsia"/>
        </w:rPr>
        <w:t>条</w:t>
      </w:r>
      <w:r>
        <w:t>(E/1982/3/Add.7)</w:t>
      </w:r>
      <w:r>
        <w:rPr>
          <w:rFonts w:hint="eastAsia"/>
        </w:rPr>
        <w:t>范围内的权利</w:t>
      </w:r>
      <w:r>
        <w:rPr>
          <w:rFonts w:eastAsia="SimSun" w:hint="eastAsia"/>
        </w:rPr>
        <w:t>。</w:t>
      </w:r>
    </w:p>
    <w:p w:rsidR="00000000" w:rsidRDefault="0031739B">
      <w:pPr>
        <w:pStyle w:val="FootnoteText"/>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31739B">
    <w:pPr>
      <w:pStyle w:val="1R2"/>
      <w:framePr w:w="0" w:hRule="auto" w:hSpace="0" w:wrap="auto" w:vAnchor="margin" w:hAnchor="text" w:xAlign="left" w:yAlign="inline"/>
    </w:pPr>
    <w:r>
      <w:t>E/1990/6/Add.21</w:t>
    </w:r>
  </w:p>
  <w:p w:rsidR="00000000" w:rsidRDefault="0031739B">
    <w:pPr>
      <w:pStyle w:val="Heade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68</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31739B">
    <w:pPr>
      <w:pStyle w:val="1R2"/>
      <w:framePr w:w="0" w:hRule="auto" w:hSpace="0" w:wrap="auto" w:vAnchor="margin" w:hAnchor="text" w:xAlign="left" w:yAlign="inline"/>
    </w:pPr>
    <w:r>
      <w:tab/>
    </w:r>
    <w:r>
      <w:tab/>
    </w:r>
    <w:r>
      <w:tab/>
    </w:r>
    <w:r>
      <w:tab/>
      <w:t>E/</w:t>
    </w:r>
    <w:r>
      <w:t>1990/6/Add.21</w:t>
    </w:r>
  </w:p>
  <w:p w:rsidR="00000000" w:rsidRDefault="0031739B">
    <w:pPr>
      <w:pStyle w:val="Header"/>
    </w:pPr>
    <w:r>
      <w:tab/>
    </w:r>
    <w:r>
      <w:tab/>
    </w:r>
    <w:r>
      <w:tab/>
    </w: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67</w:t>
    </w:r>
    <w:r>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31739B">
    <w:pPr>
      <w:pStyle w:val="a"/>
    </w:pPr>
    <w:r>
      <w:rPr>
        <w:noProof/>
      </w:rPr>
      <w:pict>
        <v:rect id="_x0000_s1025" style="position:absolute;left:0;text-align:left;margin-left:541.05pt;margin-top:59.05pt;width:30.05pt;height:36pt;z-index:-5;mso-position-horizontal-relative:page;mso-position-vertical-relative:page" o:allowincell="f" filled="f" stroked="f" strokeweight="0">
          <v:textbox inset="0,0,0,0">
            <w:txbxContent>
              <w:p w:rsidR="00000000" w:rsidRDefault="0031739B">
                <w:pPr>
                  <w:pStyle w:val="1R1"/>
                  <w:rPr>
                    <w:rFonts w:ascii="Univers Bold" w:hAnsi="Univers Bold"/>
                  </w:rPr>
                </w:pPr>
                <w:r>
                  <w:t>E</w:t>
                </w:r>
              </w:p>
            </w:txbxContent>
          </v:textbox>
          <w10:wrap anchorx="page" anchory="page"/>
        </v:rect>
      </w:pict>
    </w:r>
  </w:p>
  <w:p w:rsidR="00000000" w:rsidRDefault="0031739B">
    <w:pPr>
      <w:pStyle w:val="a"/>
      <w:spacing w:after="160"/>
    </w:pPr>
    <w:r>
      <w:fldChar w:fldCharType="begin"/>
    </w:r>
    <w:r>
      <w:instrText xml:space="preserve">PRIVATE </w:instrText>
    </w:r>
    <w:r>
      <w:fldChar w:fldCharType="end"/>
    </w:r>
  </w:p>
  <w:p w:rsidR="00000000" w:rsidRDefault="0031739B">
    <w:pPr>
      <w:pStyle w:val="1L"/>
      <w:framePr w:w="1438" w:wrap="around"/>
    </w:pPr>
    <w:r>
      <w:rPr>
        <w:noProof/>
      </w:rPr>
      <w:pict>
        <v:rect id="_x0000_s1026" style="position:absolute;left:0;text-align:left;margin-left:-12pt;margin-top:95.45pt;width:492.05pt;height:.95pt;z-index:-4;mso-position-horizontal-relative:margin;mso-position-vertical-relative:page" o:allowincell="f" fillcolor="black" stroked="f" strokeweight=".1pt">
          <v:fill color2="black"/>
          <w10:wrap anchorx="margin" anchory="page"/>
        </v:rect>
      </w:pict>
    </w:r>
    <w:r>
      <w:rPr>
        <w:rFonts w:hint="eastAsia"/>
      </w:rPr>
      <w:t>联合国</w:t>
    </w:r>
  </w:p>
  <w:p w:rsidR="00000000" w:rsidRDefault="0031739B">
    <w:pPr>
      <w:pStyle w:val="a"/>
    </w:pPr>
    <w:r>
      <w:pict>
        <v:rect id="_x0000_s1029" style="position:absolute;left:0;text-align:left;margin-left:66.7pt;margin-top:110.5pt;width:65.05pt;height:55.55pt;z-index:-1;mso-position-horizontal-relative:page;mso-position-vertical-relative:page" o:allowincell="f" filled="f" stroked="f" strokeweight="0">
          <v:textbox inset="0,0,0,0">
            <w:txbxContent>
              <w:p w:rsidR="00000000" w:rsidRDefault="0031739B">
                <w:pPr>
                  <w:pStyle w:val="UNLOGO"/>
                  <w:rPr>
                    <w:sz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5.25pt;height:55.5pt">
                      <v:imagedata r:id="rId1" o:title="" croptop="-108f" cropbottom="-92f" cropleft="-3349f" cropright="-3349f"/>
                    </v:shape>
                  </w:pict>
                </w:r>
              </w:p>
            </w:txbxContent>
          </v:textbox>
          <w10:wrap anchorx="page" anchory="page"/>
        </v:rect>
      </w:pict>
    </w:r>
  </w:p>
  <w:p w:rsidR="00000000" w:rsidRDefault="0031739B">
    <w:pPr>
      <w:pStyle w:val="1R2"/>
      <w:framePr w:w="2845" w:wrap="around" w:x="8782"/>
    </w:pPr>
    <w:r>
      <w:t>Distr.</w:t>
    </w:r>
  </w:p>
  <w:p w:rsidR="00000000" w:rsidRDefault="0031739B">
    <w:pPr>
      <w:pStyle w:val="1R2"/>
      <w:framePr w:w="2845" w:wrap="around" w:x="8782"/>
    </w:pPr>
    <w:r>
      <w:t>GENERAL</w:t>
    </w:r>
  </w:p>
  <w:p w:rsidR="00000000" w:rsidRDefault="0031739B">
    <w:pPr>
      <w:pStyle w:val="1R2"/>
      <w:framePr w:w="2845" w:wrap="around" w:x="8782"/>
    </w:pPr>
  </w:p>
  <w:p w:rsidR="00000000" w:rsidRDefault="0031739B">
    <w:pPr>
      <w:pStyle w:val="1R2"/>
      <w:framePr w:w="2845" w:wrap="around" w:x="8782"/>
    </w:pPr>
    <w:r>
      <w:t>E/1990/6/Add.21</w:t>
    </w:r>
  </w:p>
  <w:p w:rsidR="00000000" w:rsidRDefault="0031739B">
    <w:pPr>
      <w:pStyle w:val="1R2"/>
      <w:framePr w:w="2845" w:wrap="around" w:x="8782"/>
    </w:pPr>
    <w:r>
      <w:t>15 October 1998</w:t>
    </w:r>
  </w:p>
  <w:p w:rsidR="00000000" w:rsidRDefault="0031739B">
    <w:pPr>
      <w:pStyle w:val="1R2"/>
      <w:framePr w:w="2845" w:wrap="around" w:x="8782"/>
    </w:pPr>
    <w:r>
      <w:t>CHINESE</w:t>
    </w:r>
  </w:p>
  <w:p w:rsidR="00000000" w:rsidRDefault="0031739B">
    <w:pPr>
      <w:pStyle w:val="1R2"/>
      <w:framePr w:w="2845" w:wrap="around" w:x="8782"/>
    </w:pPr>
    <w:r>
      <w:t>Original:</w:t>
    </w:r>
    <w:r>
      <w:tab/>
      <w:t>ENGLISH</w:t>
    </w:r>
  </w:p>
  <w:p w:rsidR="00000000" w:rsidRDefault="0031739B">
    <w:pPr>
      <w:pStyle w:val="a"/>
    </w:pPr>
  </w:p>
  <w:p w:rsidR="00000000" w:rsidRDefault="0031739B">
    <w:pPr>
      <w:pStyle w:val="a"/>
    </w:pPr>
  </w:p>
  <w:p w:rsidR="00000000" w:rsidRDefault="0031739B">
    <w:pPr>
      <w:pStyle w:val="a"/>
    </w:pPr>
    <w:r>
      <w:pict>
        <v:rect id="_x0000_s1027" style="position:absolute;left:0;text-align:left;margin-left:151.05pt;margin-top:121.45pt;width:192.05pt;height:31.25pt;z-index:-3;mso-position-horizontal-relative:page;mso-position-vertical-relative:page" o:allowincell="f" filled="f" stroked="f" strokeweight="0">
          <v:textbox inset="0,0,0,0">
            <w:txbxContent>
              <w:p w:rsidR="00000000" w:rsidRDefault="0031739B">
                <w:pPr>
                  <w:pStyle w:val="1m1"/>
                </w:pPr>
                <w:r>
                  <w:rPr>
                    <w:rFonts w:hint="eastAsia"/>
                  </w:rPr>
                  <w:t>经济及社会理事会</w:t>
                </w:r>
              </w:p>
            </w:txbxContent>
          </v:textbox>
          <w10:wrap anchorx="page" anchory="page"/>
        </v:rect>
      </w:pict>
    </w:r>
  </w:p>
  <w:p w:rsidR="00000000" w:rsidRDefault="0031739B">
    <w:pPr>
      <w:pStyle w:val="a"/>
    </w:pPr>
    <w:r>
      <w:pict>
        <v:rect id="_x0000_s1028" style="position:absolute;left:0;text-align:left;margin-left:-12pt;margin-top:235.85pt;width:492.05pt;height:.05pt;z-index:-2;mso-position-horizontal-relative:margin;mso-position-vertical-relative:page" o:allowincell="f" fillcolor="black" strokeweight="4pt">
          <v:fill color2="black"/>
          <w10:wrap anchorx="margin" anchory="page"/>
        </v:rect>
      </w:pict>
    </w:r>
  </w:p>
  <w:p w:rsidR="00000000" w:rsidRDefault="0031739B">
    <w:pPr>
      <w:pStyle w:val="a"/>
    </w:pPr>
  </w:p>
  <w:p w:rsidR="00000000" w:rsidRDefault="0031739B">
    <w:pPr>
      <w:pStyle w:val="a"/>
    </w:pPr>
  </w:p>
  <w:p w:rsidR="00000000" w:rsidRDefault="0031739B">
    <w:pPr>
      <w:pStyle w:val="a"/>
    </w:pPr>
    <w:r>
      <w:fldChar w:fldCharType="begin"/>
    </w:r>
    <w:r>
      <w:instrText>ADVANCE \Y 252.30</w:instrText>
    </w:r>
    <w:r>
      <w:fldChar w:fldCharType="end"/>
    </w:r>
  </w:p>
  <w:p w:rsidR="00000000" w:rsidRDefault="0031739B">
    <w:pPr>
      <w:pStyle w:val="a"/>
    </w:pPr>
  </w:p>
  <w:p w:rsidR="00000000" w:rsidRDefault="0031739B">
    <w:pPr>
      <w:pStyle w:val="a"/>
    </w:pPr>
  </w:p>
  <w:p w:rsidR="00000000" w:rsidRDefault="0031739B">
    <w:pPr>
      <w:pStyle w:val="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CD6EE1"/>
    <w:multiLevelType w:val="singleLevel"/>
    <w:tmpl w:val="FFFFFFFF"/>
    <w:lvl w:ilvl="0">
      <w:start w:val="1"/>
      <w:numFmt w:val="lowerLetter"/>
      <w:lvlText w:val="(%1)"/>
      <w:legacy w:legacy="1" w:legacySpace="0" w:legacyIndent="425"/>
      <w:lvlJc w:val="left"/>
      <w:pPr>
        <w:ind w:left="1446" w:hanging="425"/>
      </w:pPr>
    </w:lvl>
  </w:abstractNum>
  <w:abstractNum w:abstractNumId="1">
    <w:nsid w:val="21AB464F"/>
    <w:multiLevelType w:val="singleLevel"/>
    <w:tmpl w:val="FFFFFFFF"/>
    <w:lvl w:ilvl="0">
      <w:start w:val="1"/>
      <w:numFmt w:val="lowerLetter"/>
      <w:lvlText w:val="(%1)"/>
      <w:legacy w:legacy="1" w:legacySpace="0" w:legacyIndent="425"/>
      <w:lvlJc w:val="left"/>
      <w:pPr>
        <w:ind w:left="1446" w:hanging="425"/>
      </w:pPr>
    </w:lvl>
  </w:abstractNum>
  <w:abstractNum w:abstractNumId="2">
    <w:nsid w:val="24156516"/>
    <w:multiLevelType w:val="singleLevel"/>
    <w:tmpl w:val="FFFFFFFF"/>
    <w:lvl w:ilvl="0">
      <w:start w:val="1"/>
      <w:numFmt w:val="lowerLetter"/>
      <w:lvlText w:val="(%1)"/>
      <w:legacy w:legacy="1" w:legacySpace="0" w:legacyIndent="425"/>
      <w:lvlJc w:val="left"/>
      <w:pPr>
        <w:ind w:left="1446" w:hanging="425"/>
      </w:pPr>
    </w:lvl>
  </w:abstractNum>
  <w:abstractNum w:abstractNumId="3">
    <w:nsid w:val="2E1E02BC"/>
    <w:multiLevelType w:val="singleLevel"/>
    <w:tmpl w:val="FFFFFFFF"/>
    <w:lvl w:ilvl="0">
      <w:start w:val="1"/>
      <w:numFmt w:val="lowerLetter"/>
      <w:lvlText w:val="(%1)"/>
      <w:legacy w:legacy="1" w:legacySpace="0" w:legacyIndent="425"/>
      <w:lvlJc w:val="left"/>
      <w:pPr>
        <w:ind w:left="1446" w:hanging="425"/>
      </w:pPr>
    </w:lvl>
  </w:abstractNum>
  <w:abstractNum w:abstractNumId="4">
    <w:nsid w:val="3FAB46EC"/>
    <w:multiLevelType w:val="singleLevel"/>
    <w:tmpl w:val="FFFFFFFF"/>
    <w:lvl w:ilvl="0">
      <w:start w:val="1"/>
      <w:numFmt w:val="lowerLetter"/>
      <w:lvlText w:val="(%1)"/>
      <w:legacy w:legacy="1" w:legacySpace="0" w:legacyIndent="425"/>
      <w:lvlJc w:val="left"/>
      <w:pPr>
        <w:ind w:left="1446" w:hanging="425"/>
      </w:pPr>
    </w:lvl>
  </w:abstractNum>
  <w:abstractNum w:abstractNumId="5">
    <w:nsid w:val="490E5A99"/>
    <w:multiLevelType w:val="singleLevel"/>
    <w:tmpl w:val="FFFFFFFF"/>
    <w:lvl w:ilvl="0">
      <w:start w:val="1"/>
      <w:numFmt w:val="lowerLetter"/>
      <w:lvlText w:val="(%1)"/>
      <w:legacy w:legacy="1" w:legacySpace="0" w:legacyIndent="425"/>
      <w:lvlJc w:val="left"/>
      <w:pPr>
        <w:ind w:left="1446" w:hanging="425"/>
      </w:pPr>
    </w:lvl>
  </w:abstractNum>
  <w:abstractNum w:abstractNumId="6">
    <w:nsid w:val="4F7D28A5"/>
    <w:multiLevelType w:val="singleLevel"/>
    <w:tmpl w:val="FFFFFFFF"/>
    <w:lvl w:ilvl="0">
      <w:start w:val="1"/>
      <w:numFmt w:val="lowerLetter"/>
      <w:lvlText w:val="(%1)"/>
      <w:legacy w:legacy="1" w:legacySpace="0" w:legacyIndent="425"/>
      <w:lvlJc w:val="left"/>
      <w:pPr>
        <w:ind w:left="1446" w:hanging="425"/>
      </w:pPr>
    </w:lvl>
  </w:abstractNum>
  <w:abstractNum w:abstractNumId="7">
    <w:nsid w:val="509C444B"/>
    <w:multiLevelType w:val="singleLevel"/>
    <w:tmpl w:val="FFFFFFFF"/>
    <w:lvl w:ilvl="0">
      <w:start w:val="1"/>
      <w:numFmt w:val="lowerLetter"/>
      <w:lvlText w:val="(%1)"/>
      <w:legacy w:legacy="1" w:legacySpace="0" w:legacyIndent="425"/>
      <w:lvlJc w:val="left"/>
      <w:pPr>
        <w:ind w:left="1446" w:hanging="425"/>
      </w:pPr>
    </w:lvl>
  </w:abstractNum>
  <w:abstractNum w:abstractNumId="8">
    <w:nsid w:val="55D636AF"/>
    <w:multiLevelType w:val="singleLevel"/>
    <w:tmpl w:val="FFFFFFFF"/>
    <w:lvl w:ilvl="0">
      <w:start w:val="1"/>
      <w:numFmt w:val="lowerLetter"/>
      <w:lvlText w:val="(%1)"/>
      <w:legacy w:legacy="1" w:legacySpace="0" w:legacyIndent="425"/>
      <w:lvlJc w:val="left"/>
      <w:pPr>
        <w:ind w:left="1446" w:hanging="425"/>
      </w:pPr>
    </w:lvl>
  </w:abstractNum>
  <w:abstractNum w:abstractNumId="9">
    <w:nsid w:val="6D935CDE"/>
    <w:multiLevelType w:val="singleLevel"/>
    <w:tmpl w:val="FFFFFFFF"/>
    <w:lvl w:ilvl="0">
      <w:start w:val="1"/>
      <w:numFmt w:val="lowerLetter"/>
      <w:lvlText w:val="(%1)"/>
      <w:legacy w:legacy="1" w:legacySpace="0" w:legacyIndent="425"/>
      <w:lvlJc w:val="left"/>
      <w:pPr>
        <w:ind w:left="1446" w:hanging="425"/>
      </w:pPr>
    </w:lvl>
  </w:abstractNum>
  <w:abstractNum w:abstractNumId="10">
    <w:nsid w:val="701F2358"/>
    <w:multiLevelType w:val="singleLevel"/>
    <w:tmpl w:val="FFFFFFFF"/>
    <w:lvl w:ilvl="0">
      <w:start w:val="1"/>
      <w:numFmt w:val="lowerLetter"/>
      <w:lvlText w:val="(%1)"/>
      <w:legacy w:legacy="1" w:legacySpace="0" w:legacyIndent="425"/>
      <w:lvlJc w:val="left"/>
      <w:pPr>
        <w:ind w:left="1446" w:hanging="425"/>
      </w:pPr>
    </w:lvl>
  </w:abstractNum>
  <w:abstractNum w:abstractNumId="11">
    <w:nsid w:val="726A1110"/>
    <w:multiLevelType w:val="singleLevel"/>
    <w:tmpl w:val="FFFFFFFF"/>
    <w:lvl w:ilvl="0">
      <w:start w:val="1"/>
      <w:numFmt w:val="lowerLetter"/>
      <w:lvlText w:val="(%1)"/>
      <w:legacy w:legacy="1" w:legacySpace="0" w:legacyIndent="425"/>
      <w:lvlJc w:val="left"/>
      <w:pPr>
        <w:ind w:left="1446" w:hanging="425"/>
      </w:pPr>
    </w:lvl>
  </w:abstractNum>
  <w:abstractNum w:abstractNumId="12">
    <w:nsid w:val="7ADC1DF0"/>
    <w:multiLevelType w:val="singleLevel"/>
    <w:tmpl w:val="FFFFFFFF"/>
    <w:lvl w:ilvl="0">
      <w:start w:val="1"/>
      <w:numFmt w:val="lowerLetter"/>
      <w:lvlText w:val="(%1)"/>
      <w:legacy w:legacy="1" w:legacySpace="0" w:legacyIndent="425"/>
      <w:lvlJc w:val="left"/>
      <w:pPr>
        <w:ind w:left="1446" w:hanging="425"/>
      </w:pPr>
    </w:lvl>
  </w:abstractNum>
  <w:num w:numId="1">
    <w:abstractNumId w:val="8"/>
  </w:num>
  <w:num w:numId="2">
    <w:abstractNumId w:val="5"/>
  </w:num>
  <w:num w:numId="3">
    <w:abstractNumId w:val="10"/>
  </w:num>
  <w:num w:numId="4">
    <w:abstractNumId w:val="2"/>
  </w:num>
  <w:num w:numId="5">
    <w:abstractNumId w:val="6"/>
  </w:num>
  <w:num w:numId="6">
    <w:abstractNumId w:val="9"/>
  </w:num>
  <w:num w:numId="7">
    <w:abstractNumId w:val="11"/>
  </w:num>
  <w:num w:numId="8">
    <w:abstractNumId w:val="7"/>
  </w:num>
  <w:num w:numId="9">
    <w:abstractNumId w:val="4"/>
  </w:num>
  <w:num w:numId="10">
    <w:abstractNumId w:val="0"/>
  </w:num>
  <w:num w:numId="11">
    <w:abstractNumId w:val="12"/>
  </w:num>
  <w:num w:numId="12">
    <w:abstractNumId w:val="3"/>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attachedTemplate r:id="rId1"/>
  <w:doNotTrackMoves/>
  <w:defaultTabStop w:val="510"/>
  <w:evenAndOddHeaders/>
  <w:drawingGridHorizontalSpacing w:val="120"/>
  <w:drawingGridVerticalSpacing w:val="104"/>
  <w:displayHorizontalDrawingGridEvery w:val="0"/>
  <w:displayVerticalDrawingGridEvery w:val="3"/>
  <w:characterSpacingControl w:val="compressPunctuation"/>
  <w:noLineBreaksAfter w:lang="ja-JP" w:val="([{·‘“〈《「『【〔〖（．［｛"/>
  <w:noLineBreaksBefore w:lang="ja-JP" w:val="!),.:;?]}¨·ˇˉ—‖’”…∶、。〃々〉》」』】〕〗！＂＇），．：；？］｀｜｝～"/>
  <w:hdrShapeDefaults>
    <o:shapedefaults v:ext="edit" spidmax="1030"/>
    <o:shapelayout v:ext="edit">
      <o:idmap v:ext="edit" data="1"/>
    </o:shapelayout>
  </w:hdrShapeDefaults>
  <w:footnotePr>
    <w:footnote w:id="-1"/>
    <w:footnote w:id="0"/>
  </w:footnotePr>
  <w:endnotePr>
    <w:numFmt w:val="decimal"/>
    <w:endnote w:id="-1"/>
    <w:endnote w:id="0"/>
  </w:endnotePr>
  <w:compat>
    <w:spaceForUL/>
    <w:balanceSingleByteDoubleByteWidth/>
    <w:doNotLeaveBackslashAlone/>
    <w:ulTrailSpace/>
    <w:doNotExpandShiftReturn/>
    <w:usePrinterMetrics/>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1739B"/>
    <w:rsid w:val="0031739B"/>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tabs>
        <w:tab w:val="left" w:pos="510"/>
        <w:tab w:val="left" w:pos="1021"/>
        <w:tab w:val="left" w:pos="1531"/>
        <w:tab w:val="left" w:pos="2041"/>
      </w:tabs>
      <w:adjustRightInd w:val="0"/>
      <w:spacing w:line="336" w:lineRule="auto"/>
      <w:jc w:val="both"/>
      <w:textAlignment w:val="baseline"/>
    </w:pPr>
    <w:rPr>
      <w:spacing w:val="10"/>
      <w:kern w:val="24"/>
      <w:sz w:val="24"/>
      <w:lang w:val="en-US" w:eastAsia="zh-CN"/>
    </w:rPr>
  </w:style>
  <w:style w:type="paragraph" w:styleId="Heading1">
    <w:name w:val="heading 1"/>
    <w:basedOn w:val="Normal"/>
    <w:next w:val="Normal"/>
    <w:qFormat/>
    <w:pPr>
      <w:keepNext/>
      <w:keepLines/>
      <w:widowControl w:val="0"/>
      <w:tabs>
        <w:tab w:val="clear" w:pos="510"/>
        <w:tab w:val="clear" w:pos="1021"/>
        <w:tab w:val="clear" w:pos="1531"/>
        <w:tab w:val="clear" w:pos="2041"/>
      </w:tabs>
      <w:spacing w:after="320" w:line="288" w:lineRule="auto"/>
      <w:jc w:val="center"/>
      <w:outlineLvl w:val="0"/>
    </w:pPr>
    <w:rPr>
      <w:b/>
      <w:color w:val="000000"/>
      <w:kern w:val="32"/>
      <w:sz w:val="30"/>
    </w:rPr>
  </w:style>
  <w:style w:type="paragraph" w:styleId="Heading2">
    <w:name w:val="heading 2"/>
    <w:basedOn w:val="Normal"/>
    <w:next w:val="Normal"/>
    <w:qFormat/>
    <w:pPr>
      <w:keepNext/>
      <w:keepLines/>
      <w:widowControl w:val="0"/>
      <w:tabs>
        <w:tab w:val="clear" w:pos="510"/>
        <w:tab w:val="clear" w:pos="1021"/>
        <w:tab w:val="clear" w:pos="1531"/>
        <w:tab w:val="clear" w:pos="2041"/>
      </w:tabs>
      <w:spacing w:after="320" w:line="288" w:lineRule="auto"/>
      <w:jc w:val="center"/>
      <w:outlineLvl w:val="1"/>
    </w:pPr>
    <w:rPr>
      <w:color w:val="000000"/>
      <w:kern w:val="28"/>
      <w:sz w:val="28"/>
    </w:rPr>
  </w:style>
  <w:style w:type="paragraph" w:styleId="Heading3">
    <w:name w:val="heading 3"/>
    <w:basedOn w:val="Normal"/>
    <w:next w:val="Normal"/>
    <w:qFormat/>
    <w:pPr>
      <w:keepNext/>
      <w:keepLines/>
      <w:widowControl w:val="0"/>
      <w:tabs>
        <w:tab w:val="clear" w:pos="510"/>
        <w:tab w:val="clear" w:pos="1021"/>
        <w:tab w:val="clear" w:pos="1531"/>
        <w:tab w:val="clear" w:pos="2041"/>
      </w:tabs>
      <w:spacing w:after="320"/>
      <w:jc w:val="center"/>
      <w:outlineLvl w:val="2"/>
    </w:pPr>
    <w:rPr>
      <w:color w:val="000000"/>
      <w:kern w:val="28"/>
      <w:u w:val="single"/>
    </w:rPr>
  </w:style>
  <w:style w:type="paragraph" w:styleId="Heading4">
    <w:name w:val="heading 4"/>
    <w:basedOn w:val="Normal"/>
    <w:next w:val="Normal"/>
    <w:qFormat/>
    <w:pPr>
      <w:keepNext/>
      <w:keepLines/>
      <w:widowControl w:val="0"/>
      <w:tabs>
        <w:tab w:val="left" w:pos="510"/>
        <w:tab w:val="left" w:pos="1021"/>
        <w:tab w:val="left" w:pos="1531"/>
        <w:tab w:val="left" w:pos="2041"/>
      </w:tabs>
      <w:spacing w:after="240"/>
      <w:jc w:val="left"/>
      <w:outlineLvl w:val="3"/>
    </w:pPr>
    <w:rPr>
      <w:color w:val="000000"/>
      <w:u w:val="single"/>
    </w:rPr>
  </w:style>
  <w:style w:type="paragraph" w:styleId="Heading5">
    <w:name w:val="heading 5"/>
    <w:basedOn w:val="Normal"/>
    <w:next w:val="Normal"/>
    <w:qFormat/>
    <w:pPr>
      <w:keepNext/>
      <w:keepLines/>
      <w:widowControl w:val="0"/>
      <w:tabs>
        <w:tab w:val="left" w:pos="510"/>
        <w:tab w:val="left" w:pos="1021"/>
        <w:tab w:val="left" w:pos="1531"/>
        <w:tab w:val="left" w:pos="2041"/>
        <w:tab w:val="left" w:pos="2552"/>
      </w:tabs>
      <w:spacing w:after="240"/>
      <w:outlineLvl w:val="4"/>
    </w:pPr>
    <w:rPr>
      <w:rFonts w:eastAsia="SimHei"/>
    </w:rPr>
  </w:style>
  <w:style w:type="paragraph" w:styleId="Heading6">
    <w:name w:val="heading 6"/>
    <w:basedOn w:val="Normal"/>
    <w:next w:val="Normal"/>
    <w:qFormat/>
    <w:pPr>
      <w:keepNext/>
      <w:keepLines/>
      <w:widowControl w:val="0"/>
      <w:spacing w:after="240"/>
      <w:outlineLvl w:val="5"/>
    </w:pPr>
  </w:style>
  <w:style w:type="paragraph" w:styleId="Heading7">
    <w:name w:val="heading 7"/>
    <w:basedOn w:val="Normal"/>
    <w:next w:val="Normal"/>
    <w:qFormat/>
    <w:pPr>
      <w:keepNext/>
      <w:keepLines/>
      <w:tabs>
        <w:tab w:val="clear" w:pos="1531"/>
        <w:tab w:val="clear" w:pos="2041"/>
        <w:tab w:val="left" w:pos="510"/>
        <w:tab w:val="left" w:pos="1021"/>
        <w:tab w:val="left" w:pos="1191"/>
      </w:tabs>
      <w:spacing w:after="200"/>
      <w:outlineLvl w:val="6"/>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lear" w:pos="510"/>
        <w:tab w:val="clear" w:pos="1021"/>
        <w:tab w:val="clear" w:pos="1531"/>
        <w:tab w:val="clear" w:pos="2041"/>
        <w:tab w:val="left" w:pos="1202"/>
        <w:tab w:val="left" w:pos="6124"/>
        <w:tab w:val="left" w:pos="6634"/>
        <w:tab w:val="left" w:pos="7144"/>
        <w:tab w:val="left" w:pos="7655"/>
        <w:tab w:val="left" w:pos="8165"/>
      </w:tabs>
      <w:spacing w:line="288" w:lineRule="auto"/>
      <w:jc w:val="left"/>
    </w:pPr>
    <w:rPr>
      <w:rFonts w:ascii="Courier" w:hAnsi="Courier"/>
      <w:spacing w:val="0"/>
      <w:sz w:val="20"/>
    </w:rPr>
  </w:style>
  <w:style w:type="paragraph" w:styleId="Footer">
    <w:name w:val="footer"/>
    <w:semiHidden/>
    <w:pPr>
      <w:widowControl w:val="0"/>
      <w:adjustRightInd w:val="0"/>
      <w:spacing w:line="288" w:lineRule="auto"/>
      <w:textAlignment w:val="baseline"/>
    </w:pPr>
    <w:rPr>
      <w:rFonts w:ascii="Courier New" w:hAnsi="Courier New"/>
      <w:noProof/>
      <w:lang w:eastAsia="zh-CN"/>
    </w:rPr>
  </w:style>
  <w:style w:type="character" w:styleId="PageNumber">
    <w:name w:val="page number"/>
    <w:semiHidden/>
    <w:rPr>
      <w:rFonts w:ascii="Courier" w:eastAsia="长城仿宋" w:hAnsi="Courier"/>
      <w:sz w:val="20"/>
    </w:rPr>
  </w:style>
  <w:style w:type="paragraph" w:styleId="FootnoteText">
    <w:name w:val="footnote text"/>
    <w:basedOn w:val="Normal"/>
    <w:semiHidden/>
    <w:pPr>
      <w:spacing w:line="288" w:lineRule="auto"/>
      <w:ind w:firstLine="510"/>
    </w:pPr>
    <w:rPr>
      <w:rFonts w:eastAsia="长城楷体"/>
      <w:spacing w:val="0"/>
    </w:rPr>
  </w:style>
  <w:style w:type="character" w:styleId="FootnoteReference">
    <w:name w:val="footnote reference"/>
    <w:semiHidden/>
    <w:rPr>
      <w:vertAlign w:val="superscript"/>
    </w:rPr>
  </w:style>
  <w:style w:type="paragraph" w:customStyle="1" w:styleId="a">
    <w:name w:val="首页页眉"/>
    <w:basedOn w:val="Normal"/>
    <w:pPr>
      <w:tabs>
        <w:tab w:val="clear" w:pos="510"/>
        <w:tab w:val="clear" w:pos="1021"/>
        <w:tab w:val="clear" w:pos="1531"/>
        <w:tab w:val="clear" w:pos="2041"/>
      </w:tabs>
      <w:suppressAutoHyphens/>
      <w:spacing w:line="288" w:lineRule="auto"/>
    </w:pPr>
    <w:rPr>
      <w:rFonts w:ascii="Univers Bold" w:hAnsi="Univers Bold"/>
    </w:rPr>
  </w:style>
  <w:style w:type="paragraph" w:customStyle="1" w:styleId="a0">
    <w:name w:val="悬挂(a)"/>
    <w:basedOn w:val="Normal"/>
    <w:pPr>
      <w:ind w:left="1531" w:hanging="510"/>
    </w:pPr>
  </w:style>
  <w:style w:type="paragraph" w:styleId="NormalIndent">
    <w:name w:val="Normal Indent"/>
    <w:basedOn w:val="Normal"/>
    <w:semiHidden/>
    <w:pPr>
      <w:ind w:firstLine="510"/>
    </w:pPr>
  </w:style>
  <w:style w:type="paragraph" w:customStyle="1" w:styleId="a1">
    <w:name w:val="悬挂(一)"/>
    <w:basedOn w:val="Normal"/>
    <w:pPr>
      <w:ind w:left="1531" w:hanging="510"/>
    </w:pPr>
  </w:style>
  <w:style w:type="paragraph" w:customStyle="1" w:styleId="a2">
    <w:name w:val="目录页次"/>
    <w:pPr>
      <w:widowControl w:val="0"/>
      <w:tabs>
        <w:tab w:val="left" w:pos="510"/>
        <w:tab w:val="left" w:pos="1021"/>
        <w:tab w:val="left" w:pos="1531"/>
        <w:tab w:val="left" w:pos="2041"/>
        <w:tab w:val="right" w:leader="dot" w:pos="8392"/>
        <w:tab w:val="right" w:pos="9185"/>
      </w:tabs>
      <w:adjustRightInd w:val="0"/>
      <w:spacing w:line="336" w:lineRule="auto"/>
      <w:jc w:val="both"/>
      <w:textAlignment w:val="baseline"/>
    </w:pPr>
    <w:rPr>
      <w:noProof/>
      <w:spacing w:val="10"/>
      <w:kern w:val="24"/>
      <w:sz w:val="24"/>
      <w:lang w:eastAsia="zh-CN"/>
    </w:rPr>
  </w:style>
  <w:style w:type="paragraph" w:customStyle="1" w:styleId="1L">
    <w:name w:val="页眉1L"/>
    <w:basedOn w:val="Normal"/>
    <w:pPr>
      <w:framePr w:w="1542" w:h="627" w:hSpace="180" w:wrap="around" w:vAnchor="page" w:hAnchor="page" w:x="1469" w:y="1390"/>
      <w:tabs>
        <w:tab w:val="clear" w:pos="510"/>
        <w:tab w:val="clear" w:pos="1021"/>
        <w:tab w:val="clear" w:pos="1531"/>
        <w:tab w:val="clear" w:pos="2041"/>
      </w:tabs>
      <w:spacing w:line="240" w:lineRule="auto"/>
    </w:pPr>
    <w:rPr>
      <w:rFonts w:ascii="SimHei" w:eastAsia="SimHei"/>
      <w:spacing w:val="60"/>
      <w:sz w:val="32"/>
    </w:rPr>
  </w:style>
  <w:style w:type="paragraph" w:customStyle="1" w:styleId="1R1">
    <w:name w:val="页眉1R1"/>
    <w:basedOn w:val="Normal"/>
    <w:pPr>
      <w:tabs>
        <w:tab w:val="clear" w:pos="510"/>
        <w:tab w:val="clear" w:pos="1021"/>
        <w:tab w:val="clear" w:pos="1531"/>
        <w:tab w:val="clear" w:pos="2041"/>
      </w:tabs>
      <w:suppressAutoHyphens/>
      <w:spacing w:line="240" w:lineRule="auto"/>
    </w:pPr>
    <w:rPr>
      <w:rFonts w:ascii="Univers (WN)" w:hAnsi="Univers (WN)"/>
      <w:b/>
      <w:sz w:val="60"/>
    </w:rPr>
  </w:style>
  <w:style w:type="paragraph" w:customStyle="1" w:styleId="1m2">
    <w:name w:val="页眉1m2"/>
    <w:basedOn w:val="Normal"/>
    <w:pPr>
      <w:tabs>
        <w:tab w:val="clear" w:pos="510"/>
        <w:tab w:val="clear" w:pos="1021"/>
        <w:tab w:val="clear" w:pos="1531"/>
        <w:tab w:val="clear" w:pos="2041"/>
      </w:tabs>
      <w:suppressAutoHyphens/>
      <w:spacing w:line="360" w:lineRule="auto"/>
      <w:jc w:val="left"/>
    </w:pPr>
    <w:rPr>
      <w:rFonts w:ascii="SimHei" w:eastAsia="SimHei"/>
      <w:spacing w:val="60"/>
      <w:sz w:val="40"/>
    </w:rPr>
  </w:style>
  <w:style w:type="paragraph" w:customStyle="1" w:styleId="1m1">
    <w:name w:val="页眉1m1"/>
    <w:basedOn w:val="1m2"/>
    <w:rPr>
      <w:spacing w:val="40"/>
    </w:rPr>
  </w:style>
  <w:style w:type="paragraph" w:customStyle="1" w:styleId="1R2">
    <w:name w:val="页眉1R2"/>
    <w:basedOn w:val="Normal"/>
    <w:pPr>
      <w:framePr w:w="3101" w:h="1977" w:hSpace="180" w:wrap="around" w:vAnchor="page" w:hAnchor="page" w:x="8549" w:y="2638"/>
      <w:tabs>
        <w:tab w:val="clear" w:pos="510"/>
        <w:tab w:val="clear" w:pos="1021"/>
        <w:tab w:val="clear" w:pos="1531"/>
        <w:tab w:val="clear" w:pos="2041"/>
        <w:tab w:val="left" w:pos="1202"/>
        <w:tab w:val="left" w:pos="6124"/>
        <w:tab w:val="left" w:pos="6634"/>
        <w:tab w:val="left" w:pos="7144"/>
        <w:tab w:val="left" w:pos="7655"/>
        <w:tab w:val="left" w:pos="8165"/>
      </w:tabs>
      <w:spacing w:line="288" w:lineRule="auto"/>
      <w:jc w:val="left"/>
    </w:pPr>
    <w:rPr>
      <w:rFonts w:ascii="Courier" w:hAnsi="Courier"/>
      <w:sz w:val="20"/>
    </w:rPr>
  </w:style>
  <w:style w:type="paragraph" w:customStyle="1" w:styleId="a3">
    <w:name w:val="目录段页次"/>
    <w:pPr>
      <w:widowControl w:val="0"/>
      <w:tabs>
        <w:tab w:val="left" w:pos="510"/>
        <w:tab w:val="left" w:pos="1021"/>
        <w:tab w:val="left" w:pos="1531"/>
        <w:tab w:val="left" w:pos="2041"/>
        <w:tab w:val="right" w:leader="dot" w:pos="6804"/>
        <w:tab w:val="right" w:pos="7371"/>
        <w:tab w:val="center" w:pos="7541"/>
        <w:tab w:val="left" w:pos="7711"/>
        <w:tab w:val="right" w:pos="9185"/>
      </w:tabs>
      <w:adjustRightInd w:val="0"/>
      <w:spacing w:line="336" w:lineRule="auto"/>
      <w:jc w:val="both"/>
      <w:textAlignment w:val="baseline"/>
    </w:pPr>
    <w:rPr>
      <w:noProof/>
      <w:spacing w:val="10"/>
      <w:kern w:val="24"/>
      <w:sz w:val="24"/>
      <w:lang w:eastAsia="zh-CN"/>
    </w:rPr>
  </w:style>
  <w:style w:type="paragraph" w:customStyle="1" w:styleId="UNLOGO">
    <w:name w:val="UNLOGO"/>
    <w:basedOn w:val="Normal"/>
    <w:pPr>
      <w:tabs>
        <w:tab w:val="clear" w:pos="510"/>
        <w:tab w:val="clear" w:pos="1021"/>
        <w:tab w:val="clear" w:pos="1531"/>
        <w:tab w:val="clear" w:pos="2041"/>
      </w:tabs>
      <w:suppressAutoHyphens/>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jc w:val="both"/>
      <w:textAlignment w:val="baseline"/>
    </w:pPr>
    <w:rPr>
      <w:kern w:val="24"/>
      <w:sz w:val="24"/>
      <w:lang w:val="en-US" w:eastAsia="zh-CN"/>
    </w:rPr>
  </w:style>
  <w:style w:type="paragraph" w:styleId="EndnoteText">
    <w:name w:val="endnote text"/>
    <w:basedOn w:val="FootnoteText"/>
    <w:semiHidden/>
    <w:pPr>
      <w:tabs>
        <w:tab w:val="clear" w:pos="1531"/>
        <w:tab w:val="left" w:pos="1440"/>
      </w:tabs>
      <w:ind w:left="1440" w:hanging="960"/>
    </w:pPr>
  </w:style>
  <w:style w:type="paragraph" w:customStyle="1" w:styleId="a4">
    <w:name w:val="居中页眉"/>
    <w:basedOn w:val="Header"/>
    <w:pPr>
      <w:widowControl w:val="0"/>
      <w:tabs>
        <w:tab w:val="clear" w:pos="6124"/>
        <w:tab w:val="clear" w:pos="6634"/>
        <w:tab w:val="clear" w:pos="7144"/>
        <w:tab w:val="clear" w:pos="7655"/>
        <w:tab w:val="clear" w:pos="8165"/>
      </w:tabs>
      <w:jc w:val="center"/>
    </w:pPr>
    <w:rPr>
      <w:rFonts w:ascii="Times New Roman" w:hAnsi="Times New Roman"/>
    </w:rPr>
  </w:style>
  <w:style w:type="paragraph" w:customStyle="1" w:styleId="a5">
    <w:name w:val="悬挂"/>
    <w:basedOn w:val="Normal"/>
    <w:pPr>
      <w:ind w:left="510" w:hanging="510"/>
    </w:pPr>
  </w:style>
  <w:style w:type="paragraph" w:customStyle="1" w:styleId="a6">
    <w:name w:val="悬挂符号－"/>
    <w:basedOn w:val="a5"/>
  </w:style>
  <w:style w:type="paragraph" w:customStyle="1" w:styleId="a7">
    <w:name w:val="目录段次"/>
    <w:pPr>
      <w:widowControl w:val="0"/>
      <w:tabs>
        <w:tab w:val="left" w:pos="510"/>
        <w:tab w:val="left" w:pos="1021"/>
        <w:tab w:val="left" w:pos="1531"/>
        <w:tab w:val="left" w:pos="2041"/>
        <w:tab w:val="right" w:leader="dot" w:pos="7677"/>
        <w:tab w:val="right" w:pos="8335"/>
        <w:tab w:val="center" w:pos="8505"/>
        <w:tab w:val="left" w:pos="8675"/>
      </w:tabs>
      <w:adjustRightInd w:val="0"/>
      <w:spacing w:line="336" w:lineRule="auto"/>
      <w:jc w:val="both"/>
      <w:textAlignment w:val="baseline"/>
    </w:pPr>
    <w:rPr>
      <w:noProof/>
      <w:spacing w:val="10"/>
      <w:kern w:val="24"/>
      <w:sz w:val="24"/>
      <w:lang w:eastAsia="zh-CN"/>
    </w:rPr>
  </w:style>
  <w:style w:type="paragraph" w:customStyle="1" w:styleId="a8">
    <w:name w:val="悬挂符号●"/>
    <w:basedOn w:val="a5"/>
  </w:style>
  <w:style w:type="paragraph" w:customStyle="1" w:styleId="x">
    <w:name w:val="悬挂[(x)"/>
    <w:basedOn w:val="Normal"/>
    <w:pPr>
      <w:ind w:left="1531" w:hanging="595"/>
    </w:pPr>
  </w:style>
  <w:style w:type="paragraph" w:customStyle="1" w:styleId="12cm">
    <w:name w:val="12cm落款"/>
    <w:pPr>
      <w:keepLines/>
      <w:widowControl w:val="0"/>
      <w:tabs>
        <w:tab w:val="left" w:pos="7314"/>
        <w:tab w:val="left" w:pos="7825"/>
        <w:tab w:val="left" w:pos="8335"/>
        <w:tab w:val="left" w:pos="8845"/>
      </w:tabs>
      <w:adjustRightInd w:val="0"/>
      <w:spacing w:before="160" w:after="280" w:line="288" w:lineRule="auto"/>
      <w:ind w:left="6804"/>
      <w:jc w:val="both"/>
      <w:textAlignment w:val="baseline"/>
    </w:pPr>
    <w:rPr>
      <w:noProof/>
      <w:spacing w:val="10"/>
      <w:kern w:val="24"/>
      <w:sz w:val="24"/>
      <w:lang w:eastAsia="zh-CN"/>
    </w:rPr>
  </w:style>
  <w:style w:type="paragraph" w:customStyle="1" w:styleId="9cm">
    <w:name w:val="9cm落款"/>
    <w:basedOn w:val="Normal"/>
    <w:pPr>
      <w:keepLines/>
      <w:widowControl w:val="0"/>
      <w:tabs>
        <w:tab w:val="left" w:pos="6124"/>
        <w:tab w:val="left" w:pos="6634"/>
        <w:tab w:val="left" w:pos="7144"/>
        <w:tab w:val="left" w:pos="7655"/>
        <w:tab w:val="left" w:pos="8165"/>
        <w:tab w:val="left" w:pos="8675"/>
      </w:tabs>
      <w:spacing w:before="160" w:after="280" w:line="288" w:lineRule="auto"/>
      <w:ind w:left="5103"/>
    </w:pPr>
  </w:style>
  <w:style w:type="paragraph" w:customStyle="1" w:styleId="1">
    <w:name w:val="悬挂(1)"/>
    <w:basedOn w:val="Normal"/>
    <w:pPr>
      <w:ind w:left="1531" w:hanging="510"/>
    </w:pPr>
  </w:style>
  <w:style w:type="paragraph" w:customStyle="1" w:styleId="x0">
    <w:name w:val="悬挂“(x)"/>
    <w:basedOn w:val="a0"/>
    <w:pPr>
      <w:ind w:left="1530" w:hanging="765"/>
    </w:pPr>
  </w:style>
  <w:style w:type="character" w:styleId="EndnoteReference">
    <w:name w:val="endnote reference"/>
    <w:semiHidden/>
    <w:rPr>
      <w:color w:val="FF0000"/>
      <w:vertAlign w:val="superscript"/>
    </w:rPr>
  </w:style>
  <w:style w:type="paragraph" w:customStyle="1" w:styleId="a9">
    <w:name w:val="黑体标题"/>
    <w:next w:val="Normal"/>
    <w:pPr>
      <w:keepNext/>
      <w:keepLines/>
      <w:widowControl w:val="0"/>
      <w:adjustRightInd w:val="0"/>
      <w:spacing w:after="320" w:line="336" w:lineRule="auto"/>
      <w:jc w:val="center"/>
      <w:textAlignment w:val="baseline"/>
    </w:pPr>
    <w:rPr>
      <w:rFonts w:eastAsia="SimHei"/>
      <w:noProof/>
      <w:spacing w:val="10"/>
      <w:kern w:val="24"/>
      <w:sz w:val="24"/>
      <w:lang w:eastAsia="zh-CN"/>
    </w:rPr>
  </w:style>
  <w:style w:type="paragraph" w:customStyle="1" w:styleId="aa">
    <w:name w:val="黑体"/>
    <w:basedOn w:val="Normal"/>
    <w:rPr>
      <w:rFonts w:eastAsia="SimHei"/>
    </w:rPr>
  </w:style>
  <w:style w:type="paragraph" w:customStyle="1" w:styleId="ab">
    <w:name w:val="楷体"/>
    <w:basedOn w:val="Normal"/>
    <w:rPr>
      <w:rFonts w:eastAsia="长城楷体"/>
      <w:spacing w:val="0"/>
    </w:rPr>
  </w:style>
  <w:style w:type="paragraph" w:customStyle="1" w:styleId="ac">
    <w:name w:val="目录"/>
    <w:basedOn w:val="Normal"/>
    <w:pPr>
      <w:widowControl w:val="0"/>
      <w:tabs>
        <w:tab w:val="clear" w:pos="1021"/>
        <w:tab w:val="clear" w:pos="1531"/>
        <w:tab w:val="clear" w:pos="2041"/>
        <w:tab w:val="left" w:pos="510"/>
        <w:tab w:val="left" w:pos="7201"/>
        <w:tab w:val="left" w:pos="7711"/>
        <w:tab w:val="left" w:pos="8618"/>
        <w:tab w:val="right" w:pos="9356"/>
      </w:tabs>
      <w:spacing w:line="360" w:lineRule="auto"/>
    </w:pPr>
    <w:rPr>
      <w:rFonts w:eastAsia="长城仿宋"/>
      <w:spacing w:val="0"/>
      <w:kern w:val="0"/>
    </w:rPr>
  </w:style>
  <w:style w:type="paragraph" w:customStyle="1" w:styleId="cdL1">
    <w:name w:val="cdL1"/>
    <w:basedOn w:val="Normal"/>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WINWORD\TEMPLATE\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36</TotalTime>
  <Pages>14</Pages>
  <Words>6415</Words>
  <Characters>10299</Characters>
  <Application>Microsoft Office Word</Application>
  <DocSecurity>4</DocSecurity>
  <Lines>332</Lines>
  <Paragraphs>193</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c:title>
  <dc:subject/>
  <dc:creator>SIJ</dc:creator>
  <cp:keywords/>
  <cp:lastModifiedBy>DUY</cp:lastModifiedBy>
  <cp:revision>6</cp:revision>
  <cp:lastPrinted>1998-12-15T09:07:00Z</cp:lastPrinted>
  <dcterms:created xsi:type="dcterms:W3CDTF">1998-12-01T12:43:00Z</dcterms:created>
  <dcterms:modified xsi:type="dcterms:W3CDTF">1998-12-15T09:33:00Z</dcterms:modified>
</cp:coreProperties>
</file>