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2DB1B4B" w14:textId="77777777" w:rsidTr="006A5CC8">
        <w:trPr>
          <w:trHeight w:hRule="exact" w:val="851"/>
        </w:trPr>
        <w:tc>
          <w:tcPr>
            <w:tcW w:w="1280" w:type="dxa"/>
            <w:tcBorders>
              <w:bottom w:val="single" w:sz="4" w:space="0" w:color="auto"/>
            </w:tcBorders>
          </w:tcPr>
          <w:p w14:paraId="4F4B7897" w14:textId="77777777" w:rsidR="002D5AAC" w:rsidRPr="003067C5" w:rsidRDefault="002D5AAC" w:rsidP="006A5CC8">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1D5E1BD7"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E5EB88F" w14:textId="70CDDA04" w:rsidR="002D5AAC" w:rsidRDefault="006A5CC8" w:rsidP="006A5CC8">
            <w:pPr>
              <w:jc w:val="right"/>
            </w:pPr>
            <w:r w:rsidRPr="006A5CC8">
              <w:rPr>
                <w:sz w:val="40"/>
              </w:rPr>
              <w:t>CAT</w:t>
            </w:r>
            <w:r>
              <w:t>/C/DNK/FCO/8</w:t>
            </w:r>
          </w:p>
        </w:tc>
      </w:tr>
      <w:tr w:rsidR="002D5AAC" w14:paraId="2F910E79" w14:textId="77777777" w:rsidTr="006A5CC8">
        <w:trPr>
          <w:trHeight w:hRule="exact" w:val="2835"/>
        </w:trPr>
        <w:tc>
          <w:tcPr>
            <w:tcW w:w="1280" w:type="dxa"/>
            <w:tcBorders>
              <w:top w:val="single" w:sz="4" w:space="0" w:color="auto"/>
              <w:bottom w:val="single" w:sz="12" w:space="0" w:color="auto"/>
            </w:tcBorders>
          </w:tcPr>
          <w:p w14:paraId="3AB2E1D1" w14:textId="77777777" w:rsidR="002D5AAC" w:rsidRDefault="00FD6905" w:rsidP="00462E81">
            <w:pPr>
              <w:spacing w:before="120"/>
              <w:jc w:val="center"/>
            </w:pPr>
            <w:r>
              <w:rPr>
                <w:noProof/>
              </w:rPr>
              <w:drawing>
                <wp:inline distT="0" distB="0" distL="0" distR="0" wp14:anchorId="6C0C97AA" wp14:editId="3A23368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8DD308"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2BDD38E1" w14:textId="77777777" w:rsidR="002D5AAC" w:rsidRDefault="006A5CC8" w:rsidP="00462E81">
            <w:pPr>
              <w:spacing w:before="240"/>
            </w:pPr>
            <w:r>
              <w:t>Distr. general</w:t>
            </w:r>
          </w:p>
          <w:p w14:paraId="4815294E" w14:textId="77777777" w:rsidR="006A5CC8" w:rsidRDefault="006A5CC8" w:rsidP="006A5CC8">
            <w:pPr>
              <w:spacing w:line="240" w:lineRule="exact"/>
            </w:pPr>
            <w:r>
              <w:t>13 de diciembre de 2024</w:t>
            </w:r>
          </w:p>
          <w:p w14:paraId="26BE437E" w14:textId="77777777" w:rsidR="006A5CC8" w:rsidRDefault="006A5CC8" w:rsidP="006A5CC8">
            <w:pPr>
              <w:spacing w:line="240" w:lineRule="exact"/>
            </w:pPr>
            <w:r>
              <w:t>Español</w:t>
            </w:r>
          </w:p>
          <w:p w14:paraId="7CFF8457" w14:textId="77777777" w:rsidR="006A5CC8" w:rsidRDefault="006A5CC8" w:rsidP="006A5CC8">
            <w:pPr>
              <w:spacing w:line="240" w:lineRule="exact"/>
            </w:pPr>
            <w:r>
              <w:t>Original: inglés</w:t>
            </w:r>
          </w:p>
          <w:p w14:paraId="0AE5DE62" w14:textId="676A8761" w:rsidR="008D3B3D" w:rsidRDefault="008D3B3D" w:rsidP="006A5CC8">
            <w:pPr>
              <w:spacing w:line="240" w:lineRule="exact"/>
            </w:pPr>
            <w:r>
              <w:t>Español, francés e inglés únicamente</w:t>
            </w:r>
          </w:p>
        </w:tc>
      </w:tr>
    </w:tbl>
    <w:p w14:paraId="03A29B13" w14:textId="77777777" w:rsidR="006A5CC8" w:rsidRPr="006A5CC8" w:rsidRDefault="006A5CC8" w:rsidP="006A5CC8">
      <w:pPr>
        <w:spacing w:before="120"/>
        <w:rPr>
          <w:b/>
          <w:bCs/>
          <w:sz w:val="24"/>
          <w:szCs w:val="24"/>
          <w:lang w:val="es-ES_tradnl"/>
        </w:rPr>
      </w:pPr>
      <w:r w:rsidRPr="006A5CC8">
        <w:rPr>
          <w:b/>
          <w:bCs/>
          <w:sz w:val="24"/>
          <w:szCs w:val="24"/>
          <w:lang w:val="es-ES_tradnl"/>
        </w:rPr>
        <w:t>Comité contra la Tortura</w:t>
      </w:r>
    </w:p>
    <w:p w14:paraId="1023D696" w14:textId="1402EABE" w:rsidR="006A5CC8" w:rsidRPr="006A5CC8" w:rsidRDefault="006A5CC8" w:rsidP="006A5CC8">
      <w:pPr>
        <w:pStyle w:val="HMG"/>
        <w:rPr>
          <w:lang w:val="es-ES_tradnl"/>
        </w:rPr>
      </w:pPr>
      <w:r>
        <w:rPr>
          <w:lang w:val="es-ES_tradnl"/>
        </w:rPr>
        <w:tab/>
      </w:r>
      <w:r w:rsidRPr="006A5CC8">
        <w:rPr>
          <w:lang w:val="es-ES_tradnl"/>
        </w:rPr>
        <w:tab/>
        <w:t>Información recibida de Dinamarca relativa</w:t>
      </w:r>
      <w:r>
        <w:rPr>
          <w:lang w:val="es-ES_tradnl"/>
        </w:rPr>
        <w:br/>
      </w:r>
      <w:r w:rsidRPr="006A5CC8">
        <w:rPr>
          <w:lang w:val="es-ES_tradnl"/>
        </w:rPr>
        <w:t>al seguimiento de las observaciones finales</w:t>
      </w:r>
      <w:r>
        <w:rPr>
          <w:lang w:val="es-ES_tradnl"/>
        </w:rPr>
        <w:br/>
      </w:r>
      <w:r w:rsidRPr="006A5CC8">
        <w:rPr>
          <w:lang w:val="es-ES_tradnl"/>
        </w:rPr>
        <w:t>sobre su octavo informe periódico</w:t>
      </w:r>
      <w:r w:rsidRPr="006A5CC8">
        <w:rPr>
          <w:rStyle w:val="Refdenotaalpie"/>
          <w:b w:val="0"/>
          <w:bCs/>
          <w:sz w:val="20"/>
          <w:vertAlign w:val="baseline"/>
          <w:lang w:val="es-ES_tradnl"/>
        </w:rPr>
        <w:footnoteReference w:customMarkFollows="1" w:id="1"/>
        <w:t>*</w:t>
      </w:r>
    </w:p>
    <w:p w14:paraId="49EBF230" w14:textId="77777777" w:rsidR="006A5CC8" w:rsidRPr="006A5CC8" w:rsidRDefault="006A5CC8" w:rsidP="006A5CC8">
      <w:pPr>
        <w:pStyle w:val="SingleTxtG"/>
        <w:jc w:val="right"/>
        <w:rPr>
          <w:lang w:val="es-ES_tradnl"/>
        </w:rPr>
      </w:pPr>
      <w:r w:rsidRPr="006A5CC8">
        <w:rPr>
          <w:lang w:val="es-ES_tradnl"/>
        </w:rPr>
        <w:t>[Fecha de recepción: 22 de noviembre de 2024]</w:t>
      </w:r>
    </w:p>
    <w:p w14:paraId="7BB6F007" w14:textId="77777777" w:rsidR="006A5CC8" w:rsidRPr="006A5CC8" w:rsidRDefault="006A5CC8" w:rsidP="006A5CC8">
      <w:pPr>
        <w:pStyle w:val="SingleTxtG"/>
        <w:rPr>
          <w:lang w:val="es-ES_tradnl"/>
        </w:rPr>
      </w:pPr>
      <w:r w:rsidRPr="006A5CC8">
        <w:rPr>
          <w:lang w:val="es-ES_tradnl"/>
        </w:rPr>
        <w:br w:type="page"/>
      </w:r>
    </w:p>
    <w:p w14:paraId="34233F85" w14:textId="073BA69A" w:rsidR="006A5CC8" w:rsidRPr="006A5CC8" w:rsidRDefault="006A5CC8" w:rsidP="006A5CC8">
      <w:pPr>
        <w:pStyle w:val="HChG"/>
        <w:rPr>
          <w:lang w:val="es-ES_tradnl"/>
        </w:rPr>
      </w:pPr>
      <w:r>
        <w:rPr>
          <w:lang w:val="es-ES_tradnl"/>
        </w:rPr>
        <w:lastRenderedPageBreak/>
        <w:tab/>
      </w:r>
      <w:r w:rsidRPr="006A5CC8">
        <w:rPr>
          <w:lang w:val="es-ES_tradnl"/>
        </w:rPr>
        <w:t>I.</w:t>
      </w:r>
      <w:r w:rsidRPr="006A5CC8">
        <w:rPr>
          <w:lang w:val="es-ES_tradnl"/>
        </w:rPr>
        <w:tab/>
        <w:t>Introducción</w:t>
      </w:r>
    </w:p>
    <w:p w14:paraId="47489846" w14:textId="77777777" w:rsidR="006A5CC8" w:rsidRPr="006A5CC8" w:rsidRDefault="006A5CC8" w:rsidP="006A5CC8">
      <w:pPr>
        <w:pStyle w:val="SingleTxtG"/>
        <w:rPr>
          <w:lang w:val="es-ES_tradnl"/>
        </w:rPr>
      </w:pPr>
      <w:r w:rsidRPr="006A5CC8">
        <w:rPr>
          <w:lang w:val="es-ES_tradnl"/>
        </w:rPr>
        <w:t>1.</w:t>
      </w:r>
      <w:r w:rsidRPr="006A5CC8">
        <w:rPr>
          <w:lang w:val="es-ES_tradnl"/>
        </w:rPr>
        <w:tab/>
        <w:t>El Gobierno danés expresa su agradecimiento al Comité contra la Tortura por el diálogo constructivo mantenido los días 8 y 9 de noviembre de 2023 sobre nuestro octavo informe periódico y por las observaciones finales formuladas tras ese diálogo.</w:t>
      </w:r>
    </w:p>
    <w:p w14:paraId="47068FCB" w14:textId="1AEECE4C" w:rsidR="006A5CC8" w:rsidRPr="006A5CC8" w:rsidRDefault="006A5CC8" w:rsidP="006A5CC8">
      <w:pPr>
        <w:pStyle w:val="SingleTxtG"/>
        <w:rPr>
          <w:lang w:val="es-ES_tradnl"/>
        </w:rPr>
      </w:pPr>
      <w:r w:rsidRPr="006A5CC8">
        <w:rPr>
          <w:lang w:val="es-ES_tradnl"/>
        </w:rPr>
        <w:t>2.</w:t>
      </w:r>
      <w:r w:rsidRPr="006A5CC8">
        <w:rPr>
          <w:lang w:val="es-ES_tradnl"/>
        </w:rPr>
        <w:tab/>
        <w:t>En las observaciones finales (CAT/C/DNK/CO/8), aprobadas el 22 de noviembre de</w:t>
      </w:r>
      <w:r w:rsidR="008D3B3D">
        <w:rPr>
          <w:lang w:val="es-ES_tradnl"/>
        </w:rPr>
        <w:t> </w:t>
      </w:r>
      <w:r w:rsidRPr="006A5CC8">
        <w:rPr>
          <w:lang w:val="es-ES_tradnl"/>
        </w:rPr>
        <w:t>2023, el Comité pidió a Dinamarca que proporcionara información de seguimiento en relación con tres recomendaciones específicas (párrafos 19, 25 y 37) relativas al octavo informe periódico (CAT/C/DNK/8). Asimismo, el Comité invitó a Dinamarca a que informara sobre sus planes para aplicar, durante el período correspondiente al siguiente informe, algunas de las demás recomendaciones formuladas en las observaciones finales o todas ellas.</w:t>
      </w:r>
    </w:p>
    <w:p w14:paraId="61C73AD5" w14:textId="16730743" w:rsidR="006A5CC8" w:rsidRPr="006A5CC8" w:rsidRDefault="006A5CC8" w:rsidP="006A5CC8">
      <w:pPr>
        <w:pStyle w:val="SingleTxtG"/>
        <w:rPr>
          <w:lang w:val="es-ES_tradnl"/>
        </w:rPr>
      </w:pPr>
      <w:r w:rsidRPr="006A5CC8">
        <w:rPr>
          <w:lang w:val="es-ES_tradnl"/>
        </w:rPr>
        <w:t>3.</w:t>
      </w:r>
      <w:r w:rsidRPr="006A5CC8">
        <w:rPr>
          <w:lang w:val="es-ES_tradnl"/>
        </w:rPr>
        <w:tab/>
        <w:t>El Gobierno danés presenta su información de seguimiento.</w:t>
      </w:r>
    </w:p>
    <w:p w14:paraId="3328E049" w14:textId="1A98ED57" w:rsidR="006A5CC8" w:rsidRPr="006A5CC8" w:rsidRDefault="006A5CC8" w:rsidP="006A5CC8">
      <w:pPr>
        <w:pStyle w:val="HChG"/>
        <w:rPr>
          <w:lang w:val="es-ES_tradnl"/>
        </w:rPr>
      </w:pPr>
      <w:r w:rsidRPr="006A5CC8">
        <w:rPr>
          <w:lang w:val="es-ES_tradnl"/>
        </w:rPr>
        <w:tab/>
        <w:t>II.</w:t>
      </w:r>
      <w:r w:rsidRPr="006A5CC8">
        <w:rPr>
          <w:lang w:val="es-ES_tradnl"/>
        </w:rPr>
        <w:tab/>
        <w:t>Información de seguimiento de las observaciones finales (CAT/C/DNK/CO/8)</w:t>
      </w:r>
    </w:p>
    <w:p w14:paraId="4231215E" w14:textId="77D5D062" w:rsidR="006A5CC8" w:rsidRPr="006A5CC8" w:rsidRDefault="006A5CC8" w:rsidP="006A5CC8">
      <w:pPr>
        <w:pStyle w:val="H1G"/>
        <w:rPr>
          <w:lang w:val="es-ES_tradnl"/>
        </w:rPr>
      </w:pPr>
      <w:r>
        <w:rPr>
          <w:lang w:val="es-ES_tradnl"/>
        </w:rPr>
        <w:tab/>
      </w:r>
      <w:r w:rsidRPr="006A5CC8">
        <w:rPr>
          <w:lang w:val="es-ES_tradnl"/>
        </w:rPr>
        <w:tab/>
        <w:t>Condiciones de reclusión</w:t>
      </w:r>
    </w:p>
    <w:p w14:paraId="71D9EC9C" w14:textId="2B743ACE" w:rsidR="006A5CC8" w:rsidRPr="006A5CC8" w:rsidRDefault="006A5CC8" w:rsidP="006A5CC8">
      <w:pPr>
        <w:pStyle w:val="H1G"/>
        <w:rPr>
          <w:lang w:val="es-ES_tradnl"/>
        </w:rPr>
      </w:pPr>
      <w:r>
        <w:rPr>
          <w:lang w:val="es-ES_tradnl"/>
        </w:rPr>
        <w:tab/>
      </w:r>
      <w:r w:rsidRPr="006A5CC8">
        <w:rPr>
          <w:lang w:val="es-ES_tradnl"/>
        </w:rPr>
        <w:t>A.</w:t>
      </w:r>
      <w:r w:rsidRPr="006A5CC8">
        <w:rPr>
          <w:lang w:val="es-ES_tradnl"/>
        </w:rPr>
        <w:tab/>
        <w:t>Información de seguimiento relativa al párrafo 19 a)</w:t>
      </w:r>
      <w:r w:rsidR="008D3B3D">
        <w:rPr>
          <w:lang w:val="es-ES_tradnl"/>
        </w:rPr>
        <w:br/>
      </w:r>
      <w:r w:rsidRPr="006A5CC8">
        <w:rPr>
          <w:lang w:val="es-ES_tradnl"/>
        </w:rPr>
        <w:t>de las observaciones finales</w:t>
      </w:r>
    </w:p>
    <w:p w14:paraId="5057183A" w14:textId="318AB4D3" w:rsidR="006A5CC8" w:rsidRPr="006A5CC8" w:rsidRDefault="006A5CC8" w:rsidP="006A5CC8">
      <w:pPr>
        <w:pStyle w:val="H23G"/>
        <w:rPr>
          <w:lang w:val="es-ES_tradnl"/>
        </w:rPr>
      </w:pPr>
      <w:r>
        <w:rPr>
          <w:lang w:val="es-ES_tradnl"/>
        </w:rPr>
        <w:tab/>
      </w:r>
      <w:r w:rsidRPr="006A5CC8">
        <w:rPr>
          <w:lang w:val="es-ES_tradnl"/>
        </w:rPr>
        <w:tab/>
        <w:t>Contribución relativa a las condiciones de hacinamiento</w:t>
      </w:r>
    </w:p>
    <w:p w14:paraId="38495724" w14:textId="192B8282" w:rsidR="006A5CC8" w:rsidRPr="006A5CC8" w:rsidRDefault="006A5CC8" w:rsidP="006A5CC8">
      <w:pPr>
        <w:pStyle w:val="SingleTxtG"/>
        <w:rPr>
          <w:lang w:val="es-ES_tradnl"/>
        </w:rPr>
      </w:pPr>
      <w:r w:rsidRPr="006A5CC8">
        <w:rPr>
          <w:lang w:val="es-ES_tradnl"/>
        </w:rPr>
        <w:t>4.</w:t>
      </w:r>
      <w:r w:rsidRPr="006A5CC8">
        <w:rPr>
          <w:lang w:val="es-ES_tradnl"/>
        </w:rPr>
        <w:tab/>
        <w:t>Durante años, el Servicio de Prisiones y Libertad Condicional danés ha tenido que lidiar con el problema del elevado número de reclusos. Para dar respuesta al crecimiento de la población reclusa, desde 2015 se ha ampliado significativamente la capacidad, pese a lo cual el índice de ocupación en 2024 (del 1 de enero al 11 de octubre) se situó en el 100,9</w:t>
      </w:r>
      <w:r w:rsidR="001D4725">
        <w:rPr>
          <w:lang w:val="es-ES_tradnl"/>
        </w:rPr>
        <w:t xml:space="preserve"> </w:t>
      </w:r>
      <w:r w:rsidRPr="006A5CC8">
        <w:rPr>
          <w:lang w:val="es-ES_tradnl"/>
        </w:rPr>
        <w:t>% en el conjunto del país. Así las cosas, el acuerdo plurianual del Servicio de Prisiones y Libertad Condicional danés para el período 2022-2025 prevé una serie de ampliaciones que, en conjunto, permitirán incrementar la capacidad en Dinamarca con la incorporación de 326</w:t>
      </w:r>
      <w:r w:rsidR="001D4725">
        <w:rPr>
          <w:lang w:val="es-ES_tradnl"/>
        </w:rPr>
        <w:t> </w:t>
      </w:r>
      <w:r w:rsidRPr="006A5CC8">
        <w:rPr>
          <w:lang w:val="es-ES_tradnl"/>
        </w:rPr>
        <w:t>celdas adicionales durante el período al que se refiere al acuerdo. Asimismo, se han firmado acuerdos para arrendar 300 celdas en Kosovo, ampliar el centro de prisión preventiva que se prevé construir en Slagelse de 200 a 400 celdas y construir una nueva y moderna prisión dotada con hasta 400 celdas. Cabe señalar que la apertura de las nuevas plazas presupone un incremento del número de funcionarios de prisiones.</w:t>
      </w:r>
    </w:p>
    <w:p w14:paraId="70A0D365" w14:textId="3147C258" w:rsidR="006A5CC8" w:rsidRPr="006A5CC8" w:rsidRDefault="006A5CC8" w:rsidP="006A5CC8">
      <w:pPr>
        <w:pStyle w:val="H23G"/>
        <w:rPr>
          <w:lang w:val="es-ES_tradnl"/>
        </w:rPr>
      </w:pPr>
      <w:r>
        <w:rPr>
          <w:lang w:val="es-ES_tradnl"/>
        </w:rPr>
        <w:tab/>
      </w:r>
      <w:r w:rsidRPr="006A5CC8">
        <w:rPr>
          <w:lang w:val="es-ES_tradnl"/>
        </w:rPr>
        <w:tab/>
        <w:t>Contribución relativa a la contratación de personal</w:t>
      </w:r>
    </w:p>
    <w:p w14:paraId="64DAC94B" w14:textId="77777777" w:rsidR="006A5CC8" w:rsidRPr="006A5CC8" w:rsidRDefault="006A5CC8" w:rsidP="006A5CC8">
      <w:pPr>
        <w:pStyle w:val="SingleTxtG"/>
        <w:rPr>
          <w:lang w:val="es-ES_tradnl"/>
        </w:rPr>
      </w:pPr>
      <w:r w:rsidRPr="006A5CC8">
        <w:rPr>
          <w:lang w:val="es-ES_tradnl"/>
        </w:rPr>
        <w:t>5.</w:t>
      </w:r>
      <w:r w:rsidRPr="006A5CC8">
        <w:rPr>
          <w:lang w:val="es-ES_tradnl"/>
        </w:rPr>
        <w:tab/>
        <w:t>Se han puesto en práctica varias medidas destinadas a reforzar la contratación y la retención del personal, como, por ejemplo, el pago del salario íntegro durante la formación, la reducción del período de formación para los solicitantes cualificados, incrementos salariales para el personal uniformado, etc. Asimismo, se han aplicado distintas medidas encaminadas a mejorar la retención del personal, como la supervisión de todos los trabajadores de primera línea, el establecimiento de un cuerpo de psicólogos para evitar la acumulación de estrés y el trastorno por estrés postraumático, el refuerzo del desarrollo de aptitudes y la formación continua de todos los miembros del personal, entre otras.</w:t>
      </w:r>
    </w:p>
    <w:p w14:paraId="386928F9" w14:textId="77777777" w:rsidR="006A5CC8" w:rsidRPr="006A5CC8" w:rsidRDefault="006A5CC8" w:rsidP="006A5CC8">
      <w:pPr>
        <w:pStyle w:val="SingleTxtG"/>
        <w:rPr>
          <w:lang w:val="es-ES_tradnl"/>
        </w:rPr>
      </w:pPr>
      <w:r w:rsidRPr="006A5CC8">
        <w:rPr>
          <w:lang w:val="es-ES_tradnl"/>
        </w:rPr>
        <w:t>6.</w:t>
      </w:r>
      <w:r w:rsidRPr="006A5CC8">
        <w:rPr>
          <w:lang w:val="es-ES_tradnl"/>
        </w:rPr>
        <w:tab/>
        <w:t>Desde 2023 se ha producido un ligero aumento de los efectivos.</w:t>
      </w:r>
    </w:p>
    <w:p w14:paraId="3555B36C" w14:textId="1E6D8071" w:rsidR="006A5CC8" w:rsidRPr="006A5CC8" w:rsidRDefault="006A5CC8" w:rsidP="006A5CC8">
      <w:pPr>
        <w:pStyle w:val="H1G"/>
        <w:rPr>
          <w:lang w:val="es-ES_tradnl"/>
        </w:rPr>
      </w:pPr>
      <w:r w:rsidRPr="006A5CC8">
        <w:rPr>
          <w:lang w:val="es-ES_tradnl"/>
        </w:rPr>
        <w:tab/>
        <w:t>B.</w:t>
      </w:r>
      <w:r w:rsidRPr="006A5CC8">
        <w:rPr>
          <w:lang w:val="es-ES_tradnl"/>
        </w:rPr>
        <w:tab/>
        <w:t>Información de seguimiento relativa al párrafo 19 b)</w:t>
      </w:r>
      <w:r w:rsidR="001D4725">
        <w:rPr>
          <w:lang w:val="es-ES_tradnl"/>
        </w:rPr>
        <w:br/>
      </w:r>
      <w:r w:rsidRPr="006A5CC8">
        <w:rPr>
          <w:lang w:val="es-ES_tradnl"/>
        </w:rPr>
        <w:t>de las observaciones finales</w:t>
      </w:r>
    </w:p>
    <w:p w14:paraId="33D0FD58" w14:textId="77777777" w:rsidR="006A5CC8" w:rsidRPr="006A5CC8" w:rsidRDefault="006A5CC8" w:rsidP="006A5CC8">
      <w:pPr>
        <w:pStyle w:val="SingleTxtG"/>
        <w:rPr>
          <w:lang w:val="es-ES_tradnl"/>
        </w:rPr>
      </w:pPr>
      <w:r w:rsidRPr="006A5CC8">
        <w:rPr>
          <w:lang w:val="es-ES_tradnl"/>
        </w:rPr>
        <w:t>7.</w:t>
      </w:r>
      <w:r w:rsidRPr="006A5CC8">
        <w:rPr>
          <w:lang w:val="es-ES_tradnl"/>
        </w:rPr>
        <w:tab/>
        <w:t>El Gobierno danés está examinando actualmente el uso de la prisión preventiva en el marco de una reforma de la justicia penal.</w:t>
      </w:r>
    </w:p>
    <w:p w14:paraId="7393DAE7" w14:textId="19670451" w:rsidR="006A5CC8" w:rsidRPr="006A5CC8" w:rsidRDefault="006A5CC8" w:rsidP="006A5CC8">
      <w:pPr>
        <w:pStyle w:val="H1G"/>
        <w:rPr>
          <w:lang w:val="es-ES_tradnl"/>
        </w:rPr>
      </w:pPr>
      <w:r>
        <w:rPr>
          <w:lang w:val="es-ES_tradnl"/>
        </w:rPr>
        <w:lastRenderedPageBreak/>
        <w:tab/>
      </w:r>
      <w:r w:rsidRPr="006A5CC8">
        <w:rPr>
          <w:lang w:val="es-ES_tradnl"/>
        </w:rPr>
        <w:t>C.</w:t>
      </w:r>
      <w:r w:rsidRPr="006A5CC8">
        <w:rPr>
          <w:lang w:val="es-ES_tradnl"/>
        </w:rPr>
        <w:tab/>
        <w:t>Información de seguimiento relativa al párrafo 19 c)</w:t>
      </w:r>
      <w:r w:rsidR="001D4725">
        <w:rPr>
          <w:lang w:val="es-ES_tradnl"/>
        </w:rPr>
        <w:br/>
      </w:r>
      <w:r w:rsidRPr="006A5CC8">
        <w:rPr>
          <w:lang w:val="es-ES_tradnl"/>
        </w:rPr>
        <w:t>de las observaciones finales</w:t>
      </w:r>
    </w:p>
    <w:p w14:paraId="0A41CA21" w14:textId="77777777" w:rsidR="006A5CC8" w:rsidRPr="006A5CC8" w:rsidRDefault="006A5CC8" w:rsidP="006A5CC8">
      <w:pPr>
        <w:pStyle w:val="SingleTxtG"/>
        <w:rPr>
          <w:lang w:val="es-ES_tradnl"/>
        </w:rPr>
      </w:pPr>
      <w:r w:rsidRPr="006A5CC8">
        <w:rPr>
          <w:lang w:val="es-ES_tradnl"/>
        </w:rPr>
        <w:t>8.</w:t>
      </w:r>
      <w:r w:rsidRPr="006A5CC8">
        <w:rPr>
          <w:lang w:val="es-ES_tradnl"/>
        </w:rPr>
        <w:tab/>
        <w:t>El Servicio de Prisiones y Libertad Condicional de Dinamarca se esfuerza por mantener la separación entre los presos preventivos y los condenados. Sin embargo, las condiciones de hacinamiento y la falta de personal penitenciario hacen que, en determinadas situaciones, el Servicio de Prisiones se vea obligado a no respetar el principio de separación de los presos preventivos y los condenados. Además, un recluso penado puede ser internado en un centro de prisión preventiva como parte de un traslado disciplinario o por motivos específicos.</w:t>
      </w:r>
    </w:p>
    <w:p w14:paraId="18F4115B" w14:textId="77777777" w:rsidR="006A5CC8" w:rsidRPr="006A5CC8" w:rsidRDefault="006A5CC8" w:rsidP="006A5CC8">
      <w:pPr>
        <w:pStyle w:val="SingleTxtG"/>
        <w:rPr>
          <w:lang w:val="es-ES_tradnl"/>
        </w:rPr>
      </w:pPr>
      <w:r w:rsidRPr="006A5CC8">
        <w:rPr>
          <w:lang w:val="es-ES_tradnl"/>
        </w:rPr>
        <w:t>9.</w:t>
      </w:r>
      <w:r w:rsidRPr="006A5CC8">
        <w:rPr>
          <w:lang w:val="es-ES_tradnl"/>
        </w:rPr>
        <w:tab/>
        <w:t>Los reclusos en centros de prisión preventiva, así como los internados en establecimientos penitenciarios de régimen abierto y cerrado, tienen acceso a actividades educativas, laborales y recreativas. Sin embargo, el acceso a estas actividades está más limitado en los centros de prisión preventiva y en los establecimientos de régimen cerrado que en las prisiones de régimen abierto, debido, por ejemplo, a las restricciones a la interacción de los presos preventivos con otros reclusos o a motivos de seguridad. La dotación de personal también puede incidir en dicho acceso.</w:t>
      </w:r>
    </w:p>
    <w:p w14:paraId="664AA0D4" w14:textId="2130B62D" w:rsidR="006A5CC8" w:rsidRPr="006A5CC8" w:rsidRDefault="006A5CC8" w:rsidP="006A5CC8">
      <w:pPr>
        <w:pStyle w:val="H1G"/>
        <w:rPr>
          <w:lang w:val="es-ES_tradnl"/>
        </w:rPr>
      </w:pPr>
      <w:r w:rsidRPr="006A5CC8">
        <w:rPr>
          <w:lang w:val="es-ES_tradnl"/>
        </w:rPr>
        <w:tab/>
        <w:t>D.</w:t>
      </w:r>
      <w:r w:rsidRPr="006A5CC8">
        <w:rPr>
          <w:lang w:val="es-ES_tradnl"/>
        </w:rPr>
        <w:tab/>
        <w:t>Información de seguimiento relativa al párrafo 19 d)</w:t>
      </w:r>
      <w:r w:rsidR="001D4725">
        <w:rPr>
          <w:lang w:val="es-ES_tradnl"/>
        </w:rPr>
        <w:br/>
      </w:r>
      <w:r w:rsidRPr="006A5CC8">
        <w:rPr>
          <w:lang w:val="es-ES_tradnl"/>
        </w:rPr>
        <w:t xml:space="preserve">de las observaciones finales </w:t>
      </w:r>
    </w:p>
    <w:p w14:paraId="5808DDE0" w14:textId="77777777" w:rsidR="006A5CC8" w:rsidRPr="006A5CC8" w:rsidRDefault="006A5CC8" w:rsidP="006A5CC8">
      <w:pPr>
        <w:pStyle w:val="SingleTxtG"/>
        <w:rPr>
          <w:lang w:val="es-ES_tradnl"/>
        </w:rPr>
      </w:pPr>
      <w:r w:rsidRPr="006A5CC8">
        <w:rPr>
          <w:lang w:val="es-ES_tradnl"/>
        </w:rPr>
        <w:t>10.</w:t>
      </w:r>
      <w:r w:rsidRPr="006A5CC8">
        <w:rPr>
          <w:lang w:val="es-ES_tradnl"/>
        </w:rPr>
        <w:tab/>
        <w:t>En agosto de 2024, un comité integrado por funcionarios de prisiones y asociaciones de abogados y familiares de reclusos concluyó un análisis y una evaluación del ámbito mencionado en dicho párrafo. Se ha empezado a implementar un sistema informatizado de reserva de visitas y a mejorar la información escrita que se entrega a los reclusos y los visitantes. El Servicio de Prisiones examinará la posibilidad de aplicar el resto de recomendaciones e iniciativas en 2025.</w:t>
      </w:r>
    </w:p>
    <w:p w14:paraId="6734B3B0" w14:textId="24DB951A" w:rsidR="006A5CC8" w:rsidRPr="006A5CC8" w:rsidRDefault="006A5CC8" w:rsidP="006A5CC8">
      <w:pPr>
        <w:pStyle w:val="H1G"/>
        <w:rPr>
          <w:lang w:val="es-ES_tradnl"/>
        </w:rPr>
      </w:pPr>
      <w:r w:rsidRPr="006A5CC8">
        <w:rPr>
          <w:lang w:val="es-ES_tradnl"/>
        </w:rPr>
        <w:tab/>
        <w:t>E.</w:t>
      </w:r>
      <w:r w:rsidRPr="006A5CC8">
        <w:rPr>
          <w:lang w:val="es-ES_tradnl"/>
        </w:rPr>
        <w:tab/>
        <w:t>Información de seguimiento relativa al párrafo 19 e)</w:t>
      </w:r>
      <w:r w:rsidR="001D4725">
        <w:rPr>
          <w:lang w:val="es-ES_tradnl"/>
        </w:rPr>
        <w:br/>
      </w:r>
      <w:r w:rsidRPr="006A5CC8">
        <w:rPr>
          <w:lang w:val="es-ES_tradnl"/>
        </w:rPr>
        <w:t>de las observaciones finales</w:t>
      </w:r>
    </w:p>
    <w:p w14:paraId="6BDE548E" w14:textId="77777777" w:rsidR="006A5CC8" w:rsidRPr="006A5CC8" w:rsidRDefault="006A5CC8" w:rsidP="006A5CC8">
      <w:pPr>
        <w:pStyle w:val="SingleTxtG"/>
        <w:rPr>
          <w:lang w:val="es-ES_tradnl"/>
        </w:rPr>
      </w:pPr>
      <w:r w:rsidRPr="006A5CC8">
        <w:rPr>
          <w:lang w:val="es-ES_tradnl"/>
        </w:rPr>
        <w:t>11.</w:t>
      </w:r>
      <w:r w:rsidRPr="006A5CC8">
        <w:rPr>
          <w:lang w:val="es-ES_tradnl"/>
        </w:rPr>
        <w:tab/>
        <w:t>Cuando un centro penitenciario o de prisión preventiva recibe nuevos internos, se aplica un protocolo preestablecido. En el plazo de siete días hábiles tras el ingreso de un interno en un centro de prisión preventiva y de diez días hábiles en el caso de un ingreso en prisión, el interno debe recibir información por escrito sobre la prisión preventiva o el cumplimiento de penas de privación de libertad. Se informa a los internos sobre las normas más importantes aplicables a las personas detenidas e internadas en prisión preventiva o a las personas que cumplen una pena de privación de libertad. Esto incluye información sobre sus derechos y responsabilidades, por ejemplo el derecho a recibir visitas y a desarrollar actividades laborales, educativas u otras que se autoricen. La información escrita se traduce a 16 idiomas y se encuentra en proceso de actualización.</w:t>
      </w:r>
    </w:p>
    <w:p w14:paraId="4B5EC1D3" w14:textId="202D5907" w:rsidR="006A5CC8" w:rsidRPr="006A5CC8" w:rsidRDefault="006A5CC8" w:rsidP="006A5CC8">
      <w:pPr>
        <w:pStyle w:val="H1G"/>
        <w:rPr>
          <w:lang w:val="es-ES_tradnl"/>
        </w:rPr>
      </w:pPr>
      <w:r w:rsidRPr="006A5CC8">
        <w:rPr>
          <w:lang w:val="es-ES_tradnl"/>
        </w:rPr>
        <w:tab/>
        <w:t>F.</w:t>
      </w:r>
      <w:r w:rsidRPr="006A5CC8">
        <w:rPr>
          <w:lang w:val="es-ES_tradnl"/>
        </w:rPr>
        <w:tab/>
        <w:t>Información de seguimiento relativa al párrafo 19 f)</w:t>
      </w:r>
      <w:r w:rsidR="001D4725">
        <w:rPr>
          <w:lang w:val="es-ES_tradnl"/>
        </w:rPr>
        <w:br/>
      </w:r>
      <w:r w:rsidRPr="006A5CC8">
        <w:rPr>
          <w:lang w:val="es-ES_tradnl"/>
        </w:rPr>
        <w:t>de las observaciones finales</w:t>
      </w:r>
    </w:p>
    <w:p w14:paraId="0D3E8769" w14:textId="06BD298E" w:rsidR="006A5CC8" w:rsidRPr="006A5CC8" w:rsidRDefault="006A5CC8" w:rsidP="006A5CC8">
      <w:pPr>
        <w:pStyle w:val="SingleTxtG"/>
        <w:rPr>
          <w:lang w:val="es-ES_tradnl"/>
        </w:rPr>
      </w:pPr>
      <w:r w:rsidRPr="006A5CC8">
        <w:rPr>
          <w:lang w:val="es-ES_tradnl"/>
        </w:rPr>
        <w:t>12.</w:t>
      </w:r>
      <w:r w:rsidRPr="006A5CC8">
        <w:rPr>
          <w:lang w:val="es-ES_tradnl"/>
        </w:rPr>
        <w:tab/>
        <w:t>Con arreglo a la legislación danesa, el personal de instituciones penitenciarias está autorizado a realizar registros corporales sin ropa de los detenidos sin orden judicial cuando esto se considera necesario para garantizar la seguridad en el centro o para evitar disturbios o la comisión de delitos. En los establecimientos de alto riesgo (las prisiones en régimen cerrado y los centros de prisión preventiva), es práctica habitual realizar un registro sin ropa cuando el recluso recibe una visita o cuando los funcionarios lo trasladan fuera de la prisión. Según el artículo 60 de la Ley de Ejecución de Penas, los registros corporales sin ropa han de ser proporcionados y deben realizarse con delicadeza y en presencia de funcionarios de prisiones del mismo sexo que el detenido exclusivamente.</w:t>
      </w:r>
    </w:p>
    <w:p w14:paraId="32DD6CC2" w14:textId="77777777" w:rsidR="006A5CC8" w:rsidRPr="006A5CC8" w:rsidRDefault="006A5CC8" w:rsidP="006A5CC8">
      <w:pPr>
        <w:pStyle w:val="SingleTxtG"/>
        <w:rPr>
          <w:lang w:val="es-ES_tradnl"/>
        </w:rPr>
      </w:pPr>
      <w:r w:rsidRPr="006A5CC8">
        <w:rPr>
          <w:lang w:val="es-ES_tradnl"/>
        </w:rPr>
        <w:t>13.</w:t>
      </w:r>
      <w:r w:rsidRPr="006A5CC8">
        <w:rPr>
          <w:lang w:val="es-ES_tradnl"/>
        </w:rPr>
        <w:tab/>
        <w:t>El Servicio de Prisiones y Libertad Condicional tiene previsto publicar un documento con las directrices nacionales sobre el procedimiento de los registros sin ropa en 2025.</w:t>
      </w:r>
    </w:p>
    <w:p w14:paraId="73A22F5B" w14:textId="07E714D8" w:rsidR="006A5CC8" w:rsidRPr="006A5CC8" w:rsidRDefault="006A5CC8" w:rsidP="006A5CC8">
      <w:pPr>
        <w:pStyle w:val="H1G"/>
        <w:rPr>
          <w:lang w:val="es-ES_tradnl"/>
        </w:rPr>
      </w:pPr>
      <w:r w:rsidRPr="006A5CC8">
        <w:rPr>
          <w:lang w:val="es-ES_tradnl"/>
        </w:rPr>
        <w:lastRenderedPageBreak/>
        <w:tab/>
        <w:t>G.</w:t>
      </w:r>
      <w:r w:rsidRPr="006A5CC8">
        <w:rPr>
          <w:lang w:val="es-ES_tradnl"/>
        </w:rPr>
        <w:tab/>
        <w:t>Información de seguimiento relativa al párrafo 19 g)</w:t>
      </w:r>
      <w:r w:rsidR="001D4725">
        <w:rPr>
          <w:lang w:val="es-ES_tradnl"/>
        </w:rPr>
        <w:br/>
      </w:r>
      <w:r w:rsidRPr="006A5CC8">
        <w:rPr>
          <w:lang w:val="es-ES_tradnl"/>
        </w:rPr>
        <w:t>de las observaciones finales</w:t>
      </w:r>
    </w:p>
    <w:p w14:paraId="2FFFB0F1" w14:textId="47176441" w:rsidR="006A5CC8" w:rsidRPr="006A5CC8" w:rsidRDefault="006A5CC8" w:rsidP="006A5CC8">
      <w:pPr>
        <w:pStyle w:val="SingleTxtG"/>
        <w:rPr>
          <w:lang w:val="es-ES_tradnl"/>
        </w:rPr>
      </w:pPr>
      <w:r w:rsidRPr="006A5CC8">
        <w:rPr>
          <w:lang w:val="es-ES_tradnl"/>
        </w:rPr>
        <w:t>14.</w:t>
      </w:r>
      <w:r w:rsidRPr="006A5CC8">
        <w:rPr>
          <w:lang w:val="es-ES_tradnl"/>
        </w:rPr>
        <w:tab/>
        <w:t>Durante el procedimiento de ingreso, los presos preventivos, los presos condenados y los extranjeros en situación de detención administrativa son sometidos a un cribado psiquiátrico preliminar llevado a cabo por los funcionarios de prisiones y a un examen médico adicional realizado por personal de enfermería. El objetivo del examen médico es detectar problemas físicos o psiquiátricos y, en su caso, remitir al recluso a los servicios de atención de la salud pertinentes.</w:t>
      </w:r>
    </w:p>
    <w:p w14:paraId="7F33E331" w14:textId="77777777" w:rsidR="006A5CC8" w:rsidRPr="006A5CC8" w:rsidRDefault="006A5CC8" w:rsidP="006A5CC8">
      <w:pPr>
        <w:pStyle w:val="SingleTxtG"/>
        <w:rPr>
          <w:lang w:val="es-ES_tradnl"/>
        </w:rPr>
      </w:pPr>
      <w:r w:rsidRPr="006A5CC8">
        <w:rPr>
          <w:lang w:val="es-ES_tradnl"/>
        </w:rPr>
        <w:t>15.</w:t>
      </w:r>
      <w:r w:rsidRPr="006A5CC8">
        <w:rPr>
          <w:lang w:val="es-ES_tradnl"/>
        </w:rPr>
        <w:tab/>
        <w:t>Las unidades locales de atención de la salud que existen en los centros penitenciarios, en los establecimientos de prisión preventiva y en los centros de expulsión realizan funciones de atención de la salud de los reclusos o detenidos similares a las de un médico generalista. En todos los centros penitenciarios, de prisión preventiva y de expulsión, el Servicio de Prisiones cuenta con psiquiatras en plantilla o asociados que evalúan y tratan a los reclusos con problemas psiquiátricos. Si un recluso o detenido necesita un tratamiento que no está disponible en la unidad local de atención de la salud, la persona será remitida a un hospital u otro centro de atención sanitaria adecuado fuera del establecimiento penitenciario para ser tratada.</w:t>
      </w:r>
    </w:p>
    <w:p w14:paraId="049FC03F" w14:textId="370D55F7" w:rsidR="006A5CC8" w:rsidRPr="006A5CC8" w:rsidRDefault="006A5CC8" w:rsidP="006A5CC8">
      <w:pPr>
        <w:pStyle w:val="H1G"/>
        <w:rPr>
          <w:lang w:val="es-ES_tradnl"/>
        </w:rPr>
      </w:pPr>
      <w:r>
        <w:rPr>
          <w:lang w:val="es-ES_tradnl"/>
        </w:rPr>
        <w:tab/>
      </w:r>
      <w:r w:rsidRPr="006A5CC8">
        <w:rPr>
          <w:lang w:val="es-ES_tradnl"/>
        </w:rPr>
        <w:tab/>
        <w:t>Detención de migrantes</w:t>
      </w:r>
    </w:p>
    <w:p w14:paraId="7F9EE4A9" w14:textId="01B1B301" w:rsidR="006A5CC8" w:rsidRPr="006A5CC8" w:rsidRDefault="006A5CC8" w:rsidP="006A5CC8">
      <w:pPr>
        <w:pStyle w:val="H1G"/>
        <w:rPr>
          <w:lang w:val="es-ES_tradnl"/>
        </w:rPr>
      </w:pPr>
      <w:r w:rsidRPr="006A5CC8">
        <w:rPr>
          <w:lang w:val="es-ES_tradnl"/>
        </w:rPr>
        <w:tab/>
        <w:t>H.</w:t>
      </w:r>
      <w:r w:rsidRPr="006A5CC8">
        <w:rPr>
          <w:lang w:val="es-ES_tradnl"/>
        </w:rPr>
        <w:tab/>
        <w:t>Información de seguimiento relativa al párrafo 25</w:t>
      </w:r>
      <w:r w:rsidR="001D4725">
        <w:rPr>
          <w:lang w:val="es-ES_tradnl"/>
        </w:rPr>
        <w:br/>
      </w:r>
      <w:r w:rsidRPr="006A5CC8">
        <w:rPr>
          <w:lang w:val="es-ES_tradnl"/>
        </w:rPr>
        <w:t>de las observaciones finales</w:t>
      </w:r>
    </w:p>
    <w:p w14:paraId="0DB714F1" w14:textId="192CD00F" w:rsidR="006A5CC8" w:rsidRPr="006A5CC8" w:rsidRDefault="006A5CC8" w:rsidP="006A5CC8">
      <w:pPr>
        <w:pStyle w:val="SingleTxtG"/>
        <w:rPr>
          <w:lang w:val="es-ES_tradnl"/>
        </w:rPr>
      </w:pPr>
      <w:r w:rsidRPr="006A5CC8">
        <w:rPr>
          <w:lang w:val="es-ES_tradnl"/>
        </w:rPr>
        <w:t>16.</w:t>
      </w:r>
      <w:r w:rsidRPr="006A5CC8">
        <w:rPr>
          <w:lang w:val="es-ES_tradnl"/>
        </w:rPr>
        <w:tab/>
        <w:t>En Dinamarca, la detención con fines de devolución solo se aplica con arreglo a lo previsto en la Ley de Devolución danesa.</w:t>
      </w:r>
    </w:p>
    <w:p w14:paraId="43AB2A9B" w14:textId="31DC402E" w:rsidR="006A5CC8" w:rsidRPr="006A5CC8" w:rsidRDefault="006A5CC8" w:rsidP="006A5CC8">
      <w:pPr>
        <w:pStyle w:val="SingleTxtG"/>
        <w:rPr>
          <w:lang w:val="es-ES_tradnl"/>
        </w:rPr>
      </w:pPr>
      <w:r w:rsidRPr="006A5CC8">
        <w:rPr>
          <w:lang w:val="es-ES_tradnl"/>
        </w:rPr>
        <w:t>17.</w:t>
      </w:r>
      <w:r w:rsidRPr="006A5CC8">
        <w:rPr>
          <w:lang w:val="es-ES_tradnl"/>
        </w:rPr>
        <w:tab/>
        <w:t>De conformidad con las especificaciones de dicha ley, la detención solo puede</w:t>
      </w:r>
      <w:r w:rsidR="001D4725">
        <w:rPr>
          <w:lang w:val="es-ES_tradnl"/>
        </w:rPr>
        <w:t> </w:t>
      </w:r>
      <w:r w:rsidRPr="006A5CC8">
        <w:rPr>
          <w:lang w:val="es-ES_tradnl"/>
        </w:rPr>
        <w:t>utilizarse con este fin si es necesaria para garantizar que pueda realizarse la devolución —por ejemplo, por el riesgo de fuga— y si se considera que la adopción de medidas menos coercitivas sería insuficiente para garantizarla.</w:t>
      </w:r>
    </w:p>
    <w:p w14:paraId="188E59F9" w14:textId="77777777" w:rsidR="006A5CC8" w:rsidRPr="006A5CC8" w:rsidRDefault="006A5CC8" w:rsidP="006A5CC8">
      <w:pPr>
        <w:pStyle w:val="SingleTxtG"/>
        <w:rPr>
          <w:lang w:val="es-ES_tradnl"/>
        </w:rPr>
      </w:pPr>
      <w:r w:rsidRPr="006A5CC8">
        <w:rPr>
          <w:lang w:val="es-ES_tradnl"/>
        </w:rPr>
        <w:t>18.</w:t>
      </w:r>
      <w:r w:rsidRPr="006A5CC8">
        <w:rPr>
          <w:lang w:val="es-ES_tradnl"/>
        </w:rPr>
        <w:tab/>
        <w:t>La decisión de detener a una persona y la duración de la detención están sujetas a la revisión de un tribunal de justicia.</w:t>
      </w:r>
    </w:p>
    <w:p w14:paraId="281E5AE2" w14:textId="77777777" w:rsidR="006A5CC8" w:rsidRPr="006A5CC8" w:rsidRDefault="006A5CC8" w:rsidP="006A5CC8">
      <w:pPr>
        <w:pStyle w:val="SingleTxtG"/>
        <w:rPr>
          <w:lang w:val="es-ES_tradnl"/>
        </w:rPr>
      </w:pPr>
      <w:r w:rsidRPr="006A5CC8">
        <w:rPr>
          <w:lang w:val="es-ES_tradnl"/>
        </w:rPr>
        <w:t>19.</w:t>
      </w:r>
      <w:r w:rsidRPr="006A5CC8">
        <w:rPr>
          <w:lang w:val="es-ES_tradnl"/>
        </w:rPr>
        <w:tab/>
        <w:t>Si el detenido no es puesto en libertad en el plazo de 72 horas, la decisión de proceder a la detención será revisada por un tribunal de justicia. El tribunal asignará al detenido un abogado y se pronunciará sobre la legalidad de la detención.</w:t>
      </w:r>
    </w:p>
    <w:p w14:paraId="2F915723" w14:textId="77777777" w:rsidR="006A5CC8" w:rsidRPr="006A5CC8" w:rsidRDefault="006A5CC8" w:rsidP="006A5CC8">
      <w:pPr>
        <w:pStyle w:val="SingleTxtG"/>
        <w:rPr>
          <w:lang w:val="es-ES_tradnl"/>
        </w:rPr>
      </w:pPr>
      <w:r w:rsidRPr="006A5CC8">
        <w:rPr>
          <w:lang w:val="es-ES_tradnl"/>
        </w:rPr>
        <w:t>20.</w:t>
      </w:r>
      <w:r w:rsidRPr="006A5CC8">
        <w:rPr>
          <w:lang w:val="es-ES_tradnl"/>
        </w:rPr>
        <w:tab/>
        <w:t>Si se confirma la detención, el tribunal deberá establecer su duración, que podrá prorrogar posteriormente por un máximo de cuatro semanas cada vez.</w:t>
      </w:r>
    </w:p>
    <w:p w14:paraId="75C894AE" w14:textId="6996E2AD" w:rsidR="006A5CC8" w:rsidRPr="006A5CC8" w:rsidRDefault="006A5CC8" w:rsidP="006A5CC8">
      <w:pPr>
        <w:pStyle w:val="SingleTxtG"/>
        <w:rPr>
          <w:lang w:val="es-ES_tradnl"/>
        </w:rPr>
      </w:pPr>
      <w:r w:rsidRPr="006A5CC8">
        <w:rPr>
          <w:lang w:val="es-ES_tradnl"/>
        </w:rPr>
        <w:t>21.</w:t>
      </w:r>
      <w:r w:rsidRPr="006A5CC8">
        <w:rPr>
          <w:lang w:val="es-ES_tradnl"/>
        </w:rPr>
        <w:tab/>
        <w:t>Al evaluar la duración de la detención, el tribunal tendrá en cuenta el principio de proporcionalidad y las obligaciones internacionales que incumben a Dinamarca. Asimismo, tendrá en cuenta si el procedimiento de devolución está avanzando y si existen perspectivas de que la devolución se produzca en un plazo razonable.</w:t>
      </w:r>
    </w:p>
    <w:p w14:paraId="2AFCD58B" w14:textId="77777777" w:rsidR="006A5CC8" w:rsidRPr="006A5CC8" w:rsidRDefault="006A5CC8" w:rsidP="006A5CC8">
      <w:pPr>
        <w:pStyle w:val="SingleTxtG"/>
        <w:rPr>
          <w:lang w:val="es-ES_tradnl"/>
        </w:rPr>
      </w:pPr>
      <w:r w:rsidRPr="006A5CC8">
        <w:rPr>
          <w:lang w:val="es-ES_tradnl"/>
        </w:rPr>
        <w:t>22.</w:t>
      </w:r>
      <w:r w:rsidRPr="006A5CC8">
        <w:rPr>
          <w:lang w:val="es-ES_tradnl"/>
        </w:rPr>
        <w:tab/>
        <w:t>No se detendrá a menores con fines de devolución. En el caso de las familias con menores, uno de los adultos, por lo general el padre, podrá ser detenido —si se estima necesario— para garantizar la devolución.</w:t>
      </w:r>
    </w:p>
    <w:p w14:paraId="4098F290" w14:textId="5C82E901" w:rsidR="006A5CC8" w:rsidRPr="006A5CC8" w:rsidRDefault="006A5CC8" w:rsidP="006A5CC8">
      <w:pPr>
        <w:pStyle w:val="SingleTxtG"/>
        <w:rPr>
          <w:lang w:val="es-ES_tradnl"/>
        </w:rPr>
      </w:pPr>
      <w:r w:rsidRPr="006A5CC8">
        <w:rPr>
          <w:lang w:val="es-ES_tradnl"/>
        </w:rPr>
        <w:t>23.</w:t>
      </w:r>
      <w:r w:rsidRPr="006A5CC8">
        <w:rPr>
          <w:lang w:val="es-ES_tradnl"/>
        </w:rPr>
        <w:tab/>
        <w:t xml:space="preserve">El Servicio de Prisiones y Libertad Condicional mantiene y mejora de manera continua las condiciones de vida en el Centro de Detención de </w:t>
      </w:r>
      <w:proofErr w:type="spellStart"/>
      <w:r w:rsidRPr="006A5CC8">
        <w:rPr>
          <w:lang w:val="es-ES_tradnl"/>
        </w:rPr>
        <w:t>Ellebæk</w:t>
      </w:r>
      <w:proofErr w:type="spellEnd"/>
      <w:r w:rsidRPr="006A5CC8">
        <w:rPr>
          <w:lang w:val="es-ES_tradnl"/>
        </w:rPr>
        <w:t>.</w:t>
      </w:r>
    </w:p>
    <w:p w14:paraId="469E5993" w14:textId="5DCE50C2" w:rsidR="006A5CC8" w:rsidRPr="006A5CC8" w:rsidRDefault="006A5CC8" w:rsidP="006A5CC8">
      <w:pPr>
        <w:pStyle w:val="Bullet1G"/>
        <w:rPr>
          <w:lang w:val="es-ES_tradnl"/>
        </w:rPr>
      </w:pPr>
      <w:r w:rsidRPr="006A5CC8">
        <w:rPr>
          <w:lang w:val="es-ES_tradnl"/>
        </w:rPr>
        <w:t>El centro está preparando alojamiento en un pabellón independiente para ciudadanos extranjeros en situación de detención administrativa, con el fin de separarlos de los ciudadanos extranjeros detenidos, por ejemplo, por haber cometido un delito que pueda ser causa de expulsión</w:t>
      </w:r>
      <w:r>
        <w:rPr>
          <w:lang w:val="es-ES_tradnl"/>
        </w:rPr>
        <w:t>.</w:t>
      </w:r>
    </w:p>
    <w:p w14:paraId="43DF3F62" w14:textId="7BE221A9" w:rsidR="006A5CC8" w:rsidRPr="006A5CC8" w:rsidRDefault="006A5CC8" w:rsidP="006A5CC8">
      <w:pPr>
        <w:pStyle w:val="Bullet1G"/>
        <w:rPr>
          <w:lang w:val="es-ES_tradnl"/>
        </w:rPr>
      </w:pPr>
      <w:r w:rsidRPr="006A5CC8">
        <w:rPr>
          <w:lang w:val="es-ES_tradnl"/>
        </w:rPr>
        <w:t>El Servicio de Prisiones ha creado un grupo de trabajo para encontrar soluciones que permitan alojar por separado a las familias y a las parejas en el centro de detención</w:t>
      </w:r>
      <w:r>
        <w:rPr>
          <w:lang w:val="es-ES_tradnl"/>
        </w:rPr>
        <w:t>.</w:t>
      </w:r>
    </w:p>
    <w:p w14:paraId="668F6A6A" w14:textId="4AAE96CE" w:rsidR="006A5CC8" w:rsidRPr="006A5CC8" w:rsidRDefault="006A5CC8" w:rsidP="006A5CC8">
      <w:pPr>
        <w:pStyle w:val="Bullet1G"/>
        <w:rPr>
          <w:lang w:val="es-ES_tradnl"/>
        </w:rPr>
      </w:pPr>
      <w:r w:rsidRPr="006A5CC8">
        <w:rPr>
          <w:lang w:val="es-ES_tradnl"/>
        </w:rPr>
        <w:lastRenderedPageBreak/>
        <w:t>El centro está en vías de reducir el número de personas detenidas alojadas en cada habitación, de manera que cada una de ellas esté ocupada por un máximo de dos detenidos</w:t>
      </w:r>
      <w:r>
        <w:rPr>
          <w:lang w:val="es-ES_tradnl"/>
        </w:rPr>
        <w:t>.</w:t>
      </w:r>
    </w:p>
    <w:p w14:paraId="26F26037" w14:textId="67ABE7FB" w:rsidR="006A5CC8" w:rsidRPr="006A5CC8" w:rsidRDefault="006A5CC8" w:rsidP="006A5CC8">
      <w:pPr>
        <w:pStyle w:val="Bullet1G"/>
        <w:rPr>
          <w:lang w:val="es-ES_tradnl"/>
        </w:rPr>
      </w:pPr>
      <w:r w:rsidRPr="006A5CC8">
        <w:rPr>
          <w:lang w:val="es-ES_tradnl"/>
        </w:rPr>
        <w:t>En diciembre de 2024, el centro incorporará nuevas instalaciones al aire libre que permitirán que los detenidos tengan acceso sin restricciones a aire fresco durante el día. De esta manera, se incrementará la superficie de instalaciones al aire libre con respecto a la actualmente disponible. Las instalaciones estarán valladas y parte de la zona al aire libre estará techada para proteger a los internos de las inclemencias meteorológicas</w:t>
      </w:r>
      <w:r>
        <w:rPr>
          <w:lang w:val="es-ES_tradnl"/>
        </w:rPr>
        <w:t>.</w:t>
      </w:r>
    </w:p>
    <w:p w14:paraId="3B61F38D" w14:textId="60E7DCFC" w:rsidR="006A5CC8" w:rsidRPr="006A5CC8" w:rsidRDefault="006A5CC8" w:rsidP="006A5CC8">
      <w:pPr>
        <w:pStyle w:val="Bullet1G"/>
        <w:rPr>
          <w:lang w:val="es-ES_tradnl"/>
        </w:rPr>
      </w:pPr>
      <w:r w:rsidRPr="006A5CC8">
        <w:rPr>
          <w:lang w:val="es-ES_tradnl"/>
        </w:rPr>
        <w:t>El Servicio de Prisiones y Libertad Condicional reconoce la importancia de que las personas internadas en el Centro de Detención de Ellebæk tengan contacto con el mundo exterior y de que las restricciones de ese derecho no vayan más allá de lo necesario para garantizar la presencia de los detenidos y la seguridad de estos y de los funcionarios. Los migrantes detenidos pueden llamar a números de teléfono en Dinamarca y en el extranjero desde los teléfonos instalados en los pasillos de los pabellones mediante el uso de tarjetas telefónicas. Los detenidos pueden comprar las tarjetas telefónicas al funcionario encargado o en la tienda de alimentación del centro una vez a la semana. El Servicio de Prisiones ha creado un grupo de trabajo que, entre otras tareas, tratará de proponer soluciones respecto al acceso a Internet en el establecimiento para facilitar el contacto con el mundo exterior de las personas detenidas</w:t>
      </w:r>
      <w:r>
        <w:rPr>
          <w:lang w:val="es-ES_tradnl"/>
        </w:rPr>
        <w:t>.</w:t>
      </w:r>
    </w:p>
    <w:p w14:paraId="37C92C55" w14:textId="77777777" w:rsidR="006A5CC8" w:rsidRPr="006A5CC8" w:rsidRDefault="006A5CC8" w:rsidP="006A5CC8">
      <w:pPr>
        <w:pStyle w:val="Bullet1G"/>
        <w:rPr>
          <w:lang w:val="es-ES_tradnl"/>
        </w:rPr>
      </w:pPr>
      <w:r w:rsidRPr="006A5CC8">
        <w:rPr>
          <w:lang w:val="es-ES_tradnl"/>
        </w:rPr>
        <w:t>En 2023 se revisó el sistema de sanciones disciplinarias, incluidas las normas sobre la aplicación de la reclusión en régimen de aislamiento como medida disciplinaria, con miras a reducir la duración máxima de las sanciones y garantizar su eficacia y proporcionalidad. El nuevo sistema disciplinario impone multas o restringe privilegios, como la recepción de visitas, el acceso al teléfono y la posibilidad de enviar cartas (una limitación que no se aplica en el caso de los familiares directos de las personas detenidas). Esto ha permitido reducir el recurso a la reclusión en régimen de aislamiento y ha demostrado ser una medida menos invasiva para las personas detenidas que el régimen de aislamiento.</w:t>
      </w:r>
    </w:p>
    <w:p w14:paraId="3BB696FD" w14:textId="2D324715" w:rsidR="006A5CC8" w:rsidRPr="006A5CC8" w:rsidRDefault="006A5CC8" w:rsidP="006A5CC8">
      <w:pPr>
        <w:pStyle w:val="H1G"/>
        <w:rPr>
          <w:lang w:val="es-ES_tradnl"/>
        </w:rPr>
      </w:pPr>
      <w:r>
        <w:rPr>
          <w:lang w:val="es-ES_tradnl"/>
        </w:rPr>
        <w:tab/>
      </w:r>
      <w:r w:rsidRPr="006A5CC8">
        <w:rPr>
          <w:lang w:val="es-ES_tradnl"/>
        </w:rPr>
        <w:tab/>
        <w:t>Instituciones psiquiátricas</w:t>
      </w:r>
    </w:p>
    <w:p w14:paraId="66CB4724" w14:textId="7C50D0EC" w:rsidR="006A5CC8" w:rsidRPr="006A5CC8" w:rsidRDefault="006A5CC8" w:rsidP="006A5CC8">
      <w:pPr>
        <w:pStyle w:val="H1G"/>
        <w:rPr>
          <w:lang w:val="es-ES_tradnl"/>
        </w:rPr>
      </w:pPr>
      <w:r>
        <w:rPr>
          <w:lang w:val="es-ES_tradnl"/>
        </w:rPr>
        <w:tab/>
      </w:r>
      <w:r w:rsidRPr="006A5CC8">
        <w:rPr>
          <w:lang w:val="es-ES_tradnl"/>
        </w:rPr>
        <w:t>I.</w:t>
      </w:r>
      <w:r w:rsidRPr="006A5CC8">
        <w:rPr>
          <w:lang w:val="es-ES_tradnl"/>
        </w:rPr>
        <w:tab/>
        <w:t>Información de seguimiento relativa al párrafo 37</w:t>
      </w:r>
      <w:r w:rsidR="001D4725">
        <w:rPr>
          <w:lang w:val="es-ES_tradnl"/>
        </w:rPr>
        <w:br/>
      </w:r>
      <w:r w:rsidRPr="006A5CC8">
        <w:rPr>
          <w:lang w:val="es-ES_tradnl"/>
        </w:rPr>
        <w:t>de las observaciones finales</w:t>
      </w:r>
    </w:p>
    <w:p w14:paraId="1F752B1D" w14:textId="436BE58B" w:rsidR="006A5CC8" w:rsidRPr="006A5CC8" w:rsidRDefault="006A5CC8" w:rsidP="006A5CC8">
      <w:pPr>
        <w:pStyle w:val="SingleTxtG"/>
        <w:rPr>
          <w:lang w:val="es-ES_tradnl"/>
        </w:rPr>
      </w:pPr>
      <w:r w:rsidRPr="006A5CC8">
        <w:rPr>
          <w:lang w:val="es-ES_tradnl"/>
        </w:rPr>
        <w:t>24.</w:t>
      </w:r>
      <w:r w:rsidRPr="006A5CC8">
        <w:rPr>
          <w:lang w:val="es-ES_tradnl"/>
        </w:rPr>
        <w:tab/>
        <w:t>Por regla general, en los pabellones psiquiátricos solo se puede recurrir a medidas coercitivas de cualquier tipo, incluida la contención física o farmacológica, después de que hayan fracasado todos los intentos de conseguir que el paciente acepte el tratamiento. El uso de la coerción debe ser proporcional y debe emplearse con la mayor suavidad posible, de modo que se eviten molestias innecesarias, según lo dispuesto en el artículo 4 de la Ley de Salud Mental.</w:t>
      </w:r>
    </w:p>
    <w:p w14:paraId="6D03B4C0" w14:textId="1D51F06C" w:rsidR="006A5CC8" w:rsidRPr="006A5CC8" w:rsidRDefault="006A5CC8" w:rsidP="006A5CC8">
      <w:pPr>
        <w:pStyle w:val="SingleTxtG"/>
        <w:rPr>
          <w:lang w:val="es-ES_tradnl"/>
        </w:rPr>
      </w:pPr>
      <w:r w:rsidRPr="006A5CC8">
        <w:rPr>
          <w:lang w:val="es-ES_tradnl"/>
        </w:rPr>
        <w:t>25.</w:t>
      </w:r>
      <w:r w:rsidRPr="006A5CC8">
        <w:rPr>
          <w:lang w:val="es-ES_tradnl"/>
        </w:rPr>
        <w:tab/>
        <w:t>Asimismo, el Gobierno danés presta especial atención a la mejora de la salud psiquiátrica y mental. En septiembre de 2022, el Gobierno y la mayoría de los partidos políticos firmaron un acuerdo para establecer un plan decenal de mejora de la salud psiquiátrica y mental.</w:t>
      </w:r>
    </w:p>
    <w:p w14:paraId="423A12F3" w14:textId="77777777" w:rsidR="006A5CC8" w:rsidRPr="006A5CC8" w:rsidRDefault="006A5CC8" w:rsidP="006A5CC8">
      <w:pPr>
        <w:pStyle w:val="SingleTxtG"/>
        <w:rPr>
          <w:lang w:val="es-ES_tradnl"/>
        </w:rPr>
      </w:pPr>
      <w:r w:rsidRPr="006A5CC8">
        <w:rPr>
          <w:lang w:val="es-ES_tradnl"/>
        </w:rPr>
        <w:t>26.</w:t>
      </w:r>
      <w:r w:rsidRPr="006A5CC8">
        <w:rPr>
          <w:lang w:val="es-ES_tradnl"/>
        </w:rPr>
        <w:tab/>
        <w:t xml:space="preserve">El plan decenal se basa en un informe de la Autoridad Sanitaria y el Consejo Nacional de Servicios Sociales de Dinamarca que resume los principales retos y aspectos susceptibles de mejora, además de las posibles soluciones, en el ámbito de la enfermedad y la salud mentales en Dinamarca. El acuerdo prevé un plan a largo plazo centrado fundamentalmente en determinar cómo debe evolucionar el tratamiento de la salud mental en Dinamarca, así como en la prevención y en la mejora de la coordinación entre los servicios de medicina de familia, psiquiátricos hospitalarios y sociales. Durante la preparación del informe, la Autoridad Sanitaria y el Consejo Nacional de Servicios Sociales de Dinamarca recabaron sistemáticamente información de asociaciones profesionales y organizaciones de pacientes, </w:t>
      </w:r>
      <w:r w:rsidRPr="006A5CC8">
        <w:rPr>
          <w:lang w:val="es-ES_tradnl"/>
        </w:rPr>
        <w:lastRenderedPageBreak/>
        <w:t>entre otros. En 2025, el Gobierno iniciará las negociaciones para la puesta en práctica de la última etapa del plan decenal, con el fin de garantizar la capacidad y la calidad de la atención necesarias y la reducción de la utilización de medidas coercitivas en el tratamiento psiquiátrico para 2030.</w:t>
      </w:r>
    </w:p>
    <w:p w14:paraId="48F5CF04" w14:textId="46E75055" w:rsidR="006A5CC8" w:rsidRPr="006A5CC8" w:rsidRDefault="006A5CC8" w:rsidP="006A5CC8">
      <w:pPr>
        <w:pStyle w:val="SingleTxtG"/>
        <w:rPr>
          <w:lang w:val="es-ES_tradnl"/>
        </w:rPr>
      </w:pPr>
      <w:r w:rsidRPr="006A5CC8">
        <w:rPr>
          <w:lang w:val="es-ES_tradnl"/>
        </w:rPr>
        <w:t>27.</w:t>
      </w:r>
      <w:r w:rsidRPr="006A5CC8">
        <w:rPr>
          <w:lang w:val="es-ES_tradnl"/>
        </w:rPr>
        <w:tab/>
        <w:t>El Gobierno ha asignado más de 3.000 millones de coronas danesas (400</w:t>
      </w:r>
      <w:r w:rsidR="00092DF8">
        <w:rPr>
          <w:lang w:val="es-ES_tradnl"/>
        </w:rPr>
        <w:t xml:space="preserve"> </w:t>
      </w:r>
      <w:r w:rsidRPr="006A5CC8">
        <w:rPr>
          <w:lang w:val="es-ES_tradnl"/>
        </w:rPr>
        <w:t>millones de euros) para la financiación íntegra del plan decenal.</w:t>
      </w:r>
    </w:p>
    <w:p w14:paraId="1913A505" w14:textId="7ACC3C34" w:rsidR="006A5CC8" w:rsidRPr="006A5CC8" w:rsidRDefault="006A5CC8" w:rsidP="006A5CC8">
      <w:pPr>
        <w:pStyle w:val="SingleTxtG"/>
        <w:rPr>
          <w:lang w:val="es-ES_tradnl"/>
        </w:rPr>
      </w:pPr>
      <w:r w:rsidRPr="006A5CC8">
        <w:rPr>
          <w:lang w:val="es-ES_tradnl"/>
        </w:rPr>
        <w:t>28.</w:t>
      </w:r>
      <w:r w:rsidRPr="006A5CC8">
        <w:rPr>
          <w:lang w:val="es-ES_tradnl"/>
        </w:rPr>
        <w:tab/>
        <w:t>En cuanto a la reducción del uso de la coerción, el Gobierno lleva varios años trabajando en esa dirección. Por ejemplo, en 2014 estableció un ambicioso objetivo de reducir en un 50</w:t>
      </w:r>
      <w:r w:rsidR="006F022E">
        <w:rPr>
          <w:lang w:val="es-ES_tradnl"/>
        </w:rPr>
        <w:t xml:space="preserve"> </w:t>
      </w:r>
      <w:r w:rsidRPr="006A5CC8">
        <w:rPr>
          <w:lang w:val="es-ES_tradnl"/>
        </w:rPr>
        <w:t>% el uso de correas de inmovilización a más tardar en 2020. Lamentablemente, ese objetivo no se cumplió. Como parte de las iniciativas para reducir el uso de las medidas de contención obligatorias, el Estado ha establecido un nuevo y ambicioso objetivo de reducir las medidas coercitivas en un 30</w:t>
      </w:r>
      <w:r w:rsidR="006F022E">
        <w:rPr>
          <w:lang w:val="es-ES_tradnl"/>
        </w:rPr>
        <w:t xml:space="preserve"> </w:t>
      </w:r>
      <w:r w:rsidRPr="006A5CC8">
        <w:rPr>
          <w:lang w:val="es-ES_tradnl"/>
        </w:rPr>
        <w:t>% para 2030 en el marco del plan decenal. Este objetivo incluye todo tipo de medidas coercitivas, como correas de inmovilización, otras medidas de contención, medicación forzosa, etc. Se desarrollará un nuevo modelo para vigilar de cerca el uso de los distintos tipos de medidas coercitivas, y un grupo de trabajo nacional, que se reunirá dos veces al año, seguirá y debatirá la evolución en el ámbito psiquiátrico, especialmente en lo relativo al uso de la coerción.</w:t>
      </w:r>
    </w:p>
    <w:p w14:paraId="21AE7F1E" w14:textId="082E84D0" w:rsidR="006A5CC8" w:rsidRPr="006A5CC8" w:rsidRDefault="006A5CC8" w:rsidP="006A5CC8">
      <w:pPr>
        <w:pStyle w:val="SingleTxtG"/>
        <w:rPr>
          <w:lang w:val="es-ES_tradnl"/>
        </w:rPr>
      </w:pPr>
      <w:r w:rsidRPr="006A5CC8">
        <w:rPr>
          <w:lang w:val="es-ES_tradnl"/>
        </w:rPr>
        <w:t>29.</w:t>
      </w:r>
      <w:r w:rsidRPr="006A5CC8">
        <w:rPr>
          <w:lang w:val="es-ES_tradnl"/>
        </w:rPr>
        <w:tab/>
        <w:t>El grupo de trabajo también estudiará cualquier diferencia en el uso de la coerción que exista entre las cinco regiones de Dinamarca, que tienen las competencias en materia de tratamiento psiquiátrico, y analizará a qué se deben esas disparidades. Por consiguiente, uno de los principales objetivos del grupo de trabajo es el aprendizaje y el intercambio de buenas prácticas entre las regiones.</w:t>
      </w:r>
    </w:p>
    <w:p w14:paraId="3E4F749F" w14:textId="7BA9E505" w:rsidR="006A5CC8" w:rsidRPr="006A5CC8" w:rsidRDefault="006A5CC8" w:rsidP="006A5CC8">
      <w:pPr>
        <w:pStyle w:val="SingleTxtG"/>
        <w:rPr>
          <w:lang w:val="es-ES_tradnl"/>
        </w:rPr>
      </w:pPr>
      <w:r w:rsidRPr="006A5CC8">
        <w:rPr>
          <w:lang w:val="es-ES_tradnl"/>
        </w:rPr>
        <w:t>30.</w:t>
      </w:r>
      <w:r w:rsidRPr="006A5CC8">
        <w:rPr>
          <w:lang w:val="es-ES_tradnl"/>
        </w:rPr>
        <w:tab/>
        <w:t>El Gobierno danés desea recalcar que la Autoridad Sanitaria de Dinamarca publica directrices sobre el uso de la coerción. Las directrices vigentes se actualizaron por última vez en 2023.</w:t>
      </w:r>
    </w:p>
    <w:p w14:paraId="0939BF9F" w14:textId="3FC3D944" w:rsidR="006A5CC8" w:rsidRPr="006A5CC8" w:rsidRDefault="006A5CC8" w:rsidP="006A5CC8">
      <w:pPr>
        <w:pStyle w:val="SingleTxtG"/>
        <w:rPr>
          <w:lang w:val="es-ES_tradnl"/>
        </w:rPr>
      </w:pPr>
      <w:r w:rsidRPr="006A5CC8">
        <w:rPr>
          <w:lang w:val="es-ES_tradnl"/>
        </w:rPr>
        <w:t>31.</w:t>
      </w:r>
      <w:r w:rsidRPr="006A5CC8">
        <w:rPr>
          <w:lang w:val="es-ES_tradnl"/>
        </w:rPr>
        <w:tab/>
        <w:t>Para velar por que los niños menores de 15 años puedan acogerse a las mismas salvaguardias legales que los adultos y los jóvenes de 15 años o más, el Gobierno ha introducido modificaciones en la Ley de Salud Mental en lo relativo, entre otras cosas, a los pacientes menores de 15 años, que entraron en vigor el 1 de junio de 2024. Con esta modificación legal, todos los pacientes, sea cual sea su edad, tendrán idénticos derechos: el derecho a un asesor y el derecho a presentar una reclamación ante la Junta de Reclamaciones de los Pacientes Psiquiátricos.</w:t>
      </w:r>
    </w:p>
    <w:p w14:paraId="0778F1A9" w14:textId="63C3A079" w:rsidR="006A5CC8" w:rsidRPr="006A5CC8" w:rsidRDefault="006A5CC8" w:rsidP="006A5CC8">
      <w:pPr>
        <w:pStyle w:val="SingleTxtG"/>
        <w:rPr>
          <w:lang w:val="es-ES_tradnl"/>
        </w:rPr>
      </w:pPr>
      <w:r w:rsidRPr="006A5CC8">
        <w:rPr>
          <w:lang w:val="es-ES_tradnl"/>
        </w:rPr>
        <w:t>32.</w:t>
      </w:r>
      <w:r w:rsidRPr="006A5CC8">
        <w:rPr>
          <w:lang w:val="es-ES_tradnl"/>
        </w:rPr>
        <w:tab/>
        <w:t>Por último, en lo que respecta a la preocupación del Comité por el elevado porcentaje de decisiones sobre el inicio o la duración de las medidas de contención física que han sido revocadas por la Junta de Reclamaciones de los Pacientes Psiquiátricos, el Gobierno está de acuerdo en que el porcentaje de decisiones revocadas es elevado, pero acoge con satisfacción que dicho organismo contribuya a garantizar los derechos de los pacientes psiquiátricos. El Estado investigará los motivos y, si lo estima necesario, introducirá ajustes, elaborará directrices o considerará otras iniciativas.</w:t>
      </w:r>
    </w:p>
    <w:p w14:paraId="45DB8B07" w14:textId="620F41E3" w:rsidR="006A5CC8" w:rsidRPr="006A5CC8" w:rsidRDefault="006A5CC8" w:rsidP="006A5CC8">
      <w:pPr>
        <w:pStyle w:val="H1G"/>
        <w:rPr>
          <w:lang w:val="es-ES_tradnl"/>
        </w:rPr>
      </w:pPr>
      <w:r>
        <w:rPr>
          <w:lang w:val="es-ES_tradnl"/>
        </w:rPr>
        <w:tab/>
      </w:r>
      <w:r w:rsidRPr="006A5CC8">
        <w:rPr>
          <w:lang w:val="es-ES_tradnl"/>
        </w:rPr>
        <w:tab/>
        <w:t>Planes para aplicar las recomendaciones durante el período correspondiente al siguiente informe</w:t>
      </w:r>
    </w:p>
    <w:p w14:paraId="127172F2" w14:textId="331633E0" w:rsidR="006A5CC8" w:rsidRPr="006A5CC8" w:rsidRDefault="006A5CC8" w:rsidP="006A5CC8">
      <w:pPr>
        <w:pStyle w:val="H1G"/>
        <w:rPr>
          <w:lang w:val="es-ES_tradnl"/>
        </w:rPr>
      </w:pPr>
      <w:r>
        <w:rPr>
          <w:lang w:val="es-ES_tradnl"/>
        </w:rPr>
        <w:tab/>
      </w:r>
      <w:r w:rsidRPr="006A5CC8">
        <w:rPr>
          <w:lang w:val="es-ES_tradnl"/>
        </w:rPr>
        <w:t>J.</w:t>
      </w:r>
      <w:r w:rsidRPr="006A5CC8">
        <w:rPr>
          <w:lang w:val="es-ES_tradnl"/>
        </w:rPr>
        <w:tab/>
        <w:t>Información de seguimiento relativa al párrafo 13</w:t>
      </w:r>
      <w:r w:rsidR="00D247CA">
        <w:rPr>
          <w:lang w:val="es-ES_tradnl"/>
        </w:rPr>
        <w:br/>
      </w:r>
      <w:r w:rsidRPr="006A5CC8">
        <w:rPr>
          <w:lang w:val="es-ES_tradnl"/>
        </w:rPr>
        <w:t>de las observaciones finales</w:t>
      </w:r>
    </w:p>
    <w:p w14:paraId="25537ADE" w14:textId="75D0D7E9" w:rsidR="006A5CC8" w:rsidRPr="006A5CC8" w:rsidRDefault="006A5CC8" w:rsidP="006A5CC8">
      <w:pPr>
        <w:pStyle w:val="SingleTxtG"/>
        <w:rPr>
          <w:lang w:val="es-ES_tradnl"/>
        </w:rPr>
      </w:pPr>
      <w:r w:rsidRPr="006A5CC8">
        <w:rPr>
          <w:lang w:val="es-ES_tradnl"/>
        </w:rPr>
        <w:t>33.</w:t>
      </w:r>
      <w:r w:rsidRPr="006A5CC8">
        <w:rPr>
          <w:lang w:val="es-ES_tradnl"/>
        </w:rPr>
        <w:tab/>
        <w:t>Como se ha indicado en relación con el párrafo 19 c) de las observaciones finales, un comité de profesionales y usuarios del sistema de visitas ha formulado recomendaciones para garantizar un mejor acceso de los reclusos a la comunicación con sus abogados. Entre otras cosas, se recomienda explorar la posibilidad de que los abogados realicen videovisitas y de establecer un sistema informatizado de reserva para las visitas de los abogados.</w:t>
      </w:r>
    </w:p>
    <w:p w14:paraId="0E9D5F08" w14:textId="67F8070B" w:rsidR="006A5CC8" w:rsidRPr="006A5CC8" w:rsidRDefault="006A5CC8" w:rsidP="006A5CC8">
      <w:pPr>
        <w:pStyle w:val="SingleTxtG"/>
        <w:rPr>
          <w:lang w:val="es-ES_tradnl"/>
        </w:rPr>
      </w:pPr>
      <w:r w:rsidRPr="006A5CC8">
        <w:rPr>
          <w:lang w:val="es-ES_tradnl"/>
        </w:rPr>
        <w:t>34.</w:t>
      </w:r>
      <w:r w:rsidRPr="006A5CC8">
        <w:rPr>
          <w:lang w:val="es-ES_tradnl"/>
        </w:rPr>
        <w:tab/>
        <w:t>En 2024 y 2025, el Servicio de Prisiones y Libertad Condicional danés examinará la posibilidad de seguir introduciendo mejoras en ese ámbito.</w:t>
      </w:r>
    </w:p>
    <w:p w14:paraId="46537B37" w14:textId="1232D761" w:rsidR="006A5CC8" w:rsidRPr="006A5CC8" w:rsidRDefault="006A5CC8" w:rsidP="006A5CC8">
      <w:pPr>
        <w:pStyle w:val="H1G"/>
        <w:rPr>
          <w:lang w:val="es-ES_tradnl"/>
        </w:rPr>
      </w:pPr>
      <w:r w:rsidRPr="006A5CC8">
        <w:rPr>
          <w:lang w:val="es-ES_tradnl"/>
        </w:rPr>
        <w:lastRenderedPageBreak/>
        <w:tab/>
        <w:t>K.</w:t>
      </w:r>
      <w:r w:rsidRPr="006A5CC8">
        <w:rPr>
          <w:lang w:val="es-ES_tradnl"/>
        </w:rPr>
        <w:tab/>
        <w:t>Información de seguimiento relativa al párrafo 17</w:t>
      </w:r>
      <w:r w:rsidR="00D247CA">
        <w:rPr>
          <w:lang w:val="es-ES_tradnl"/>
        </w:rPr>
        <w:br/>
      </w:r>
      <w:r w:rsidRPr="006A5CC8">
        <w:rPr>
          <w:lang w:val="es-ES_tradnl"/>
        </w:rPr>
        <w:t>de las observaciones finales</w:t>
      </w:r>
    </w:p>
    <w:p w14:paraId="0BAAC77F" w14:textId="7FDEB509" w:rsidR="006A5CC8" w:rsidRPr="006A5CC8" w:rsidRDefault="006A5CC8" w:rsidP="006A5CC8">
      <w:pPr>
        <w:pStyle w:val="SingleTxtG"/>
        <w:rPr>
          <w:lang w:val="es-ES_tradnl"/>
        </w:rPr>
      </w:pPr>
      <w:r w:rsidRPr="006A5CC8">
        <w:rPr>
          <w:lang w:val="es-ES_tradnl"/>
        </w:rPr>
        <w:t>35.</w:t>
      </w:r>
      <w:r w:rsidRPr="006A5CC8">
        <w:rPr>
          <w:lang w:val="es-ES_tradnl"/>
        </w:rPr>
        <w:tab/>
        <w:t>En abril de 2022, se firmó el tratado entre Kosovo y Dinamarca, que fue aprobado por el Parlamento kosovar en mayo de 2024. Posteriormente, el tratado fue ratificado en junio de</w:t>
      </w:r>
      <w:r w:rsidR="003A44A5">
        <w:rPr>
          <w:lang w:val="es-ES_tradnl"/>
        </w:rPr>
        <w:t> </w:t>
      </w:r>
      <w:r w:rsidRPr="006A5CC8">
        <w:rPr>
          <w:lang w:val="es-ES_tradnl"/>
        </w:rPr>
        <w:t>2024 y se espera que el establecimiento penitenciario al que se refiere pueda entrar en servicio en un plazo de entre 21 y 26 meses a partir de su fecha de ratificación.</w:t>
      </w:r>
    </w:p>
    <w:p w14:paraId="31B416CC" w14:textId="77777777" w:rsidR="006A5CC8" w:rsidRPr="006A5CC8" w:rsidRDefault="006A5CC8" w:rsidP="006A5CC8">
      <w:pPr>
        <w:pStyle w:val="SingleTxtG"/>
        <w:rPr>
          <w:lang w:val="es-ES_tradnl"/>
        </w:rPr>
      </w:pPr>
      <w:r w:rsidRPr="006A5CC8">
        <w:rPr>
          <w:lang w:val="es-ES_tradnl"/>
        </w:rPr>
        <w:t>36.</w:t>
      </w:r>
      <w:r w:rsidRPr="006A5CC8">
        <w:rPr>
          <w:lang w:val="es-ES_tradnl"/>
        </w:rPr>
        <w:tab/>
        <w:t>Las obligaciones internacionales de Dinamarca, incluidas las dimanantes del Protocolo Facultativo de la Convención contra la Tortura y Otros Tratos o Penas Crueles, Inhumanos o Degradantes, se tuvieron debidamente en consideración durante las negociaciones del tratado.</w:t>
      </w:r>
    </w:p>
    <w:p w14:paraId="64DB6AC5" w14:textId="77777777" w:rsidR="006A5CC8" w:rsidRPr="006A5CC8" w:rsidRDefault="006A5CC8" w:rsidP="006A5CC8">
      <w:pPr>
        <w:pStyle w:val="SingleTxtG"/>
        <w:rPr>
          <w:lang w:val="es-ES_tradnl"/>
        </w:rPr>
      </w:pPr>
      <w:r w:rsidRPr="006A5CC8">
        <w:rPr>
          <w:lang w:val="es-ES_tradnl"/>
        </w:rPr>
        <w:t>37.</w:t>
      </w:r>
      <w:r w:rsidRPr="006A5CC8">
        <w:rPr>
          <w:lang w:val="es-ES_tradnl"/>
        </w:rPr>
        <w:tab/>
        <w:t>El tratado establece como condición previa que el cumplimiento de penas en el centro penitenciario se ajuste a las obligaciones internacionales de Dinamarca, y que el centro no entre en servicio hasta que sus condiciones se correspondan en lo esencial con las de las prisiones danesas y el Gobierno considere que las penas pueden cumplirse y se cumplirán con arreglo a las obligaciones internacionales de Dinamarca. El tratado también dispone que en el interior del establecimiento penitenciario se aplicarán las normas danesas, con pequeñas modificaciones necesarias por motivos prácticos, así como las obligaciones legales de Dinamarca. Esto significa que los reclusos tendrán los mismos derechos que si estuvieran en Dinamarca, que las condiciones del centro deberán ser las mismas que las de las prisiones danesas y que los funcionarios penitenciarios kosovares habrán de recibir formación sobre las normas y las prácticas danesas. Asimismo, el centro penitenciario estará dirigido por un gobernador danés y bajo la supervisión del Defensor del Pueblo Parlamentario danés y de otras autoridades danesas e internacionales.</w:t>
      </w:r>
    </w:p>
    <w:p w14:paraId="509BFF87" w14:textId="1DD4086B" w:rsidR="006A5CC8" w:rsidRPr="006A5CC8" w:rsidRDefault="006A5CC8" w:rsidP="006A5CC8">
      <w:pPr>
        <w:pStyle w:val="SingleTxtG"/>
        <w:rPr>
          <w:lang w:val="es-ES_tradnl"/>
        </w:rPr>
      </w:pPr>
      <w:r w:rsidRPr="006A5CC8">
        <w:rPr>
          <w:lang w:val="es-ES_tradnl"/>
        </w:rPr>
        <w:t>38.</w:t>
      </w:r>
      <w:r w:rsidRPr="006A5CC8">
        <w:rPr>
          <w:lang w:val="es-ES_tradnl"/>
        </w:rPr>
        <w:tab/>
        <w:t>Todas las personas encarceladas tendrán acceso a atención sanitaria de conformidad con las obligaciones internacionales de Dinamarca. Como prevé el tratado, en el establecimiento penitenciario se instalará un centro de atención de la salud con personal sanitario autorizado en Dinamarca y sujeto a supervisión danesa. Si la persona encarcelada necesita recibir un tratamiento fuera del centro sanitario del establecimiento, será trasladada a Dinamarca, excepto si precisa tratamiento urgente, en cuyo caso será tratada en Kosovo. El centro penitenciario no empezará a utilizarse hasta que se haya verificado que el tratamiento disponible en Kosovo puede proporcionarse de una forma acorde con las obligaciones internacionales de Dinamarca.</w:t>
      </w:r>
    </w:p>
    <w:p w14:paraId="0BA6B078" w14:textId="6A53A4F2" w:rsidR="006A5CC8" w:rsidRPr="006A5CC8" w:rsidRDefault="006A5CC8" w:rsidP="006A5CC8">
      <w:pPr>
        <w:pStyle w:val="SingleTxtG"/>
        <w:rPr>
          <w:lang w:val="es-ES_tradnl"/>
        </w:rPr>
      </w:pPr>
      <w:r w:rsidRPr="006A5CC8">
        <w:rPr>
          <w:lang w:val="es-ES_tradnl"/>
        </w:rPr>
        <w:t>39.</w:t>
      </w:r>
      <w:r w:rsidRPr="006A5CC8">
        <w:rPr>
          <w:lang w:val="es-ES_tradnl"/>
        </w:rPr>
        <w:tab/>
        <w:t>Todas las personas encarceladas tendrán derecho a recibir visitas de la misma forma que los reclusos de las prisiones danesas.</w:t>
      </w:r>
    </w:p>
    <w:p w14:paraId="14CC9794" w14:textId="77777777" w:rsidR="006A5CC8" w:rsidRPr="006A5CC8" w:rsidRDefault="006A5CC8" w:rsidP="006A5CC8">
      <w:pPr>
        <w:pStyle w:val="SingleTxtG"/>
        <w:rPr>
          <w:lang w:val="es-ES_tradnl"/>
        </w:rPr>
      </w:pPr>
      <w:r w:rsidRPr="006A5CC8">
        <w:rPr>
          <w:lang w:val="es-ES_tradnl"/>
        </w:rPr>
        <w:t>40.</w:t>
      </w:r>
      <w:r w:rsidRPr="006A5CC8">
        <w:rPr>
          <w:lang w:val="es-ES_tradnl"/>
        </w:rPr>
        <w:tab/>
        <w:t>Todas las personas encarceladas tendrán acceso a vías efectivas de denuncia. Tal como establece el tratado, las normas y los reglamentos del Estado que envía los reclusos (Dinamarca) serán los únicos aplicables al cumplimiento en el establecimiento penitenciario de penas impuestas en Dinamarca, incluidos los derechos y las obligaciones de los reclusos, lo que puede dar lugar a reclamaciones o acciones legales de los reclusos en relación con la ejecución de penas impuestas en Dinamarca. Las reclamaciones y los procedimientos judiciales relativos al cumplimiento de penas impuestas en Dinamarca serán tramitados por las autoridades danesas, incluidos los juzgados y tribunales daneses.</w:t>
      </w:r>
    </w:p>
    <w:p w14:paraId="07DFD426" w14:textId="5F709AE0" w:rsidR="006A5CC8" w:rsidRPr="006A5CC8" w:rsidRDefault="006A5CC8" w:rsidP="006A5CC8">
      <w:pPr>
        <w:pStyle w:val="H1G"/>
        <w:rPr>
          <w:lang w:val="es-ES_tradnl"/>
        </w:rPr>
      </w:pPr>
      <w:r>
        <w:rPr>
          <w:lang w:val="es-ES_tradnl"/>
        </w:rPr>
        <w:tab/>
      </w:r>
      <w:r w:rsidRPr="006A5CC8">
        <w:rPr>
          <w:lang w:val="es-ES_tradnl"/>
        </w:rPr>
        <w:t>L.</w:t>
      </w:r>
      <w:r w:rsidRPr="006A5CC8">
        <w:rPr>
          <w:lang w:val="es-ES_tradnl"/>
        </w:rPr>
        <w:tab/>
        <w:t>Información de seguimiento relativa al párrafo 21</w:t>
      </w:r>
      <w:r w:rsidR="003A44A5">
        <w:rPr>
          <w:lang w:val="es-ES_tradnl"/>
        </w:rPr>
        <w:br/>
      </w:r>
      <w:r w:rsidRPr="006A5CC8">
        <w:rPr>
          <w:lang w:val="es-ES_tradnl"/>
        </w:rPr>
        <w:t>de las observaciones finales</w:t>
      </w:r>
    </w:p>
    <w:p w14:paraId="30DA5EF1" w14:textId="7DF27AF5" w:rsidR="006A5CC8" w:rsidRPr="006A5CC8" w:rsidRDefault="006A5CC8" w:rsidP="006A5CC8">
      <w:pPr>
        <w:pStyle w:val="SingleTxtG"/>
        <w:rPr>
          <w:lang w:val="es-ES_tradnl"/>
        </w:rPr>
      </w:pPr>
      <w:r w:rsidRPr="006A5CC8">
        <w:rPr>
          <w:lang w:val="es-ES_tradnl"/>
        </w:rPr>
        <w:t>41.</w:t>
      </w:r>
      <w:r w:rsidRPr="006A5CC8">
        <w:rPr>
          <w:lang w:val="es-ES_tradnl"/>
        </w:rPr>
        <w:tab/>
        <w:t>Con arreglo al nuevo sistema de sanciones disciplinarias que se describe en la información de seguimiento relativa al párrafo 25 de las observaciones finales, la reclusión en régimen de aislamiento impuesta como medida disciplinaria solo podrá tener una duración superior a 14 días en casos excepcionales. Dichas situaciones excepcionales pueden incluir casos de infracciones repetidas de las normas disciplinarias o en los que se considere necesario un aislamiento más prolongado para manejar a reclusos especialmente problemáticos o de reacciones intempestivas.</w:t>
      </w:r>
    </w:p>
    <w:p w14:paraId="447912AD" w14:textId="77777777" w:rsidR="006A5CC8" w:rsidRPr="006A5CC8" w:rsidRDefault="006A5CC8" w:rsidP="006A5CC8">
      <w:pPr>
        <w:pStyle w:val="SingleTxtG"/>
        <w:rPr>
          <w:lang w:val="es-ES_tradnl"/>
        </w:rPr>
      </w:pPr>
      <w:r w:rsidRPr="006A5CC8">
        <w:rPr>
          <w:lang w:val="es-ES_tradnl"/>
        </w:rPr>
        <w:lastRenderedPageBreak/>
        <w:t>42.</w:t>
      </w:r>
      <w:r w:rsidRPr="006A5CC8">
        <w:rPr>
          <w:lang w:val="es-ES_tradnl"/>
        </w:rPr>
        <w:tab/>
        <w:t>En el anexo se incluye información adicional sobre la evolución de la utilización de la reclusión en régimen de aislamiento como medida disciplinaria. El nuevo sistema de sanciones disciplinarias entró en vigor en septiembre de 2023 y, en general, se ha traducido en una reducción de la imposición de la reclusión en régimen de aislamiento como medida disciplinaria y, en particular, en una disminución sustancial del número de reclusiones en régimen de aislamiento prolongadas (de más de 14 días).</w:t>
      </w:r>
    </w:p>
    <w:p w14:paraId="73CE497E" w14:textId="77777777" w:rsidR="006A5CC8" w:rsidRPr="006A5CC8" w:rsidRDefault="006A5CC8" w:rsidP="006A5CC8">
      <w:pPr>
        <w:pStyle w:val="SingleTxtG"/>
        <w:rPr>
          <w:lang w:val="es-ES_tradnl"/>
        </w:rPr>
      </w:pPr>
      <w:r w:rsidRPr="006A5CC8">
        <w:rPr>
          <w:lang w:val="es-ES_tradnl"/>
        </w:rPr>
        <w:t>43.</w:t>
      </w:r>
      <w:r w:rsidRPr="006A5CC8">
        <w:rPr>
          <w:lang w:val="es-ES_tradnl"/>
        </w:rPr>
        <w:tab/>
        <w:t>La exclusión voluntaria de la interacción puede utilizarse por distintos motivos, por ejemplo para proteger al recluso o si este necesita pasar un tiempo a solas para centrarse en solucionar un problema o adaptarse a su situación. El recluso puede poner fin a la exclusión voluntaria en cualquier momento. Según las instrucciones escritas, es necesario evaluar de manera continua, en colaboración con el recluso, si se puede poner fin a la exclusión voluntaria. Asimismo, los funcionarios penitenciarios evaluarán de forma continua si conviene trasladar al recluso a otro centro penitenciario en el que pueda interactuar con otros reclusos.</w:t>
      </w:r>
    </w:p>
    <w:p w14:paraId="4BE64E06" w14:textId="4A2C8EBA" w:rsidR="006A5CC8" w:rsidRPr="006A5CC8" w:rsidRDefault="006A5CC8" w:rsidP="006A5CC8">
      <w:pPr>
        <w:pStyle w:val="H1G"/>
        <w:rPr>
          <w:lang w:val="es-ES_tradnl"/>
        </w:rPr>
      </w:pPr>
      <w:r w:rsidRPr="006A5CC8">
        <w:rPr>
          <w:lang w:val="es-ES_tradnl"/>
        </w:rPr>
        <w:tab/>
        <w:t>M.</w:t>
      </w:r>
      <w:r w:rsidRPr="006A5CC8">
        <w:rPr>
          <w:lang w:val="es-ES_tradnl"/>
        </w:rPr>
        <w:tab/>
        <w:t>Información de seguimiento relativa al párrafo 27</w:t>
      </w:r>
      <w:r w:rsidR="003A44A5">
        <w:rPr>
          <w:lang w:val="es-ES_tradnl"/>
        </w:rPr>
        <w:br/>
      </w:r>
      <w:r w:rsidRPr="006A5CC8">
        <w:rPr>
          <w:lang w:val="es-ES_tradnl"/>
        </w:rPr>
        <w:t>de las observaciones finales</w:t>
      </w:r>
    </w:p>
    <w:p w14:paraId="5D4C21B5" w14:textId="2A6C460C" w:rsidR="006A5CC8" w:rsidRPr="006A5CC8" w:rsidRDefault="006A5CC8" w:rsidP="006A5CC8">
      <w:pPr>
        <w:pStyle w:val="SingleTxtG"/>
        <w:rPr>
          <w:lang w:val="es-ES_tradnl"/>
        </w:rPr>
      </w:pPr>
      <w:r w:rsidRPr="006A5CC8">
        <w:rPr>
          <w:lang w:val="es-ES_tradnl"/>
        </w:rPr>
        <w:t>44.</w:t>
      </w:r>
      <w:r w:rsidRPr="006A5CC8">
        <w:rPr>
          <w:lang w:val="es-ES_tradnl"/>
        </w:rPr>
        <w:tab/>
        <w:t>El Gobierno danés ha tomado nota de la preocupación del Comité por que, en algunos casos, se interne a niños que reciben asistencia social en centros residenciales de seguridad con niños que cumplen penas privativas de libertad, a pesar de que no hayan cometido ningún delito.</w:t>
      </w:r>
    </w:p>
    <w:p w14:paraId="4CB5FB50" w14:textId="77777777" w:rsidR="006A5CC8" w:rsidRPr="006A5CC8" w:rsidRDefault="006A5CC8" w:rsidP="006A5CC8">
      <w:pPr>
        <w:pStyle w:val="SingleTxtG"/>
        <w:rPr>
          <w:lang w:val="es-ES_tradnl"/>
        </w:rPr>
      </w:pPr>
      <w:r w:rsidRPr="006A5CC8">
        <w:rPr>
          <w:lang w:val="es-ES_tradnl"/>
        </w:rPr>
        <w:t>45.</w:t>
      </w:r>
      <w:r w:rsidRPr="006A5CC8">
        <w:rPr>
          <w:lang w:val="es-ES_tradnl"/>
        </w:rPr>
        <w:tab/>
        <w:t>El Gobierno danés quiere recalcar que, cuando un municipio decide que un niño o un adolescente reciba atención fuera de su hogar, es decir, en un centro residencial, el municipio debe considerar qué centro es el más adecuado para atender las necesidades del menor.</w:t>
      </w:r>
    </w:p>
    <w:p w14:paraId="7C770EBD" w14:textId="77777777" w:rsidR="006A5CC8" w:rsidRPr="006A5CC8" w:rsidRDefault="006A5CC8" w:rsidP="006A5CC8">
      <w:pPr>
        <w:pStyle w:val="SingleTxtG"/>
        <w:rPr>
          <w:lang w:val="es-ES_tradnl"/>
        </w:rPr>
      </w:pPr>
      <w:r w:rsidRPr="006A5CC8">
        <w:rPr>
          <w:lang w:val="es-ES_tradnl"/>
        </w:rPr>
        <w:t>46.</w:t>
      </w:r>
      <w:r w:rsidRPr="006A5CC8">
        <w:rPr>
          <w:lang w:val="es-ES_tradnl"/>
        </w:rPr>
        <w:tab/>
        <w:t>El Gobierno danés destaca asimismo que la legislación de su país prevé estrictas condiciones que han de cumplirse para internar a un niño o un adolescente en un centro residencial de régimen cerrado. La legislación danesa también limita estrictamente el tiempo que un niño o un adolescente puede estar internado en ese tipo de centro.</w:t>
      </w:r>
    </w:p>
    <w:p w14:paraId="7E7D7153" w14:textId="77777777" w:rsidR="006A5CC8" w:rsidRPr="006A5CC8" w:rsidRDefault="006A5CC8" w:rsidP="006A5CC8">
      <w:pPr>
        <w:pStyle w:val="SingleTxtG"/>
        <w:rPr>
          <w:lang w:val="es-ES_tradnl"/>
        </w:rPr>
      </w:pPr>
      <w:r w:rsidRPr="006A5CC8">
        <w:rPr>
          <w:lang w:val="es-ES_tradnl"/>
        </w:rPr>
        <w:br w:type="page"/>
      </w:r>
    </w:p>
    <w:p w14:paraId="2D718958" w14:textId="77777777" w:rsidR="006A5CC8" w:rsidRPr="006A5CC8" w:rsidRDefault="006A5CC8" w:rsidP="006A5CC8">
      <w:pPr>
        <w:pStyle w:val="HChG"/>
        <w:rPr>
          <w:lang w:val="es-ES_tradnl"/>
        </w:rPr>
      </w:pPr>
      <w:r w:rsidRPr="006A5CC8">
        <w:rPr>
          <w:lang w:val="es-ES_tradnl"/>
        </w:rPr>
        <w:lastRenderedPageBreak/>
        <w:t>Anexo</w:t>
      </w:r>
    </w:p>
    <w:p w14:paraId="076636B4" w14:textId="0F1139CD" w:rsidR="006A5CC8" w:rsidRDefault="006A5CC8" w:rsidP="006A5CC8">
      <w:pPr>
        <w:pStyle w:val="H23G"/>
        <w:rPr>
          <w:b w:val="0"/>
          <w:bCs/>
          <w:sz w:val="16"/>
          <w:szCs w:val="16"/>
          <w:lang w:val="es-ES_tradnl"/>
        </w:rPr>
      </w:pPr>
      <w:r w:rsidRPr="006A5CC8">
        <w:rPr>
          <w:b w:val="0"/>
          <w:bCs/>
          <w:lang w:val="es-ES_tradnl"/>
        </w:rPr>
        <w:tab/>
      </w:r>
      <w:r w:rsidRPr="006A5CC8">
        <w:rPr>
          <w:b w:val="0"/>
          <w:bCs/>
          <w:lang w:val="es-ES_tradnl"/>
        </w:rPr>
        <w:tab/>
        <w:t>Cuadro 1</w:t>
      </w:r>
      <w:r w:rsidRPr="006A5CC8">
        <w:rPr>
          <w:b w:val="0"/>
          <w:bCs/>
          <w:lang w:val="es-ES_tradnl"/>
        </w:rPr>
        <w:br/>
      </w:r>
      <w:r w:rsidRPr="006A5CC8">
        <w:rPr>
          <w:lang w:val="es-ES_tradnl"/>
        </w:rPr>
        <w:t>Casos de reclusión en régimen de aislamiento disciplinario, adultos, 2023</w:t>
      </w:r>
      <w:r>
        <w:rPr>
          <w:lang w:val="es-ES_tradnl"/>
        </w:rPr>
        <w:br/>
      </w:r>
      <w:r w:rsidRPr="006A5CC8">
        <w:rPr>
          <w:b w:val="0"/>
          <w:bCs/>
          <w:sz w:val="16"/>
          <w:szCs w:val="16"/>
          <w:lang w:val="es-ES_tradnl"/>
        </w:rPr>
        <w:t>(</w:t>
      </w:r>
      <w:r w:rsidRPr="006A5CC8">
        <w:rPr>
          <w:b w:val="0"/>
          <w:bCs/>
          <w:sz w:val="16"/>
          <w:szCs w:val="16"/>
          <w:lang w:val="es-ES_tradnl"/>
        </w:rPr>
        <w:t>Desglosados por la duración de la reclusión en régimen de aislamiento y el mes</w:t>
      </w:r>
      <w:r>
        <w:rPr>
          <w:b w:val="0"/>
          <w:bCs/>
          <w:sz w:val="16"/>
          <w:szCs w:val="16"/>
          <w:lang w:val="es-ES_tradnl"/>
        </w:rPr>
        <w:t>)</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82"/>
        <w:gridCol w:w="686"/>
        <w:gridCol w:w="616"/>
        <w:gridCol w:w="518"/>
        <w:gridCol w:w="518"/>
        <w:gridCol w:w="504"/>
        <w:gridCol w:w="517"/>
        <w:gridCol w:w="504"/>
        <w:gridCol w:w="518"/>
        <w:gridCol w:w="462"/>
        <w:gridCol w:w="504"/>
        <w:gridCol w:w="462"/>
        <w:gridCol w:w="504"/>
        <w:gridCol w:w="610"/>
      </w:tblGrid>
      <w:tr w:rsidR="006A5CC8" w:rsidRPr="006A5CC8" w14:paraId="5248C099" w14:textId="77777777" w:rsidTr="00F518B1">
        <w:trPr>
          <w:trHeight w:val="240"/>
          <w:tblHeader/>
        </w:trPr>
        <w:tc>
          <w:tcPr>
            <w:tcW w:w="1582" w:type="dxa"/>
            <w:tcBorders>
              <w:top w:val="single" w:sz="4" w:space="0" w:color="auto"/>
              <w:bottom w:val="single" w:sz="12" w:space="0" w:color="auto"/>
            </w:tcBorders>
            <w:shd w:val="clear" w:color="auto" w:fill="auto"/>
            <w:vAlign w:val="bottom"/>
          </w:tcPr>
          <w:p w14:paraId="4806F947" w14:textId="77777777" w:rsidR="006A5CC8" w:rsidRPr="006A5CC8" w:rsidRDefault="006A5CC8" w:rsidP="006A5CC8">
            <w:pPr>
              <w:spacing w:before="80" w:after="80" w:line="200" w:lineRule="exact"/>
              <w:rPr>
                <w:i/>
                <w:sz w:val="16"/>
                <w:lang w:val="es-ES_tradnl"/>
              </w:rPr>
            </w:pPr>
          </w:p>
        </w:tc>
        <w:tc>
          <w:tcPr>
            <w:tcW w:w="686" w:type="dxa"/>
            <w:tcBorders>
              <w:top w:val="single" w:sz="4" w:space="0" w:color="auto"/>
              <w:bottom w:val="single" w:sz="12" w:space="0" w:color="auto"/>
            </w:tcBorders>
            <w:shd w:val="clear" w:color="auto" w:fill="auto"/>
            <w:vAlign w:val="bottom"/>
          </w:tcPr>
          <w:p w14:paraId="4E95FA59" w14:textId="5CECF926" w:rsidR="006A5CC8" w:rsidRPr="006A5CC8" w:rsidRDefault="006A5CC8" w:rsidP="006A5CC8">
            <w:pPr>
              <w:spacing w:before="80" w:after="80" w:line="200" w:lineRule="exact"/>
              <w:ind w:right="28"/>
              <w:jc w:val="right"/>
              <w:rPr>
                <w:i/>
                <w:sz w:val="16"/>
                <w:lang w:val="es-ES_tradnl"/>
              </w:rPr>
            </w:pPr>
            <w:r w:rsidRPr="006A5CC8">
              <w:rPr>
                <w:i/>
                <w:iCs/>
                <w:sz w:val="16"/>
                <w:lang w:val="es-ES_tradnl"/>
              </w:rPr>
              <w:t>1</w:t>
            </w:r>
          </w:p>
        </w:tc>
        <w:tc>
          <w:tcPr>
            <w:tcW w:w="616" w:type="dxa"/>
            <w:tcBorders>
              <w:top w:val="single" w:sz="4" w:space="0" w:color="auto"/>
              <w:bottom w:val="single" w:sz="12" w:space="0" w:color="auto"/>
            </w:tcBorders>
            <w:shd w:val="clear" w:color="auto" w:fill="auto"/>
            <w:vAlign w:val="bottom"/>
          </w:tcPr>
          <w:p w14:paraId="6AB21533" w14:textId="0A1F1E9E" w:rsidR="006A5CC8" w:rsidRPr="006A5CC8" w:rsidRDefault="006A5CC8" w:rsidP="006A5CC8">
            <w:pPr>
              <w:spacing w:before="80" w:after="80" w:line="200" w:lineRule="exact"/>
              <w:ind w:right="28"/>
              <w:jc w:val="right"/>
              <w:rPr>
                <w:i/>
                <w:sz w:val="16"/>
                <w:lang w:val="es-ES_tradnl"/>
              </w:rPr>
            </w:pPr>
            <w:r w:rsidRPr="006A5CC8">
              <w:rPr>
                <w:i/>
                <w:iCs/>
                <w:sz w:val="16"/>
                <w:lang w:val="es-ES_tradnl"/>
              </w:rPr>
              <w:t>2</w:t>
            </w:r>
          </w:p>
        </w:tc>
        <w:tc>
          <w:tcPr>
            <w:tcW w:w="518" w:type="dxa"/>
            <w:tcBorders>
              <w:top w:val="single" w:sz="4" w:space="0" w:color="auto"/>
              <w:bottom w:val="single" w:sz="12" w:space="0" w:color="auto"/>
            </w:tcBorders>
            <w:shd w:val="clear" w:color="auto" w:fill="auto"/>
            <w:vAlign w:val="bottom"/>
          </w:tcPr>
          <w:p w14:paraId="4CE442CF" w14:textId="66E657E1" w:rsidR="006A5CC8" w:rsidRPr="006A5CC8" w:rsidRDefault="006A5CC8" w:rsidP="006A5CC8">
            <w:pPr>
              <w:spacing w:before="80" w:after="80" w:line="200" w:lineRule="exact"/>
              <w:ind w:right="28"/>
              <w:jc w:val="right"/>
              <w:rPr>
                <w:i/>
                <w:sz w:val="16"/>
                <w:lang w:val="es-ES_tradnl"/>
              </w:rPr>
            </w:pPr>
            <w:r w:rsidRPr="006A5CC8">
              <w:rPr>
                <w:i/>
                <w:iCs/>
                <w:sz w:val="16"/>
                <w:lang w:val="es-ES_tradnl"/>
              </w:rPr>
              <w:t>3</w:t>
            </w:r>
          </w:p>
        </w:tc>
        <w:tc>
          <w:tcPr>
            <w:tcW w:w="518" w:type="dxa"/>
            <w:tcBorders>
              <w:top w:val="single" w:sz="4" w:space="0" w:color="auto"/>
              <w:bottom w:val="single" w:sz="12" w:space="0" w:color="auto"/>
            </w:tcBorders>
            <w:shd w:val="clear" w:color="auto" w:fill="auto"/>
            <w:vAlign w:val="bottom"/>
          </w:tcPr>
          <w:p w14:paraId="6BE3CDA6" w14:textId="2DC653B1" w:rsidR="006A5CC8" w:rsidRPr="006A5CC8" w:rsidRDefault="006A5CC8" w:rsidP="006A5CC8">
            <w:pPr>
              <w:spacing w:before="80" w:after="80" w:line="200" w:lineRule="exact"/>
              <w:ind w:right="28"/>
              <w:jc w:val="right"/>
              <w:rPr>
                <w:i/>
                <w:sz w:val="16"/>
                <w:lang w:val="es-ES_tradnl"/>
              </w:rPr>
            </w:pPr>
            <w:r w:rsidRPr="006A5CC8">
              <w:rPr>
                <w:i/>
                <w:iCs/>
                <w:sz w:val="16"/>
                <w:lang w:val="es-ES_tradnl"/>
              </w:rPr>
              <w:t>4</w:t>
            </w:r>
          </w:p>
        </w:tc>
        <w:tc>
          <w:tcPr>
            <w:tcW w:w="504" w:type="dxa"/>
            <w:tcBorders>
              <w:top w:val="single" w:sz="4" w:space="0" w:color="auto"/>
              <w:bottom w:val="single" w:sz="12" w:space="0" w:color="auto"/>
            </w:tcBorders>
            <w:shd w:val="clear" w:color="auto" w:fill="auto"/>
            <w:vAlign w:val="bottom"/>
          </w:tcPr>
          <w:p w14:paraId="1D5539F7" w14:textId="2C8577EE" w:rsidR="006A5CC8" w:rsidRPr="006A5CC8" w:rsidRDefault="006A5CC8" w:rsidP="006A5CC8">
            <w:pPr>
              <w:spacing w:before="80" w:after="80" w:line="200" w:lineRule="exact"/>
              <w:ind w:right="28"/>
              <w:jc w:val="right"/>
              <w:rPr>
                <w:i/>
                <w:sz w:val="16"/>
                <w:lang w:val="es-ES_tradnl"/>
              </w:rPr>
            </w:pPr>
            <w:r w:rsidRPr="006A5CC8">
              <w:rPr>
                <w:i/>
                <w:iCs/>
                <w:sz w:val="16"/>
                <w:lang w:val="es-ES_tradnl"/>
              </w:rPr>
              <w:t>5</w:t>
            </w:r>
          </w:p>
        </w:tc>
        <w:tc>
          <w:tcPr>
            <w:tcW w:w="517" w:type="dxa"/>
            <w:tcBorders>
              <w:top w:val="single" w:sz="4" w:space="0" w:color="auto"/>
              <w:bottom w:val="single" w:sz="12" w:space="0" w:color="auto"/>
            </w:tcBorders>
            <w:shd w:val="clear" w:color="auto" w:fill="auto"/>
            <w:vAlign w:val="bottom"/>
          </w:tcPr>
          <w:p w14:paraId="699D787E" w14:textId="1756BC02" w:rsidR="006A5CC8" w:rsidRPr="006A5CC8" w:rsidRDefault="006A5CC8" w:rsidP="006A5CC8">
            <w:pPr>
              <w:spacing w:before="80" w:after="80" w:line="200" w:lineRule="exact"/>
              <w:ind w:right="28"/>
              <w:jc w:val="right"/>
              <w:rPr>
                <w:i/>
                <w:sz w:val="16"/>
                <w:lang w:val="es-ES_tradnl"/>
              </w:rPr>
            </w:pPr>
            <w:r w:rsidRPr="006A5CC8">
              <w:rPr>
                <w:i/>
                <w:iCs/>
                <w:sz w:val="16"/>
                <w:lang w:val="es-ES_tradnl"/>
              </w:rPr>
              <w:t>6</w:t>
            </w:r>
          </w:p>
        </w:tc>
        <w:tc>
          <w:tcPr>
            <w:tcW w:w="504" w:type="dxa"/>
            <w:tcBorders>
              <w:top w:val="single" w:sz="4" w:space="0" w:color="auto"/>
              <w:bottom w:val="single" w:sz="12" w:space="0" w:color="auto"/>
            </w:tcBorders>
            <w:shd w:val="clear" w:color="auto" w:fill="auto"/>
            <w:vAlign w:val="bottom"/>
          </w:tcPr>
          <w:p w14:paraId="592469B7" w14:textId="75774455" w:rsidR="006A5CC8" w:rsidRPr="006A5CC8" w:rsidRDefault="006A5CC8" w:rsidP="006A5CC8">
            <w:pPr>
              <w:spacing w:before="80" w:after="80" w:line="200" w:lineRule="exact"/>
              <w:ind w:right="28"/>
              <w:jc w:val="right"/>
              <w:rPr>
                <w:i/>
                <w:sz w:val="16"/>
                <w:lang w:val="es-ES_tradnl"/>
              </w:rPr>
            </w:pPr>
            <w:r w:rsidRPr="006A5CC8">
              <w:rPr>
                <w:i/>
                <w:iCs/>
                <w:sz w:val="16"/>
                <w:lang w:val="es-ES_tradnl"/>
              </w:rPr>
              <w:t>7</w:t>
            </w:r>
          </w:p>
        </w:tc>
        <w:tc>
          <w:tcPr>
            <w:tcW w:w="518" w:type="dxa"/>
            <w:tcBorders>
              <w:top w:val="single" w:sz="4" w:space="0" w:color="auto"/>
              <w:bottom w:val="single" w:sz="12" w:space="0" w:color="auto"/>
            </w:tcBorders>
            <w:shd w:val="clear" w:color="auto" w:fill="auto"/>
            <w:vAlign w:val="bottom"/>
          </w:tcPr>
          <w:p w14:paraId="64F8798E" w14:textId="7B856623" w:rsidR="006A5CC8" w:rsidRPr="006A5CC8" w:rsidRDefault="006A5CC8" w:rsidP="006A5CC8">
            <w:pPr>
              <w:spacing w:before="80" w:after="80" w:line="200" w:lineRule="exact"/>
              <w:ind w:right="28"/>
              <w:jc w:val="right"/>
              <w:rPr>
                <w:i/>
                <w:sz w:val="16"/>
                <w:lang w:val="es-ES_tradnl"/>
              </w:rPr>
            </w:pPr>
            <w:r w:rsidRPr="006A5CC8">
              <w:rPr>
                <w:i/>
                <w:iCs/>
                <w:sz w:val="16"/>
                <w:lang w:val="es-ES_tradnl"/>
              </w:rPr>
              <w:t>8</w:t>
            </w:r>
          </w:p>
        </w:tc>
        <w:tc>
          <w:tcPr>
            <w:tcW w:w="462" w:type="dxa"/>
            <w:tcBorders>
              <w:top w:val="single" w:sz="4" w:space="0" w:color="auto"/>
              <w:bottom w:val="single" w:sz="12" w:space="0" w:color="auto"/>
            </w:tcBorders>
            <w:shd w:val="clear" w:color="auto" w:fill="auto"/>
            <w:vAlign w:val="bottom"/>
          </w:tcPr>
          <w:p w14:paraId="2B5C21E4" w14:textId="47AC5742" w:rsidR="006A5CC8" w:rsidRPr="006A5CC8" w:rsidRDefault="006A5CC8" w:rsidP="006A5CC8">
            <w:pPr>
              <w:spacing w:before="80" w:after="80" w:line="200" w:lineRule="exact"/>
              <w:ind w:right="28"/>
              <w:jc w:val="right"/>
              <w:rPr>
                <w:i/>
                <w:sz w:val="16"/>
                <w:lang w:val="es-ES_tradnl"/>
              </w:rPr>
            </w:pPr>
            <w:r w:rsidRPr="006A5CC8">
              <w:rPr>
                <w:i/>
                <w:iCs/>
                <w:sz w:val="16"/>
                <w:lang w:val="es-ES_tradnl"/>
              </w:rPr>
              <w:t>9</w:t>
            </w:r>
          </w:p>
        </w:tc>
        <w:tc>
          <w:tcPr>
            <w:tcW w:w="504" w:type="dxa"/>
            <w:tcBorders>
              <w:top w:val="single" w:sz="4" w:space="0" w:color="auto"/>
              <w:bottom w:val="single" w:sz="12" w:space="0" w:color="auto"/>
            </w:tcBorders>
            <w:shd w:val="clear" w:color="auto" w:fill="auto"/>
            <w:vAlign w:val="bottom"/>
          </w:tcPr>
          <w:p w14:paraId="088CF17D" w14:textId="399C5346" w:rsidR="006A5CC8" w:rsidRPr="006A5CC8" w:rsidRDefault="006A5CC8" w:rsidP="006A5CC8">
            <w:pPr>
              <w:spacing w:before="80" w:after="80" w:line="200" w:lineRule="exact"/>
              <w:ind w:right="28"/>
              <w:jc w:val="right"/>
              <w:rPr>
                <w:i/>
                <w:sz w:val="16"/>
                <w:lang w:val="es-ES_tradnl"/>
              </w:rPr>
            </w:pPr>
            <w:r w:rsidRPr="006A5CC8">
              <w:rPr>
                <w:i/>
                <w:iCs/>
                <w:sz w:val="16"/>
                <w:lang w:val="es-ES_tradnl"/>
              </w:rPr>
              <w:t>10</w:t>
            </w:r>
          </w:p>
        </w:tc>
        <w:tc>
          <w:tcPr>
            <w:tcW w:w="462" w:type="dxa"/>
            <w:tcBorders>
              <w:top w:val="single" w:sz="4" w:space="0" w:color="auto"/>
              <w:bottom w:val="single" w:sz="12" w:space="0" w:color="auto"/>
            </w:tcBorders>
            <w:shd w:val="clear" w:color="auto" w:fill="auto"/>
            <w:vAlign w:val="bottom"/>
          </w:tcPr>
          <w:p w14:paraId="2218EABB" w14:textId="3D33652B" w:rsidR="006A5CC8" w:rsidRPr="006A5CC8" w:rsidRDefault="006A5CC8" w:rsidP="006A5CC8">
            <w:pPr>
              <w:spacing w:before="80" w:after="80" w:line="200" w:lineRule="exact"/>
              <w:ind w:right="28"/>
              <w:jc w:val="right"/>
              <w:rPr>
                <w:i/>
                <w:sz w:val="16"/>
                <w:lang w:val="es-ES_tradnl"/>
              </w:rPr>
            </w:pPr>
            <w:r w:rsidRPr="006A5CC8">
              <w:rPr>
                <w:i/>
                <w:iCs/>
                <w:sz w:val="16"/>
                <w:lang w:val="es-ES_tradnl"/>
              </w:rPr>
              <w:t>11</w:t>
            </w:r>
          </w:p>
        </w:tc>
        <w:tc>
          <w:tcPr>
            <w:tcW w:w="504" w:type="dxa"/>
            <w:tcBorders>
              <w:top w:val="single" w:sz="4" w:space="0" w:color="auto"/>
              <w:bottom w:val="single" w:sz="12" w:space="0" w:color="auto"/>
            </w:tcBorders>
            <w:shd w:val="clear" w:color="auto" w:fill="auto"/>
            <w:vAlign w:val="bottom"/>
          </w:tcPr>
          <w:p w14:paraId="30F1C2C1" w14:textId="77BCFA0F" w:rsidR="006A5CC8" w:rsidRPr="006A5CC8" w:rsidRDefault="006A5CC8" w:rsidP="006A5CC8">
            <w:pPr>
              <w:spacing w:before="80" w:after="80" w:line="200" w:lineRule="exact"/>
              <w:ind w:right="28"/>
              <w:jc w:val="right"/>
              <w:rPr>
                <w:i/>
                <w:sz w:val="16"/>
                <w:lang w:val="es-ES_tradnl"/>
              </w:rPr>
            </w:pPr>
            <w:r w:rsidRPr="006A5CC8">
              <w:rPr>
                <w:i/>
                <w:iCs/>
                <w:sz w:val="16"/>
                <w:lang w:val="es-ES_tradnl"/>
              </w:rPr>
              <w:t>12</w:t>
            </w:r>
          </w:p>
        </w:tc>
        <w:tc>
          <w:tcPr>
            <w:tcW w:w="610" w:type="dxa"/>
            <w:tcBorders>
              <w:top w:val="single" w:sz="4" w:space="0" w:color="auto"/>
              <w:bottom w:val="single" w:sz="12" w:space="0" w:color="auto"/>
            </w:tcBorders>
            <w:shd w:val="clear" w:color="auto" w:fill="auto"/>
            <w:vAlign w:val="bottom"/>
          </w:tcPr>
          <w:p w14:paraId="45C93024" w14:textId="27D210AE" w:rsidR="006A5CC8" w:rsidRPr="006A5CC8" w:rsidRDefault="006A5CC8" w:rsidP="006A5CC8">
            <w:pPr>
              <w:spacing w:before="80" w:after="80" w:line="200" w:lineRule="exact"/>
              <w:ind w:right="28"/>
              <w:jc w:val="right"/>
              <w:rPr>
                <w:i/>
                <w:sz w:val="16"/>
                <w:lang w:val="es-ES_tradnl"/>
              </w:rPr>
            </w:pPr>
            <w:r w:rsidRPr="006A5CC8">
              <w:rPr>
                <w:i/>
                <w:iCs/>
                <w:sz w:val="16"/>
                <w:lang w:val="es-ES_tradnl"/>
              </w:rPr>
              <w:t>Total</w:t>
            </w:r>
          </w:p>
        </w:tc>
      </w:tr>
      <w:tr w:rsidR="00F518B1" w:rsidRPr="006A5CC8" w14:paraId="4FEBF525" w14:textId="77777777" w:rsidTr="00F518B1">
        <w:trPr>
          <w:trHeight w:val="240"/>
        </w:trPr>
        <w:tc>
          <w:tcPr>
            <w:tcW w:w="1582" w:type="dxa"/>
            <w:tcBorders>
              <w:top w:val="single" w:sz="12" w:space="0" w:color="auto"/>
            </w:tcBorders>
            <w:shd w:val="clear" w:color="auto" w:fill="auto"/>
          </w:tcPr>
          <w:p w14:paraId="4C11A086" w14:textId="40D6A72C" w:rsidR="006A5CC8" w:rsidRPr="006A5CC8" w:rsidRDefault="006A5CC8" w:rsidP="006A5CC8">
            <w:pPr>
              <w:spacing w:before="40" w:after="40" w:line="220" w:lineRule="exact"/>
              <w:rPr>
                <w:sz w:val="18"/>
                <w:lang w:val="es-ES_tradnl"/>
              </w:rPr>
            </w:pPr>
            <w:r w:rsidRPr="006A5CC8">
              <w:rPr>
                <w:sz w:val="18"/>
                <w:lang w:val="es-ES_tradnl"/>
              </w:rPr>
              <w:t>1 a 14 días</w:t>
            </w:r>
          </w:p>
        </w:tc>
        <w:tc>
          <w:tcPr>
            <w:tcW w:w="686" w:type="dxa"/>
            <w:tcBorders>
              <w:top w:val="single" w:sz="12" w:space="0" w:color="auto"/>
            </w:tcBorders>
            <w:shd w:val="clear" w:color="auto" w:fill="auto"/>
            <w:vAlign w:val="bottom"/>
          </w:tcPr>
          <w:p w14:paraId="5B480095" w14:textId="05D81329" w:rsidR="006A5CC8" w:rsidRPr="006A5CC8" w:rsidRDefault="006A5CC8" w:rsidP="006A5CC8">
            <w:pPr>
              <w:spacing w:before="40" w:after="40" w:line="220" w:lineRule="exact"/>
              <w:ind w:right="28"/>
              <w:jc w:val="right"/>
              <w:rPr>
                <w:sz w:val="18"/>
                <w:lang w:val="es-ES_tradnl"/>
              </w:rPr>
            </w:pPr>
            <w:r w:rsidRPr="006A5CC8">
              <w:rPr>
                <w:sz w:val="18"/>
                <w:lang w:val="es-ES_tradnl"/>
              </w:rPr>
              <w:t>268</w:t>
            </w:r>
          </w:p>
        </w:tc>
        <w:tc>
          <w:tcPr>
            <w:tcW w:w="616" w:type="dxa"/>
            <w:tcBorders>
              <w:top w:val="single" w:sz="12" w:space="0" w:color="auto"/>
            </w:tcBorders>
            <w:shd w:val="clear" w:color="auto" w:fill="auto"/>
            <w:vAlign w:val="bottom"/>
          </w:tcPr>
          <w:p w14:paraId="744B2E0A" w14:textId="4D63CD02" w:rsidR="006A5CC8" w:rsidRPr="006A5CC8" w:rsidRDefault="006A5CC8" w:rsidP="006A5CC8">
            <w:pPr>
              <w:spacing w:before="40" w:after="40" w:line="220" w:lineRule="exact"/>
              <w:ind w:right="28"/>
              <w:jc w:val="right"/>
              <w:rPr>
                <w:sz w:val="18"/>
                <w:lang w:val="es-ES_tradnl"/>
              </w:rPr>
            </w:pPr>
            <w:r w:rsidRPr="006A5CC8">
              <w:rPr>
                <w:sz w:val="18"/>
                <w:lang w:val="es-ES_tradnl"/>
              </w:rPr>
              <w:t>246</w:t>
            </w:r>
          </w:p>
        </w:tc>
        <w:tc>
          <w:tcPr>
            <w:tcW w:w="518" w:type="dxa"/>
            <w:tcBorders>
              <w:top w:val="single" w:sz="12" w:space="0" w:color="auto"/>
            </w:tcBorders>
            <w:shd w:val="clear" w:color="auto" w:fill="auto"/>
            <w:vAlign w:val="bottom"/>
          </w:tcPr>
          <w:p w14:paraId="033234A4" w14:textId="08BC99A6" w:rsidR="006A5CC8" w:rsidRPr="006A5CC8" w:rsidRDefault="006A5CC8" w:rsidP="006A5CC8">
            <w:pPr>
              <w:spacing w:before="40" w:after="40" w:line="220" w:lineRule="exact"/>
              <w:ind w:right="28"/>
              <w:jc w:val="right"/>
              <w:rPr>
                <w:sz w:val="18"/>
                <w:lang w:val="es-ES_tradnl"/>
              </w:rPr>
            </w:pPr>
            <w:r w:rsidRPr="006A5CC8">
              <w:rPr>
                <w:sz w:val="18"/>
                <w:lang w:val="es-ES_tradnl"/>
              </w:rPr>
              <w:t>271</w:t>
            </w:r>
          </w:p>
        </w:tc>
        <w:tc>
          <w:tcPr>
            <w:tcW w:w="518" w:type="dxa"/>
            <w:tcBorders>
              <w:top w:val="single" w:sz="12" w:space="0" w:color="auto"/>
            </w:tcBorders>
            <w:shd w:val="clear" w:color="auto" w:fill="auto"/>
            <w:vAlign w:val="bottom"/>
          </w:tcPr>
          <w:p w14:paraId="381A268F" w14:textId="465F3990" w:rsidR="006A5CC8" w:rsidRPr="006A5CC8" w:rsidRDefault="006A5CC8" w:rsidP="006A5CC8">
            <w:pPr>
              <w:spacing w:before="40" w:after="40" w:line="220" w:lineRule="exact"/>
              <w:ind w:right="28"/>
              <w:jc w:val="right"/>
              <w:rPr>
                <w:sz w:val="18"/>
                <w:lang w:val="es-ES_tradnl"/>
              </w:rPr>
            </w:pPr>
            <w:r w:rsidRPr="006A5CC8">
              <w:rPr>
                <w:sz w:val="18"/>
                <w:lang w:val="es-ES_tradnl"/>
              </w:rPr>
              <w:t>217</w:t>
            </w:r>
          </w:p>
        </w:tc>
        <w:tc>
          <w:tcPr>
            <w:tcW w:w="504" w:type="dxa"/>
            <w:tcBorders>
              <w:top w:val="single" w:sz="12" w:space="0" w:color="auto"/>
            </w:tcBorders>
            <w:shd w:val="clear" w:color="auto" w:fill="auto"/>
            <w:vAlign w:val="bottom"/>
          </w:tcPr>
          <w:p w14:paraId="5E461185" w14:textId="4E30355C" w:rsidR="006A5CC8" w:rsidRPr="006A5CC8" w:rsidRDefault="006A5CC8" w:rsidP="006A5CC8">
            <w:pPr>
              <w:spacing w:before="40" w:after="40" w:line="220" w:lineRule="exact"/>
              <w:ind w:right="28"/>
              <w:jc w:val="right"/>
              <w:rPr>
                <w:sz w:val="18"/>
                <w:lang w:val="es-ES_tradnl"/>
              </w:rPr>
            </w:pPr>
            <w:r w:rsidRPr="006A5CC8">
              <w:rPr>
                <w:sz w:val="18"/>
                <w:lang w:val="es-ES_tradnl"/>
              </w:rPr>
              <w:t>272</w:t>
            </w:r>
          </w:p>
        </w:tc>
        <w:tc>
          <w:tcPr>
            <w:tcW w:w="517" w:type="dxa"/>
            <w:tcBorders>
              <w:top w:val="single" w:sz="12" w:space="0" w:color="auto"/>
            </w:tcBorders>
            <w:shd w:val="clear" w:color="auto" w:fill="auto"/>
            <w:vAlign w:val="bottom"/>
          </w:tcPr>
          <w:p w14:paraId="411AF66E" w14:textId="2A7BE16A" w:rsidR="006A5CC8" w:rsidRPr="006A5CC8" w:rsidRDefault="006A5CC8" w:rsidP="006A5CC8">
            <w:pPr>
              <w:spacing w:before="40" w:after="40" w:line="220" w:lineRule="exact"/>
              <w:ind w:right="28"/>
              <w:jc w:val="right"/>
              <w:rPr>
                <w:sz w:val="18"/>
                <w:lang w:val="es-ES_tradnl"/>
              </w:rPr>
            </w:pPr>
            <w:r w:rsidRPr="006A5CC8">
              <w:rPr>
                <w:sz w:val="18"/>
                <w:lang w:val="es-ES_tradnl"/>
              </w:rPr>
              <w:t>226</w:t>
            </w:r>
          </w:p>
        </w:tc>
        <w:tc>
          <w:tcPr>
            <w:tcW w:w="504" w:type="dxa"/>
            <w:tcBorders>
              <w:top w:val="single" w:sz="12" w:space="0" w:color="auto"/>
            </w:tcBorders>
            <w:shd w:val="clear" w:color="auto" w:fill="auto"/>
            <w:vAlign w:val="bottom"/>
          </w:tcPr>
          <w:p w14:paraId="426CAF01" w14:textId="6D8374EC" w:rsidR="006A5CC8" w:rsidRPr="006A5CC8" w:rsidRDefault="006A5CC8" w:rsidP="006A5CC8">
            <w:pPr>
              <w:spacing w:before="40" w:after="40" w:line="220" w:lineRule="exact"/>
              <w:ind w:right="28"/>
              <w:jc w:val="right"/>
              <w:rPr>
                <w:sz w:val="18"/>
                <w:lang w:val="es-ES_tradnl"/>
              </w:rPr>
            </w:pPr>
            <w:r w:rsidRPr="006A5CC8">
              <w:rPr>
                <w:sz w:val="18"/>
                <w:lang w:val="es-ES_tradnl"/>
              </w:rPr>
              <w:t>243</w:t>
            </w:r>
          </w:p>
        </w:tc>
        <w:tc>
          <w:tcPr>
            <w:tcW w:w="518" w:type="dxa"/>
            <w:tcBorders>
              <w:top w:val="single" w:sz="12" w:space="0" w:color="auto"/>
            </w:tcBorders>
            <w:shd w:val="clear" w:color="auto" w:fill="auto"/>
            <w:vAlign w:val="bottom"/>
          </w:tcPr>
          <w:p w14:paraId="5E82996B" w14:textId="672984A2" w:rsidR="006A5CC8" w:rsidRPr="006A5CC8" w:rsidRDefault="006A5CC8" w:rsidP="006A5CC8">
            <w:pPr>
              <w:spacing w:before="40" w:after="40" w:line="220" w:lineRule="exact"/>
              <w:ind w:right="28"/>
              <w:jc w:val="right"/>
              <w:rPr>
                <w:sz w:val="18"/>
                <w:lang w:val="es-ES_tradnl"/>
              </w:rPr>
            </w:pPr>
            <w:r w:rsidRPr="006A5CC8">
              <w:rPr>
                <w:sz w:val="18"/>
                <w:lang w:val="es-ES_tradnl"/>
              </w:rPr>
              <w:t>203</w:t>
            </w:r>
          </w:p>
        </w:tc>
        <w:tc>
          <w:tcPr>
            <w:tcW w:w="462" w:type="dxa"/>
            <w:tcBorders>
              <w:top w:val="single" w:sz="12" w:space="0" w:color="auto"/>
            </w:tcBorders>
            <w:shd w:val="clear" w:color="auto" w:fill="auto"/>
            <w:vAlign w:val="bottom"/>
          </w:tcPr>
          <w:p w14:paraId="534498D4" w14:textId="3ED22147" w:rsidR="006A5CC8" w:rsidRPr="006A5CC8" w:rsidRDefault="006A5CC8" w:rsidP="006A5CC8">
            <w:pPr>
              <w:spacing w:before="40" w:after="40" w:line="220" w:lineRule="exact"/>
              <w:ind w:right="28"/>
              <w:jc w:val="right"/>
              <w:rPr>
                <w:sz w:val="18"/>
                <w:lang w:val="es-ES_tradnl"/>
              </w:rPr>
            </w:pPr>
            <w:r w:rsidRPr="006A5CC8">
              <w:rPr>
                <w:sz w:val="18"/>
                <w:lang w:val="es-ES_tradnl"/>
              </w:rPr>
              <w:t>156</w:t>
            </w:r>
          </w:p>
        </w:tc>
        <w:tc>
          <w:tcPr>
            <w:tcW w:w="504" w:type="dxa"/>
            <w:tcBorders>
              <w:top w:val="single" w:sz="12" w:space="0" w:color="auto"/>
            </w:tcBorders>
            <w:shd w:val="clear" w:color="auto" w:fill="auto"/>
            <w:vAlign w:val="bottom"/>
          </w:tcPr>
          <w:p w14:paraId="09A7D9A1" w14:textId="1E538640" w:rsidR="006A5CC8" w:rsidRPr="006A5CC8" w:rsidRDefault="006A5CC8" w:rsidP="006A5CC8">
            <w:pPr>
              <w:spacing w:before="40" w:after="40" w:line="220" w:lineRule="exact"/>
              <w:ind w:right="28"/>
              <w:jc w:val="right"/>
              <w:rPr>
                <w:sz w:val="18"/>
                <w:lang w:val="es-ES_tradnl"/>
              </w:rPr>
            </w:pPr>
            <w:r w:rsidRPr="006A5CC8">
              <w:rPr>
                <w:sz w:val="18"/>
                <w:lang w:val="es-ES_tradnl"/>
              </w:rPr>
              <w:t>133</w:t>
            </w:r>
          </w:p>
        </w:tc>
        <w:tc>
          <w:tcPr>
            <w:tcW w:w="462" w:type="dxa"/>
            <w:tcBorders>
              <w:top w:val="single" w:sz="12" w:space="0" w:color="auto"/>
            </w:tcBorders>
            <w:shd w:val="clear" w:color="auto" w:fill="auto"/>
            <w:vAlign w:val="bottom"/>
          </w:tcPr>
          <w:p w14:paraId="0754BC73" w14:textId="0551F67B" w:rsidR="006A5CC8" w:rsidRPr="006A5CC8" w:rsidRDefault="006A5CC8" w:rsidP="006A5CC8">
            <w:pPr>
              <w:spacing w:before="40" w:after="40" w:line="220" w:lineRule="exact"/>
              <w:ind w:right="28"/>
              <w:jc w:val="right"/>
              <w:rPr>
                <w:sz w:val="18"/>
                <w:lang w:val="es-ES_tradnl"/>
              </w:rPr>
            </w:pPr>
            <w:r w:rsidRPr="006A5CC8">
              <w:rPr>
                <w:sz w:val="18"/>
                <w:lang w:val="es-ES_tradnl"/>
              </w:rPr>
              <w:t>144</w:t>
            </w:r>
          </w:p>
        </w:tc>
        <w:tc>
          <w:tcPr>
            <w:tcW w:w="504" w:type="dxa"/>
            <w:tcBorders>
              <w:top w:val="single" w:sz="12" w:space="0" w:color="auto"/>
            </w:tcBorders>
            <w:shd w:val="clear" w:color="auto" w:fill="auto"/>
            <w:vAlign w:val="bottom"/>
          </w:tcPr>
          <w:p w14:paraId="58CE3BC7" w14:textId="34698D1F" w:rsidR="006A5CC8" w:rsidRPr="006A5CC8" w:rsidRDefault="006A5CC8" w:rsidP="006A5CC8">
            <w:pPr>
              <w:spacing w:before="40" w:after="40" w:line="220" w:lineRule="exact"/>
              <w:ind w:right="28"/>
              <w:jc w:val="right"/>
              <w:rPr>
                <w:sz w:val="18"/>
                <w:lang w:val="es-ES_tradnl"/>
              </w:rPr>
            </w:pPr>
            <w:r w:rsidRPr="006A5CC8">
              <w:rPr>
                <w:sz w:val="18"/>
                <w:lang w:val="es-ES_tradnl"/>
              </w:rPr>
              <w:t>145</w:t>
            </w:r>
          </w:p>
        </w:tc>
        <w:tc>
          <w:tcPr>
            <w:tcW w:w="610" w:type="dxa"/>
            <w:tcBorders>
              <w:top w:val="single" w:sz="12" w:space="0" w:color="auto"/>
            </w:tcBorders>
            <w:shd w:val="clear" w:color="auto" w:fill="auto"/>
            <w:vAlign w:val="bottom"/>
          </w:tcPr>
          <w:p w14:paraId="7AD81D60" w14:textId="1E63C8F7" w:rsidR="006A5CC8" w:rsidRPr="006A5CC8" w:rsidRDefault="006A5CC8" w:rsidP="006A5CC8">
            <w:pPr>
              <w:spacing w:before="40" w:after="40" w:line="220" w:lineRule="exact"/>
              <w:ind w:right="28"/>
              <w:jc w:val="right"/>
              <w:rPr>
                <w:sz w:val="18"/>
                <w:lang w:val="es-ES_tradnl"/>
              </w:rPr>
            </w:pPr>
            <w:r w:rsidRPr="006A5CC8">
              <w:rPr>
                <w:sz w:val="18"/>
                <w:lang w:val="es-ES_tradnl"/>
              </w:rPr>
              <w:t>2</w:t>
            </w:r>
            <w:r>
              <w:rPr>
                <w:sz w:val="18"/>
                <w:lang w:val="es-ES_tradnl"/>
              </w:rPr>
              <w:t xml:space="preserve"> </w:t>
            </w:r>
            <w:r w:rsidRPr="006A5CC8">
              <w:rPr>
                <w:sz w:val="18"/>
                <w:lang w:val="es-ES_tradnl"/>
              </w:rPr>
              <w:t>524</w:t>
            </w:r>
          </w:p>
        </w:tc>
      </w:tr>
      <w:tr w:rsidR="00F518B1" w:rsidRPr="006A5CC8" w14:paraId="173A576F" w14:textId="77777777" w:rsidTr="00F518B1">
        <w:trPr>
          <w:trHeight w:val="240"/>
        </w:trPr>
        <w:tc>
          <w:tcPr>
            <w:tcW w:w="1582" w:type="dxa"/>
            <w:tcBorders>
              <w:bottom w:val="single" w:sz="4" w:space="0" w:color="auto"/>
            </w:tcBorders>
            <w:shd w:val="clear" w:color="auto" w:fill="auto"/>
          </w:tcPr>
          <w:p w14:paraId="2A285D4A" w14:textId="56B7C559" w:rsidR="006A5CC8" w:rsidRPr="006A5CC8" w:rsidRDefault="006A5CC8" w:rsidP="006A5CC8">
            <w:pPr>
              <w:spacing w:before="40" w:after="40" w:line="220" w:lineRule="exact"/>
              <w:rPr>
                <w:sz w:val="18"/>
                <w:lang w:val="es-ES_tradnl"/>
              </w:rPr>
            </w:pPr>
            <w:r w:rsidRPr="006A5CC8">
              <w:rPr>
                <w:sz w:val="18"/>
                <w:lang w:val="es-ES_tradnl"/>
              </w:rPr>
              <w:t>15 días o más</w:t>
            </w:r>
          </w:p>
        </w:tc>
        <w:tc>
          <w:tcPr>
            <w:tcW w:w="686" w:type="dxa"/>
            <w:tcBorders>
              <w:bottom w:val="single" w:sz="4" w:space="0" w:color="auto"/>
            </w:tcBorders>
            <w:shd w:val="clear" w:color="auto" w:fill="auto"/>
            <w:vAlign w:val="bottom"/>
          </w:tcPr>
          <w:p w14:paraId="698FB958" w14:textId="631ACF41" w:rsidR="006A5CC8" w:rsidRPr="006A5CC8" w:rsidRDefault="006A5CC8" w:rsidP="006A5CC8">
            <w:pPr>
              <w:spacing w:before="40" w:after="40" w:line="220" w:lineRule="exact"/>
              <w:ind w:right="28"/>
              <w:jc w:val="right"/>
              <w:rPr>
                <w:sz w:val="18"/>
                <w:lang w:val="es-ES_tradnl"/>
              </w:rPr>
            </w:pPr>
            <w:r w:rsidRPr="006A5CC8">
              <w:rPr>
                <w:sz w:val="18"/>
                <w:lang w:val="es-ES_tradnl"/>
              </w:rPr>
              <w:t>62</w:t>
            </w:r>
          </w:p>
        </w:tc>
        <w:tc>
          <w:tcPr>
            <w:tcW w:w="616" w:type="dxa"/>
            <w:tcBorders>
              <w:bottom w:val="single" w:sz="4" w:space="0" w:color="auto"/>
            </w:tcBorders>
            <w:shd w:val="clear" w:color="auto" w:fill="auto"/>
            <w:vAlign w:val="bottom"/>
          </w:tcPr>
          <w:p w14:paraId="49C66086" w14:textId="168DEE59" w:rsidR="006A5CC8" w:rsidRPr="006A5CC8" w:rsidRDefault="006A5CC8" w:rsidP="006A5CC8">
            <w:pPr>
              <w:spacing w:before="40" w:after="40" w:line="220" w:lineRule="exact"/>
              <w:ind w:right="28"/>
              <w:jc w:val="right"/>
              <w:rPr>
                <w:sz w:val="18"/>
                <w:lang w:val="es-ES_tradnl"/>
              </w:rPr>
            </w:pPr>
            <w:r w:rsidRPr="006A5CC8">
              <w:rPr>
                <w:sz w:val="18"/>
                <w:lang w:val="es-ES_tradnl"/>
              </w:rPr>
              <w:t>53</w:t>
            </w:r>
          </w:p>
        </w:tc>
        <w:tc>
          <w:tcPr>
            <w:tcW w:w="518" w:type="dxa"/>
            <w:tcBorders>
              <w:bottom w:val="single" w:sz="4" w:space="0" w:color="auto"/>
            </w:tcBorders>
            <w:shd w:val="clear" w:color="auto" w:fill="auto"/>
            <w:vAlign w:val="bottom"/>
          </w:tcPr>
          <w:p w14:paraId="5A71E2AC" w14:textId="5DFD77DD" w:rsidR="006A5CC8" w:rsidRPr="006A5CC8" w:rsidRDefault="006A5CC8" w:rsidP="006A5CC8">
            <w:pPr>
              <w:spacing w:before="40" w:after="40" w:line="220" w:lineRule="exact"/>
              <w:ind w:right="28"/>
              <w:jc w:val="right"/>
              <w:rPr>
                <w:sz w:val="18"/>
                <w:lang w:val="es-ES_tradnl"/>
              </w:rPr>
            </w:pPr>
            <w:r w:rsidRPr="006A5CC8">
              <w:rPr>
                <w:sz w:val="18"/>
                <w:lang w:val="es-ES_tradnl"/>
              </w:rPr>
              <w:t>63</w:t>
            </w:r>
          </w:p>
        </w:tc>
        <w:tc>
          <w:tcPr>
            <w:tcW w:w="518" w:type="dxa"/>
            <w:tcBorders>
              <w:bottom w:val="single" w:sz="4" w:space="0" w:color="auto"/>
            </w:tcBorders>
            <w:shd w:val="clear" w:color="auto" w:fill="auto"/>
            <w:vAlign w:val="bottom"/>
          </w:tcPr>
          <w:p w14:paraId="5E11D333" w14:textId="5FEC4794" w:rsidR="006A5CC8" w:rsidRPr="006A5CC8" w:rsidRDefault="006A5CC8" w:rsidP="006A5CC8">
            <w:pPr>
              <w:spacing w:before="40" w:after="40" w:line="220" w:lineRule="exact"/>
              <w:ind w:right="28"/>
              <w:jc w:val="right"/>
              <w:rPr>
                <w:sz w:val="18"/>
                <w:lang w:val="es-ES_tradnl"/>
              </w:rPr>
            </w:pPr>
            <w:r w:rsidRPr="006A5CC8">
              <w:rPr>
                <w:sz w:val="18"/>
                <w:lang w:val="es-ES_tradnl"/>
              </w:rPr>
              <w:t>40</w:t>
            </w:r>
          </w:p>
        </w:tc>
        <w:tc>
          <w:tcPr>
            <w:tcW w:w="504" w:type="dxa"/>
            <w:tcBorders>
              <w:bottom w:val="single" w:sz="4" w:space="0" w:color="auto"/>
            </w:tcBorders>
            <w:shd w:val="clear" w:color="auto" w:fill="auto"/>
            <w:vAlign w:val="bottom"/>
          </w:tcPr>
          <w:p w14:paraId="6CE028E3" w14:textId="0682E0FF" w:rsidR="006A5CC8" w:rsidRPr="006A5CC8" w:rsidRDefault="006A5CC8" w:rsidP="006A5CC8">
            <w:pPr>
              <w:spacing w:before="40" w:after="40" w:line="220" w:lineRule="exact"/>
              <w:ind w:right="28"/>
              <w:jc w:val="right"/>
              <w:rPr>
                <w:sz w:val="18"/>
                <w:lang w:val="es-ES_tradnl"/>
              </w:rPr>
            </w:pPr>
            <w:r w:rsidRPr="006A5CC8">
              <w:rPr>
                <w:sz w:val="18"/>
                <w:lang w:val="es-ES_tradnl"/>
              </w:rPr>
              <w:t>40</w:t>
            </w:r>
          </w:p>
        </w:tc>
        <w:tc>
          <w:tcPr>
            <w:tcW w:w="517" w:type="dxa"/>
            <w:tcBorders>
              <w:bottom w:val="single" w:sz="4" w:space="0" w:color="auto"/>
            </w:tcBorders>
            <w:shd w:val="clear" w:color="auto" w:fill="auto"/>
            <w:vAlign w:val="bottom"/>
          </w:tcPr>
          <w:p w14:paraId="6E8D72BD" w14:textId="65FE3D26" w:rsidR="006A5CC8" w:rsidRPr="006A5CC8" w:rsidRDefault="006A5CC8" w:rsidP="006A5CC8">
            <w:pPr>
              <w:spacing w:before="40" w:after="40" w:line="220" w:lineRule="exact"/>
              <w:ind w:right="28"/>
              <w:jc w:val="right"/>
              <w:rPr>
                <w:sz w:val="18"/>
                <w:lang w:val="es-ES_tradnl"/>
              </w:rPr>
            </w:pPr>
            <w:r w:rsidRPr="006A5CC8">
              <w:rPr>
                <w:sz w:val="18"/>
                <w:lang w:val="es-ES_tradnl"/>
              </w:rPr>
              <w:t>54</w:t>
            </w:r>
          </w:p>
        </w:tc>
        <w:tc>
          <w:tcPr>
            <w:tcW w:w="504" w:type="dxa"/>
            <w:tcBorders>
              <w:bottom w:val="single" w:sz="4" w:space="0" w:color="auto"/>
            </w:tcBorders>
            <w:shd w:val="clear" w:color="auto" w:fill="auto"/>
            <w:vAlign w:val="bottom"/>
          </w:tcPr>
          <w:p w14:paraId="4377BA9D" w14:textId="657CC294" w:rsidR="006A5CC8" w:rsidRPr="006A5CC8" w:rsidRDefault="006A5CC8" w:rsidP="006A5CC8">
            <w:pPr>
              <w:spacing w:before="40" w:after="40" w:line="220" w:lineRule="exact"/>
              <w:ind w:right="28"/>
              <w:jc w:val="right"/>
              <w:rPr>
                <w:sz w:val="18"/>
                <w:lang w:val="es-ES_tradnl"/>
              </w:rPr>
            </w:pPr>
            <w:r w:rsidRPr="006A5CC8">
              <w:rPr>
                <w:sz w:val="18"/>
                <w:lang w:val="es-ES_tradnl"/>
              </w:rPr>
              <w:t>49</w:t>
            </w:r>
          </w:p>
        </w:tc>
        <w:tc>
          <w:tcPr>
            <w:tcW w:w="518" w:type="dxa"/>
            <w:tcBorders>
              <w:bottom w:val="single" w:sz="4" w:space="0" w:color="auto"/>
            </w:tcBorders>
            <w:shd w:val="clear" w:color="auto" w:fill="auto"/>
            <w:vAlign w:val="bottom"/>
          </w:tcPr>
          <w:p w14:paraId="633EFFE9" w14:textId="7E41978E" w:rsidR="006A5CC8" w:rsidRPr="006A5CC8" w:rsidRDefault="006A5CC8" w:rsidP="006A5CC8">
            <w:pPr>
              <w:spacing w:before="40" w:after="40" w:line="220" w:lineRule="exact"/>
              <w:ind w:right="28"/>
              <w:jc w:val="right"/>
              <w:rPr>
                <w:sz w:val="18"/>
                <w:lang w:val="es-ES_tradnl"/>
              </w:rPr>
            </w:pPr>
            <w:r w:rsidRPr="006A5CC8">
              <w:rPr>
                <w:sz w:val="18"/>
                <w:lang w:val="es-ES_tradnl"/>
              </w:rPr>
              <w:t>36</w:t>
            </w:r>
          </w:p>
        </w:tc>
        <w:tc>
          <w:tcPr>
            <w:tcW w:w="462" w:type="dxa"/>
            <w:tcBorders>
              <w:bottom w:val="single" w:sz="4" w:space="0" w:color="auto"/>
            </w:tcBorders>
            <w:shd w:val="clear" w:color="auto" w:fill="auto"/>
            <w:vAlign w:val="bottom"/>
          </w:tcPr>
          <w:p w14:paraId="02EC768C" w14:textId="35602317" w:rsidR="006A5CC8" w:rsidRPr="006A5CC8" w:rsidRDefault="006A5CC8" w:rsidP="006A5CC8">
            <w:pPr>
              <w:spacing w:before="40" w:after="40" w:line="220" w:lineRule="exact"/>
              <w:ind w:right="28"/>
              <w:jc w:val="right"/>
              <w:rPr>
                <w:sz w:val="18"/>
                <w:lang w:val="es-ES_tradnl"/>
              </w:rPr>
            </w:pPr>
            <w:r w:rsidRPr="006A5CC8">
              <w:rPr>
                <w:sz w:val="18"/>
                <w:lang w:val="es-ES_tradnl"/>
              </w:rPr>
              <w:t>8</w:t>
            </w:r>
          </w:p>
        </w:tc>
        <w:tc>
          <w:tcPr>
            <w:tcW w:w="504" w:type="dxa"/>
            <w:tcBorders>
              <w:bottom w:val="single" w:sz="4" w:space="0" w:color="auto"/>
            </w:tcBorders>
            <w:shd w:val="clear" w:color="auto" w:fill="auto"/>
            <w:vAlign w:val="bottom"/>
          </w:tcPr>
          <w:p w14:paraId="448C97B9" w14:textId="702E0311" w:rsidR="006A5CC8" w:rsidRPr="006A5CC8" w:rsidRDefault="006A5CC8" w:rsidP="006A5CC8">
            <w:pPr>
              <w:spacing w:before="40" w:after="40" w:line="220" w:lineRule="exact"/>
              <w:ind w:right="28"/>
              <w:jc w:val="right"/>
              <w:rPr>
                <w:sz w:val="18"/>
                <w:lang w:val="es-ES_tradnl"/>
              </w:rPr>
            </w:pPr>
          </w:p>
        </w:tc>
        <w:tc>
          <w:tcPr>
            <w:tcW w:w="462" w:type="dxa"/>
            <w:tcBorders>
              <w:bottom w:val="single" w:sz="4" w:space="0" w:color="auto"/>
            </w:tcBorders>
            <w:shd w:val="clear" w:color="auto" w:fill="auto"/>
            <w:vAlign w:val="bottom"/>
          </w:tcPr>
          <w:p w14:paraId="60A57D42" w14:textId="59932EAA" w:rsidR="006A5CC8" w:rsidRPr="006A5CC8" w:rsidRDefault="003A44A5" w:rsidP="006A5CC8">
            <w:pPr>
              <w:spacing w:before="40" w:after="40" w:line="220" w:lineRule="exact"/>
              <w:ind w:right="28"/>
              <w:jc w:val="right"/>
              <w:rPr>
                <w:sz w:val="18"/>
                <w:lang w:val="es-ES_tradnl"/>
              </w:rPr>
            </w:pPr>
            <w:r>
              <w:rPr>
                <w:sz w:val="18"/>
                <w:lang w:val="es-ES_tradnl"/>
              </w:rPr>
              <w:t>11*</w:t>
            </w:r>
          </w:p>
        </w:tc>
        <w:tc>
          <w:tcPr>
            <w:tcW w:w="504" w:type="dxa"/>
            <w:tcBorders>
              <w:bottom w:val="single" w:sz="4" w:space="0" w:color="auto"/>
            </w:tcBorders>
            <w:shd w:val="clear" w:color="auto" w:fill="auto"/>
            <w:vAlign w:val="bottom"/>
          </w:tcPr>
          <w:p w14:paraId="47C330C8" w14:textId="328F0384" w:rsidR="006A5CC8" w:rsidRPr="006A5CC8" w:rsidRDefault="006A5CC8" w:rsidP="006A5CC8">
            <w:pPr>
              <w:spacing w:before="40" w:after="40" w:line="220" w:lineRule="exact"/>
              <w:ind w:right="28"/>
              <w:jc w:val="right"/>
              <w:rPr>
                <w:sz w:val="18"/>
                <w:lang w:val="es-ES_tradnl"/>
              </w:rPr>
            </w:pPr>
            <w:r w:rsidRPr="006A5CC8">
              <w:rPr>
                <w:sz w:val="18"/>
                <w:lang w:val="es-ES_tradnl"/>
              </w:rPr>
              <w:t>8</w:t>
            </w:r>
          </w:p>
        </w:tc>
        <w:tc>
          <w:tcPr>
            <w:tcW w:w="610" w:type="dxa"/>
            <w:tcBorders>
              <w:bottom w:val="single" w:sz="4" w:space="0" w:color="auto"/>
            </w:tcBorders>
            <w:shd w:val="clear" w:color="auto" w:fill="auto"/>
            <w:vAlign w:val="bottom"/>
          </w:tcPr>
          <w:p w14:paraId="26334066" w14:textId="3386A1A4" w:rsidR="006A5CC8" w:rsidRPr="006A5CC8" w:rsidRDefault="006A5CC8" w:rsidP="006A5CC8">
            <w:pPr>
              <w:spacing w:before="40" w:after="40" w:line="220" w:lineRule="exact"/>
              <w:ind w:right="28"/>
              <w:jc w:val="right"/>
              <w:rPr>
                <w:sz w:val="18"/>
                <w:lang w:val="es-ES_tradnl"/>
              </w:rPr>
            </w:pPr>
            <w:r w:rsidRPr="006A5CC8">
              <w:rPr>
                <w:sz w:val="18"/>
                <w:lang w:val="es-ES_tradnl"/>
              </w:rPr>
              <w:t>424</w:t>
            </w:r>
          </w:p>
        </w:tc>
      </w:tr>
      <w:tr w:rsidR="00F518B1" w:rsidRPr="006A5CC8" w14:paraId="0E51DDD1" w14:textId="77777777" w:rsidTr="00F518B1">
        <w:trPr>
          <w:trHeight w:val="240"/>
        </w:trPr>
        <w:tc>
          <w:tcPr>
            <w:tcW w:w="1582" w:type="dxa"/>
            <w:tcBorders>
              <w:top w:val="single" w:sz="4" w:space="0" w:color="auto"/>
              <w:bottom w:val="single" w:sz="12" w:space="0" w:color="auto"/>
            </w:tcBorders>
            <w:shd w:val="clear" w:color="auto" w:fill="auto"/>
          </w:tcPr>
          <w:p w14:paraId="3438F0A7" w14:textId="442EF09D" w:rsidR="006A5CC8" w:rsidRPr="006A5CC8" w:rsidRDefault="006A5CC8" w:rsidP="006A5CC8">
            <w:pPr>
              <w:spacing w:before="80" w:after="80" w:line="220" w:lineRule="exact"/>
              <w:ind w:left="283"/>
              <w:rPr>
                <w:b/>
                <w:sz w:val="18"/>
                <w:lang w:val="es-ES_tradnl"/>
              </w:rPr>
            </w:pPr>
            <w:r w:rsidRPr="006A5CC8">
              <w:rPr>
                <w:b/>
                <w:bCs/>
                <w:sz w:val="18"/>
                <w:lang w:val="es-ES_tradnl"/>
              </w:rPr>
              <w:t>Total</w:t>
            </w:r>
          </w:p>
        </w:tc>
        <w:tc>
          <w:tcPr>
            <w:tcW w:w="686" w:type="dxa"/>
            <w:tcBorders>
              <w:top w:val="single" w:sz="4" w:space="0" w:color="auto"/>
              <w:bottom w:val="single" w:sz="12" w:space="0" w:color="auto"/>
            </w:tcBorders>
            <w:shd w:val="clear" w:color="auto" w:fill="auto"/>
            <w:vAlign w:val="bottom"/>
          </w:tcPr>
          <w:p w14:paraId="0774FA68" w14:textId="57D186E8" w:rsidR="006A5CC8" w:rsidRPr="006A5CC8" w:rsidRDefault="006A5CC8" w:rsidP="003A44A5">
            <w:pPr>
              <w:spacing w:before="80" w:after="80" w:line="220" w:lineRule="exact"/>
              <w:ind w:right="28"/>
              <w:jc w:val="right"/>
              <w:rPr>
                <w:b/>
                <w:sz w:val="18"/>
                <w:lang w:val="es-ES_tradnl"/>
              </w:rPr>
            </w:pPr>
            <w:r w:rsidRPr="006A5CC8">
              <w:rPr>
                <w:b/>
                <w:bCs/>
                <w:sz w:val="18"/>
                <w:lang w:val="es-ES_tradnl"/>
              </w:rPr>
              <w:t>330</w:t>
            </w:r>
          </w:p>
        </w:tc>
        <w:tc>
          <w:tcPr>
            <w:tcW w:w="616" w:type="dxa"/>
            <w:tcBorders>
              <w:top w:val="single" w:sz="4" w:space="0" w:color="auto"/>
              <w:bottom w:val="single" w:sz="12" w:space="0" w:color="auto"/>
            </w:tcBorders>
            <w:shd w:val="clear" w:color="auto" w:fill="auto"/>
            <w:vAlign w:val="bottom"/>
          </w:tcPr>
          <w:p w14:paraId="2DB7230D" w14:textId="1C316440" w:rsidR="006A5CC8" w:rsidRPr="006A5CC8" w:rsidRDefault="006A5CC8" w:rsidP="003A44A5">
            <w:pPr>
              <w:spacing w:before="80" w:after="80" w:line="220" w:lineRule="exact"/>
              <w:ind w:right="28"/>
              <w:jc w:val="right"/>
              <w:rPr>
                <w:b/>
                <w:sz w:val="18"/>
                <w:lang w:val="es-ES_tradnl"/>
              </w:rPr>
            </w:pPr>
            <w:r w:rsidRPr="006A5CC8">
              <w:rPr>
                <w:b/>
                <w:bCs/>
                <w:sz w:val="18"/>
                <w:lang w:val="es-ES_tradnl"/>
              </w:rPr>
              <w:t>299</w:t>
            </w:r>
          </w:p>
        </w:tc>
        <w:tc>
          <w:tcPr>
            <w:tcW w:w="518" w:type="dxa"/>
            <w:tcBorders>
              <w:top w:val="single" w:sz="4" w:space="0" w:color="auto"/>
              <w:bottom w:val="single" w:sz="12" w:space="0" w:color="auto"/>
            </w:tcBorders>
            <w:shd w:val="clear" w:color="auto" w:fill="auto"/>
            <w:vAlign w:val="bottom"/>
          </w:tcPr>
          <w:p w14:paraId="65C87732" w14:textId="2DDFA94B" w:rsidR="006A5CC8" w:rsidRPr="006A5CC8" w:rsidRDefault="006A5CC8" w:rsidP="003A44A5">
            <w:pPr>
              <w:spacing w:before="80" w:after="80" w:line="220" w:lineRule="exact"/>
              <w:ind w:right="28"/>
              <w:jc w:val="right"/>
              <w:rPr>
                <w:b/>
                <w:sz w:val="18"/>
                <w:lang w:val="es-ES_tradnl"/>
              </w:rPr>
            </w:pPr>
            <w:r w:rsidRPr="006A5CC8">
              <w:rPr>
                <w:b/>
                <w:bCs/>
                <w:sz w:val="18"/>
                <w:lang w:val="es-ES_tradnl"/>
              </w:rPr>
              <w:t>334</w:t>
            </w:r>
          </w:p>
        </w:tc>
        <w:tc>
          <w:tcPr>
            <w:tcW w:w="518" w:type="dxa"/>
            <w:tcBorders>
              <w:top w:val="single" w:sz="4" w:space="0" w:color="auto"/>
              <w:bottom w:val="single" w:sz="12" w:space="0" w:color="auto"/>
            </w:tcBorders>
            <w:shd w:val="clear" w:color="auto" w:fill="auto"/>
            <w:vAlign w:val="bottom"/>
          </w:tcPr>
          <w:p w14:paraId="5691B252" w14:textId="786E6501" w:rsidR="006A5CC8" w:rsidRPr="006A5CC8" w:rsidRDefault="006A5CC8" w:rsidP="003A44A5">
            <w:pPr>
              <w:spacing w:before="80" w:after="80" w:line="220" w:lineRule="exact"/>
              <w:ind w:right="28"/>
              <w:jc w:val="right"/>
              <w:rPr>
                <w:b/>
                <w:sz w:val="18"/>
                <w:lang w:val="es-ES_tradnl"/>
              </w:rPr>
            </w:pPr>
            <w:r w:rsidRPr="006A5CC8">
              <w:rPr>
                <w:b/>
                <w:bCs/>
                <w:sz w:val="18"/>
                <w:lang w:val="es-ES_tradnl"/>
              </w:rPr>
              <w:t>257</w:t>
            </w:r>
          </w:p>
        </w:tc>
        <w:tc>
          <w:tcPr>
            <w:tcW w:w="504" w:type="dxa"/>
            <w:tcBorders>
              <w:top w:val="single" w:sz="4" w:space="0" w:color="auto"/>
              <w:bottom w:val="single" w:sz="12" w:space="0" w:color="auto"/>
            </w:tcBorders>
            <w:shd w:val="clear" w:color="auto" w:fill="auto"/>
            <w:vAlign w:val="bottom"/>
          </w:tcPr>
          <w:p w14:paraId="2E72E8FA" w14:textId="3E25D17F" w:rsidR="006A5CC8" w:rsidRPr="006A5CC8" w:rsidRDefault="006A5CC8" w:rsidP="003A44A5">
            <w:pPr>
              <w:spacing w:before="80" w:after="80" w:line="220" w:lineRule="exact"/>
              <w:ind w:right="28"/>
              <w:jc w:val="right"/>
              <w:rPr>
                <w:b/>
                <w:sz w:val="18"/>
                <w:lang w:val="es-ES_tradnl"/>
              </w:rPr>
            </w:pPr>
            <w:r w:rsidRPr="006A5CC8">
              <w:rPr>
                <w:b/>
                <w:bCs/>
                <w:sz w:val="18"/>
                <w:lang w:val="es-ES_tradnl"/>
              </w:rPr>
              <w:t>312</w:t>
            </w:r>
          </w:p>
        </w:tc>
        <w:tc>
          <w:tcPr>
            <w:tcW w:w="517" w:type="dxa"/>
            <w:tcBorders>
              <w:top w:val="single" w:sz="4" w:space="0" w:color="auto"/>
              <w:bottom w:val="single" w:sz="12" w:space="0" w:color="auto"/>
            </w:tcBorders>
            <w:shd w:val="clear" w:color="auto" w:fill="auto"/>
            <w:vAlign w:val="bottom"/>
          </w:tcPr>
          <w:p w14:paraId="09609BF6" w14:textId="4BE2D1F9" w:rsidR="006A5CC8" w:rsidRPr="006A5CC8" w:rsidRDefault="006A5CC8" w:rsidP="003A44A5">
            <w:pPr>
              <w:spacing w:before="80" w:after="80" w:line="220" w:lineRule="exact"/>
              <w:ind w:right="28"/>
              <w:jc w:val="right"/>
              <w:rPr>
                <w:b/>
                <w:sz w:val="18"/>
                <w:lang w:val="es-ES_tradnl"/>
              </w:rPr>
            </w:pPr>
            <w:r w:rsidRPr="006A5CC8">
              <w:rPr>
                <w:b/>
                <w:bCs/>
                <w:sz w:val="18"/>
                <w:lang w:val="es-ES_tradnl"/>
              </w:rPr>
              <w:t>280</w:t>
            </w:r>
          </w:p>
        </w:tc>
        <w:tc>
          <w:tcPr>
            <w:tcW w:w="504" w:type="dxa"/>
            <w:tcBorders>
              <w:top w:val="single" w:sz="4" w:space="0" w:color="auto"/>
              <w:bottom w:val="single" w:sz="12" w:space="0" w:color="auto"/>
            </w:tcBorders>
            <w:shd w:val="clear" w:color="auto" w:fill="auto"/>
            <w:vAlign w:val="bottom"/>
          </w:tcPr>
          <w:p w14:paraId="5A4BD760" w14:textId="579E1951" w:rsidR="006A5CC8" w:rsidRPr="006A5CC8" w:rsidRDefault="006A5CC8" w:rsidP="003A44A5">
            <w:pPr>
              <w:spacing w:before="80" w:after="80" w:line="220" w:lineRule="exact"/>
              <w:ind w:right="28"/>
              <w:jc w:val="right"/>
              <w:rPr>
                <w:b/>
                <w:sz w:val="18"/>
                <w:lang w:val="es-ES_tradnl"/>
              </w:rPr>
            </w:pPr>
            <w:r w:rsidRPr="006A5CC8">
              <w:rPr>
                <w:b/>
                <w:bCs/>
                <w:sz w:val="18"/>
                <w:lang w:val="es-ES_tradnl"/>
              </w:rPr>
              <w:t>292</w:t>
            </w:r>
          </w:p>
        </w:tc>
        <w:tc>
          <w:tcPr>
            <w:tcW w:w="518" w:type="dxa"/>
            <w:tcBorders>
              <w:top w:val="single" w:sz="4" w:space="0" w:color="auto"/>
              <w:bottom w:val="single" w:sz="12" w:space="0" w:color="auto"/>
            </w:tcBorders>
            <w:shd w:val="clear" w:color="auto" w:fill="auto"/>
            <w:vAlign w:val="bottom"/>
          </w:tcPr>
          <w:p w14:paraId="2A9261C2" w14:textId="673E2CCA" w:rsidR="006A5CC8" w:rsidRPr="006A5CC8" w:rsidRDefault="006A5CC8" w:rsidP="003A44A5">
            <w:pPr>
              <w:spacing w:before="80" w:after="80" w:line="220" w:lineRule="exact"/>
              <w:ind w:right="28"/>
              <w:jc w:val="right"/>
              <w:rPr>
                <w:b/>
                <w:sz w:val="18"/>
                <w:lang w:val="es-ES_tradnl"/>
              </w:rPr>
            </w:pPr>
            <w:r w:rsidRPr="006A5CC8">
              <w:rPr>
                <w:b/>
                <w:bCs/>
                <w:sz w:val="18"/>
                <w:lang w:val="es-ES_tradnl"/>
              </w:rPr>
              <w:t>239</w:t>
            </w:r>
          </w:p>
        </w:tc>
        <w:tc>
          <w:tcPr>
            <w:tcW w:w="462" w:type="dxa"/>
            <w:tcBorders>
              <w:top w:val="single" w:sz="4" w:space="0" w:color="auto"/>
              <w:bottom w:val="single" w:sz="12" w:space="0" w:color="auto"/>
            </w:tcBorders>
            <w:shd w:val="clear" w:color="auto" w:fill="auto"/>
            <w:vAlign w:val="bottom"/>
          </w:tcPr>
          <w:p w14:paraId="4CBD07D2" w14:textId="57491E98" w:rsidR="006A5CC8" w:rsidRPr="006A5CC8" w:rsidRDefault="006A5CC8" w:rsidP="003A44A5">
            <w:pPr>
              <w:spacing w:before="80" w:after="80" w:line="220" w:lineRule="exact"/>
              <w:ind w:right="28"/>
              <w:jc w:val="right"/>
              <w:rPr>
                <w:b/>
                <w:sz w:val="18"/>
                <w:lang w:val="es-ES_tradnl"/>
              </w:rPr>
            </w:pPr>
            <w:r w:rsidRPr="006A5CC8">
              <w:rPr>
                <w:b/>
                <w:bCs/>
                <w:sz w:val="18"/>
                <w:lang w:val="es-ES_tradnl"/>
              </w:rPr>
              <w:t>164</w:t>
            </w:r>
          </w:p>
        </w:tc>
        <w:tc>
          <w:tcPr>
            <w:tcW w:w="504" w:type="dxa"/>
            <w:tcBorders>
              <w:top w:val="single" w:sz="4" w:space="0" w:color="auto"/>
              <w:bottom w:val="single" w:sz="12" w:space="0" w:color="auto"/>
            </w:tcBorders>
            <w:shd w:val="clear" w:color="auto" w:fill="auto"/>
            <w:vAlign w:val="bottom"/>
          </w:tcPr>
          <w:p w14:paraId="0AE1F3E9" w14:textId="3038901F" w:rsidR="006A5CC8" w:rsidRPr="006A5CC8" w:rsidRDefault="006A5CC8" w:rsidP="003A44A5">
            <w:pPr>
              <w:spacing w:before="80" w:after="80" w:line="220" w:lineRule="exact"/>
              <w:ind w:right="28"/>
              <w:jc w:val="right"/>
              <w:rPr>
                <w:b/>
                <w:sz w:val="18"/>
                <w:lang w:val="es-ES_tradnl"/>
              </w:rPr>
            </w:pPr>
          </w:p>
        </w:tc>
        <w:tc>
          <w:tcPr>
            <w:tcW w:w="462" w:type="dxa"/>
            <w:tcBorders>
              <w:top w:val="single" w:sz="4" w:space="0" w:color="auto"/>
              <w:bottom w:val="single" w:sz="12" w:space="0" w:color="auto"/>
            </w:tcBorders>
            <w:shd w:val="clear" w:color="auto" w:fill="auto"/>
            <w:vAlign w:val="bottom"/>
          </w:tcPr>
          <w:p w14:paraId="1956E559" w14:textId="7D40D26D" w:rsidR="006A5CC8" w:rsidRPr="006A5CC8" w:rsidRDefault="003A44A5" w:rsidP="003A44A5">
            <w:pPr>
              <w:spacing w:before="80" w:after="80" w:line="220" w:lineRule="exact"/>
              <w:ind w:right="28"/>
              <w:jc w:val="right"/>
              <w:rPr>
                <w:b/>
                <w:sz w:val="18"/>
                <w:lang w:val="es-ES_tradnl"/>
              </w:rPr>
            </w:pPr>
            <w:r>
              <w:rPr>
                <w:b/>
                <w:bCs/>
                <w:sz w:val="18"/>
                <w:lang w:val="es-ES_tradnl"/>
              </w:rPr>
              <w:t>288*</w:t>
            </w:r>
          </w:p>
        </w:tc>
        <w:tc>
          <w:tcPr>
            <w:tcW w:w="504" w:type="dxa"/>
            <w:tcBorders>
              <w:top w:val="single" w:sz="4" w:space="0" w:color="auto"/>
              <w:bottom w:val="single" w:sz="12" w:space="0" w:color="auto"/>
            </w:tcBorders>
            <w:shd w:val="clear" w:color="auto" w:fill="auto"/>
            <w:vAlign w:val="bottom"/>
          </w:tcPr>
          <w:p w14:paraId="35A9478C" w14:textId="4EF3DD61" w:rsidR="006A5CC8" w:rsidRPr="006A5CC8" w:rsidRDefault="006A5CC8" w:rsidP="003A44A5">
            <w:pPr>
              <w:spacing w:before="80" w:after="80" w:line="220" w:lineRule="exact"/>
              <w:ind w:right="28"/>
              <w:jc w:val="right"/>
              <w:rPr>
                <w:b/>
                <w:sz w:val="18"/>
                <w:lang w:val="es-ES_tradnl"/>
              </w:rPr>
            </w:pPr>
            <w:r w:rsidRPr="006A5CC8">
              <w:rPr>
                <w:b/>
                <w:bCs/>
                <w:sz w:val="18"/>
                <w:lang w:val="es-ES_tradnl"/>
              </w:rPr>
              <w:t>153</w:t>
            </w:r>
          </w:p>
        </w:tc>
        <w:tc>
          <w:tcPr>
            <w:tcW w:w="610" w:type="dxa"/>
            <w:tcBorders>
              <w:top w:val="single" w:sz="4" w:space="0" w:color="auto"/>
              <w:bottom w:val="single" w:sz="12" w:space="0" w:color="auto"/>
            </w:tcBorders>
            <w:shd w:val="clear" w:color="auto" w:fill="auto"/>
            <w:vAlign w:val="bottom"/>
          </w:tcPr>
          <w:p w14:paraId="3A2A92E3" w14:textId="1FA3FF85" w:rsidR="006A5CC8" w:rsidRPr="006A5CC8" w:rsidRDefault="006A5CC8" w:rsidP="003A44A5">
            <w:pPr>
              <w:spacing w:before="80" w:after="80" w:line="220" w:lineRule="exact"/>
              <w:ind w:right="28"/>
              <w:jc w:val="right"/>
              <w:rPr>
                <w:b/>
                <w:sz w:val="18"/>
                <w:lang w:val="es-ES_tradnl"/>
              </w:rPr>
            </w:pPr>
            <w:r w:rsidRPr="006A5CC8">
              <w:rPr>
                <w:b/>
                <w:bCs/>
                <w:sz w:val="18"/>
                <w:lang w:val="es-ES_tradnl"/>
              </w:rPr>
              <w:t>2</w:t>
            </w:r>
            <w:r w:rsidRPr="006A5CC8">
              <w:rPr>
                <w:b/>
                <w:bCs/>
                <w:sz w:val="18"/>
                <w:lang w:val="es-ES_tradnl"/>
              </w:rPr>
              <w:t xml:space="preserve"> </w:t>
            </w:r>
            <w:r w:rsidRPr="006A5CC8">
              <w:rPr>
                <w:b/>
                <w:bCs/>
                <w:sz w:val="18"/>
                <w:lang w:val="es-ES_tradnl"/>
              </w:rPr>
              <w:t>948</w:t>
            </w:r>
          </w:p>
        </w:tc>
      </w:tr>
    </w:tbl>
    <w:p w14:paraId="329D7A3E" w14:textId="429A98FC" w:rsidR="006A5CC8" w:rsidRPr="006A5CC8" w:rsidRDefault="006A5CC8" w:rsidP="006A5CC8">
      <w:pPr>
        <w:pStyle w:val="SingleTxtG"/>
        <w:spacing w:before="120" w:after="0"/>
        <w:ind w:firstLine="170"/>
        <w:jc w:val="left"/>
        <w:rPr>
          <w:sz w:val="18"/>
          <w:szCs w:val="18"/>
          <w:lang w:val="es-ES_tradnl"/>
        </w:rPr>
      </w:pPr>
      <w:r w:rsidRPr="006A5CC8">
        <w:rPr>
          <w:sz w:val="18"/>
          <w:szCs w:val="18"/>
          <w:lang w:val="es-ES_tradnl"/>
        </w:rPr>
        <w:t>*</w:t>
      </w:r>
      <w:r w:rsidR="00F518B1">
        <w:rPr>
          <w:sz w:val="18"/>
          <w:szCs w:val="18"/>
          <w:lang w:val="es-ES_tradnl"/>
        </w:rPr>
        <w:t xml:space="preserve"> </w:t>
      </w:r>
      <w:r w:rsidRPr="006A5CC8">
        <w:rPr>
          <w:sz w:val="18"/>
          <w:szCs w:val="18"/>
          <w:lang w:val="es-ES_tradnl"/>
        </w:rPr>
        <w:t xml:space="preserve"> Por motivos discrecionales, se han combinado los datos de los meses de octubre y noviembre.</w:t>
      </w:r>
    </w:p>
    <w:p w14:paraId="5E675B50" w14:textId="77777777" w:rsidR="006A5CC8" w:rsidRPr="006A5CC8" w:rsidRDefault="006A5CC8" w:rsidP="006A5CC8">
      <w:pPr>
        <w:pStyle w:val="SingleTxtG"/>
        <w:spacing w:after="240"/>
        <w:ind w:firstLine="170"/>
        <w:jc w:val="left"/>
        <w:rPr>
          <w:sz w:val="18"/>
          <w:szCs w:val="18"/>
          <w:lang w:val="es-ES_tradnl"/>
        </w:rPr>
      </w:pPr>
      <w:r w:rsidRPr="006A5CC8">
        <w:rPr>
          <w:i/>
          <w:iCs/>
          <w:sz w:val="18"/>
          <w:szCs w:val="18"/>
          <w:lang w:val="es-ES_tradnl"/>
        </w:rPr>
        <w:t>Nota:</w:t>
      </w:r>
      <w:r w:rsidRPr="006A5CC8">
        <w:rPr>
          <w:sz w:val="18"/>
          <w:szCs w:val="18"/>
          <w:lang w:val="es-ES_tradnl"/>
        </w:rPr>
        <w:t xml:space="preserve"> Los datos se extrajeron el 21 de octubre de 2024.</w:t>
      </w:r>
    </w:p>
    <w:p w14:paraId="768AD25C" w14:textId="314642E0" w:rsidR="006A5CC8" w:rsidRDefault="006A5CC8" w:rsidP="006A5CC8">
      <w:pPr>
        <w:pStyle w:val="H23G"/>
        <w:rPr>
          <w:b w:val="0"/>
          <w:bCs/>
          <w:sz w:val="16"/>
          <w:szCs w:val="16"/>
          <w:lang w:val="es-ES_tradnl"/>
        </w:rPr>
      </w:pPr>
      <w:r w:rsidRPr="006A5CC8">
        <w:rPr>
          <w:b w:val="0"/>
          <w:bCs/>
          <w:lang w:val="es-ES_tradnl"/>
        </w:rPr>
        <w:tab/>
      </w:r>
      <w:r w:rsidRPr="006A5CC8">
        <w:rPr>
          <w:b w:val="0"/>
          <w:bCs/>
          <w:lang w:val="es-ES_tradnl"/>
        </w:rPr>
        <w:tab/>
        <w:t>Cuadro 2</w:t>
      </w:r>
      <w:r w:rsidRPr="006A5CC8">
        <w:rPr>
          <w:b w:val="0"/>
          <w:bCs/>
          <w:lang w:val="es-ES_tradnl"/>
        </w:rPr>
        <w:br/>
      </w:r>
      <w:r w:rsidRPr="006A5CC8">
        <w:rPr>
          <w:lang w:val="es-ES_tradnl"/>
        </w:rPr>
        <w:t>Casos de reclusión en régimen de aislamiento disciplinario, adultos, enero</w:t>
      </w:r>
      <w:r w:rsidR="003A44A5">
        <w:rPr>
          <w:lang w:val="es-ES_tradnl"/>
        </w:rPr>
        <w:br/>
      </w:r>
      <w:r w:rsidRPr="006A5CC8">
        <w:rPr>
          <w:lang w:val="es-ES_tradnl"/>
        </w:rPr>
        <w:t>a septiembre de 2024</w:t>
      </w:r>
      <w:r>
        <w:rPr>
          <w:lang w:val="es-ES_tradnl"/>
        </w:rPr>
        <w:br/>
      </w:r>
      <w:r w:rsidRPr="006A5CC8">
        <w:rPr>
          <w:b w:val="0"/>
          <w:bCs/>
          <w:sz w:val="16"/>
          <w:szCs w:val="16"/>
          <w:lang w:val="es-ES_tradnl"/>
        </w:rPr>
        <w:t>(</w:t>
      </w:r>
      <w:r w:rsidRPr="006A5CC8">
        <w:rPr>
          <w:b w:val="0"/>
          <w:bCs/>
          <w:sz w:val="16"/>
          <w:szCs w:val="16"/>
          <w:lang w:val="es-ES_tradnl"/>
        </w:rPr>
        <w:t>Desglosados por la duración de la reclusión en régimen de aislamiento y el mes</w:t>
      </w:r>
      <w:r>
        <w:rPr>
          <w:b w:val="0"/>
          <w:bCs/>
          <w:sz w:val="16"/>
          <w:szCs w:val="16"/>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46"/>
        <w:gridCol w:w="602"/>
        <w:gridCol w:w="630"/>
        <w:gridCol w:w="602"/>
        <w:gridCol w:w="602"/>
        <w:gridCol w:w="602"/>
        <w:gridCol w:w="643"/>
        <w:gridCol w:w="644"/>
        <w:gridCol w:w="644"/>
        <w:gridCol w:w="589"/>
        <w:gridCol w:w="566"/>
      </w:tblGrid>
      <w:tr w:rsidR="00F518B1" w:rsidRPr="00F518B1" w14:paraId="77BDA33B" w14:textId="77777777" w:rsidTr="00F518B1">
        <w:trPr>
          <w:trHeight w:val="240"/>
          <w:tblHeader/>
        </w:trPr>
        <w:tc>
          <w:tcPr>
            <w:tcW w:w="1246" w:type="dxa"/>
            <w:tcBorders>
              <w:top w:val="single" w:sz="4" w:space="0" w:color="auto"/>
              <w:bottom w:val="single" w:sz="12" w:space="0" w:color="auto"/>
            </w:tcBorders>
            <w:shd w:val="clear" w:color="auto" w:fill="auto"/>
            <w:vAlign w:val="bottom"/>
          </w:tcPr>
          <w:p w14:paraId="7A8336E0" w14:textId="77777777" w:rsidR="00F518B1" w:rsidRPr="00F518B1" w:rsidRDefault="00F518B1" w:rsidP="00F518B1">
            <w:pPr>
              <w:spacing w:before="80" w:after="80" w:line="200" w:lineRule="exact"/>
              <w:rPr>
                <w:i/>
                <w:sz w:val="16"/>
                <w:lang w:val="es-ES_tradnl"/>
              </w:rPr>
            </w:pPr>
          </w:p>
        </w:tc>
        <w:tc>
          <w:tcPr>
            <w:tcW w:w="602" w:type="dxa"/>
            <w:tcBorders>
              <w:top w:val="single" w:sz="4" w:space="0" w:color="auto"/>
              <w:bottom w:val="single" w:sz="12" w:space="0" w:color="auto"/>
            </w:tcBorders>
            <w:shd w:val="clear" w:color="auto" w:fill="auto"/>
            <w:vAlign w:val="bottom"/>
          </w:tcPr>
          <w:p w14:paraId="16DD33B4" w14:textId="54B2EAAD" w:rsidR="00F518B1" w:rsidRPr="00F518B1" w:rsidRDefault="00F518B1" w:rsidP="00F518B1">
            <w:pPr>
              <w:spacing w:before="80" w:after="80" w:line="200" w:lineRule="exact"/>
              <w:ind w:right="28"/>
              <w:jc w:val="right"/>
              <w:rPr>
                <w:i/>
                <w:sz w:val="16"/>
                <w:lang w:val="es-ES_tradnl"/>
              </w:rPr>
            </w:pPr>
            <w:r w:rsidRPr="006A5CC8">
              <w:rPr>
                <w:i/>
                <w:iCs/>
                <w:sz w:val="16"/>
                <w:lang w:val="es-ES_tradnl"/>
              </w:rPr>
              <w:t>1</w:t>
            </w:r>
          </w:p>
        </w:tc>
        <w:tc>
          <w:tcPr>
            <w:tcW w:w="630" w:type="dxa"/>
            <w:tcBorders>
              <w:top w:val="single" w:sz="4" w:space="0" w:color="auto"/>
              <w:bottom w:val="single" w:sz="12" w:space="0" w:color="auto"/>
            </w:tcBorders>
            <w:shd w:val="clear" w:color="auto" w:fill="auto"/>
            <w:vAlign w:val="bottom"/>
          </w:tcPr>
          <w:p w14:paraId="3F152B7A" w14:textId="6EE1C5FD" w:rsidR="00F518B1" w:rsidRPr="00F518B1" w:rsidRDefault="00F518B1" w:rsidP="00F518B1">
            <w:pPr>
              <w:spacing w:before="80" w:after="80" w:line="200" w:lineRule="exact"/>
              <w:ind w:right="28"/>
              <w:jc w:val="right"/>
              <w:rPr>
                <w:i/>
                <w:sz w:val="16"/>
                <w:lang w:val="es-ES_tradnl"/>
              </w:rPr>
            </w:pPr>
            <w:r w:rsidRPr="006A5CC8">
              <w:rPr>
                <w:i/>
                <w:iCs/>
                <w:sz w:val="16"/>
                <w:lang w:val="es-ES_tradnl"/>
              </w:rPr>
              <w:t>2</w:t>
            </w:r>
          </w:p>
        </w:tc>
        <w:tc>
          <w:tcPr>
            <w:tcW w:w="602" w:type="dxa"/>
            <w:tcBorders>
              <w:top w:val="single" w:sz="4" w:space="0" w:color="auto"/>
              <w:bottom w:val="single" w:sz="12" w:space="0" w:color="auto"/>
            </w:tcBorders>
            <w:shd w:val="clear" w:color="auto" w:fill="auto"/>
            <w:vAlign w:val="bottom"/>
          </w:tcPr>
          <w:p w14:paraId="2A31ABCE" w14:textId="66755E43" w:rsidR="00F518B1" w:rsidRPr="00F518B1" w:rsidRDefault="00F518B1" w:rsidP="00F518B1">
            <w:pPr>
              <w:spacing w:before="80" w:after="80" w:line="200" w:lineRule="exact"/>
              <w:ind w:right="28"/>
              <w:jc w:val="right"/>
              <w:rPr>
                <w:i/>
                <w:sz w:val="16"/>
                <w:lang w:val="es-ES_tradnl"/>
              </w:rPr>
            </w:pPr>
            <w:r w:rsidRPr="006A5CC8">
              <w:rPr>
                <w:i/>
                <w:iCs/>
                <w:sz w:val="16"/>
                <w:lang w:val="es-ES_tradnl"/>
              </w:rPr>
              <w:t>3</w:t>
            </w:r>
          </w:p>
        </w:tc>
        <w:tc>
          <w:tcPr>
            <w:tcW w:w="602" w:type="dxa"/>
            <w:tcBorders>
              <w:top w:val="single" w:sz="4" w:space="0" w:color="auto"/>
              <w:bottom w:val="single" w:sz="12" w:space="0" w:color="auto"/>
            </w:tcBorders>
            <w:shd w:val="clear" w:color="auto" w:fill="auto"/>
            <w:vAlign w:val="bottom"/>
          </w:tcPr>
          <w:p w14:paraId="4E98D86C" w14:textId="3FAE2B26" w:rsidR="00F518B1" w:rsidRPr="00F518B1" w:rsidRDefault="00F518B1" w:rsidP="00F518B1">
            <w:pPr>
              <w:spacing w:before="80" w:after="80" w:line="200" w:lineRule="exact"/>
              <w:ind w:right="28"/>
              <w:jc w:val="right"/>
              <w:rPr>
                <w:i/>
                <w:sz w:val="16"/>
                <w:lang w:val="es-ES_tradnl"/>
              </w:rPr>
            </w:pPr>
            <w:r w:rsidRPr="006A5CC8">
              <w:rPr>
                <w:i/>
                <w:iCs/>
                <w:sz w:val="16"/>
                <w:lang w:val="es-ES_tradnl"/>
              </w:rPr>
              <w:t>4</w:t>
            </w:r>
          </w:p>
        </w:tc>
        <w:tc>
          <w:tcPr>
            <w:tcW w:w="602" w:type="dxa"/>
            <w:tcBorders>
              <w:top w:val="single" w:sz="4" w:space="0" w:color="auto"/>
              <w:bottom w:val="single" w:sz="12" w:space="0" w:color="auto"/>
            </w:tcBorders>
            <w:shd w:val="clear" w:color="auto" w:fill="auto"/>
            <w:vAlign w:val="bottom"/>
          </w:tcPr>
          <w:p w14:paraId="58B3983A" w14:textId="17BA1F7B" w:rsidR="00F518B1" w:rsidRPr="00F518B1" w:rsidRDefault="00F518B1" w:rsidP="00F518B1">
            <w:pPr>
              <w:spacing w:before="80" w:after="80" w:line="200" w:lineRule="exact"/>
              <w:ind w:right="28"/>
              <w:jc w:val="right"/>
              <w:rPr>
                <w:i/>
                <w:sz w:val="16"/>
                <w:lang w:val="es-ES_tradnl"/>
              </w:rPr>
            </w:pPr>
            <w:r w:rsidRPr="006A5CC8">
              <w:rPr>
                <w:i/>
                <w:iCs/>
                <w:sz w:val="16"/>
                <w:lang w:val="es-ES_tradnl"/>
              </w:rPr>
              <w:t>5</w:t>
            </w:r>
          </w:p>
        </w:tc>
        <w:tc>
          <w:tcPr>
            <w:tcW w:w="643" w:type="dxa"/>
            <w:tcBorders>
              <w:top w:val="single" w:sz="4" w:space="0" w:color="auto"/>
              <w:bottom w:val="single" w:sz="12" w:space="0" w:color="auto"/>
            </w:tcBorders>
            <w:shd w:val="clear" w:color="auto" w:fill="auto"/>
            <w:vAlign w:val="bottom"/>
          </w:tcPr>
          <w:p w14:paraId="7CE3BF9C" w14:textId="5A5680E2" w:rsidR="00F518B1" w:rsidRPr="00F518B1" w:rsidRDefault="00F518B1" w:rsidP="00F518B1">
            <w:pPr>
              <w:spacing w:before="80" w:after="80" w:line="200" w:lineRule="exact"/>
              <w:ind w:right="28"/>
              <w:jc w:val="right"/>
              <w:rPr>
                <w:i/>
                <w:sz w:val="16"/>
                <w:lang w:val="es-ES_tradnl"/>
              </w:rPr>
            </w:pPr>
            <w:r w:rsidRPr="006A5CC8">
              <w:rPr>
                <w:i/>
                <w:iCs/>
                <w:sz w:val="16"/>
                <w:lang w:val="es-ES_tradnl"/>
              </w:rPr>
              <w:t>6</w:t>
            </w:r>
          </w:p>
        </w:tc>
        <w:tc>
          <w:tcPr>
            <w:tcW w:w="644" w:type="dxa"/>
            <w:tcBorders>
              <w:top w:val="single" w:sz="4" w:space="0" w:color="auto"/>
              <w:bottom w:val="single" w:sz="12" w:space="0" w:color="auto"/>
            </w:tcBorders>
            <w:shd w:val="clear" w:color="auto" w:fill="auto"/>
            <w:vAlign w:val="bottom"/>
          </w:tcPr>
          <w:p w14:paraId="483ABC02" w14:textId="439B37B7" w:rsidR="00F518B1" w:rsidRPr="00F518B1" w:rsidRDefault="00F518B1" w:rsidP="00F518B1">
            <w:pPr>
              <w:spacing w:before="80" w:after="80" w:line="200" w:lineRule="exact"/>
              <w:ind w:right="28"/>
              <w:jc w:val="right"/>
              <w:rPr>
                <w:i/>
                <w:sz w:val="16"/>
                <w:lang w:val="es-ES_tradnl"/>
              </w:rPr>
            </w:pPr>
            <w:r w:rsidRPr="006A5CC8">
              <w:rPr>
                <w:i/>
                <w:iCs/>
                <w:sz w:val="16"/>
                <w:lang w:val="es-ES_tradnl"/>
              </w:rPr>
              <w:t>7</w:t>
            </w:r>
          </w:p>
        </w:tc>
        <w:tc>
          <w:tcPr>
            <w:tcW w:w="644" w:type="dxa"/>
            <w:tcBorders>
              <w:top w:val="single" w:sz="4" w:space="0" w:color="auto"/>
              <w:bottom w:val="single" w:sz="12" w:space="0" w:color="auto"/>
            </w:tcBorders>
            <w:shd w:val="clear" w:color="auto" w:fill="auto"/>
            <w:vAlign w:val="bottom"/>
          </w:tcPr>
          <w:p w14:paraId="104B67C7" w14:textId="34B54A9D" w:rsidR="00F518B1" w:rsidRPr="00F518B1" w:rsidRDefault="00F518B1" w:rsidP="00F518B1">
            <w:pPr>
              <w:spacing w:before="80" w:after="80" w:line="200" w:lineRule="exact"/>
              <w:ind w:right="28"/>
              <w:jc w:val="right"/>
              <w:rPr>
                <w:i/>
                <w:sz w:val="16"/>
                <w:lang w:val="es-ES_tradnl"/>
              </w:rPr>
            </w:pPr>
            <w:r w:rsidRPr="006A5CC8">
              <w:rPr>
                <w:i/>
                <w:iCs/>
                <w:sz w:val="16"/>
                <w:lang w:val="es-ES_tradnl"/>
              </w:rPr>
              <w:t>8</w:t>
            </w:r>
          </w:p>
        </w:tc>
        <w:tc>
          <w:tcPr>
            <w:tcW w:w="589" w:type="dxa"/>
            <w:tcBorders>
              <w:top w:val="single" w:sz="4" w:space="0" w:color="auto"/>
              <w:bottom w:val="single" w:sz="12" w:space="0" w:color="auto"/>
            </w:tcBorders>
            <w:shd w:val="clear" w:color="auto" w:fill="auto"/>
            <w:vAlign w:val="bottom"/>
          </w:tcPr>
          <w:p w14:paraId="37D908F9" w14:textId="29FC286D" w:rsidR="00F518B1" w:rsidRPr="00F518B1" w:rsidRDefault="00F518B1" w:rsidP="00F518B1">
            <w:pPr>
              <w:spacing w:before="80" w:after="80" w:line="200" w:lineRule="exact"/>
              <w:ind w:right="28"/>
              <w:jc w:val="right"/>
              <w:rPr>
                <w:i/>
                <w:sz w:val="16"/>
                <w:lang w:val="es-ES_tradnl"/>
              </w:rPr>
            </w:pPr>
            <w:r w:rsidRPr="006A5CC8">
              <w:rPr>
                <w:i/>
                <w:iCs/>
                <w:sz w:val="16"/>
                <w:lang w:val="es-ES_tradnl"/>
              </w:rPr>
              <w:t>9*</w:t>
            </w:r>
          </w:p>
        </w:tc>
        <w:tc>
          <w:tcPr>
            <w:tcW w:w="566" w:type="dxa"/>
            <w:tcBorders>
              <w:top w:val="single" w:sz="4" w:space="0" w:color="auto"/>
              <w:bottom w:val="single" w:sz="12" w:space="0" w:color="auto"/>
            </w:tcBorders>
            <w:shd w:val="clear" w:color="auto" w:fill="auto"/>
            <w:vAlign w:val="bottom"/>
          </w:tcPr>
          <w:p w14:paraId="1C39FD78" w14:textId="49A7AAB3" w:rsidR="00F518B1" w:rsidRPr="00F518B1" w:rsidRDefault="00F518B1" w:rsidP="00F518B1">
            <w:pPr>
              <w:spacing w:before="80" w:after="80" w:line="200" w:lineRule="exact"/>
              <w:ind w:right="28"/>
              <w:jc w:val="right"/>
              <w:rPr>
                <w:i/>
                <w:sz w:val="16"/>
                <w:lang w:val="es-ES_tradnl"/>
              </w:rPr>
            </w:pPr>
            <w:r w:rsidRPr="006A5CC8">
              <w:rPr>
                <w:i/>
                <w:iCs/>
                <w:sz w:val="16"/>
                <w:lang w:val="es-ES_tradnl"/>
              </w:rPr>
              <w:t>Total</w:t>
            </w:r>
          </w:p>
        </w:tc>
      </w:tr>
      <w:tr w:rsidR="00F518B1" w:rsidRPr="00F518B1" w14:paraId="310B9D6A" w14:textId="77777777" w:rsidTr="00F518B1">
        <w:trPr>
          <w:trHeight w:val="240"/>
        </w:trPr>
        <w:tc>
          <w:tcPr>
            <w:tcW w:w="1246" w:type="dxa"/>
            <w:tcBorders>
              <w:top w:val="single" w:sz="12" w:space="0" w:color="auto"/>
            </w:tcBorders>
            <w:shd w:val="clear" w:color="auto" w:fill="auto"/>
          </w:tcPr>
          <w:p w14:paraId="412C08F1" w14:textId="404C6B58" w:rsidR="00F518B1" w:rsidRPr="00F518B1" w:rsidRDefault="00F518B1" w:rsidP="00F518B1">
            <w:pPr>
              <w:spacing w:before="40" w:after="40" w:line="220" w:lineRule="exact"/>
              <w:rPr>
                <w:sz w:val="18"/>
                <w:lang w:val="es-ES_tradnl"/>
              </w:rPr>
            </w:pPr>
            <w:r w:rsidRPr="006A5CC8">
              <w:rPr>
                <w:sz w:val="18"/>
                <w:lang w:val="es-ES_tradnl"/>
              </w:rPr>
              <w:t>1 a 14 días</w:t>
            </w:r>
          </w:p>
        </w:tc>
        <w:tc>
          <w:tcPr>
            <w:tcW w:w="602" w:type="dxa"/>
            <w:tcBorders>
              <w:top w:val="single" w:sz="12" w:space="0" w:color="auto"/>
            </w:tcBorders>
            <w:shd w:val="clear" w:color="auto" w:fill="auto"/>
            <w:vAlign w:val="bottom"/>
          </w:tcPr>
          <w:p w14:paraId="515FDECA" w14:textId="4EBEF266" w:rsidR="00F518B1" w:rsidRPr="00F518B1" w:rsidRDefault="00F518B1" w:rsidP="00F518B1">
            <w:pPr>
              <w:spacing w:before="40" w:after="40" w:line="220" w:lineRule="exact"/>
              <w:ind w:right="28"/>
              <w:jc w:val="right"/>
              <w:rPr>
                <w:sz w:val="18"/>
                <w:lang w:val="es-ES_tradnl"/>
              </w:rPr>
            </w:pPr>
            <w:r w:rsidRPr="006A5CC8">
              <w:rPr>
                <w:sz w:val="18"/>
                <w:lang w:val="es-ES_tradnl"/>
              </w:rPr>
              <w:t>189</w:t>
            </w:r>
          </w:p>
        </w:tc>
        <w:tc>
          <w:tcPr>
            <w:tcW w:w="630" w:type="dxa"/>
            <w:tcBorders>
              <w:top w:val="single" w:sz="12" w:space="0" w:color="auto"/>
            </w:tcBorders>
            <w:shd w:val="clear" w:color="auto" w:fill="auto"/>
            <w:vAlign w:val="bottom"/>
          </w:tcPr>
          <w:p w14:paraId="65F2D208" w14:textId="0E660E52" w:rsidR="00F518B1" w:rsidRPr="00F518B1" w:rsidRDefault="00F518B1" w:rsidP="00F518B1">
            <w:pPr>
              <w:spacing w:before="40" w:after="40" w:line="220" w:lineRule="exact"/>
              <w:ind w:right="28"/>
              <w:jc w:val="right"/>
              <w:rPr>
                <w:sz w:val="18"/>
                <w:lang w:val="es-ES_tradnl"/>
              </w:rPr>
            </w:pPr>
            <w:r w:rsidRPr="006A5CC8">
              <w:rPr>
                <w:sz w:val="18"/>
                <w:lang w:val="es-ES_tradnl"/>
              </w:rPr>
              <w:t>159</w:t>
            </w:r>
          </w:p>
        </w:tc>
        <w:tc>
          <w:tcPr>
            <w:tcW w:w="602" w:type="dxa"/>
            <w:tcBorders>
              <w:top w:val="single" w:sz="12" w:space="0" w:color="auto"/>
            </w:tcBorders>
            <w:shd w:val="clear" w:color="auto" w:fill="auto"/>
            <w:vAlign w:val="bottom"/>
          </w:tcPr>
          <w:p w14:paraId="2F707744" w14:textId="7C401C67" w:rsidR="00F518B1" w:rsidRPr="00F518B1" w:rsidRDefault="00F518B1" w:rsidP="00F518B1">
            <w:pPr>
              <w:spacing w:before="40" w:after="40" w:line="220" w:lineRule="exact"/>
              <w:ind w:right="28"/>
              <w:jc w:val="right"/>
              <w:rPr>
                <w:sz w:val="18"/>
                <w:lang w:val="es-ES_tradnl"/>
              </w:rPr>
            </w:pPr>
            <w:r w:rsidRPr="006A5CC8">
              <w:rPr>
                <w:sz w:val="18"/>
                <w:lang w:val="es-ES_tradnl"/>
              </w:rPr>
              <w:t>192</w:t>
            </w:r>
          </w:p>
        </w:tc>
        <w:tc>
          <w:tcPr>
            <w:tcW w:w="602" w:type="dxa"/>
            <w:tcBorders>
              <w:top w:val="single" w:sz="12" w:space="0" w:color="auto"/>
            </w:tcBorders>
            <w:shd w:val="clear" w:color="auto" w:fill="auto"/>
            <w:vAlign w:val="bottom"/>
          </w:tcPr>
          <w:p w14:paraId="089C36EF" w14:textId="428E9999" w:rsidR="00F518B1" w:rsidRPr="00F518B1" w:rsidRDefault="00F518B1" w:rsidP="00F518B1">
            <w:pPr>
              <w:spacing w:before="40" w:after="40" w:line="220" w:lineRule="exact"/>
              <w:ind w:right="28"/>
              <w:jc w:val="right"/>
              <w:rPr>
                <w:sz w:val="18"/>
                <w:lang w:val="es-ES_tradnl"/>
              </w:rPr>
            </w:pPr>
            <w:r w:rsidRPr="006A5CC8">
              <w:rPr>
                <w:sz w:val="18"/>
                <w:lang w:val="es-ES_tradnl"/>
              </w:rPr>
              <w:t>214</w:t>
            </w:r>
          </w:p>
        </w:tc>
        <w:tc>
          <w:tcPr>
            <w:tcW w:w="602" w:type="dxa"/>
            <w:tcBorders>
              <w:top w:val="single" w:sz="12" w:space="0" w:color="auto"/>
            </w:tcBorders>
            <w:shd w:val="clear" w:color="auto" w:fill="auto"/>
            <w:vAlign w:val="bottom"/>
          </w:tcPr>
          <w:p w14:paraId="6BF43062" w14:textId="73A757EC" w:rsidR="00F518B1" w:rsidRPr="00F518B1" w:rsidRDefault="00F518B1" w:rsidP="00F518B1">
            <w:pPr>
              <w:spacing w:before="40" w:after="40" w:line="220" w:lineRule="exact"/>
              <w:ind w:right="28"/>
              <w:jc w:val="right"/>
              <w:rPr>
                <w:sz w:val="18"/>
                <w:lang w:val="es-ES_tradnl"/>
              </w:rPr>
            </w:pPr>
            <w:r w:rsidRPr="006A5CC8">
              <w:rPr>
                <w:sz w:val="18"/>
                <w:lang w:val="es-ES_tradnl"/>
              </w:rPr>
              <w:t>204</w:t>
            </w:r>
          </w:p>
        </w:tc>
        <w:tc>
          <w:tcPr>
            <w:tcW w:w="643" w:type="dxa"/>
            <w:tcBorders>
              <w:top w:val="single" w:sz="12" w:space="0" w:color="auto"/>
            </w:tcBorders>
            <w:shd w:val="clear" w:color="auto" w:fill="auto"/>
            <w:vAlign w:val="bottom"/>
          </w:tcPr>
          <w:p w14:paraId="11F11D56" w14:textId="75E4F4AA" w:rsidR="00F518B1" w:rsidRPr="00F518B1" w:rsidRDefault="00F518B1" w:rsidP="00F518B1">
            <w:pPr>
              <w:spacing w:before="40" w:after="40" w:line="220" w:lineRule="exact"/>
              <w:ind w:right="28"/>
              <w:jc w:val="right"/>
              <w:rPr>
                <w:sz w:val="18"/>
                <w:lang w:val="es-ES_tradnl"/>
              </w:rPr>
            </w:pPr>
            <w:r w:rsidRPr="006A5CC8">
              <w:rPr>
                <w:sz w:val="18"/>
                <w:lang w:val="es-ES_tradnl"/>
              </w:rPr>
              <w:t>224</w:t>
            </w:r>
          </w:p>
        </w:tc>
        <w:tc>
          <w:tcPr>
            <w:tcW w:w="644" w:type="dxa"/>
            <w:tcBorders>
              <w:top w:val="single" w:sz="12" w:space="0" w:color="auto"/>
            </w:tcBorders>
            <w:shd w:val="clear" w:color="auto" w:fill="auto"/>
            <w:vAlign w:val="bottom"/>
          </w:tcPr>
          <w:p w14:paraId="69FF17EC" w14:textId="6B8B0861" w:rsidR="00F518B1" w:rsidRPr="00F518B1" w:rsidRDefault="00F518B1" w:rsidP="00F518B1">
            <w:pPr>
              <w:spacing w:before="40" w:after="40" w:line="220" w:lineRule="exact"/>
              <w:ind w:right="28"/>
              <w:jc w:val="right"/>
              <w:rPr>
                <w:sz w:val="18"/>
                <w:lang w:val="es-ES_tradnl"/>
              </w:rPr>
            </w:pPr>
            <w:r w:rsidRPr="006A5CC8">
              <w:rPr>
                <w:sz w:val="18"/>
                <w:lang w:val="es-ES_tradnl"/>
              </w:rPr>
              <w:t>203</w:t>
            </w:r>
          </w:p>
        </w:tc>
        <w:tc>
          <w:tcPr>
            <w:tcW w:w="644" w:type="dxa"/>
            <w:tcBorders>
              <w:top w:val="single" w:sz="12" w:space="0" w:color="auto"/>
            </w:tcBorders>
            <w:shd w:val="clear" w:color="auto" w:fill="auto"/>
            <w:vAlign w:val="bottom"/>
          </w:tcPr>
          <w:p w14:paraId="7A45B4F6" w14:textId="4FCD5D5C" w:rsidR="00F518B1" w:rsidRPr="00F518B1" w:rsidRDefault="00F518B1" w:rsidP="00F518B1">
            <w:pPr>
              <w:spacing w:before="40" w:after="40" w:line="220" w:lineRule="exact"/>
              <w:ind w:right="28"/>
              <w:jc w:val="right"/>
              <w:rPr>
                <w:sz w:val="18"/>
                <w:lang w:val="es-ES_tradnl"/>
              </w:rPr>
            </w:pPr>
            <w:r w:rsidRPr="006A5CC8">
              <w:rPr>
                <w:sz w:val="18"/>
                <w:lang w:val="es-ES_tradnl"/>
              </w:rPr>
              <w:t>159</w:t>
            </w:r>
          </w:p>
        </w:tc>
        <w:tc>
          <w:tcPr>
            <w:tcW w:w="589" w:type="dxa"/>
            <w:tcBorders>
              <w:top w:val="single" w:sz="12" w:space="0" w:color="auto"/>
            </w:tcBorders>
            <w:shd w:val="clear" w:color="auto" w:fill="auto"/>
            <w:vAlign w:val="bottom"/>
          </w:tcPr>
          <w:p w14:paraId="5F3C47B6" w14:textId="14837076" w:rsidR="00F518B1" w:rsidRPr="00F518B1" w:rsidRDefault="00F518B1" w:rsidP="00F518B1">
            <w:pPr>
              <w:spacing w:before="40" w:after="40" w:line="220" w:lineRule="exact"/>
              <w:ind w:right="28"/>
              <w:jc w:val="right"/>
              <w:rPr>
                <w:sz w:val="18"/>
                <w:lang w:val="es-ES_tradnl"/>
              </w:rPr>
            </w:pPr>
            <w:r w:rsidRPr="006A5CC8">
              <w:rPr>
                <w:sz w:val="18"/>
                <w:lang w:val="es-ES_tradnl"/>
              </w:rPr>
              <w:t>197</w:t>
            </w:r>
          </w:p>
        </w:tc>
        <w:tc>
          <w:tcPr>
            <w:tcW w:w="566" w:type="dxa"/>
            <w:tcBorders>
              <w:top w:val="single" w:sz="12" w:space="0" w:color="auto"/>
            </w:tcBorders>
            <w:shd w:val="clear" w:color="auto" w:fill="auto"/>
            <w:vAlign w:val="bottom"/>
          </w:tcPr>
          <w:p w14:paraId="2698052F" w14:textId="171CE497" w:rsidR="00F518B1" w:rsidRPr="00F518B1" w:rsidRDefault="00F518B1" w:rsidP="00F518B1">
            <w:pPr>
              <w:spacing w:before="40" w:after="40" w:line="220" w:lineRule="exact"/>
              <w:ind w:right="28"/>
              <w:jc w:val="right"/>
              <w:rPr>
                <w:sz w:val="18"/>
                <w:lang w:val="es-ES_tradnl"/>
              </w:rPr>
            </w:pPr>
            <w:r w:rsidRPr="006A5CC8">
              <w:rPr>
                <w:sz w:val="18"/>
                <w:lang w:val="es-ES_tradnl"/>
              </w:rPr>
              <w:t>1</w:t>
            </w:r>
            <w:r>
              <w:rPr>
                <w:sz w:val="18"/>
                <w:lang w:val="es-ES_tradnl"/>
              </w:rPr>
              <w:t xml:space="preserve"> </w:t>
            </w:r>
            <w:r w:rsidRPr="006A5CC8">
              <w:rPr>
                <w:sz w:val="18"/>
                <w:lang w:val="es-ES_tradnl"/>
              </w:rPr>
              <w:t>741</w:t>
            </w:r>
          </w:p>
        </w:tc>
      </w:tr>
      <w:tr w:rsidR="00F518B1" w:rsidRPr="00F518B1" w14:paraId="38ED71EE" w14:textId="77777777" w:rsidTr="00F518B1">
        <w:trPr>
          <w:trHeight w:val="240"/>
        </w:trPr>
        <w:tc>
          <w:tcPr>
            <w:tcW w:w="1246" w:type="dxa"/>
            <w:tcBorders>
              <w:bottom w:val="single" w:sz="4" w:space="0" w:color="auto"/>
            </w:tcBorders>
            <w:shd w:val="clear" w:color="auto" w:fill="auto"/>
          </w:tcPr>
          <w:p w14:paraId="25A2ADF9" w14:textId="2C562E5C" w:rsidR="00F518B1" w:rsidRPr="00F518B1" w:rsidRDefault="00F518B1" w:rsidP="00F518B1">
            <w:pPr>
              <w:spacing w:before="40" w:after="40" w:line="220" w:lineRule="exact"/>
              <w:rPr>
                <w:sz w:val="18"/>
                <w:lang w:val="es-ES_tradnl"/>
              </w:rPr>
            </w:pPr>
            <w:r w:rsidRPr="006A5CC8">
              <w:rPr>
                <w:sz w:val="18"/>
                <w:lang w:val="es-ES_tradnl"/>
              </w:rPr>
              <w:t>15 días o más</w:t>
            </w:r>
          </w:p>
        </w:tc>
        <w:tc>
          <w:tcPr>
            <w:tcW w:w="602" w:type="dxa"/>
            <w:tcBorders>
              <w:bottom w:val="single" w:sz="4" w:space="0" w:color="auto"/>
            </w:tcBorders>
            <w:shd w:val="clear" w:color="auto" w:fill="auto"/>
            <w:vAlign w:val="bottom"/>
          </w:tcPr>
          <w:p w14:paraId="6CF8E15A" w14:textId="013D3C45" w:rsidR="00F518B1" w:rsidRPr="00F518B1" w:rsidRDefault="00F518B1" w:rsidP="00F518B1">
            <w:pPr>
              <w:spacing w:before="40" w:after="40" w:line="220" w:lineRule="exact"/>
              <w:ind w:right="28"/>
              <w:jc w:val="right"/>
              <w:rPr>
                <w:sz w:val="18"/>
                <w:lang w:val="es-ES_tradnl"/>
              </w:rPr>
            </w:pPr>
            <w:r w:rsidRPr="006A5CC8">
              <w:rPr>
                <w:sz w:val="18"/>
                <w:lang w:val="es-ES_tradnl"/>
              </w:rPr>
              <w:t>10</w:t>
            </w:r>
          </w:p>
        </w:tc>
        <w:tc>
          <w:tcPr>
            <w:tcW w:w="630" w:type="dxa"/>
            <w:tcBorders>
              <w:bottom w:val="single" w:sz="4" w:space="0" w:color="auto"/>
            </w:tcBorders>
            <w:shd w:val="clear" w:color="auto" w:fill="auto"/>
            <w:vAlign w:val="bottom"/>
          </w:tcPr>
          <w:p w14:paraId="22EA26DE" w14:textId="253DC310" w:rsidR="00F518B1" w:rsidRPr="00F518B1" w:rsidRDefault="00F518B1" w:rsidP="00F518B1">
            <w:pPr>
              <w:spacing w:before="40" w:after="40" w:line="220" w:lineRule="exact"/>
              <w:ind w:right="28"/>
              <w:jc w:val="right"/>
              <w:rPr>
                <w:sz w:val="18"/>
                <w:lang w:val="es-ES_tradnl"/>
              </w:rPr>
            </w:pPr>
            <w:r w:rsidRPr="006A5CC8">
              <w:rPr>
                <w:sz w:val="18"/>
                <w:lang w:val="es-ES_tradnl"/>
              </w:rPr>
              <w:t>6</w:t>
            </w:r>
          </w:p>
        </w:tc>
        <w:tc>
          <w:tcPr>
            <w:tcW w:w="602" w:type="dxa"/>
            <w:tcBorders>
              <w:bottom w:val="single" w:sz="4" w:space="0" w:color="auto"/>
            </w:tcBorders>
            <w:shd w:val="clear" w:color="auto" w:fill="auto"/>
            <w:vAlign w:val="bottom"/>
          </w:tcPr>
          <w:p w14:paraId="0BE1DF27" w14:textId="4D7105CB" w:rsidR="00F518B1" w:rsidRPr="00F518B1" w:rsidRDefault="00F518B1" w:rsidP="00F518B1">
            <w:pPr>
              <w:spacing w:before="40" w:after="40" w:line="220" w:lineRule="exact"/>
              <w:ind w:right="28"/>
              <w:jc w:val="right"/>
              <w:rPr>
                <w:sz w:val="18"/>
                <w:lang w:val="es-ES_tradnl"/>
              </w:rPr>
            </w:pPr>
            <w:r w:rsidRPr="006A5CC8">
              <w:rPr>
                <w:sz w:val="18"/>
                <w:lang w:val="es-ES_tradnl"/>
              </w:rPr>
              <w:t>11</w:t>
            </w:r>
          </w:p>
        </w:tc>
        <w:tc>
          <w:tcPr>
            <w:tcW w:w="602" w:type="dxa"/>
            <w:tcBorders>
              <w:bottom w:val="single" w:sz="4" w:space="0" w:color="auto"/>
            </w:tcBorders>
            <w:shd w:val="clear" w:color="auto" w:fill="auto"/>
            <w:vAlign w:val="bottom"/>
          </w:tcPr>
          <w:p w14:paraId="733AA019" w14:textId="03F81EF2" w:rsidR="00F518B1" w:rsidRPr="00F518B1" w:rsidRDefault="00F518B1" w:rsidP="00F518B1">
            <w:pPr>
              <w:spacing w:before="40" w:after="40" w:line="220" w:lineRule="exact"/>
              <w:ind w:right="28"/>
              <w:jc w:val="right"/>
              <w:rPr>
                <w:sz w:val="18"/>
                <w:lang w:val="es-ES_tradnl"/>
              </w:rPr>
            </w:pPr>
            <w:r w:rsidRPr="006A5CC8">
              <w:rPr>
                <w:sz w:val="18"/>
                <w:lang w:val="es-ES_tradnl"/>
              </w:rPr>
              <w:t>9</w:t>
            </w:r>
          </w:p>
        </w:tc>
        <w:tc>
          <w:tcPr>
            <w:tcW w:w="602" w:type="dxa"/>
            <w:tcBorders>
              <w:bottom w:val="single" w:sz="4" w:space="0" w:color="auto"/>
            </w:tcBorders>
            <w:shd w:val="clear" w:color="auto" w:fill="auto"/>
            <w:vAlign w:val="bottom"/>
          </w:tcPr>
          <w:p w14:paraId="2B1CE37B" w14:textId="60C7CBC8" w:rsidR="00F518B1" w:rsidRPr="00F518B1" w:rsidRDefault="00F518B1" w:rsidP="00F518B1">
            <w:pPr>
              <w:spacing w:before="40" w:after="40" w:line="220" w:lineRule="exact"/>
              <w:ind w:right="28"/>
              <w:jc w:val="right"/>
              <w:rPr>
                <w:sz w:val="18"/>
                <w:lang w:val="es-ES_tradnl"/>
              </w:rPr>
            </w:pPr>
            <w:r w:rsidRPr="006A5CC8">
              <w:rPr>
                <w:sz w:val="18"/>
                <w:lang w:val="es-ES_tradnl"/>
              </w:rPr>
              <w:t>5</w:t>
            </w:r>
          </w:p>
        </w:tc>
        <w:tc>
          <w:tcPr>
            <w:tcW w:w="643" w:type="dxa"/>
            <w:tcBorders>
              <w:bottom w:val="single" w:sz="4" w:space="0" w:color="auto"/>
            </w:tcBorders>
            <w:shd w:val="clear" w:color="auto" w:fill="auto"/>
            <w:vAlign w:val="bottom"/>
          </w:tcPr>
          <w:p w14:paraId="0E4FBE07" w14:textId="6BE19564" w:rsidR="00F518B1" w:rsidRPr="00F518B1" w:rsidRDefault="00F518B1" w:rsidP="00F518B1">
            <w:pPr>
              <w:spacing w:before="40" w:after="40" w:line="220" w:lineRule="exact"/>
              <w:ind w:right="28"/>
              <w:jc w:val="right"/>
              <w:rPr>
                <w:sz w:val="18"/>
                <w:lang w:val="es-ES_tradnl"/>
              </w:rPr>
            </w:pPr>
            <w:r w:rsidRPr="006A5CC8">
              <w:rPr>
                <w:sz w:val="18"/>
                <w:lang w:val="es-ES_tradnl"/>
              </w:rPr>
              <w:t>11</w:t>
            </w:r>
          </w:p>
        </w:tc>
        <w:tc>
          <w:tcPr>
            <w:tcW w:w="644" w:type="dxa"/>
            <w:tcBorders>
              <w:bottom w:val="single" w:sz="4" w:space="0" w:color="auto"/>
            </w:tcBorders>
            <w:shd w:val="clear" w:color="auto" w:fill="auto"/>
            <w:vAlign w:val="bottom"/>
          </w:tcPr>
          <w:p w14:paraId="2439CBF1" w14:textId="482D0015" w:rsidR="00F518B1" w:rsidRPr="00F518B1" w:rsidRDefault="00F518B1" w:rsidP="00F518B1">
            <w:pPr>
              <w:spacing w:before="40" w:after="40" w:line="220" w:lineRule="exact"/>
              <w:ind w:right="28"/>
              <w:jc w:val="right"/>
              <w:rPr>
                <w:sz w:val="18"/>
                <w:lang w:val="es-ES_tradnl"/>
              </w:rPr>
            </w:pPr>
            <w:r w:rsidRPr="006A5CC8">
              <w:rPr>
                <w:sz w:val="18"/>
                <w:lang w:val="es-ES_tradnl"/>
              </w:rPr>
              <w:t>8</w:t>
            </w:r>
          </w:p>
        </w:tc>
        <w:tc>
          <w:tcPr>
            <w:tcW w:w="644" w:type="dxa"/>
            <w:tcBorders>
              <w:bottom w:val="single" w:sz="4" w:space="0" w:color="auto"/>
            </w:tcBorders>
            <w:shd w:val="clear" w:color="auto" w:fill="auto"/>
            <w:vAlign w:val="bottom"/>
          </w:tcPr>
          <w:p w14:paraId="58519545" w14:textId="01690F0F" w:rsidR="00F518B1" w:rsidRPr="00F518B1" w:rsidRDefault="00F518B1" w:rsidP="00F518B1">
            <w:pPr>
              <w:spacing w:before="40" w:after="40" w:line="220" w:lineRule="exact"/>
              <w:ind w:right="28"/>
              <w:jc w:val="right"/>
              <w:rPr>
                <w:sz w:val="18"/>
                <w:lang w:val="es-ES_tradnl"/>
              </w:rPr>
            </w:pPr>
            <w:r w:rsidRPr="006A5CC8">
              <w:rPr>
                <w:sz w:val="18"/>
                <w:lang w:val="es-ES_tradnl"/>
              </w:rPr>
              <w:t>7</w:t>
            </w:r>
          </w:p>
        </w:tc>
        <w:tc>
          <w:tcPr>
            <w:tcW w:w="589" w:type="dxa"/>
            <w:tcBorders>
              <w:bottom w:val="single" w:sz="4" w:space="0" w:color="auto"/>
            </w:tcBorders>
            <w:shd w:val="clear" w:color="auto" w:fill="auto"/>
            <w:vAlign w:val="bottom"/>
          </w:tcPr>
          <w:p w14:paraId="4CD86529" w14:textId="3673555E" w:rsidR="00F518B1" w:rsidRPr="00F518B1" w:rsidRDefault="00F518B1" w:rsidP="00F518B1">
            <w:pPr>
              <w:spacing w:before="40" w:after="40" w:line="220" w:lineRule="exact"/>
              <w:ind w:right="28"/>
              <w:jc w:val="right"/>
              <w:rPr>
                <w:sz w:val="18"/>
                <w:lang w:val="es-ES_tradnl"/>
              </w:rPr>
            </w:pPr>
            <w:r w:rsidRPr="006A5CC8">
              <w:rPr>
                <w:sz w:val="18"/>
                <w:lang w:val="es-ES_tradnl"/>
              </w:rPr>
              <w:t>7</w:t>
            </w:r>
          </w:p>
        </w:tc>
        <w:tc>
          <w:tcPr>
            <w:tcW w:w="566" w:type="dxa"/>
            <w:tcBorders>
              <w:bottom w:val="single" w:sz="4" w:space="0" w:color="auto"/>
            </w:tcBorders>
            <w:shd w:val="clear" w:color="auto" w:fill="auto"/>
            <w:vAlign w:val="bottom"/>
          </w:tcPr>
          <w:p w14:paraId="24ADC1B8" w14:textId="019EC35B" w:rsidR="00F518B1" w:rsidRPr="00F518B1" w:rsidRDefault="00F518B1" w:rsidP="00F518B1">
            <w:pPr>
              <w:spacing w:before="40" w:after="40" w:line="220" w:lineRule="exact"/>
              <w:ind w:right="28"/>
              <w:jc w:val="right"/>
              <w:rPr>
                <w:sz w:val="18"/>
                <w:lang w:val="es-ES_tradnl"/>
              </w:rPr>
            </w:pPr>
            <w:r w:rsidRPr="006A5CC8">
              <w:rPr>
                <w:sz w:val="18"/>
                <w:lang w:val="es-ES_tradnl"/>
              </w:rPr>
              <w:t>74</w:t>
            </w:r>
          </w:p>
        </w:tc>
      </w:tr>
      <w:tr w:rsidR="00F518B1" w:rsidRPr="00F518B1" w14:paraId="112A4C38" w14:textId="77777777" w:rsidTr="00F518B1">
        <w:trPr>
          <w:trHeight w:val="240"/>
        </w:trPr>
        <w:tc>
          <w:tcPr>
            <w:tcW w:w="1246" w:type="dxa"/>
            <w:tcBorders>
              <w:top w:val="single" w:sz="4" w:space="0" w:color="auto"/>
              <w:bottom w:val="single" w:sz="12" w:space="0" w:color="auto"/>
            </w:tcBorders>
            <w:shd w:val="clear" w:color="auto" w:fill="auto"/>
          </w:tcPr>
          <w:p w14:paraId="0838993F" w14:textId="42B92E95" w:rsidR="00F518B1" w:rsidRPr="00F518B1" w:rsidRDefault="00F518B1" w:rsidP="00F518B1">
            <w:pPr>
              <w:spacing w:before="80" w:after="80" w:line="220" w:lineRule="exact"/>
              <w:ind w:left="283"/>
              <w:rPr>
                <w:b/>
                <w:sz w:val="18"/>
                <w:lang w:val="es-ES_tradnl"/>
              </w:rPr>
            </w:pPr>
            <w:r w:rsidRPr="006A5CC8">
              <w:rPr>
                <w:b/>
                <w:bCs/>
                <w:sz w:val="18"/>
                <w:lang w:val="es-ES_tradnl"/>
              </w:rPr>
              <w:t>Total</w:t>
            </w:r>
          </w:p>
        </w:tc>
        <w:tc>
          <w:tcPr>
            <w:tcW w:w="602" w:type="dxa"/>
            <w:tcBorders>
              <w:top w:val="single" w:sz="4" w:space="0" w:color="auto"/>
              <w:bottom w:val="single" w:sz="12" w:space="0" w:color="auto"/>
            </w:tcBorders>
            <w:shd w:val="clear" w:color="auto" w:fill="auto"/>
            <w:vAlign w:val="bottom"/>
          </w:tcPr>
          <w:p w14:paraId="7E5BBAEF" w14:textId="553CF0A2" w:rsidR="00F518B1" w:rsidRPr="00F518B1" w:rsidRDefault="00F518B1" w:rsidP="00F518B1">
            <w:pPr>
              <w:spacing w:before="80" w:after="80" w:line="220" w:lineRule="exact"/>
              <w:ind w:right="28"/>
              <w:jc w:val="right"/>
              <w:rPr>
                <w:b/>
                <w:sz w:val="18"/>
                <w:lang w:val="es-ES_tradnl"/>
              </w:rPr>
            </w:pPr>
            <w:r w:rsidRPr="006A5CC8">
              <w:rPr>
                <w:b/>
                <w:bCs/>
                <w:sz w:val="18"/>
                <w:lang w:val="es-ES_tradnl"/>
              </w:rPr>
              <w:t>199</w:t>
            </w:r>
          </w:p>
        </w:tc>
        <w:tc>
          <w:tcPr>
            <w:tcW w:w="630" w:type="dxa"/>
            <w:tcBorders>
              <w:top w:val="single" w:sz="4" w:space="0" w:color="auto"/>
              <w:bottom w:val="single" w:sz="12" w:space="0" w:color="auto"/>
            </w:tcBorders>
            <w:shd w:val="clear" w:color="auto" w:fill="auto"/>
            <w:vAlign w:val="bottom"/>
          </w:tcPr>
          <w:p w14:paraId="201F53BE" w14:textId="1DE84860" w:rsidR="00F518B1" w:rsidRPr="00F518B1" w:rsidRDefault="00F518B1" w:rsidP="00F518B1">
            <w:pPr>
              <w:spacing w:before="80" w:after="80" w:line="220" w:lineRule="exact"/>
              <w:ind w:right="28"/>
              <w:jc w:val="right"/>
              <w:rPr>
                <w:b/>
                <w:sz w:val="18"/>
                <w:lang w:val="es-ES_tradnl"/>
              </w:rPr>
            </w:pPr>
            <w:r w:rsidRPr="006A5CC8">
              <w:rPr>
                <w:b/>
                <w:bCs/>
                <w:sz w:val="18"/>
                <w:lang w:val="es-ES_tradnl"/>
              </w:rPr>
              <w:t>165</w:t>
            </w:r>
          </w:p>
        </w:tc>
        <w:tc>
          <w:tcPr>
            <w:tcW w:w="602" w:type="dxa"/>
            <w:tcBorders>
              <w:top w:val="single" w:sz="4" w:space="0" w:color="auto"/>
              <w:bottom w:val="single" w:sz="12" w:space="0" w:color="auto"/>
            </w:tcBorders>
            <w:shd w:val="clear" w:color="auto" w:fill="auto"/>
            <w:vAlign w:val="bottom"/>
          </w:tcPr>
          <w:p w14:paraId="6CDC6FAB" w14:textId="732D5653" w:rsidR="00F518B1" w:rsidRPr="00F518B1" w:rsidRDefault="00F518B1" w:rsidP="00F518B1">
            <w:pPr>
              <w:spacing w:before="80" w:after="80" w:line="220" w:lineRule="exact"/>
              <w:ind w:right="28"/>
              <w:jc w:val="right"/>
              <w:rPr>
                <w:b/>
                <w:sz w:val="18"/>
                <w:lang w:val="es-ES_tradnl"/>
              </w:rPr>
            </w:pPr>
            <w:r w:rsidRPr="006A5CC8">
              <w:rPr>
                <w:b/>
                <w:bCs/>
                <w:sz w:val="18"/>
                <w:lang w:val="es-ES_tradnl"/>
              </w:rPr>
              <w:t>203</w:t>
            </w:r>
          </w:p>
        </w:tc>
        <w:tc>
          <w:tcPr>
            <w:tcW w:w="602" w:type="dxa"/>
            <w:tcBorders>
              <w:top w:val="single" w:sz="4" w:space="0" w:color="auto"/>
              <w:bottom w:val="single" w:sz="12" w:space="0" w:color="auto"/>
            </w:tcBorders>
            <w:shd w:val="clear" w:color="auto" w:fill="auto"/>
            <w:vAlign w:val="bottom"/>
          </w:tcPr>
          <w:p w14:paraId="5FB4F68B" w14:textId="2D55AAFC" w:rsidR="00F518B1" w:rsidRPr="00F518B1" w:rsidRDefault="00F518B1" w:rsidP="00F518B1">
            <w:pPr>
              <w:spacing w:before="80" w:after="80" w:line="220" w:lineRule="exact"/>
              <w:ind w:right="28"/>
              <w:jc w:val="right"/>
              <w:rPr>
                <w:b/>
                <w:sz w:val="18"/>
                <w:lang w:val="es-ES_tradnl"/>
              </w:rPr>
            </w:pPr>
            <w:r w:rsidRPr="006A5CC8">
              <w:rPr>
                <w:b/>
                <w:bCs/>
                <w:sz w:val="18"/>
                <w:lang w:val="es-ES_tradnl"/>
              </w:rPr>
              <w:t>223</w:t>
            </w:r>
          </w:p>
        </w:tc>
        <w:tc>
          <w:tcPr>
            <w:tcW w:w="602" w:type="dxa"/>
            <w:tcBorders>
              <w:top w:val="single" w:sz="4" w:space="0" w:color="auto"/>
              <w:bottom w:val="single" w:sz="12" w:space="0" w:color="auto"/>
            </w:tcBorders>
            <w:shd w:val="clear" w:color="auto" w:fill="auto"/>
            <w:vAlign w:val="bottom"/>
          </w:tcPr>
          <w:p w14:paraId="3C63236A" w14:textId="4A8D50B3" w:rsidR="00F518B1" w:rsidRPr="00F518B1" w:rsidRDefault="00F518B1" w:rsidP="00F518B1">
            <w:pPr>
              <w:spacing w:before="80" w:after="80" w:line="220" w:lineRule="exact"/>
              <w:ind w:right="28"/>
              <w:jc w:val="right"/>
              <w:rPr>
                <w:b/>
                <w:sz w:val="18"/>
                <w:lang w:val="es-ES_tradnl"/>
              </w:rPr>
            </w:pPr>
            <w:r w:rsidRPr="006A5CC8">
              <w:rPr>
                <w:b/>
                <w:bCs/>
                <w:sz w:val="18"/>
                <w:lang w:val="es-ES_tradnl"/>
              </w:rPr>
              <w:t>209</w:t>
            </w:r>
          </w:p>
        </w:tc>
        <w:tc>
          <w:tcPr>
            <w:tcW w:w="643" w:type="dxa"/>
            <w:tcBorders>
              <w:top w:val="single" w:sz="4" w:space="0" w:color="auto"/>
              <w:bottom w:val="single" w:sz="12" w:space="0" w:color="auto"/>
            </w:tcBorders>
            <w:shd w:val="clear" w:color="auto" w:fill="auto"/>
            <w:vAlign w:val="bottom"/>
          </w:tcPr>
          <w:p w14:paraId="42526915" w14:textId="2A5DC3FC" w:rsidR="00F518B1" w:rsidRPr="00F518B1" w:rsidRDefault="00F518B1" w:rsidP="00F518B1">
            <w:pPr>
              <w:spacing w:before="80" w:after="80" w:line="220" w:lineRule="exact"/>
              <w:ind w:right="28"/>
              <w:jc w:val="right"/>
              <w:rPr>
                <w:b/>
                <w:sz w:val="18"/>
                <w:lang w:val="es-ES_tradnl"/>
              </w:rPr>
            </w:pPr>
            <w:r w:rsidRPr="006A5CC8">
              <w:rPr>
                <w:b/>
                <w:bCs/>
                <w:sz w:val="18"/>
                <w:lang w:val="es-ES_tradnl"/>
              </w:rPr>
              <w:t>235</w:t>
            </w:r>
          </w:p>
        </w:tc>
        <w:tc>
          <w:tcPr>
            <w:tcW w:w="644" w:type="dxa"/>
            <w:tcBorders>
              <w:top w:val="single" w:sz="4" w:space="0" w:color="auto"/>
              <w:bottom w:val="single" w:sz="12" w:space="0" w:color="auto"/>
            </w:tcBorders>
            <w:shd w:val="clear" w:color="auto" w:fill="auto"/>
            <w:vAlign w:val="bottom"/>
          </w:tcPr>
          <w:p w14:paraId="6E9620B8" w14:textId="6A347608" w:rsidR="00F518B1" w:rsidRPr="00F518B1" w:rsidRDefault="00F518B1" w:rsidP="00F518B1">
            <w:pPr>
              <w:spacing w:before="80" w:after="80" w:line="220" w:lineRule="exact"/>
              <w:ind w:right="28"/>
              <w:jc w:val="right"/>
              <w:rPr>
                <w:b/>
                <w:sz w:val="18"/>
                <w:lang w:val="es-ES_tradnl"/>
              </w:rPr>
            </w:pPr>
            <w:r w:rsidRPr="006A5CC8">
              <w:rPr>
                <w:b/>
                <w:bCs/>
                <w:sz w:val="18"/>
                <w:lang w:val="es-ES_tradnl"/>
              </w:rPr>
              <w:t>211</w:t>
            </w:r>
          </w:p>
        </w:tc>
        <w:tc>
          <w:tcPr>
            <w:tcW w:w="644" w:type="dxa"/>
            <w:tcBorders>
              <w:top w:val="single" w:sz="4" w:space="0" w:color="auto"/>
              <w:bottom w:val="single" w:sz="12" w:space="0" w:color="auto"/>
            </w:tcBorders>
            <w:shd w:val="clear" w:color="auto" w:fill="auto"/>
            <w:vAlign w:val="bottom"/>
          </w:tcPr>
          <w:p w14:paraId="107227BC" w14:textId="79A108CA" w:rsidR="00F518B1" w:rsidRPr="00F518B1" w:rsidRDefault="00F518B1" w:rsidP="00F518B1">
            <w:pPr>
              <w:spacing w:before="80" w:after="80" w:line="220" w:lineRule="exact"/>
              <w:ind w:right="28"/>
              <w:jc w:val="right"/>
              <w:rPr>
                <w:b/>
                <w:sz w:val="18"/>
                <w:lang w:val="es-ES_tradnl"/>
              </w:rPr>
            </w:pPr>
            <w:r w:rsidRPr="006A5CC8">
              <w:rPr>
                <w:b/>
                <w:bCs/>
                <w:sz w:val="18"/>
                <w:lang w:val="es-ES_tradnl"/>
              </w:rPr>
              <w:t>166</w:t>
            </w:r>
          </w:p>
        </w:tc>
        <w:tc>
          <w:tcPr>
            <w:tcW w:w="589" w:type="dxa"/>
            <w:tcBorders>
              <w:top w:val="single" w:sz="4" w:space="0" w:color="auto"/>
              <w:bottom w:val="single" w:sz="12" w:space="0" w:color="auto"/>
            </w:tcBorders>
            <w:shd w:val="clear" w:color="auto" w:fill="auto"/>
            <w:vAlign w:val="bottom"/>
          </w:tcPr>
          <w:p w14:paraId="066B1890" w14:textId="31DB1F33" w:rsidR="00F518B1" w:rsidRPr="00F518B1" w:rsidRDefault="00F518B1" w:rsidP="00F518B1">
            <w:pPr>
              <w:spacing w:before="80" w:after="80" w:line="220" w:lineRule="exact"/>
              <w:ind w:right="28"/>
              <w:jc w:val="right"/>
              <w:rPr>
                <w:b/>
                <w:sz w:val="18"/>
                <w:lang w:val="es-ES_tradnl"/>
              </w:rPr>
            </w:pPr>
            <w:r w:rsidRPr="006A5CC8">
              <w:rPr>
                <w:b/>
                <w:bCs/>
                <w:sz w:val="18"/>
                <w:lang w:val="es-ES_tradnl"/>
              </w:rPr>
              <w:t>204</w:t>
            </w:r>
          </w:p>
        </w:tc>
        <w:tc>
          <w:tcPr>
            <w:tcW w:w="566" w:type="dxa"/>
            <w:tcBorders>
              <w:top w:val="single" w:sz="4" w:space="0" w:color="auto"/>
              <w:bottom w:val="single" w:sz="12" w:space="0" w:color="auto"/>
            </w:tcBorders>
            <w:shd w:val="clear" w:color="auto" w:fill="auto"/>
            <w:vAlign w:val="bottom"/>
          </w:tcPr>
          <w:p w14:paraId="559A07CE" w14:textId="4C4A4C77" w:rsidR="00F518B1" w:rsidRPr="00F518B1" w:rsidRDefault="00F518B1" w:rsidP="00F518B1">
            <w:pPr>
              <w:spacing w:before="80" w:after="80" w:line="220" w:lineRule="exact"/>
              <w:ind w:right="28"/>
              <w:jc w:val="right"/>
              <w:rPr>
                <w:b/>
                <w:sz w:val="18"/>
                <w:lang w:val="es-ES_tradnl"/>
              </w:rPr>
            </w:pPr>
            <w:r w:rsidRPr="006A5CC8">
              <w:rPr>
                <w:b/>
                <w:bCs/>
                <w:sz w:val="18"/>
                <w:lang w:val="es-ES_tradnl"/>
              </w:rPr>
              <w:t>1</w:t>
            </w:r>
            <w:r>
              <w:rPr>
                <w:b/>
                <w:bCs/>
                <w:sz w:val="18"/>
                <w:lang w:val="es-ES_tradnl"/>
              </w:rPr>
              <w:t xml:space="preserve"> </w:t>
            </w:r>
            <w:r w:rsidRPr="006A5CC8">
              <w:rPr>
                <w:b/>
                <w:bCs/>
                <w:sz w:val="18"/>
                <w:lang w:val="es-ES_tradnl"/>
              </w:rPr>
              <w:t>815</w:t>
            </w:r>
          </w:p>
        </w:tc>
      </w:tr>
    </w:tbl>
    <w:p w14:paraId="731A4941" w14:textId="00A4D6D4" w:rsidR="006A5CC8" w:rsidRPr="006A5CC8" w:rsidRDefault="006A5CC8" w:rsidP="006A5CC8">
      <w:pPr>
        <w:pStyle w:val="SingleTxtG"/>
        <w:spacing w:before="120" w:after="0"/>
        <w:ind w:firstLine="170"/>
        <w:jc w:val="left"/>
        <w:rPr>
          <w:sz w:val="18"/>
          <w:szCs w:val="18"/>
          <w:lang w:val="es-ES_tradnl"/>
        </w:rPr>
      </w:pPr>
      <w:r w:rsidRPr="006A5CC8">
        <w:rPr>
          <w:sz w:val="18"/>
          <w:szCs w:val="18"/>
          <w:lang w:val="es-ES_tradnl"/>
        </w:rPr>
        <w:t>*</w:t>
      </w:r>
      <w:r w:rsidR="00F518B1">
        <w:rPr>
          <w:sz w:val="18"/>
          <w:szCs w:val="18"/>
          <w:lang w:val="es-ES_tradnl"/>
        </w:rPr>
        <w:t xml:space="preserve"> </w:t>
      </w:r>
      <w:r w:rsidRPr="006A5CC8">
        <w:rPr>
          <w:sz w:val="18"/>
          <w:szCs w:val="18"/>
          <w:lang w:val="es-ES_tradnl"/>
        </w:rPr>
        <w:t xml:space="preserve"> Hasta el 30 de septiembre de 2024, inclusive. Los datos de 2024 son preliminares.</w:t>
      </w:r>
    </w:p>
    <w:p w14:paraId="52793F5E" w14:textId="77777777" w:rsidR="006A5CC8" w:rsidRPr="006A5CC8" w:rsidRDefault="006A5CC8" w:rsidP="006A5CC8">
      <w:pPr>
        <w:pStyle w:val="SingleTxtG"/>
        <w:spacing w:after="240"/>
        <w:ind w:firstLine="170"/>
        <w:jc w:val="left"/>
        <w:rPr>
          <w:sz w:val="18"/>
          <w:szCs w:val="18"/>
          <w:lang w:val="es-ES_tradnl"/>
        </w:rPr>
      </w:pPr>
      <w:r w:rsidRPr="006A5CC8">
        <w:rPr>
          <w:i/>
          <w:iCs/>
          <w:sz w:val="18"/>
          <w:szCs w:val="18"/>
          <w:lang w:val="es-ES_tradnl"/>
        </w:rPr>
        <w:t>Nota:</w:t>
      </w:r>
      <w:r w:rsidRPr="006A5CC8">
        <w:rPr>
          <w:sz w:val="18"/>
          <w:szCs w:val="18"/>
          <w:lang w:val="es-ES_tradnl"/>
        </w:rPr>
        <w:t xml:space="preserve"> Los datos se extrajeron el 21 de octubre de 2024.</w:t>
      </w:r>
    </w:p>
    <w:p w14:paraId="3BA928DF" w14:textId="433350B7" w:rsidR="006A5CC8" w:rsidRDefault="006A5CC8" w:rsidP="006A5CC8">
      <w:pPr>
        <w:pStyle w:val="H23G"/>
        <w:rPr>
          <w:b w:val="0"/>
          <w:bCs/>
          <w:sz w:val="16"/>
          <w:lang w:val="es-ES_tradnl"/>
        </w:rPr>
      </w:pPr>
      <w:r w:rsidRPr="006A5CC8">
        <w:rPr>
          <w:b w:val="0"/>
          <w:bCs/>
          <w:lang w:val="es-ES_tradnl"/>
        </w:rPr>
        <w:tab/>
      </w:r>
      <w:r w:rsidRPr="006A5CC8">
        <w:rPr>
          <w:b w:val="0"/>
          <w:bCs/>
          <w:lang w:val="es-ES_tradnl"/>
        </w:rPr>
        <w:tab/>
        <w:t>Cuadro 3</w:t>
      </w:r>
      <w:r w:rsidRPr="006A5CC8">
        <w:rPr>
          <w:b w:val="0"/>
          <w:bCs/>
          <w:lang w:val="es-ES_tradnl"/>
        </w:rPr>
        <w:br/>
      </w:r>
      <w:r w:rsidRPr="006A5CC8">
        <w:rPr>
          <w:lang w:val="es-ES_tradnl"/>
        </w:rPr>
        <w:t>Casos de reclusión en régimen de aislamiento disciplinario, menores</w:t>
      </w:r>
      <w:r>
        <w:rPr>
          <w:lang w:val="es-ES_tradnl"/>
        </w:rPr>
        <w:br/>
      </w:r>
      <w:r>
        <w:rPr>
          <w:b w:val="0"/>
          <w:bCs/>
          <w:sz w:val="16"/>
          <w:lang w:val="es-ES_tradnl"/>
        </w:rPr>
        <w:t>(</w:t>
      </w:r>
      <w:r w:rsidRPr="006A5CC8">
        <w:rPr>
          <w:b w:val="0"/>
          <w:bCs/>
          <w:sz w:val="16"/>
          <w:lang w:val="es-ES_tradnl"/>
        </w:rPr>
        <w:t>Desglosados por la duración de la reclusión en régimen de aislamiento y el año</w:t>
      </w:r>
      <w:r>
        <w:rPr>
          <w:b w:val="0"/>
          <w:bCs/>
          <w:sz w:val="16"/>
          <w:lang w:val="es-ES_tradnl"/>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57"/>
        <w:gridCol w:w="2456"/>
        <w:gridCol w:w="2457"/>
      </w:tblGrid>
      <w:tr w:rsidR="00F518B1" w:rsidRPr="00F518B1" w14:paraId="5539F3E0" w14:textId="77777777" w:rsidTr="00F518B1">
        <w:trPr>
          <w:trHeight w:val="240"/>
          <w:tblHeader/>
        </w:trPr>
        <w:tc>
          <w:tcPr>
            <w:tcW w:w="2457" w:type="dxa"/>
            <w:tcBorders>
              <w:top w:val="single" w:sz="4" w:space="0" w:color="auto"/>
              <w:bottom w:val="single" w:sz="12" w:space="0" w:color="auto"/>
            </w:tcBorders>
            <w:shd w:val="clear" w:color="auto" w:fill="auto"/>
            <w:vAlign w:val="bottom"/>
          </w:tcPr>
          <w:p w14:paraId="33EE3EDE" w14:textId="77777777" w:rsidR="00F518B1" w:rsidRPr="00F518B1" w:rsidRDefault="00F518B1" w:rsidP="00F518B1">
            <w:pPr>
              <w:spacing w:before="80" w:after="80" w:line="200" w:lineRule="exact"/>
              <w:rPr>
                <w:i/>
                <w:sz w:val="16"/>
                <w:lang w:val="es-ES_tradnl"/>
              </w:rPr>
            </w:pPr>
          </w:p>
        </w:tc>
        <w:tc>
          <w:tcPr>
            <w:tcW w:w="2456" w:type="dxa"/>
            <w:tcBorders>
              <w:top w:val="single" w:sz="4" w:space="0" w:color="auto"/>
              <w:bottom w:val="single" w:sz="12" w:space="0" w:color="auto"/>
            </w:tcBorders>
            <w:shd w:val="clear" w:color="auto" w:fill="auto"/>
            <w:vAlign w:val="bottom"/>
          </w:tcPr>
          <w:p w14:paraId="55EEA336" w14:textId="65FFBEB2" w:rsidR="00F518B1" w:rsidRPr="00F518B1" w:rsidRDefault="00F518B1" w:rsidP="00F518B1">
            <w:pPr>
              <w:spacing w:before="80" w:after="80" w:line="200" w:lineRule="exact"/>
              <w:ind w:left="113" w:right="28"/>
              <w:jc w:val="right"/>
              <w:rPr>
                <w:i/>
                <w:sz w:val="16"/>
                <w:lang w:val="es-ES_tradnl"/>
              </w:rPr>
            </w:pPr>
            <w:r w:rsidRPr="006A5CC8">
              <w:rPr>
                <w:i/>
                <w:sz w:val="16"/>
                <w:lang w:val="es-ES_tradnl"/>
              </w:rPr>
              <w:t>2023</w:t>
            </w:r>
          </w:p>
        </w:tc>
        <w:tc>
          <w:tcPr>
            <w:tcW w:w="2457" w:type="dxa"/>
            <w:tcBorders>
              <w:top w:val="single" w:sz="4" w:space="0" w:color="auto"/>
              <w:bottom w:val="single" w:sz="12" w:space="0" w:color="auto"/>
            </w:tcBorders>
            <w:shd w:val="clear" w:color="auto" w:fill="auto"/>
            <w:vAlign w:val="bottom"/>
          </w:tcPr>
          <w:p w14:paraId="3EF84348" w14:textId="1F43926D" w:rsidR="00F518B1" w:rsidRPr="00F518B1" w:rsidRDefault="00F518B1" w:rsidP="00F518B1">
            <w:pPr>
              <w:spacing w:before="80" w:after="80" w:line="200" w:lineRule="exact"/>
              <w:ind w:left="113" w:right="28"/>
              <w:jc w:val="right"/>
              <w:rPr>
                <w:i/>
                <w:sz w:val="16"/>
                <w:lang w:val="es-ES_tradnl"/>
              </w:rPr>
            </w:pPr>
            <w:r w:rsidRPr="006A5CC8">
              <w:rPr>
                <w:i/>
                <w:sz w:val="16"/>
                <w:lang w:val="es-ES_tradnl"/>
              </w:rPr>
              <w:t>2024*</w:t>
            </w:r>
          </w:p>
        </w:tc>
      </w:tr>
      <w:tr w:rsidR="00F518B1" w:rsidRPr="00F518B1" w14:paraId="5A56E5D3" w14:textId="77777777" w:rsidTr="00F518B1">
        <w:trPr>
          <w:trHeight w:val="240"/>
        </w:trPr>
        <w:tc>
          <w:tcPr>
            <w:tcW w:w="2457" w:type="dxa"/>
            <w:tcBorders>
              <w:top w:val="single" w:sz="12" w:space="0" w:color="auto"/>
              <w:bottom w:val="single" w:sz="4" w:space="0" w:color="auto"/>
            </w:tcBorders>
            <w:shd w:val="clear" w:color="auto" w:fill="auto"/>
          </w:tcPr>
          <w:p w14:paraId="2B4DC699" w14:textId="7E551851" w:rsidR="00F518B1" w:rsidRPr="00F518B1" w:rsidRDefault="00F518B1" w:rsidP="00F518B1">
            <w:pPr>
              <w:spacing w:before="40" w:after="40" w:line="220" w:lineRule="exact"/>
              <w:rPr>
                <w:sz w:val="18"/>
                <w:lang w:val="es-ES_tradnl"/>
              </w:rPr>
            </w:pPr>
            <w:r w:rsidRPr="006A5CC8">
              <w:rPr>
                <w:sz w:val="18"/>
                <w:lang w:val="es-ES_tradnl"/>
              </w:rPr>
              <w:t>1 a 7 días</w:t>
            </w:r>
          </w:p>
        </w:tc>
        <w:tc>
          <w:tcPr>
            <w:tcW w:w="2456" w:type="dxa"/>
            <w:tcBorders>
              <w:top w:val="single" w:sz="12" w:space="0" w:color="auto"/>
              <w:bottom w:val="single" w:sz="4" w:space="0" w:color="auto"/>
            </w:tcBorders>
            <w:shd w:val="clear" w:color="auto" w:fill="auto"/>
            <w:vAlign w:val="bottom"/>
          </w:tcPr>
          <w:p w14:paraId="61C89679" w14:textId="2192C886" w:rsidR="00F518B1" w:rsidRPr="00F518B1" w:rsidRDefault="00F518B1" w:rsidP="00F518B1">
            <w:pPr>
              <w:spacing w:before="40" w:after="40" w:line="220" w:lineRule="exact"/>
              <w:ind w:left="113" w:right="28"/>
              <w:jc w:val="right"/>
              <w:rPr>
                <w:sz w:val="18"/>
                <w:lang w:val="es-ES_tradnl"/>
              </w:rPr>
            </w:pPr>
            <w:r w:rsidRPr="006A5CC8">
              <w:rPr>
                <w:sz w:val="18"/>
                <w:lang w:val="es-ES_tradnl"/>
              </w:rPr>
              <w:t>15</w:t>
            </w:r>
          </w:p>
        </w:tc>
        <w:tc>
          <w:tcPr>
            <w:tcW w:w="2457" w:type="dxa"/>
            <w:tcBorders>
              <w:top w:val="single" w:sz="12" w:space="0" w:color="auto"/>
              <w:bottom w:val="single" w:sz="4" w:space="0" w:color="auto"/>
            </w:tcBorders>
            <w:shd w:val="clear" w:color="auto" w:fill="auto"/>
            <w:vAlign w:val="bottom"/>
          </w:tcPr>
          <w:p w14:paraId="67419751" w14:textId="17238224" w:rsidR="00F518B1" w:rsidRPr="00F518B1" w:rsidRDefault="00F518B1" w:rsidP="00F518B1">
            <w:pPr>
              <w:spacing w:before="40" w:after="40" w:line="220" w:lineRule="exact"/>
              <w:ind w:left="113" w:right="28"/>
              <w:jc w:val="right"/>
              <w:rPr>
                <w:sz w:val="18"/>
                <w:lang w:val="es-ES_tradnl"/>
              </w:rPr>
            </w:pPr>
            <w:r w:rsidRPr="006A5CC8">
              <w:rPr>
                <w:sz w:val="18"/>
                <w:lang w:val="es-ES_tradnl"/>
              </w:rPr>
              <w:t>20</w:t>
            </w:r>
          </w:p>
        </w:tc>
      </w:tr>
      <w:tr w:rsidR="00F518B1" w:rsidRPr="00F518B1" w14:paraId="0C768001" w14:textId="77777777" w:rsidTr="00F518B1">
        <w:trPr>
          <w:trHeight w:val="240"/>
        </w:trPr>
        <w:tc>
          <w:tcPr>
            <w:tcW w:w="2457" w:type="dxa"/>
            <w:tcBorders>
              <w:top w:val="single" w:sz="4" w:space="0" w:color="auto"/>
              <w:bottom w:val="single" w:sz="12" w:space="0" w:color="auto"/>
            </w:tcBorders>
            <w:shd w:val="clear" w:color="auto" w:fill="auto"/>
          </w:tcPr>
          <w:p w14:paraId="52BBC2F7" w14:textId="4844612A" w:rsidR="00F518B1" w:rsidRPr="00F518B1" w:rsidRDefault="00F518B1" w:rsidP="00F518B1">
            <w:pPr>
              <w:spacing w:before="80" w:after="80" w:line="220" w:lineRule="exact"/>
              <w:ind w:left="283"/>
              <w:rPr>
                <w:b/>
                <w:sz w:val="18"/>
                <w:lang w:val="es-ES_tradnl"/>
              </w:rPr>
            </w:pPr>
            <w:r w:rsidRPr="006A5CC8">
              <w:rPr>
                <w:b/>
                <w:bCs/>
                <w:sz w:val="18"/>
                <w:lang w:val="es-ES_tradnl"/>
              </w:rPr>
              <w:t>Total</w:t>
            </w:r>
          </w:p>
        </w:tc>
        <w:tc>
          <w:tcPr>
            <w:tcW w:w="2456" w:type="dxa"/>
            <w:tcBorders>
              <w:top w:val="single" w:sz="4" w:space="0" w:color="auto"/>
              <w:bottom w:val="single" w:sz="12" w:space="0" w:color="auto"/>
            </w:tcBorders>
            <w:shd w:val="clear" w:color="auto" w:fill="auto"/>
            <w:vAlign w:val="bottom"/>
          </w:tcPr>
          <w:p w14:paraId="08336C7A" w14:textId="02506A0B" w:rsidR="00F518B1" w:rsidRPr="00F518B1" w:rsidRDefault="00F518B1" w:rsidP="00F518B1">
            <w:pPr>
              <w:spacing w:before="80" w:after="80" w:line="220" w:lineRule="exact"/>
              <w:ind w:right="28"/>
              <w:jc w:val="right"/>
              <w:rPr>
                <w:b/>
                <w:sz w:val="18"/>
                <w:lang w:val="es-ES_tradnl"/>
              </w:rPr>
            </w:pPr>
            <w:r w:rsidRPr="006A5CC8">
              <w:rPr>
                <w:b/>
                <w:bCs/>
                <w:sz w:val="18"/>
                <w:lang w:val="es-ES_tradnl"/>
              </w:rPr>
              <w:t>15</w:t>
            </w:r>
          </w:p>
        </w:tc>
        <w:tc>
          <w:tcPr>
            <w:tcW w:w="2457" w:type="dxa"/>
            <w:tcBorders>
              <w:top w:val="single" w:sz="4" w:space="0" w:color="auto"/>
              <w:bottom w:val="single" w:sz="12" w:space="0" w:color="auto"/>
            </w:tcBorders>
            <w:shd w:val="clear" w:color="auto" w:fill="auto"/>
            <w:vAlign w:val="bottom"/>
          </w:tcPr>
          <w:p w14:paraId="37D549A1" w14:textId="6200DD0B" w:rsidR="00F518B1" w:rsidRPr="00F518B1" w:rsidRDefault="00F518B1" w:rsidP="00F518B1">
            <w:pPr>
              <w:spacing w:before="80" w:after="80" w:line="220" w:lineRule="exact"/>
              <w:ind w:right="28"/>
              <w:jc w:val="right"/>
              <w:rPr>
                <w:b/>
                <w:sz w:val="18"/>
                <w:lang w:val="es-ES_tradnl"/>
              </w:rPr>
            </w:pPr>
            <w:r w:rsidRPr="006A5CC8">
              <w:rPr>
                <w:b/>
                <w:bCs/>
                <w:sz w:val="18"/>
                <w:lang w:val="es-ES_tradnl"/>
              </w:rPr>
              <w:t>20</w:t>
            </w:r>
          </w:p>
        </w:tc>
      </w:tr>
    </w:tbl>
    <w:p w14:paraId="35DF87FB" w14:textId="562CDFEA" w:rsidR="006A5CC8" w:rsidRPr="006A5CC8" w:rsidRDefault="006A5CC8" w:rsidP="00F518B1">
      <w:pPr>
        <w:pStyle w:val="SingleTxtG"/>
        <w:spacing w:before="120" w:after="0"/>
        <w:ind w:firstLine="170"/>
        <w:jc w:val="left"/>
        <w:rPr>
          <w:sz w:val="18"/>
          <w:szCs w:val="18"/>
          <w:lang w:val="es-ES_tradnl"/>
        </w:rPr>
      </w:pPr>
      <w:r w:rsidRPr="006A5CC8">
        <w:rPr>
          <w:sz w:val="18"/>
          <w:szCs w:val="18"/>
          <w:lang w:val="es-ES_tradnl"/>
        </w:rPr>
        <w:t>*</w:t>
      </w:r>
      <w:r w:rsidR="00F518B1" w:rsidRPr="00F518B1">
        <w:rPr>
          <w:sz w:val="18"/>
          <w:szCs w:val="18"/>
          <w:lang w:val="es-ES_tradnl"/>
        </w:rPr>
        <w:t xml:space="preserve"> </w:t>
      </w:r>
      <w:r w:rsidRPr="006A5CC8">
        <w:rPr>
          <w:sz w:val="18"/>
          <w:szCs w:val="18"/>
          <w:lang w:val="es-ES_tradnl"/>
        </w:rPr>
        <w:t xml:space="preserve"> Hasta el 30 de septiembre de 2024, inclusive. Los datos de 2024 son preliminares.</w:t>
      </w:r>
    </w:p>
    <w:p w14:paraId="5B7080AC" w14:textId="77777777" w:rsidR="006A5CC8" w:rsidRPr="006A5CC8" w:rsidRDefault="006A5CC8" w:rsidP="00F518B1">
      <w:pPr>
        <w:pStyle w:val="SingleTxtG"/>
        <w:spacing w:after="240"/>
        <w:ind w:firstLine="170"/>
        <w:jc w:val="left"/>
        <w:rPr>
          <w:sz w:val="18"/>
          <w:szCs w:val="18"/>
          <w:lang w:val="es-ES_tradnl"/>
        </w:rPr>
      </w:pPr>
      <w:r w:rsidRPr="006A5CC8">
        <w:rPr>
          <w:i/>
          <w:iCs/>
          <w:sz w:val="18"/>
          <w:szCs w:val="18"/>
          <w:lang w:val="es-ES_tradnl"/>
        </w:rPr>
        <w:t>Nota:</w:t>
      </w:r>
      <w:r w:rsidRPr="006A5CC8">
        <w:rPr>
          <w:sz w:val="18"/>
          <w:szCs w:val="18"/>
          <w:lang w:val="es-ES_tradnl"/>
        </w:rPr>
        <w:t xml:space="preserve"> Los datos se extrajeron el 21 de octubre de 2024.</w:t>
      </w:r>
    </w:p>
    <w:p w14:paraId="21AEB4CB" w14:textId="63343DD1" w:rsidR="00AC611E" w:rsidRPr="006A5CC8" w:rsidRDefault="006A5CC8" w:rsidP="006A5CC8">
      <w:pPr>
        <w:pStyle w:val="SingleTxtG"/>
        <w:suppressAutoHyphens/>
        <w:spacing w:before="240" w:after="0"/>
        <w:jc w:val="center"/>
        <w:rPr>
          <w:u w:val="single"/>
        </w:rPr>
      </w:pPr>
      <w:r>
        <w:rPr>
          <w:u w:val="single"/>
        </w:rPr>
        <w:tab/>
      </w:r>
      <w:r>
        <w:rPr>
          <w:u w:val="single"/>
        </w:rPr>
        <w:tab/>
      </w:r>
      <w:r>
        <w:rPr>
          <w:u w:val="single"/>
        </w:rPr>
        <w:tab/>
      </w:r>
    </w:p>
    <w:sectPr w:rsidR="00AC611E" w:rsidRPr="006A5CC8" w:rsidSect="006A5C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9B88A" w14:textId="77777777" w:rsidR="006C6D67" w:rsidRPr="00A312BC" w:rsidRDefault="006C6D67" w:rsidP="00A312BC">
      <w:pPr>
        <w:pStyle w:val="Piedepgina"/>
      </w:pPr>
    </w:p>
  </w:endnote>
  <w:endnote w:type="continuationSeparator" w:id="0">
    <w:p w14:paraId="377A6808" w14:textId="77777777" w:rsidR="006C6D67" w:rsidRPr="00A312BC" w:rsidRDefault="006C6D6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5D294" w14:textId="472C2EF4" w:rsidR="006A5CC8" w:rsidRPr="006A5CC8" w:rsidRDefault="006A5CC8" w:rsidP="006A5CC8">
    <w:pPr>
      <w:pStyle w:val="Piedepgina"/>
      <w:tabs>
        <w:tab w:val="right" w:pos="9638"/>
      </w:tabs>
    </w:pPr>
    <w:r w:rsidRPr="006A5CC8">
      <w:rPr>
        <w:b/>
        <w:sz w:val="18"/>
      </w:rPr>
      <w:fldChar w:fldCharType="begin"/>
    </w:r>
    <w:r w:rsidRPr="006A5CC8">
      <w:rPr>
        <w:b/>
        <w:sz w:val="18"/>
      </w:rPr>
      <w:instrText xml:space="preserve"> PAGE  \* MERGEFORMAT </w:instrText>
    </w:r>
    <w:r w:rsidRPr="006A5CC8">
      <w:rPr>
        <w:b/>
        <w:sz w:val="18"/>
      </w:rPr>
      <w:fldChar w:fldCharType="separate"/>
    </w:r>
    <w:r w:rsidRPr="006A5CC8">
      <w:rPr>
        <w:b/>
        <w:noProof/>
        <w:sz w:val="18"/>
      </w:rPr>
      <w:t>2</w:t>
    </w:r>
    <w:r w:rsidRPr="006A5CC8">
      <w:rPr>
        <w:b/>
        <w:sz w:val="18"/>
      </w:rPr>
      <w:fldChar w:fldCharType="end"/>
    </w:r>
    <w:r>
      <w:rPr>
        <w:b/>
        <w:sz w:val="18"/>
      </w:rPr>
      <w:tab/>
    </w:r>
    <w:r>
      <w:t>GE.24-23304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44BD7" w14:textId="24874385" w:rsidR="006A5CC8" w:rsidRPr="006A5CC8" w:rsidRDefault="006A5CC8" w:rsidP="006A5CC8">
    <w:pPr>
      <w:pStyle w:val="Piedepgina"/>
      <w:tabs>
        <w:tab w:val="right" w:pos="9638"/>
      </w:tabs>
      <w:rPr>
        <w:b/>
        <w:sz w:val="18"/>
      </w:rPr>
    </w:pPr>
    <w:r>
      <w:t>GE.24-23304</w:t>
    </w:r>
    <w:r>
      <w:tab/>
    </w:r>
    <w:r w:rsidRPr="006A5CC8">
      <w:rPr>
        <w:b/>
        <w:sz w:val="18"/>
      </w:rPr>
      <w:fldChar w:fldCharType="begin"/>
    </w:r>
    <w:r w:rsidRPr="006A5CC8">
      <w:rPr>
        <w:b/>
        <w:sz w:val="18"/>
      </w:rPr>
      <w:instrText xml:space="preserve"> PAGE  \* MERGEFORMAT </w:instrText>
    </w:r>
    <w:r w:rsidRPr="006A5CC8">
      <w:rPr>
        <w:b/>
        <w:sz w:val="18"/>
      </w:rPr>
      <w:fldChar w:fldCharType="separate"/>
    </w:r>
    <w:r w:rsidRPr="006A5CC8">
      <w:rPr>
        <w:b/>
        <w:noProof/>
        <w:sz w:val="18"/>
      </w:rPr>
      <w:t>3</w:t>
    </w:r>
    <w:r w:rsidRPr="006A5C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42117" w14:textId="32ED6763" w:rsidR="00042B72" w:rsidRPr="006A5CC8" w:rsidRDefault="006A5CC8" w:rsidP="006A5CC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3D80435" wp14:editId="04B6165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24-23304  (S)</w:t>
    </w:r>
    <w:r>
      <w:rPr>
        <w:noProof/>
        <w:sz w:val="20"/>
      </w:rPr>
      <w:drawing>
        <wp:anchor distT="0" distB="0" distL="114300" distR="114300" simplePos="0" relativeHeight="251658752" behindDoc="0" locked="0" layoutInCell="1" allowOverlap="1" wp14:anchorId="1CE3BF7E" wp14:editId="7B6FCDFD">
          <wp:simplePos x="0" y="0"/>
          <wp:positionH relativeFrom="margin">
            <wp:posOffset>5489575</wp:posOffset>
          </wp:positionH>
          <wp:positionV relativeFrom="margin">
            <wp:posOffset>8891905</wp:posOffset>
          </wp:positionV>
          <wp:extent cx="628650" cy="628650"/>
          <wp:effectExtent l="0" t="0" r="0" b="0"/>
          <wp:wrapNone/>
          <wp:docPr id="6934574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120225    140225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2CD048" w14:textId="77777777" w:rsidR="006C6D67" w:rsidRPr="001075E9" w:rsidRDefault="006C6D67" w:rsidP="001075E9">
      <w:pPr>
        <w:tabs>
          <w:tab w:val="right" w:pos="2155"/>
        </w:tabs>
        <w:spacing w:after="80" w:line="240" w:lineRule="auto"/>
        <w:ind w:left="680"/>
        <w:rPr>
          <w:u w:val="single"/>
        </w:rPr>
      </w:pPr>
      <w:r>
        <w:rPr>
          <w:u w:val="single"/>
        </w:rPr>
        <w:tab/>
      </w:r>
    </w:p>
  </w:footnote>
  <w:footnote w:type="continuationSeparator" w:id="0">
    <w:p w14:paraId="785265EC" w14:textId="77777777" w:rsidR="006C6D67" w:rsidRDefault="006C6D67" w:rsidP="00407B78">
      <w:pPr>
        <w:tabs>
          <w:tab w:val="right" w:pos="2155"/>
        </w:tabs>
        <w:spacing w:after="80"/>
        <w:ind w:left="680"/>
        <w:rPr>
          <w:u w:val="single"/>
        </w:rPr>
      </w:pPr>
      <w:r>
        <w:rPr>
          <w:u w:val="single"/>
        </w:rPr>
        <w:tab/>
      </w:r>
    </w:p>
  </w:footnote>
  <w:footnote w:id="1">
    <w:p w14:paraId="59369C74" w14:textId="7D9DA174" w:rsidR="006A5CC8" w:rsidRPr="006A5CC8" w:rsidRDefault="006A5CC8" w:rsidP="006A5CC8">
      <w:pPr>
        <w:pStyle w:val="Textonotapie"/>
        <w:rPr>
          <w:sz w:val="20"/>
        </w:rPr>
      </w:pPr>
      <w:r>
        <w:tab/>
      </w:r>
      <w:r w:rsidRPr="006A5CC8">
        <w:rPr>
          <w:rStyle w:val="Refdenotaalpie"/>
          <w:sz w:val="20"/>
          <w:vertAlign w:val="baseline"/>
        </w:rPr>
        <w:t>*</w:t>
      </w:r>
      <w:r w:rsidRPr="006A5CC8">
        <w:rPr>
          <w:rStyle w:val="Refdenotaalpie"/>
          <w:vertAlign w:val="baseline"/>
        </w:rPr>
        <w:tab/>
      </w:r>
      <w:r w:rsidRPr="006A5CC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E34FC" w14:textId="5482B7ED" w:rsidR="006A5CC8" w:rsidRPr="006A5CC8" w:rsidRDefault="006A5CC8">
    <w:pPr>
      <w:pStyle w:val="Encabezado"/>
    </w:pPr>
    <w:r>
      <w:fldChar w:fldCharType="begin"/>
    </w:r>
    <w:r>
      <w:instrText xml:space="preserve"> TITLE  \* MERGEFORMAT </w:instrText>
    </w:r>
    <w:r>
      <w:fldChar w:fldCharType="separate"/>
    </w:r>
    <w:r w:rsidR="00A54344">
      <w:t>CAT/C/</w:t>
    </w:r>
    <w:proofErr w:type="spellStart"/>
    <w:r w:rsidR="00A54344">
      <w:t>DNK</w:t>
    </w:r>
    <w:proofErr w:type="spellEnd"/>
    <w:r w:rsidR="00A54344">
      <w:t>/</w:t>
    </w:r>
    <w:proofErr w:type="spellStart"/>
    <w:r w:rsidR="00A54344">
      <w:t>FCO</w:t>
    </w:r>
    <w:proofErr w:type="spellEnd"/>
    <w:r w:rsidR="00A54344">
      <w:t>/8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F75F8" w14:textId="11AB9A11" w:rsidR="006A5CC8" w:rsidRPr="006A5CC8" w:rsidRDefault="006A5CC8" w:rsidP="006A5CC8">
    <w:pPr>
      <w:pStyle w:val="Encabezado"/>
      <w:jc w:val="right"/>
    </w:pPr>
    <w:r>
      <w:fldChar w:fldCharType="begin"/>
    </w:r>
    <w:r>
      <w:instrText xml:space="preserve"> TITLE  \* MERGEFORMAT </w:instrText>
    </w:r>
    <w:r>
      <w:fldChar w:fldCharType="separate"/>
    </w:r>
    <w:r w:rsidR="00A54344">
      <w:t>CAT/C/</w:t>
    </w:r>
    <w:proofErr w:type="spellStart"/>
    <w:r w:rsidR="00A54344">
      <w:t>DNK</w:t>
    </w:r>
    <w:proofErr w:type="spellEnd"/>
    <w:r w:rsidR="00A54344">
      <w:t>/</w:t>
    </w:r>
    <w:proofErr w:type="spellStart"/>
    <w:r w:rsidR="00A54344">
      <w:t>FCO</w:t>
    </w:r>
    <w:proofErr w:type="spellEnd"/>
    <w:r w:rsidR="00A54344">
      <w:t>/8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72606936">
    <w:abstractNumId w:val="14"/>
  </w:num>
  <w:num w:numId="2" w16cid:durableId="1480803009">
    <w:abstractNumId w:val="11"/>
  </w:num>
  <w:num w:numId="3" w16cid:durableId="1394237944">
    <w:abstractNumId w:val="16"/>
  </w:num>
  <w:num w:numId="4" w16cid:durableId="293798037">
    <w:abstractNumId w:val="15"/>
  </w:num>
  <w:num w:numId="5" w16cid:durableId="1291135438">
    <w:abstractNumId w:val="13"/>
  </w:num>
  <w:num w:numId="6" w16cid:durableId="1510753599">
    <w:abstractNumId w:val="8"/>
  </w:num>
  <w:num w:numId="7" w16cid:durableId="1497113886">
    <w:abstractNumId w:val="3"/>
  </w:num>
  <w:num w:numId="8" w16cid:durableId="1102070630">
    <w:abstractNumId w:val="2"/>
  </w:num>
  <w:num w:numId="9" w16cid:durableId="36855366">
    <w:abstractNumId w:val="1"/>
  </w:num>
  <w:num w:numId="10" w16cid:durableId="49618800">
    <w:abstractNumId w:val="0"/>
  </w:num>
  <w:num w:numId="11" w16cid:durableId="1162115883">
    <w:abstractNumId w:val="9"/>
  </w:num>
  <w:num w:numId="12" w16cid:durableId="1177841698">
    <w:abstractNumId w:val="7"/>
  </w:num>
  <w:num w:numId="13" w16cid:durableId="378478601">
    <w:abstractNumId w:val="6"/>
  </w:num>
  <w:num w:numId="14" w16cid:durableId="1495143671">
    <w:abstractNumId w:val="5"/>
  </w:num>
  <w:num w:numId="15" w16cid:durableId="153038076">
    <w:abstractNumId w:val="4"/>
  </w:num>
  <w:num w:numId="16" w16cid:durableId="881599081">
    <w:abstractNumId w:val="10"/>
  </w:num>
  <w:num w:numId="17" w16cid:durableId="1489009349">
    <w:abstractNumId w:val="14"/>
  </w:num>
  <w:num w:numId="18" w16cid:durableId="1209100418">
    <w:abstractNumId w:val="11"/>
  </w:num>
  <w:num w:numId="19" w16cid:durableId="1714690504">
    <w:abstractNumId w:val="10"/>
  </w:num>
  <w:num w:numId="20" w16cid:durableId="1865748275">
    <w:abstractNumId w:val="16"/>
  </w:num>
  <w:num w:numId="21" w16cid:durableId="1565992726">
    <w:abstractNumId w:val="15"/>
  </w:num>
  <w:num w:numId="22" w16cid:durableId="488256023">
    <w:abstractNumId w:val="12"/>
  </w:num>
  <w:num w:numId="23" w16cid:durableId="236286431">
    <w:abstractNumId w:val="12"/>
  </w:num>
  <w:num w:numId="24" w16cid:durableId="1497841288">
    <w:abstractNumId w:val="13"/>
  </w:num>
  <w:num w:numId="25" w16cid:durableId="687487875">
    <w:abstractNumId w:val="9"/>
  </w:num>
  <w:num w:numId="26" w16cid:durableId="1288467693">
    <w:abstractNumId w:val="7"/>
  </w:num>
  <w:num w:numId="27" w16cid:durableId="1696035784">
    <w:abstractNumId w:val="6"/>
  </w:num>
  <w:num w:numId="28" w16cid:durableId="1372611623">
    <w:abstractNumId w:val="5"/>
  </w:num>
  <w:num w:numId="29" w16cid:durableId="70205463">
    <w:abstractNumId w:val="4"/>
  </w:num>
  <w:num w:numId="30" w16cid:durableId="1395003331">
    <w:abstractNumId w:val="8"/>
  </w:num>
  <w:num w:numId="31" w16cid:durableId="964123694">
    <w:abstractNumId w:val="3"/>
  </w:num>
  <w:num w:numId="32" w16cid:durableId="2021931314">
    <w:abstractNumId w:val="2"/>
  </w:num>
  <w:num w:numId="33" w16cid:durableId="678583766">
    <w:abstractNumId w:val="1"/>
  </w:num>
  <w:num w:numId="34" w16cid:durableId="59258635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D67"/>
    <w:rsid w:val="00004304"/>
    <w:rsid w:val="00033EE1"/>
    <w:rsid w:val="00042B72"/>
    <w:rsid w:val="000558BD"/>
    <w:rsid w:val="00092DF8"/>
    <w:rsid w:val="000B57E7"/>
    <w:rsid w:val="000B6373"/>
    <w:rsid w:val="000E713F"/>
    <w:rsid w:val="000F09DF"/>
    <w:rsid w:val="000F61B2"/>
    <w:rsid w:val="001075E9"/>
    <w:rsid w:val="00147975"/>
    <w:rsid w:val="00180183"/>
    <w:rsid w:val="0018024D"/>
    <w:rsid w:val="0018649F"/>
    <w:rsid w:val="00196389"/>
    <w:rsid w:val="001B3EF6"/>
    <w:rsid w:val="001C7A89"/>
    <w:rsid w:val="001D4725"/>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A44A5"/>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A0B2F"/>
    <w:rsid w:val="006A5CC8"/>
    <w:rsid w:val="006C2031"/>
    <w:rsid w:val="006C6D67"/>
    <w:rsid w:val="006D461A"/>
    <w:rsid w:val="006E7495"/>
    <w:rsid w:val="006F022E"/>
    <w:rsid w:val="006F35EE"/>
    <w:rsid w:val="007021FF"/>
    <w:rsid w:val="00712895"/>
    <w:rsid w:val="00740428"/>
    <w:rsid w:val="00757357"/>
    <w:rsid w:val="00825F8D"/>
    <w:rsid w:val="0083326A"/>
    <w:rsid w:val="00834B71"/>
    <w:rsid w:val="00844557"/>
    <w:rsid w:val="0086445C"/>
    <w:rsid w:val="00894693"/>
    <w:rsid w:val="008A08D7"/>
    <w:rsid w:val="008B6909"/>
    <w:rsid w:val="008D3B3D"/>
    <w:rsid w:val="00906890"/>
    <w:rsid w:val="00911BE4"/>
    <w:rsid w:val="0093114A"/>
    <w:rsid w:val="00951972"/>
    <w:rsid w:val="009608F3"/>
    <w:rsid w:val="00A312BC"/>
    <w:rsid w:val="00A54344"/>
    <w:rsid w:val="00A66A06"/>
    <w:rsid w:val="00A84021"/>
    <w:rsid w:val="00A917B3"/>
    <w:rsid w:val="00AB4B51"/>
    <w:rsid w:val="00AC611E"/>
    <w:rsid w:val="00B10CC7"/>
    <w:rsid w:val="00B4174A"/>
    <w:rsid w:val="00B539E7"/>
    <w:rsid w:val="00B62458"/>
    <w:rsid w:val="00BC6C8F"/>
    <w:rsid w:val="00BD33EE"/>
    <w:rsid w:val="00C106D6"/>
    <w:rsid w:val="00C30CAA"/>
    <w:rsid w:val="00C43454"/>
    <w:rsid w:val="00C60F0C"/>
    <w:rsid w:val="00C805C9"/>
    <w:rsid w:val="00C92939"/>
    <w:rsid w:val="00CA1679"/>
    <w:rsid w:val="00CB151C"/>
    <w:rsid w:val="00CE5A1A"/>
    <w:rsid w:val="00CF55F6"/>
    <w:rsid w:val="00D23636"/>
    <w:rsid w:val="00D247CA"/>
    <w:rsid w:val="00D33D63"/>
    <w:rsid w:val="00D8412A"/>
    <w:rsid w:val="00D90138"/>
    <w:rsid w:val="00DE4223"/>
    <w:rsid w:val="00E73F76"/>
    <w:rsid w:val="00E876C3"/>
    <w:rsid w:val="00EA2C9F"/>
    <w:rsid w:val="00ED0BDA"/>
    <w:rsid w:val="00EE7EDE"/>
    <w:rsid w:val="00EF1360"/>
    <w:rsid w:val="00EF3220"/>
    <w:rsid w:val="00F4145E"/>
    <w:rsid w:val="00F518B1"/>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60322"/>
  <w15:docId w15:val="{C916350A-8493-4484-A804-8A97FA958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9</Pages>
  <Words>3969</Words>
  <Characters>22351</Characters>
  <Application>Microsoft Office Word</Application>
  <DocSecurity>0</DocSecurity>
  <Lines>2031</Lines>
  <Paragraphs>731</Paragraphs>
  <ScaleCrop>false</ScaleCrop>
  <HeadingPairs>
    <vt:vector size="2" baseType="variant">
      <vt:variant>
        <vt:lpstr>Título</vt:lpstr>
      </vt:variant>
      <vt:variant>
        <vt:i4>1</vt:i4>
      </vt:variant>
    </vt:vector>
  </HeadingPairs>
  <TitlesOfParts>
    <vt:vector size="1" baseType="lpstr">
      <vt:lpstr>CAT/C/DNK/FCO/8</vt:lpstr>
    </vt:vector>
  </TitlesOfParts>
  <Company/>
  <LinksUpToDate>false</LinksUpToDate>
  <CharactersWithSpaces>25589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CAT/C/DNK/FCO/8</dc:title>
  <dc:subject/>
  <dc:creator>Angel ANGEL-MORENO-TORRES</dc:creator>
  <cp:keywords/>
  <cp:lastModifiedBy>Angel Moreno Torres</cp:lastModifiedBy>
  <cp:revision>3</cp:revision>
  <cp:lastPrinted>2025-02-14T10:41:00Z</cp:lastPrinted>
  <dcterms:created xsi:type="dcterms:W3CDTF">2025-02-14T10:41:00Z</dcterms:created>
  <dcterms:modified xsi:type="dcterms:W3CDTF">2025-02-14T10:41:00Z</dcterms:modified>
</cp:coreProperties>
</file>